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spacing w:line="840" w:lineRule="exact"/>
        <w:outlineLvl w:val="0"/>
        <w:rPr>
          <w:rFonts w:hint="eastAsia" w:ascii="新宋体" w:hAnsi="新宋体" w:eastAsia="新宋体"/>
          <w:b/>
          <w:bCs/>
          <w:sz w:val="52"/>
        </w:rPr>
      </w:pPr>
    </w:p>
    <w:p>
      <w:pPr>
        <w:spacing w:beforeLines="50"/>
        <w:jc w:val="center"/>
        <w:rPr>
          <w:rFonts w:hint="eastAsia" w:ascii="新宋体" w:hAnsi="新宋体" w:eastAsia="新宋体"/>
          <w:b/>
          <w:sz w:val="48"/>
          <w:szCs w:val="48"/>
          <w:u w:val="single"/>
        </w:rPr>
      </w:pPr>
      <w:r>
        <w:rPr>
          <w:rFonts w:hint="eastAsia" w:ascii="新宋体" w:hAnsi="新宋体" w:eastAsia="新宋体"/>
          <w:b/>
          <w:sz w:val="48"/>
          <w:szCs w:val="48"/>
          <w:u w:val="single"/>
        </w:rPr>
        <w:t>国家税务总局义乌市税务局</w:t>
      </w:r>
    </w:p>
    <w:p>
      <w:pPr>
        <w:spacing w:beforeLines="50"/>
        <w:jc w:val="center"/>
        <w:rPr>
          <w:rFonts w:ascii="新宋体" w:hAnsi="新宋体" w:eastAsia="新宋体"/>
          <w:b/>
          <w:sz w:val="48"/>
          <w:szCs w:val="48"/>
          <w:u w:val="single"/>
        </w:rPr>
      </w:pPr>
      <w:r>
        <w:rPr>
          <w:rFonts w:hint="eastAsia" w:ascii="新宋体" w:hAnsi="新宋体" w:eastAsia="新宋体"/>
          <w:b/>
          <w:sz w:val="48"/>
          <w:szCs w:val="48"/>
          <w:u w:val="single"/>
        </w:rPr>
        <w:t>机关大楼物业管理</w:t>
      </w:r>
      <w:r>
        <w:rPr>
          <w:rFonts w:hint="eastAsia" w:ascii="新宋体" w:hAnsi="新宋体" w:eastAsia="新宋体"/>
          <w:sz w:val="48"/>
          <w:szCs w:val="48"/>
        </w:rPr>
        <w:t>采购项目</w:t>
      </w:r>
    </w:p>
    <w:p>
      <w:pPr>
        <w:spacing w:line="360" w:lineRule="auto"/>
        <w:ind w:firstLine="643" w:firstLineChars="200"/>
        <w:jc w:val="center"/>
        <w:rPr>
          <w:rFonts w:hint="eastAsia" w:ascii="新宋体" w:hAnsi="新宋体" w:eastAsia="新宋体"/>
          <w:b/>
          <w:sz w:val="32"/>
          <w:szCs w:val="32"/>
        </w:rPr>
      </w:pPr>
    </w:p>
    <w:p>
      <w:pPr>
        <w:spacing w:line="360" w:lineRule="auto"/>
        <w:ind w:firstLine="964" w:firstLineChars="200"/>
        <w:jc w:val="center"/>
        <w:rPr>
          <w:rFonts w:hint="eastAsia" w:ascii="新宋体" w:hAnsi="新宋体" w:eastAsia="新宋体"/>
          <w:b/>
          <w:sz w:val="48"/>
          <w:szCs w:val="48"/>
        </w:rPr>
      </w:pPr>
    </w:p>
    <w:p>
      <w:pPr>
        <w:spacing w:line="360" w:lineRule="auto"/>
        <w:ind w:firstLine="964" w:firstLineChars="200"/>
        <w:jc w:val="center"/>
        <w:rPr>
          <w:rFonts w:hint="eastAsia" w:ascii="新宋体" w:hAnsi="新宋体" w:eastAsia="新宋体"/>
          <w:b/>
          <w:sz w:val="48"/>
          <w:szCs w:val="48"/>
        </w:rPr>
      </w:pPr>
    </w:p>
    <w:p>
      <w:pPr>
        <w:spacing w:line="360" w:lineRule="auto"/>
        <w:ind w:firstLine="2940" w:firstLineChars="350"/>
        <w:rPr>
          <w:rFonts w:hint="eastAsia" w:ascii="新宋体" w:hAnsi="新宋体" w:eastAsia="新宋体"/>
          <w:sz w:val="84"/>
          <w:szCs w:val="84"/>
        </w:rPr>
      </w:pPr>
      <w:r>
        <w:rPr>
          <w:rFonts w:hint="eastAsia" w:ascii="新宋体" w:hAnsi="新宋体" w:eastAsia="新宋体"/>
          <w:sz w:val="84"/>
          <w:szCs w:val="84"/>
        </w:rPr>
        <w:t>招标文件</w:t>
      </w:r>
    </w:p>
    <w:p>
      <w:pPr>
        <w:spacing w:line="360" w:lineRule="auto"/>
        <w:ind w:firstLine="1440" w:firstLineChars="200"/>
        <w:jc w:val="center"/>
        <w:rPr>
          <w:rFonts w:hint="eastAsia" w:ascii="新宋体" w:hAnsi="新宋体" w:eastAsia="新宋体"/>
          <w:sz w:val="72"/>
          <w:szCs w:val="72"/>
        </w:rPr>
      </w:pPr>
    </w:p>
    <w:p>
      <w:pPr>
        <w:spacing w:line="360" w:lineRule="auto"/>
        <w:ind w:firstLine="1440" w:firstLineChars="200"/>
        <w:jc w:val="center"/>
        <w:rPr>
          <w:rFonts w:hint="eastAsia" w:ascii="新宋体" w:hAnsi="新宋体" w:eastAsia="新宋体"/>
          <w:sz w:val="72"/>
          <w:szCs w:val="72"/>
        </w:rPr>
      </w:pPr>
    </w:p>
    <w:p>
      <w:pPr>
        <w:pStyle w:val="32"/>
        <w:snapToGrid w:val="0"/>
        <w:spacing w:before="120" w:after="120" w:line="360" w:lineRule="auto"/>
        <w:ind w:firstLine="2570" w:firstLineChars="800"/>
        <w:rPr>
          <w:rFonts w:hint="eastAsia" w:ascii="新宋体" w:hAnsi="新宋体" w:eastAsia="新宋体"/>
          <w:b/>
          <w:bCs/>
          <w:sz w:val="32"/>
          <w:szCs w:val="32"/>
        </w:rPr>
      </w:pPr>
      <w:r>
        <w:rPr>
          <w:rFonts w:hint="eastAsia" w:ascii="新宋体" w:hAnsi="新宋体" w:eastAsia="新宋体"/>
          <w:b/>
          <w:bCs/>
          <w:sz w:val="32"/>
          <w:szCs w:val="32"/>
        </w:rPr>
        <w:t>采购</w:t>
      </w:r>
      <w:r>
        <w:rPr>
          <w:rFonts w:ascii="新宋体" w:hAnsi="新宋体" w:eastAsia="新宋体"/>
          <w:b/>
          <w:bCs/>
          <w:sz w:val="32"/>
          <w:szCs w:val="32"/>
        </w:rPr>
        <w:t>编号：</w:t>
      </w:r>
      <w:r>
        <w:rPr>
          <w:rFonts w:hint="eastAsia" w:ascii="新宋体" w:hAnsi="新宋体" w:eastAsia="新宋体"/>
          <w:b/>
          <w:bCs/>
          <w:sz w:val="32"/>
          <w:szCs w:val="32"/>
        </w:rPr>
        <w:t>YWCG2020128GK</w:t>
      </w:r>
    </w:p>
    <w:p>
      <w:pPr>
        <w:snapToGrid w:val="0"/>
        <w:spacing w:line="360" w:lineRule="auto"/>
        <w:ind w:firstLine="600" w:firstLineChars="200"/>
        <w:rPr>
          <w:rFonts w:hint="eastAsia" w:ascii="新宋体" w:hAnsi="新宋体" w:eastAsia="新宋体"/>
          <w:sz w:val="30"/>
          <w:szCs w:val="72"/>
        </w:rPr>
      </w:pPr>
    </w:p>
    <w:p>
      <w:pPr>
        <w:snapToGrid w:val="0"/>
        <w:spacing w:line="360" w:lineRule="auto"/>
        <w:ind w:firstLine="600" w:firstLineChars="200"/>
        <w:rPr>
          <w:rFonts w:hint="eastAsia" w:ascii="新宋体" w:hAnsi="新宋体" w:eastAsia="新宋体"/>
          <w:sz w:val="30"/>
          <w:szCs w:val="72"/>
        </w:rPr>
      </w:pPr>
    </w:p>
    <w:p>
      <w:pPr>
        <w:pStyle w:val="32"/>
        <w:snapToGrid w:val="0"/>
        <w:spacing w:before="120" w:after="120" w:line="360" w:lineRule="auto"/>
        <w:rPr>
          <w:rFonts w:hint="eastAsia" w:ascii="新宋体" w:hAnsi="新宋体" w:eastAsia="新宋体"/>
          <w:sz w:val="30"/>
          <w:szCs w:val="72"/>
        </w:rPr>
      </w:pPr>
    </w:p>
    <w:p>
      <w:pPr>
        <w:pStyle w:val="32"/>
        <w:ind w:firstLine="1526" w:firstLineChars="500"/>
        <w:rPr>
          <w:rFonts w:ascii="新宋体" w:hAnsi="新宋体" w:eastAsia="新宋体"/>
          <w:b/>
          <w:bCs/>
          <w:w w:val="95"/>
          <w:sz w:val="32"/>
          <w:szCs w:val="32"/>
        </w:rPr>
      </w:pPr>
      <w:r>
        <w:rPr>
          <w:rFonts w:hint="eastAsia" w:ascii="新宋体" w:hAnsi="新宋体" w:eastAsia="新宋体"/>
          <w:b/>
          <w:bCs/>
          <w:w w:val="95"/>
          <w:sz w:val="32"/>
          <w:szCs w:val="32"/>
        </w:rPr>
        <w:t>采   购</w:t>
      </w:r>
      <w:r>
        <w:rPr>
          <w:rFonts w:ascii="新宋体" w:hAnsi="新宋体" w:eastAsia="新宋体"/>
          <w:b/>
          <w:bCs/>
          <w:w w:val="95"/>
          <w:sz w:val="32"/>
          <w:szCs w:val="32"/>
        </w:rPr>
        <w:t>　 人：</w:t>
      </w:r>
      <w:r>
        <w:rPr>
          <w:rFonts w:hint="eastAsia" w:ascii="新宋体" w:hAnsi="新宋体" w:eastAsia="新宋体"/>
          <w:b/>
          <w:sz w:val="32"/>
          <w:szCs w:val="32"/>
          <w:u w:val="single"/>
        </w:rPr>
        <w:t>国家税务总局义乌市税务局</w:t>
      </w:r>
      <w:r>
        <w:rPr>
          <w:rFonts w:ascii="新宋体" w:hAnsi="新宋体" w:eastAsia="新宋体"/>
          <w:b/>
          <w:sz w:val="32"/>
          <w:szCs w:val="32"/>
        </w:rPr>
        <w:t>（盖章）</w:t>
      </w:r>
    </w:p>
    <w:p>
      <w:pPr>
        <w:pStyle w:val="32"/>
        <w:jc w:val="center"/>
        <w:rPr>
          <w:rFonts w:ascii="新宋体" w:hAnsi="新宋体" w:eastAsia="新宋体"/>
          <w:b/>
          <w:sz w:val="32"/>
          <w:szCs w:val="32"/>
        </w:rPr>
      </w:pPr>
      <w:r>
        <w:rPr>
          <w:rFonts w:hint="eastAsia" w:ascii="新宋体" w:hAnsi="新宋体" w:eastAsia="新宋体"/>
          <w:b/>
          <w:bCs/>
          <w:w w:val="95"/>
          <w:sz w:val="32"/>
          <w:szCs w:val="32"/>
        </w:rPr>
        <w:t>采购</w:t>
      </w:r>
      <w:r>
        <w:rPr>
          <w:rFonts w:ascii="新宋体" w:hAnsi="新宋体" w:eastAsia="新宋体"/>
          <w:b/>
          <w:bCs/>
          <w:w w:val="95"/>
          <w:sz w:val="32"/>
          <w:szCs w:val="32"/>
        </w:rPr>
        <w:t>代理机构：</w:t>
      </w:r>
      <w:r>
        <w:rPr>
          <w:rFonts w:hint="eastAsia" w:ascii="新宋体" w:hAnsi="新宋体" w:eastAsia="新宋体"/>
          <w:b/>
          <w:sz w:val="32"/>
          <w:szCs w:val="32"/>
          <w:u w:val="single"/>
        </w:rPr>
        <w:t>义乌市政府采购中心</w:t>
      </w:r>
      <w:r>
        <w:rPr>
          <w:rFonts w:ascii="新宋体" w:hAnsi="新宋体" w:eastAsia="新宋体"/>
          <w:b/>
          <w:sz w:val="32"/>
          <w:szCs w:val="32"/>
        </w:rPr>
        <w:t>（盖章）</w:t>
      </w:r>
    </w:p>
    <w:p>
      <w:pPr>
        <w:pStyle w:val="32"/>
        <w:snapToGrid w:val="0"/>
        <w:spacing w:before="120" w:after="120" w:line="360" w:lineRule="auto"/>
        <w:ind w:firstLine="1606" w:firstLineChars="500"/>
        <w:rPr>
          <w:rFonts w:hint="eastAsia" w:ascii="新宋体" w:hAnsi="新宋体" w:eastAsia="新宋体"/>
          <w:b/>
          <w:color w:val="FF0000"/>
          <w:sz w:val="32"/>
          <w:szCs w:val="32"/>
        </w:rPr>
      </w:pPr>
      <w:r>
        <w:rPr>
          <w:rFonts w:ascii="新宋体" w:hAnsi="新宋体" w:eastAsia="新宋体"/>
          <w:b/>
          <w:sz w:val="32"/>
          <w:szCs w:val="32"/>
        </w:rPr>
        <w:t>日　　　 期：</w:t>
      </w:r>
      <w:r>
        <w:rPr>
          <w:rFonts w:hint="eastAsia" w:ascii="新宋体" w:hAnsi="新宋体" w:eastAsia="新宋体"/>
          <w:b/>
          <w:color w:val="FF0000"/>
          <w:sz w:val="32"/>
          <w:szCs w:val="32"/>
          <w:u w:val="single"/>
        </w:rPr>
        <w:t>2020年00月00日</w:t>
      </w:r>
    </w:p>
    <w:p>
      <w:pPr>
        <w:pStyle w:val="32"/>
        <w:spacing w:before="120" w:after="120" w:line="400" w:lineRule="exact"/>
        <w:ind w:firstLine="420" w:firstLineChars="200"/>
        <w:jc w:val="center"/>
        <w:rPr>
          <w:rFonts w:hint="eastAsia" w:ascii="新宋体" w:hAnsi="新宋体" w:eastAsia="新宋体"/>
        </w:rPr>
      </w:pPr>
    </w:p>
    <w:p>
      <w:pPr>
        <w:pStyle w:val="32"/>
        <w:spacing w:before="120" w:after="120" w:line="400" w:lineRule="exact"/>
        <w:rPr>
          <w:rFonts w:hint="eastAsia" w:ascii="新宋体" w:hAnsi="新宋体" w:eastAsia="新宋体"/>
        </w:rPr>
      </w:pPr>
    </w:p>
    <w:p>
      <w:pPr>
        <w:pStyle w:val="32"/>
        <w:spacing w:before="120" w:after="120" w:line="400" w:lineRule="exact"/>
        <w:ind w:firstLine="420" w:firstLineChars="200"/>
        <w:jc w:val="center"/>
        <w:rPr>
          <w:rFonts w:hint="eastAsia" w:ascii="新宋体" w:hAnsi="新宋体" w:eastAsia="新宋体"/>
        </w:rPr>
      </w:pPr>
    </w:p>
    <w:p>
      <w:pPr>
        <w:pStyle w:val="32"/>
        <w:spacing w:before="120" w:after="120" w:line="520" w:lineRule="exact"/>
        <w:ind w:firstLine="420" w:firstLineChars="200"/>
        <w:jc w:val="center"/>
        <w:rPr>
          <w:rFonts w:hint="eastAsia" w:ascii="新宋体" w:hAnsi="新宋体" w:eastAsia="新宋体"/>
          <w:b/>
          <w:sz w:val="44"/>
          <w:szCs w:val="44"/>
        </w:rPr>
      </w:pPr>
      <w:r>
        <w:rPr>
          <w:rFonts w:ascii="新宋体" w:hAnsi="新宋体" w:eastAsia="新宋体"/>
        </w:rPr>
        <w:br w:type="page"/>
      </w:r>
      <w:r>
        <w:rPr>
          <w:rFonts w:ascii="新宋体" w:hAnsi="新宋体" w:eastAsia="新宋体"/>
          <w:b/>
          <w:sz w:val="44"/>
          <w:szCs w:val="44"/>
        </w:rPr>
        <w:t>招标文件目录</w:t>
      </w:r>
    </w:p>
    <w:p>
      <w:pPr>
        <w:pStyle w:val="32"/>
        <w:spacing w:before="120" w:after="120" w:line="400" w:lineRule="exact"/>
        <w:ind w:firstLine="883" w:firstLineChars="200"/>
        <w:jc w:val="center"/>
        <w:rPr>
          <w:rFonts w:hint="eastAsia" w:ascii="新宋体" w:hAnsi="新宋体" w:eastAsia="新宋体"/>
          <w:b/>
          <w:sz w:val="44"/>
          <w:szCs w:val="44"/>
        </w:rPr>
      </w:pPr>
    </w:p>
    <w:p>
      <w:pPr>
        <w:pStyle w:val="41"/>
        <w:tabs>
          <w:tab w:val="right" w:leader="dot" w:pos="9354"/>
          <w:tab w:val="clear" w:pos="9344"/>
        </w:tabs>
        <w:rPr>
          <w:color w:val="auto"/>
        </w:rPr>
      </w:pPr>
      <w:r>
        <w:rPr>
          <w:rFonts w:ascii="新宋体" w:hAnsi="新宋体" w:eastAsia="新宋体"/>
          <w:color w:val="auto"/>
          <w:sz w:val="24"/>
        </w:rPr>
        <w:fldChar w:fldCharType="begin"/>
      </w:r>
      <w:r>
        <w:rPr>
          <w:rFonts w:ascii="新宋体" w:hAnsi="新宋体" w:eastAsia="新宋体"/>
          <w:color w:val="auto"/>
          <w:sz w:val="24"/>
        </w:rPr>
        <w:instrText xml:space="preserve"> TOC \o "1-3" \h \z \u </w:instrText>
      </w:r>
      <w:r>
        <w:rPr>
          <w:rFonts w:ascii="新宋体" w:hAnsi="新宋体" w:eastAsia="新宋体"/>
          <w:color w:val="auto"/>
          <w:sz w:val="24"/>
        </w:rPr>
        <w:fldChar w:fldCharType="separate"/>
      </w:r>
      <w:r>
        <w:fldChar w:fldCharType="begin"/>
      </w:r>
      <w:r>
        <w:instrText xml:space="preserve"> HYPERLINK \l "_Toc7490" </w:instrText>
      </w:r>
      <w:r>
        <w:fldChar w:fldCharType="separate"/>
      </w:r>
      <w:r>
        <w:rPr>
          <w:rFonts w:hint="eastAsia" w:ascii="新宋体" w:hAnsi="新宋体" w:eastAsia="新宋体"/>
          <w:color w:val="auto"/>
        </w:rPr>
        <w:t>第一章 招标公告</w:t>
      </w:r>
      <w:r>
        <w:rPr>
          <w:color w:val="auto"/>
        </w:rPr>
        <w:tab/>
      </w:r>
      <w:r>
        <w:rPr>
          <w:color w:val="auto"/>
        </w:rPr>
        <w:fldChar w:fldCharType="begin"/>
      </w:r>
      <w:r>
        <w:rPr>
          <w:color w:val="auto"/>
        </w:rPr>
        <w:instrText xml:space="preserve"> PAGEREF _Toc7490 </w:instrText>
      </w:r>
      <w:r>
        <w:rPr>
          <w:color w:val="auto"/>
        </w:rPr>
        <w:fldChar w:fldCharType="separate"/>
      </w:r>
      <w:r>
        <w:rPr>
          <w:color w:val="auto"/>
        </w:rPr>
        <w:t>- 2 -</w:t>
      </w:r>
      <w:r>
        <w:rPr>
          <w:color w:val="auto"/>
        </w:rPr>
        <w:fldChar w:fldCharType="end"/>
      </w:r>
      <w:r>
        <w:rPr>
          <w:color w:val="auto"/>
        </w:rPr>
        <w:fldChar w:fldCharType="end"/>
      </w:r>
    </w:p>
    <w:p>
      <w:pPr>
        <w:pStyle w:val="41"/>
        <w:tabs>
          <w:tab w:val="right" w:leader="dot" w:pos="9354"/>
          <w:tab w:val="clear" w:pos="9344"/>
        </w:tabs>
        <w:rPr>
          <w:color w:val="auto"/>
        </w:rPr>
      </w:pPr>
      <w:r>
        <w:fldChar w:fldCharType="begin"/>
      </w:r>
      <w:r>
        <w:instrText xml:space="preserve"> HYPERLINK \l "_Toc20260" </w:instrText>
      </w:r>
      <w:r>
        <w:fldChar w:fldCharType="separate"/>
      </w:r>
      <w:r>
        <w:rPr>
          <w:rFonts w:hint="eastAsia" w:ascii="新宋体" w:hAnsi="新宋体" w:eastAsia="新宋体"/>
          <w:color w:val="auto"/>
        </w:rPr>
        <w:t>第二章　投标须知和投标须知前附表</w:t>
      </w:r>
      <w:r>
        <w:rPr>
          <w:color w:val="auto"/>
        </w:rPr>
        <w:tab/>
      </w:r>
      <w:r>
        <w:rPr>
          <w:color w:val="auto"/>
        </w:rPr>
        <w:fldChar w:fldCharType="begin"/>
      </w:r>
      <w:r>
        <w:rPr>
          <w:color w:val="auto"/>
        </w:rPr>
        <w:instrText xml:space="preserve"> PAGEREF _Toc20260 </w:instrText>
      </w:r>
      <w:r>
        <w:rPr>
          <w:color w:val="auto"/>
        </w:rPr>
        <w:fldChar w:fldCharType="separate"/>
      </w:r>
      <w:r>
        <w:rPr>
          <w:color w:val="auto"/>
        </w:rPr>
        <w:t>- 6 -</w:t>
      </w:r>
      <w:r>
        <w:rPr>
          <w:color w:val="auto"/>
        </w:rPr>
        <w:fldChar w:fldCharType="end"/>
      </w:r>
      <w:r>
        <w:rPr>
          <w:color w:val="auto"/>
        </w:rPr>
        <w:fldChar w:fldCharType="end"/>
      </w:r>
    </w:p>
    <w:p>
      <w:pPr>
        <w:pStyle w:val="41"/>
        <w:tabs>
          <w:tab w:val="right" w:leader="dot" w:pos="9354"/>
          <w:tab w:val="clear" w:pos="9344"/>
        </w:tabs>
        <w:rPr>
          <w:color w:val="auto"/>
        </w:rPr>
      </w:pPr>
      <w:r>
        <w:fldChar w:fldCharType="begin"/>
      </w:r>
      <w:r>
        <w:instrText xml:space="preserve"> HYPERLINK \l "_Toc19064" </w:instrText>
      </w:r>
      <w:r>
        <w:fldChar w:fldCharType="separate"/>
      </w:r>
      <w:r>
        <w:rPr>
          <w:rFonts w:hint="eastAsia" w:ascii="新宋体" w:hAnsi="新宋体" w:eastAsia="新宋体"/>
          <w:color w:val="auto"/>
          <w:szCs w:val="36"/>
        </w:rPr>
        <w:t>投标须知</w:t>
      </w:r>
      <w:r>
        <w:rPr>
          <w:color w:val="auto"/>
        </w:rPr>
        <w:tab/>
      </w:r>
      <w:r>
        <w:rPr>
          <w:color w:val="auto"/>
        </w:rPr>
        <w:fldChar w:fldCharType="begin"/>
      </w:r>
      <w:r>
        <w:rPr>
          <w:color w:val="auto"/>
        </w:rPr>
        <w:instrText xml:space="preserve"> PAGEREF _Toc19064 </w:instrText>
      </w:r>
      <w:r>
        <w:rPr>
          <w:color w:val="auto"/>
        </w:rPr>
        <w:fldChar w:fldCharType="separate"/>
      </w:r>
      <w:r>
        <w:rPr>
          <w:color w:val="auto"/>
        </w:rPr>
        <w:t>- 9 -</w:t>
      </w:r>
      <w:r>
        <w:rPr>
          <w:color w:val="auto"/>
        </w:rPr>
        <w:fldChar w:fldCharType="end"/>
      </w:r>
      <w:r>
        <w:rPr>
          <w:color w:val="auto"/>
        </w:rPr>
        <w:fldChar w:fldCharType="end"/>
      </w:r>
    </w:p>
    <w:p>
      <w:pPr>
        <w:pStyle w:val="51"/>
        <w:tabs>
          <w:tab w:val="right" w:leader="dot" w:pos="9354"/>
        </w:tabs>
        <w:ind w:left="420"/>
        <w:rPr>
          <w:lang w:val="en-US" w:eastAsia="zh-CN"/>
        </w:rPr>
      </w:pPr>
      <w:r>
        <w:fldChar w:fldCharType="begin"/>
      </w:r>
      <w:r>
        <w:instrText xml:space="preserve"> HYPERLINK \l "_Toc22849" </w:instrText>
      </w:r>
      <w:r>
        <w:fldChar w:fldCharType="separate"/>
      </w:r>
      <w:r>
        <w:rPr>
          <w:rFonts w:hint="eastAsia" w:ascii="新宋体" w:hAnsi="新宋体" w:eastAsia="新宋体"/>
          <w:szCs w:val="28"/>
          <w:lang w:val="en-US" w:eastAsia="zh-CN"/>
        </w:rPr>
        <w:t>一、说明</w:t>
      </w:r>
      <w:r>
        <w:rPr>
          <w:lang w:val="en-US" w:eastAsia="zh-CN"/>
        </w:rPr>
        <w:tab/>
      </w:r>
      <w:r>
        <w:rPr>
          <w:lang w:val="en-US" w:eastAsia="zh-CN"/>
        </w:rPr>
        <w:fldChar w:fldCharType="begin"/>
      </w:r>
      <w:r>
        <w:rPr>
          <w:lang w:val="en-US" w:eastAsia="zh-CN"/>
        </w:rPr>
        <w:instrText xml:space="preserve"> PAGEREF _Toc22849 </w:instrText>
      </w:r>
      <w:r>
        <w:rPr>
          <w:lang w:val="en-US" w:eastAsia="zh-CN"/>
        </w:rPr>
        <w:fldChar w:fldCharType="separate"/>
      </w:r>
      <w:r>
        <w:rPr>
          <w:lang w:val="en-US" w:eastAsia="zh-CN"/>
        </w:rPr>
        <w:t>- 9 -</w:t>
      </w:r>
      <w:r>
        <w:rPr>
          <w:lang w:val="en-US" w:eastAsia="zh-CN"/>
        </w:rPr>
        <w:fldChar w:fldCharType="end"/>
      </w:r>
      <w:r>
        <w:rPr>
          <w:lang w:val="en-US" w:eastAsia="zh-CN"/>
        </w:rPr>
        <w:fldChar w:fldCharType="end"/>
      </w:r>
    </w:p>
    <w:p>
      <w:pPr>
        <w:pStyle w:val="51"/>
        <w:tabs>
          <w:tab w:val="right" w:leader="dot" w:pos="9354"/>
        </w:tabs>
        <w:ind w:left="420"/>
        <w:rPr>
          <w:lang w:val="en-US" w:eastAsia="zh-CN"/>
        </w:rPr>
      </w:pPr>
      <w:r>
        <w:fldChar w:fldCharType="begin"/>
      </w:r>
      <w:r>
        <w:instrText xml:space="preserve"> HYPERLINK \l "_Toc20362" </w:instrText>
      </w:r>
      <w:r>
        <w:fldChar w:fldCharType="separate"/>
      </w:r>
      <w:r>
        <w:rPr>
          <w:rFonts w:hint="eastAsia" w:ascii="新宋体" w:hAnsi="新宋体" w:eastAsia="新宋体"/>
          <w:szCs w:val="28"/>
          <w:lang w:val="en-US" w:eastAsia="zh-CN"/>
        </w:rPr>
        <w:t>二、招标文件</w:t>
      </w:r>
      <w:r>
        <w:rPr>
          <w:lang w:val="en-US" w:eastAsia="zh-CN"/>
        </w:rPr>
        <w:tab/>
      </w:r>
      <w:r>
        <w:rPr>
          <w:lang w:val="en-US" w:eastAsia="zh-CN"/>
        </w:rPr>
        <w:fldChar w:fldCharType="begin"/>
      </w:r>
      <w:r>
        <w:rPr>
          <w:lang w:val="en-US" w:eastAsia="zh-CN"/>
        </w:rPr>
        <w:instrText xml:space="preserve"> PAGEREF _Toc20362 </w:instrText>
      </w:r>
      <w:r>
        <w:rPr>
          <w:lang w:val="en-US" w:eastAsia="zh-CN"/>
        </w:rPr>
        <w:fldChar w:fldCharType="separate"/>
      </w:r>
      <w:r>
        <w:rPr>
          <w:lang w:val="en-US" w:eastAsia="zh-CN"/>
        </w:rPr>
        <w:t>- 9 -</w:t>
      </w:r>
      <w:r>
        <w:rPr>
          <w:lang w:val="en-US" w:eastAsia="zh-CN"/>
        </w:rPr>
        <w:fldChar w:fldCharType="end"/>
      </w:r>
      <w:r>
        <w:rPr>
          <w:lang w:val="en-US" w:eastAsia="zh-CN"/>
        </w:rPr>
        <w:fldChar w:fldCharType="end"/>
      </w:r>
    </w:p>
    <w:p>
      <w:pPr>
        <w:pStyle w:val="51"/>
        <w:tabs>
          <w:tab w:val="right" w:leader="dot" w:pos="9354"/>
        </w:tabs>
        <w:ind w:left="420"/>
        <w:rPr>
          <w:lang w:val="en-US" w:eastAsia="zh-CN"/>
        </w:rPr>
      </w:pPr>
      <w:r>
        <w:fldChar w:fldCharType="begin"/>
      </w:r>
      <w:r>
        <w:instrText xml:space="preserve"> HYPERLINK \l "_Toc22006" </w:instrText>
      </w:r>
      <w:r>
        <w:fldChar w:fldCharType="separate"/>
      </w:r>
      <w:r>
        <w:rPr>
          <w:rFonts w:hint="eastAsia" w:ascii="新宋体" w:hAnsi="新宋体" w:eastAsia="新宋体"/>
          <w:szCs w:val="28"/>
          <w:lang w:val="en-US" w:eastAsia="zh-CN"/>
        </w:rPr>
        <w:t>三、投标文件</w:t>
      </w:r>
      <w:r>
        <w:rPr>
          <w:lang w:val="en-US" w:eastAsia="zh-CN"/>
        </w:rPr>
        <w:tab/>
      </w:r>
      <w:r>
        <w:rPr>
          <w:lang w:val="en-US" w:eastAsia="zh-CN"/>
        </w:rPr>
        <w:fldChar w:fldCharType="begin"/>
      </w:r>
      <w:r>
        <w:rPr>
          <w:lang w:val="en-US" w:eastAsia="zh-CN"/>
        </w:rPr>
        <w:instrText xml:space="preserve"> PAGEREF _Toc22006 </w:instrText>
      </w:r>
      <w:r>
        <w:rPr>
          <w:lang w:val="en-US" w:eastAsia="zh-CN"/>
        </w:rPr>
        <w:fldChar w:fldCharType="separate"/>
      </w:r>
      <w:r>
        <w:rPr>
          <w:lang w:val="en-US" w:eastAsia="zh-CN"/>
        </w:rPr>
        <w:t>- 11 -</w:t>
      </w:r>
      <w:r>
        <w:rPr>
          <w:lang w:val="en-US" w:eastAsia="zh-CN"/>
        </w:rPr>
        <w:fldChar w:fldCharType="end"/>
      </w:r>
      <w:r>
        <w:rPr>
          <w:lang w:val="en-US" w:eastAsia="zh-CN"/>
        </w:rPr>
        <w:fldChar w:fldCharType="end"/>
      </w:r>
    </w:p>
    <w:p>
      <w:pPr>
        <w:pStyle w:val="51"/>
        <w:tabs>
          <w:tab w:val="right" w:leader="dot" w:pos="9354"/>
        </w:tabs>
        <w:ind w:left="420"/>
        <w:rPr>
          <w:lang w:val="en-US" w:eastAsia="zh-CN"/>
        </w:rPr>
      </w:pPr>
      <w:r>
        <w:fldChar w:fldCharType="begin"/>
      </w:r>
      <w:r>
        <w:instrText xml:space="preserve"> HYPERLINK \l "_Toc21322" </w:instrText>
      </w:r>
      <w:r>
        <w:fldChar w:fldCharType="separate"/>
      </w:r>
      <w:r>
        <w:rPr>
          <w:rFonts w:hint="eastAsia" w:ascii="新宋体" w:hAnsi="新宋体" w:eastAsia="新宋体"/>
          <w:szCs w:val="28"/>
          <w:lang w:val="en-US" w:eastAsia="zh-CN"/>
        </w:rPr>
        <w:t>四、投标文件的递交</w:t>
      </w:r>
      <w:r>
        <w:rPr>
          <w:lang w:val="en-US" w:eastAsia="zh-CN"/>
        </w:rPr>
        <w:tab/>
      </w:r>
      <w:r>
        <w:rPr>
          <w:lang w:val="en-US" w:eastAsia="zh-CN"/>
        </w:rPr>
        <w:fldChar w:fldCharType="begin"/>
      </w:r>
      <w:r>
        <w:rPr>
          <w:lang w:val="en-US" w:eastAsia="zh-CN"/>
        </w:rPr>
        <w:instrText xml:space="preserve"> PAGEREF _Toc21322 </w:instrText>
      </w:r>
      <w:r>
        <w:rPr>
          <w:lang w:val="en-US" w:eastAsia="zh-CN"/>
        </w:rPr>
        <w:fldChar w:fldCharType="separate"/>
      </w:r>
      <w:r>
        <w:rPr>
          <w:lang w:val="en-US" w:eastAsia="zh-CN"/>
        </w:rPr>
        <w:t>- 13 -</w:t>
      </w:r>
      <w:r>
        <w:rPr>
          <w:lang w:val="en-US" w:eastAsia="zh-CN"/>
        </w:rPr>
        <w:fldChar w:fldCharType="end"/>
      </w:r>
      <w:r>
        <w:rPr>
          <w:lang w:val="en-US" w:eastAsia="zh-CN"/>
        </w:rPr>
        <w:fldChar w:fldCharType="end"/>
      </w:r>
    </w:p>
    <w:p>
      <w:pPr>
        <w:pStyle w:val="51"/>
        <w:tabs>
          <w:tab w:val="right" w:leader="dot" w:pos="9354"/>
        </w:tabs>
        <w:ind w:left="420"/>
        <w:rPr>
          <w:lang w:val="en-US" w:eastAsia="zh-CN"/>
        </w:rPr>
      </w:pPr>
      <w:r>
        <w:fldChar w:fldCharType="begin"/>
      </w:r>
      <w:r>
        <w:instrText xml:space="preserve"> HYPERLINK \l "_Toc1080" </w:instrText>
      </w:r>
      <w:r>
        <w:fldChar w:fldCharType="separate"/>
      </w:r>
      <w:r>
        <w:rPr>
          <w:rFonts w:hint="eastAsia" w:ascii="新宋体" w:hAnsi="新宋体" w:eastAsia="新宋体"/>
          <w:lang w:val="en-US" w:eastAsia="zh-CN"/>
        </w:rPr>
        <w:t>五.其它</w:t>
      </w:r>
      <w:r>
        <w:rPr>
          <w:lang w:val="en-US" w:eastAsia="zh-CN"/>
        </w:rPr>
        <w:tab/>
      </w:r>
      <w:r>
        <w:rPr>
          <w:lang w:val="en-US" w:eastAsia="zh-CN"/>
        </w:rPr>
        <w:fldChar w:fldCharType="begin"/>
      </w:r>
      <w:r>
        <w:rPr>
          <w:lang w:val="en-US" w:eastAsia="zh-CN"/>
        </w:rPr>
        <w:instrText xml:space="preserve"> PAGEREF _Toc1080 </w:instrText>
      </w:r>
      <w:r>
        <w:rPr>
          <w:lang w:val="en-US" w:eastAsia="zh-CN"/>
        </w:rPr>
        <w:fldChar w:fldCharType="separate"/>
      </w:r>
      <w:r>
        <w:rPr>
          <w:lang w:val="en-US" w:eastAsia="zh-CN"/>
        </w:rPr>
        <w:t>- 14 -</w:t>
      </w:r>
      <w:r>
        <w:rPr>
          <w:lang w:val="en-US" w:eastAsia="zh-CN"/>
        </w:rPr>
        <w:fldChar w:fldCharType="end"/>
      </w:r>
      <w:r>
        <w:rPr>
          <w:lang w:val="en-US" w:eastAsia="zh-CN"/>
        </w:rPr>
        <w:fldChar w:fldCharType="end"/>
      </w:r>
    </w:p>
    <w:p>
      <w:pPr>
        <w:pStyle w:val="41"/>
        <w:tabs>
          <w:tab w:val="right" w:leader="dot" w:pos="9354"/>
          <w:tab w:val="clear" w:pos="9344"/>
        </w:tabs>
        <w:rPr>
          <w:color w:val="auto"/>
        </w:rPr>
      </w:pPr>
      <w:r>
        <w:fldChar w:fldCharType="begin"/>
      </w:r>
      <w:r>
        <w:instrText xml:space="preserve"> HYPERLINK \l "_Toc9884" </w:instrText>
      </w:r>
      <w:r>
        <w:fldChar w:fldCharType="separate"/>
      </w:r>
      <w:r>
        <w:rPr>
          <w:rFonts w:hint="eastAsia" w:ascii="新宋体" w:hAnsi="新宋体" w:eastAsia="新宋体"/>
          <w:color w:val="auto"/>
        </w:rPr>
        <w:t>第三章 招标项目要求</w:t>
      </w:r>
      <w:r>
        <w:rPr>
          <w:color w:val="auto"/>
        </w:rPr>
        <w:tab/>
      </w:r>
      <w:r>
        <w:rPr>
          <w:color w:val="auto"/>
        </w:rPr>
        <w:fldChar w:fldCharType="begin"/>
      </w:r>
      <w:r>
        <w:rPr>
          <w:color w:val="auto"/>
        </w:rPr>
        <w:instrText xml:space="preserve"> PAGEREF _Toc9884 </w:instrText>
      </w:r>
      <w:r>
        <w:rPr>
          <w:color w:val="auto"/>
        </w:rPr>
        <w:fldChar w:fldCharType="separate"/>
      </w:r>
      <w:r>
        <w:rPr>
          <w:color w:val="auto"/>
        </w:rPr>
        <w:t>- 15 -</w:t>
      </w:r>
      <w:r>
        <w:rPr>
          <w:color w:val="auto"/>
        </w:rPr>
        <w:fldChar w:fldCharType="end"/>
      </w:r>
      <w:r>
        <w:rPr>
          <w:color w:val="auto"/>
        </w:rPr>
        <w:fldChar w:fldCharType="end"/>
      </w:r>
    </w:p>
    <w:p>
      <w:pPr>
        <w:pStyle w:val="51"/>
        <w:tabs>
          <w:tab w:val="right" w:leader="dot" w:pos="9354"/>
        </w:tabs>
        <w:ind w:left="420"/>
        <w:rPr>
          <w:lang w:val="en-US" w:eastAsia="zh-CN"/>
        </w:rPr>
      </w:pPr>
      <w:r>
        <w:fldChar w:fldCharType="begin"/>
      </w:r>
      <w:r>
        <w:instrText xml:space="preserve"> HYPERLINK \l "_Toc20501" </w:instrText>
      </w:r>
      <w:r>
        <w:fldChar w:fldCharType="separate"/>
      </w:r>
      <w:r>
        <w:rPr>
          <w:rFonts w:hint="eastAsia" w:ascii="新宋体" w:hAnsi="新宋体" w:eastAsia="新宋体"/>
          <w:bCs/>
          <w:lang w:val="en-US" w:eastAsia="zh-CN"/>
        </w:rPr>
        <w:t>一、</w:t>
      </w:r>
      <w:r>
        <w:rPr>
          <w:rFonts w:ascii="新宋体" w:hAnsi="新宋体" w:eastAsia="新宋体"/>
          <w:lang w:val="en-US" w:eastAsia="zh-CN"/>
        </w:rPr>
        <w:t>项目概况</w:t>
      </w:r>
      <w:r>
        <w:rPr>
          <w:lang w:val="en-US" w:eastAsia="zh-CN"/>
        </w:rPr>
        <w:tab/>
      </w:r>
      <w:r>
        <w:rPr>
          <w:lang w:val="en-US" w:eastAsia="zh-CN"/>
        </w:rPr>
        <w:fldChar w:fldCharType="begin"/>
      </w:r>
      <w:r>
        <w:rPr>
          <w:lang w:val="en-US" w:eastAsia="zh-CN"/>
        </w:rPr>
        <w:instrText xml:space="preserve"> PAGEREF _Toc20501 </w:instrText>
      </w:r>
      <w:r>
        <w:rPr>
          <w:lang w:val="en-US" w:eastAsia="zh-CN"/>
        </w:rPr>
        <w:fldChar w:fldCharType="separate"/>
      </w:r>
      <w:r>
        <w:rPr>
          <w:lang w:val="en-US" w:eastAsia="zh-CN"/>
        </w:rPr>
        <w:t>- 15 -</w:t>
      </w:r>
      <w:r>
        <w:rPr>
          <w:lang w:val="en-US" w:eastAsia="zh-CN"/>
        </w:rPr>
        <w:fldChar w:fldCharType="end"/>
      </w:r>
      <w:r>
        <w:rPr>
          <w:lang w:val="en-US" w:eastAsia="zh-CN"/>
        </w:rPr>
        <w:fldChar w:fldCharType="end"/>
      </w:r>
    </w:p>
    <w:p>
      <w:pPr>
        <w:pStyle w:val="51"/>
        <w:tabs>
          <w:tab w:val="right" w:leader="dot" w:pos="9354"/>
        </w:tabs>
        <w:ind w:left="420"/>
        <w:rPr>
          <w:lang w:val="en-US" w:eastAsia="zh-CN"/>
        </w:rPr>
      </w:pPr>
      <w:r>
        <w:fldChar w:fldCharType="begin"/>
      </w:r>
      <w:r>
        <w:instrText xml:space="preserve"> HYPERLINK \l "_Toc20781" </w:instrText>
      </w:r>
      <w:r>
        <w:fldChar w:fldCharType="separate"/>
      </w:r>
      <w:r>
        <w:rPr>
          <w:rFonts w:hint="eastAsia" w:ascii="新宋体" w:hAnsi="新宋体" w:eastAsia="新宋体"/>
          <w:lang w:val="en-US" w:eastAsia="zh-CN"/>
        </w:rPr>
        <w:t>二</w:t>
      </w:r>
      <w:r>
        <w:rPr>
          <w:rFonts w:hint="eastAsia" w:ascii="新宋体" w:hAnsi="新宋体" w:eastAsia="新宋体"/>
          <w:bCs/>
          <w:lang w:val="en-US" w:eastAsia="zh-CN"/>
        </w:rPr>
        <w:t>、</w:t>
      </w:r>
      <w:r>
        <w:rPr>
          <w:rFonts w:ascii="新宋体" w:hAnsi="新宋体" w:eastAsia="新宋体"/>
          <w:lang w:val="en-US" w:eastAsia="zh-CN"/>
        </w:rPr>
        <w:t>招标内容</w:t>
      </w:r>
      <w:r>
        <w:rPr>
          <w:lang w:val="en-US" w:eastAsia="zh-CN"/>
        </w:rPr>
        <w:tab/>
      </w:r>
      <w:r>
        <w:rPr>
          <w:lang w:val="en-US" w:eastAsia="zh-CN"/>
        </w:rPr>
        <w:fldChar w:fldCharType="begin"/>
      </w:r>
      <w:r>
        <w:rPr>
          <w:lang w:val="en-US" w:eastAsia="zh-CN"/>
        </w:rPr>
        <w:instrText xml:space="preserve"> PAGEREF _Toc20781 </w:instrText>
      </w:r>
      <w:r>
        <w:rPr>
          <w:lang w:val="en-US" w:eastAsia="zh-CN"/>
        </w:rPr>
        <w:fldChar w:fldCharType="separate"/>
      </w:r>
      <w:r>
        <w:rPr>
          <w:lang w:val="en-US" w:eastAsia="zh-CN"/>
        </w:rPr>
        <w:t>- 15 -</w:t>
      </w:r>
      <w:r>
        <w:rPr>
          <w:lang w:val="en-US" w:eastAsia="zh-CN"/>
        </w:rPr>
        <w:fldChar w:fldCharType="end"/>
      </w:r>
      <w:r>
        <w:rPr>
          <w:lang w:val="en-US" w:eastAsia="zh-CN"/>
        </w:rPr>
        <w:fldChar w:fldCharType="end"/>
      </w:r>
    </w:p>
    <w:p>
      <w:pPr>
        <w:pStyle w:val="51"/>
        <w:tabs>
          <w:tab w:val="right" w:leader="dot" w:pos="9354"/>
        </w:tabs>
        <w:ind w:left="420"/>
        <w:rPr>
          <w:lang w:val="en-US" w:eastAsia="zh-CN"/>
        </w:rPr>
      </w:pPr>
      <w:r>
        <w:fldChar w:fldCharType="begin"/>
      </w:r>
      <w:r>
        <w:instrText xml:space="preserve"> HYPERLINK \l "_Toc1810" </w:instrText>
      </w:r>
      <w:r>
        <w:fldChar w:fldCharType="separate"/>
      </w:r>
      <w:r>
        <w:rPr>
          <w:rFonts w:hint="eastAsia" w:ascii="新宋体" w:hAnsi="新宋体" w:eastAsia="新宋体"/>
          <w:lang w:val="en-US" w:eastAsia="zh-CN"/>
        </w:rPr>
        <w:t>三</w:t>
      </w:r>
      <w:r>
        <w:rPr>
          <w:rFonts w:hint="eastAsia" w:ascii="新宋体" w:hAnsi="新宋体" w:eastAsia="新宋体"/>
          <w:bCs/>
          <w:lang w:val="en-US" w:eastAsia="zh-CN"/>
        </w:rPr>
        <w:t>、</w:t>
      </w:r>
      <w:r>
        <w:rPr>
          <w:rFonts w:ascii="新宋体" w:hAnsi="新宋体" w:eastAsia="新宋体"/>
          <w:lang w:val="en-US" w:eastAsia="zh-CN"/>
        </w:rPr>
        <w:t>物业管理标准</w:t>
      </w:r>
      <w:r>
        <w:rPr>
          <w:lang w:val="en-US" w:eastAsia="zh-CN"/>
        </w:rPr>
        <w:tab/>
      </w:r>
      <w:r>
        <w:rPr>
          <w:lang w:val="en-US" w:eastAsia="zh-CN"/>
        </w:rPr>
        <w:fldChar w:fldCharType="begin"/>
      </w:r>
      <w:r>
        <w:rPr>
          <w:lang w:val="en-US" w:eastAsia="zh-CN"/>
        </w:rPr>
        <w:instrText xml:space="preserve"> PAGEREF _Toc1810 </w:instrText>
      </w:r>
      <w:r>
        <w:rPr>
          <w:lang w:val="en-US" w:eastAsia="zh-CN"/>
        </w:rPr>
        <w:fldChar w:fldCharType="separate"/>
      </w:r>
      <w:r>
        <w:rPr>
          <w:lang w:val="en-US" w:eastAsia="zh-CN"/>
        </w:rPr>
        <w:t>- 16 -</w:t>
      </w:r>
      <w:r>
        <w:rPr>
          <w:lang w:val="en-US" w:eastAsia="zh-CN"/>
        </w:rPr>
        <w:fldChar w:fldCharType="end"/>
      </w:r>
      <w:r>
        <w:rPr>
          <w:lang w:val="en-US" w:eastAsia="zh-CN"/>
        </w:rPr>
        <w:fldChar w:fldCharType="end"/>
      </w:r>
    </w:p>
    <w:p>
      <w:pPr>
        <w:pStyle w:val="51"/>
        <w:tabs>
          <w:tab w:val="right" w:leader="dot" w:pos="9354"/>
        </w:tabs>
        <w:ind w:left="420"/>
        <w:rPr>
          <w:lang w:val="en-US" w:eastAsia="zh-CN"/>
        </w:rPr>
      </w:pPr>
      <w:r>
        <w:fldChar w:fldCharType="begin"/>
      </w:r>
      <w:r>
        <w:instrText xml:space="preserve"> HYPERLINK \l "_Toc25799" </w:instrText>
      </w:r>
      <w:r>
        <w:fldChar w:fldCharType="separate"/>
      </w:r>
      <w:r>
        <w:rPr>
          <w:rFonts w:hint="eastAsia" w:ascii="新宋体" w:hAnsi="新宋体" w:eastAsia="新宋体"/>
          <w:lang w:val="en-US" w:eastAsia="zh-CN"/>
        </w:rPr>
        <w:t>★四、</w:t>
      </w:r>
      <w:r>
        <w:rPr>
          <w:rFonts w:ascii="新宋体" w:hAnsi="新宋体" w:eastAsia="新宋体"/>
          <w:lang w:val="en-US" w:eastAsia="zh-CN"/>
        </w:rPr>
        <w:t>付款方式</w:t>
      </w:r>
      <w:r>
        <w:rPr>
          <w:lang w:val="en-US" w:eastAsia="zh-CN"/>
        </w:rPr>
        <w:tab/>
      </w:r>
      <w:r>
        <w:rPr>
          <w:lang w:val="en-US" w:eastAsia="zh-CN"/>
        </w:rPr>
        <w:fldChar w:fldCharType="begin"/>
      </w:r>
      <w:r>
        <w:rPr>
          <w:lang w:val="en-US" w:eastAsia="zh-CN"/>
        </w:rPr>
        <w:instrText xml:space="preserve"> PAGEREF _Toc25799 </w:instrText>
      </w:r>
      <w:r>
        <w:rPr>
          <w:lang w:val="en-US" w:eastAsia="zh-CN"/>
        </w:rPr>
        <w:fldChar w:fldCharType="separate"/>
      </w:r>
      <w:r>
        <w:rPr>
          <w:lang w:val="en-US" w:eastAsia="zh-CN"/>
        </w:rPr>
        <w:t>- 20 -</w:t>
      </w:r>
      <w:r>
        <w:rPr>
          <w:lang w:val="en-US" w:eastAsia="zh-CN"/>
        </w:rPr>
        <w:fldChar w:fldCharType="end"/>
      </w:r>
      <w:r>
        <w:rPr>
          <w:lang w:val="en-US" w:eastAsia="zh-CN"/>
        </w:rPr>
        <w:fldChar w:fldCharType="end"/>
      </w:r>
    </w:p>
    <w:p>
      <w:pPr>
        <w:pStyle w:val="51"/>
        <w:tabs>
          <w:tab w:val="right" w:leader="dot" w:pos="9354"/>
        </w:tabs>
        <w:ind w:left="420"/>
        <w:rPr>
          <w:lang w:val="en-US" w:eastAsia="zh-CN"/>
        </w:rPr>
      </w:pPr>
      <w:r>
        <w:fldChar w:fldCharType="begin"/>
      </w:r>
      <w:r>
        <w:instrText xml:space="preserve"> HYPERLINK \l "_Toc3238" </w:instrText>
      </w:r>
      <w:r>
        <w:fldChar w:fldCharType="separate"/>
      </w:r>
      <w:r>
        <w:rPr>
          <w:rFonts w:hint="eastAsia" w:ascii="新宋体" w:hAnsi="新宋体" w:eastAsia="新宋体"/>
          <w:lang w:val="en-US" w:eastAsia="zh-CN"/>
        </w:rPr>
        <w:t>五、</w:t>
      </w:r>
      <w:r>
        <w:rPr>
          <w:rFonts w:ascii="新宋体" w:hAnsi="新宋体" w:eastAsia="新宋体"/>
          <w:lang w:val="en-US" w:eastAsia="zh-CN"/>
        </w:rPr>
        <w:t>对投标方的要求</w:t>
      </w:r>
      <w:r>
        <w:rPr>
          <w:lang w:val="en-US" w:eastAsia="zh-CN"/>
        </w:rPr>
        <w:tab/>
      </w:r>
      <w:r>
        <w:rPr>
          <w:lang w:val="en-US" w:eastAsia="zh-CN"/>
        </w:rPr>
        <w:fldChar w:fldCharType="begin"/>
      </w:r>
      <w:r>
        <w:rPr>
          <w:lang w:val="en-US" w:eastAsia="zh-CN"/>
        </w:rPr>
        <w:instrText xml:space="preserve"> PAGEREF _Toc3238 </w:instrText>
      </w:r>
      <w:r>
        <w:rPr>
          <w:lang w:val="en-US" w:eastAsia="zh-CN"/>
        </w:rPr>
        <w:fldChar w:fldCharType="separate"/>
      </w:r>
      <w:r>
        <w:rPr>
          <w:lang w:val="en-US" w:eastAsia="zh-CN"/>
        </w:rPr>
        <w:t>- 20 -</w:t>
      </w:r>
      <w:r>
        <w:rPr>
          <w:lang w:val="en-US" w:eastAsia="zh-CN"/>
        </w:rPr>
        <w:fldChar w:fldCharType="end"/>
      </w:r>
      <w:r>
        <w:rPr>
          <w:lang w:val="en-US" w:eastAsia="zh-CN"/>
        </w:rPr>
        <w:fldChar w:fldCharType="end"/>
      </w:r>
    </w:p>
    <w:p>
      <w:pPr>
        <w:pStyle w:val="51"/>
        <w:tabs>
          <w:tab w:val="right" w:leader="dot" w:pos="9354"/>
        </w:tabs>
        <w:ind w:left="420"/>
        <w:rPr>
          <w:lang w:val="en-US" w:eastAsia="zh-CN"/>
        </w:rPr>
      </w:pPr>
      <w:r>
        <w:fldChar w:fldCharType="begin"/>
      </w:r>
      <w:r>
        <w:instrText xml:space="preserve"> HYPERLINK \l "_Toc21632" </w:instrText>
      </w:r>
      <w:r>
        <w:fldChar w:fldCharType="separate"/>
      </w:r>
      <w:r>
        <w:rPr>
          <w:rFonts w:hint="eastAsia" w:ascii="新宋体" w:hAnsi="新宋体" w:eastAsia="新宋体"/>
          <w:lang w:val="en-US" w:eastAsia="zh-CN"/>
        </w:rPr>
        <w:t>六</w:t>
      </w:r>
      <w:r>
        <w:rPr>
          <w:rFonts w:ascii="新宋体" w:hAnsi="新宋体" w:eastAsia="新宋体"/>
          <w:lang w:val="en-US" w:eastAsia="zh-CN"/>
        </w:rPr>
        <w:t>、其他要求</w:t>
      </w:r>
      <w:r>
        <w:rPr>
          <w:lang w:val="en-US" w:eastAsia="zh-CN"/>
        </w:rPr>
        <w:tab/>
      </w:r>
      <w:r>
        <w:rPr>
          <w:lang w:val="en-US" w:eastAsia="zh-CN"/>
        </w:rPr>
        <w:fldChar w:fldCharType="begin"/>
      </w:r>
      <w:r>
        <w:rPr>
          <w:lang w:val="en-US" w:eastAsia="zh-CN"/>
        </w:rPr>
        <w:instrText xml:space="preserve"> PAGEREF _Toc21632 </w:instrText>
      </w:r>
      <w:r>
        <w:rPr>
          <w:lang w:val="en-US" w:eastAsia="zh-CN"/>
        </w:rPr>
        <w:fldChar w:fldCharType="separate"/>
      </w:r>
      <w:r>
        <w:rPr>
          <w:lang w:val="en-US" w:eastAsia="zh-CN"/>
        </w:rPr>
        <w:t>- 20 -</w:t>
      </w:r>
      <w:r>
        <w:rPr>
          <w:lang w:val="en-US" w:eastAsia="zh-CN"/>
        </w:rPr>
        <w:fldChar w:fldCharType="end"/>
      </w:r>
      <w:r>
        <w:rPr>
          <w:lang w:val="en-US" w:eastAsia="zh-CN"/>
        </w:rPr>
        <w:fldChar w:fldCharType="end"/>
      </w:r>
    </w:p>
    <w:p>
      <w:pPr>
        <w:pStyle w:val="51"/>
        <w:tabs>
          <w:tab w:val="right" w:leader="dot" w:pos="9354"/>
        </w:tabs>
        <w:ind w:left="420"/>
        <w:rPr>
          <w:lang w:val="en-US" w:eastAsia="zh-CN"/>
        </w:rPr>
      </w:pPr>
      <w:r>
        <w:fldChar w:fldCharType="begin"/>
      </w:r>
      <w:r>
        <w:instrText xml:space="preserve"> HYPERLINK \l "_Toc30526" </w:instrText>
      </w:r>
      <w:r>
        <w:fldChar w:fldCharType="separate"/>
      </w:r>
      <w:r>
        <w:rPr>
          <w:rFonts w:hint="eastAsia" w:ascii="新宋体" w:hAnsi="新宋体" w:eastAsia="新宋体"/>
          <w:lang w:val="en-US" w:eastAsia="zh-CN"/>
        </w:rPr>
        <w:t>★七</w:t>
      </w:r>
      <w:r>
        <w:rPr>
          <w:rFonts w:ascii="新宋体" w:hAnsi="新宋体" w:eastAsia="新宋体"/>
          <w:lang w:val="en-US" w:eastAsia="zh-CN"/>
        </w:rPr>
        <w:t>、物业考核标准及奖惩办法</w:t>
      </w:r>
      <w:r>
        <w:rPr>
          <w:lang w:val="en-US" w:eastAsia="zh-CN"/>
        </w:rPr>
        <w:tab/>
      </w:r>
      <w:r>
        <w:rPr>
          <w:lang w:val="en-US" w:eastAsia="zh-CN"/>
        </w:rPr>
        <w:fldChar w:fldCharType="begin"/>
      </w:r>
      <w:r>
        <w:rPr>
          <w:lang w:val="en-US" w:eastAsia="zh-CN"/>
        </w:rPr>
        <w:instrText xml:space="preserve"> PAGEREF _Toc30526 </w:instrText>
      </w:r>
      <w:r>
        <w:rPr>
          <w:lang w:val="en-US" w:eastAsia="zh-CN"/>
        </w:rPr>
        <w:fldChar w:fldCharType="separate"/>
      </w:r>
      <w:r>
        <w:rPr>
          <w:lang w:val="en-US" w:eastAsia="zh-CN"/>
        </w:rPr>
        <w:t>- 21 -</w:t>
      </w:r>
      <w:r>
        <w:rPr>
          <w:lang w:val="en-US" w:eastAsia="zh-CN"/>
        </w:rPr>
        <w:fldChar w:fldCharType="end"/>
      </w:r>
      <w:r>
        <w:rPr>
          <w:lang w:val="en-US" w:eastAsia="zh-CN"/>
        </w:rPr>
        <w:fldChar w:fldCharType="end"/>
      </w:r>
    </w:p>
    <w:p>
      <w:pPr>
        <w:pStyle w:val="41"/>
        <w:tabs>
          <w:tab w:val="right" w:leader="dot" w:pos="9354"/>
          <w:tab w:val="clear" w:pos="9344"/>
        </w:tabs>
        <w:rPr>
          <w:color w:val="auto"/>
        </w:rPr>
      </w:pPr>
      <w:r>
        <w:fldChar w:fldCharType="begin"/>
      </w:r>
      <w:r>
        <w:instrText xml:space="preserve"> HYPERLINK \l "_Toc13839" </w:instrText>
      </w:r>
      <w:r>
        <w:fldChar w:fldCharType="separate"/>
      </w:r>
      <w:r>
        <w:rPr>
          <w:rFonts w:hint="eastAsia" w:ascii="新宋体" w:hAnsi="新宋体" w:eastAsia="新宋体"/>
          <w:color w:val="auto"/>
        </w:rPr>
        <w:t>第四章 开标、评标和定标须知</w:t>
      </w:r>
      <w:r>
        <w:rPr>
          <w:color w:val="auto"/>
        </w:rPr>
        <w:tab/>
      </w:r>
      <w:r>
        <w:rPr>
          <w:color w:val="auto"/>
        </w:rPr>
        <w:fldChar w:fldCharType="begin"/>
      </w:r>
      <w:r>
        <w:rPr>
          <w:color w:val="auto"/>
        </w:rPr>
        <w:instrText xml:space="preserve"> PAGEREF _Toc13839 </w:instrText>
      </w:r>
      <w:r>
        <w:rPr>
          <w:color w:val="auto"/>
        </w:rPr>
        <w:fldChar w:fldCharType="separate"/>
      </w:r>
      <w:r>
        <w:rPr>
          <w:color w:val="auto"/>
        </w:rPr>
        <w:t>- 29 -</w:t>
      </w:r>
      <w:r>
        <w:rPr>
          <w:color w:val="auto"/>
        </w:rPr>
        <w:fldChar w:fldCharType="end"/>
      </w:r>
      <w:r>
        <w:rPr>
          <w:color w:val="auto"/>
        </w:rPr>
        <w:fldChar w:fldCharType="end"/>
      </w:r>
    </w:p>
    <w:p>
      <w:pPr>
        <w:pStyle w:val="51"/>
        <w:tabs>
          <w:tab w:val="right" w:leader="dot" w:pos="9354"/>
        </w:tabs>
        <w:ind w:left="420"/>
        <w:rPr>
          <w:lang w:val="en-US" w:eastAsia="zh-CN"/>
        </w:rPr>
      </w:pPr>
      <w:r>
        <w:fldChar w:fldCharType="begin"/>
      </w:r>
      <w:r>
        <w:instrText xml:space="preserve"> HYPERLINK \l "_Toc688" </w:instrText>
      </w:r>
      <w:r>
        <w:fldChar w:fldCharType="separate"/>
      </w:r>
      <w:r>
        <w:rPr>
          <w:rFonts w:hint="eastAsia" w:ascii="新宋体" w:hAnsi="新宋体" w:eastAsia="新宋体"/>
          <w:szCs w:val="28"/>
          <w:lang w:val="en-US" w:eastAsia="zh-CN"/>
        </w:rPr>
        <w:t>一、开标</w:t>
      </w:r>
      <w:r>
        <w:rPr>
          <w:lang w:val="en-US" w:eastAsia="zh-CN"/>
        </w:rPr>
        <w:tab/>
      </w:r>
      <w:r>
        <w:rPr>
          <w:lang w:val="en-US" w:eastAsia="zh-CN"/>
        </w:rPr>
        <w:fldChar w:fldCharType="begin"/>
      </w:r>
      <w:r>
        <w:rPr>
          <w:lang w:val="en-US" w:eastAsia="zh-CN"/>
        </w:rPr>
        <w:instrText xml:space="preserve"> PAGEREF _Toc688 </w:instrText>
      </w:r>
      <w:r>
        <w:rPr>
          <w:lang w:val="en-US" w:eastAsia="zh-CN"/>
        </w:rPr>
        <w:fldChar w:fldCharType="separate"/>
      </w:r>
      <w:r>
        <w:rPr>
          <w:lang w:val="en-US" w:eastAsia="zh-CN"/>
        </w:rPr>
        <w:t>- 29 -</w:t>
      </w:r>
      <w:r>
        <w:rPr>
          <w:lang w:val="en-US" w:eastAsia="zh-CN"/>
        </w:rPr>
        <w:fldChar w:fldCharType="end"/>
      </w:r>
      <w:r>
        <w:rPr>
          <w:lang w:val="en-US" w:eastAsia="zh-CN"/>
        </w:rPr>
        <w:fldChar w:fldCharType="end"/>
      </w:r>
    </w:p>
    <w:p>
      <w:pPr>
        <w:pStyle w:val="51"/>
        <w:tabs>
          <w:tab w:val="right" w:leader="dot" w:pos="9354"/>
        </w:tabs>
        <w:ind w:left="420"/>
        <w:rPr>
          <w:lang w:val="en-US" w:eastAsia="zh-CN"/>
        </w:rPr>
      </w:pPr>
      <w:r>
        <w:fldChar w:fldCharType="begin"/>
      </w:r>
      <w:r>
        <w:instrText xml:space="preserve"> HYPERLINK \l "_Toc18181" </w:instrText>
      </w:r>
      <w:r>
        <w:fldChar w:fldCharType="separate"/>
      </w:r>
      <w:r>
        <w:rPr>
          <w:rFonts w:hint="eastAsia" w:ascii="新宋体" w:hAnsi="新宋体" w:eastAsia="新宋体"/>
          <w:lang w:val="en-US" w:eastAsia="zh-CN"/>
        </w:rPr>
        <w:t>二</w:t>
      </w:r>
      <w:r>
        <w:rPr>
          <w:rFonts w:hint="eastAsia" w:ascii="新宋体" w:hAnsi="新宋体" w:eastAsia="新宋体"/>
          <w:szCs w:val="28"/>
          <w:lang w:val="en-US" w:eastAsia="zh-CN"/>
        </w:rPr>
        <w:t>、</w:t>
      </w:r>
      <w:r>
        <w:rPr>
          <w:rFonts w:hint="eastAsia" w:ascii="新宋体" w:hAnsi="新宋体" w:eastAsia="新宋体"/>
          <w:lang w:val="en-US" w:eastAsia="zh-CN"/>
        </w:rPr>
        <w:t>评标</w:t>
      </w:r>
      <w:r>
        <w:rPr>
          <w:lang w:val="en-US" w:eastAsia="zh-CN"/>
        </w:rPr>
        <w:tab/>
      </w:r>
      <w:r>
        <w:rPr>
          <w:lang w:val="en-US" w:eastAsia="zh-CN"/>
        </w:rPr>
        <w:fldChar w:fldCharType="begin"/>
      </w:r>
      <w:r>
        <w:rPr>
          <w:lang w:val="en-US" w:eastAsia="zh-CN"/>
        </w:rPr>
        <w:instrText xml:space="preserve"> PAGEREF _Toc18181 </w:instrText>
      </w:r>
      <w:r>
        <w:rPr>
          <w:lang w:val="en-US" w:eastAsia="zh-CN"/>
        </w:rPr>
        <w:fldChar w:fldCharType="separate"/>
      </w:r>
      <w:r>
        <w:rPr>
          <w:lang w:val="en-US" w:eastAsia="zh-CN"/>
        </w:rPr>
        <w:t>- 29 -</w:t>
      </w:r>
      <w:r>
        <w:rPr>
          <w:lang w:val="en-US" w:eastAsia="zh-CN"/>
        </w:rPr>
        <w:fldChar w:fldCharType="end"/>
      </w:r>
      <w:r>
        <w:rPr>
          <w:lang w:val="en-US" w:eastAsia="zh-CN"/>
        </w:rPr>
        <w:fldChar w:fldCharType="end"/>
      </w:r>
    </w:p>
    <w:p>
      <w:pPr>
        <w:pStyle w:val="51"/>
        <w:tabs>
          <w:tab w:val="right" w:leader="dot" w:pos="9354"/>
        </w:tabs>
        <w:ind w:left="420"/>
        <w:rPr>
          <w:lang w:val="en-US" w:eastAsia="zh-CN"/>
        </w:rPr>
      </w:pPr>
      <w:r>
        <w:fldChar w:fldCharType="begin"/>
      </w:r>
      <w:r>
        <w:instrText xml:space="preserve"> HYPERLINK \l "_Toc27405" </w:instrText>
      </w:r>
      <w:r>
        <w:fldChar w:fldCharType="separate"/>
      </w:r>
      <w:r>
        <w:rPr>
          <w:rFonts w:hint="eastAsia" w:ascii="新宋体" w:hAnsi="新宋体" w:eastAsia="新宋体"/>
          <w:szCs w:val="28"/>
          <w:lang w:val="en-US" w:eastAsia="zh-CN"/>
        </w:rPr>
        <w:t>三、定标</w:t>
      </w:r>
      <w:r>
        <w:rPr>
          <w:lang w:val="en-US" w:eastAsia="zh-CN"/>
        </w:rPr>
        <w:tab/>
      </w:r>
      <w:r>
        <w:rPr>
          <w:lang w:val="en-US" w:eastAsia="zh-CN"/>
        </w:rPr>
        <w:fldChar w:fldCharType="begin"/>
      </w:r>
      <w:r>
        <w:rPr>
          <w:lang w:val="en-US" w:eastAsia="zh-CN"/>
        </w:rPr>
        <w:instrText xml:space="preserve"> PAGEREF _Toc27405 </w:instrText>
      </w:r>
      <w:r>
        <w:rPr>
          <w:lang w:val="en-US" w:eastAsia="zh-CN"/>
        </w:rPr>
        <w:fldChar w:fldCharType="separate"/>
      </w:r>
      <w:r>
        <w:rPr>
          <w:lang w:val="en-US" w:eastAsia="zh-CN"/>
        </w:rPr>
        <w:t>- 31 -</w:t>
      </w:r>
      <w:r>
        <w:rPr>
          <w:lang w:val="en-US" w:eastAsia="zh-CN"/>
        </w:rPr>
        <w:fldChar w:fldCharType="end"/>
      </w:r>
      <w:r>
        <w:rPr>
          <w:lang w:val="en-US" w:eastAsia="zh-CN"/>
        </w:rPr>
        <w:fldChar w:fldCharType="end"/>
      </w:r>
    </w:p>
    <w:p>
      <w:pPr>
        <w:pStyle w:val="51"/>
        <w:tabs>
          <w:tab w:val="right" w:leader="dot" w:pos="9354"/>
        </w:tabs>
        <w:ind w:left="420"/>
        <w:rPr>
          <w:lang w:val="en-US" w:eastAsia="zh-CN"/>
        </w:rPr>
      </w:pPr>
      <w:r>
        <w:fldChar w:fldCharType="begin"/>
      </w:r>
      <w:r>
        <w:instrText xml:space="preserve"> HYPERLINK \l "_Toc7375" </w:instrText>
      </w:r>
      <w:r>
        <w:fldChar w:fldCharType="separate"/>
      </w:r>
      <w:r>
        <w:rPr>
          <w:rFonts w:hint="eastAsia" w:ascii="新宋体" w:hAnsi="新宋体" w:eastAsia="新宋体"/>
          <w:bCs/>
          <w:szCs w:val="28"/>
          <w:lang w:val="en-US" w:eastAsia="zh-CN"/>
        </w:rPr>
        <w:t>四.质疑和投诉</w:t>
      </w:r>
      <w:r>
        <w:rPr>
          <w:lang w:val="en-US" w:eastAsia="zh-CN"/>
        </w:rPr>
        <w:tab/>
      </w:r>
      <w:r>
        <w:rPr>
          <w:lang w:val="en-US" w:eastAsia="zh-CN"/>
        </w:rPr>
        <w:fldChar w:fldCharType="begin"/>
      </w:r>
      <w:r>
        <w:rPr>
          <w:lang w:val="en-US" w:eastAsia="zh-CN"/>
        </w:rPr>
        <w:instrText xml:space="preserve"> PAGEREF _Toc7375 </w:instrText>
      </w:r>
      <w:r>
        <w:rPr>
          <w:lang w:val="en-US" w:eastAsia="zh-CN"/>
        </w:rPr>
        <w:fldChar w:fldCharType="separate"/>
      </w:r>
      <w:r>
        <w:rPr>
          <w:lang w:val="en-US" w:eastAsia="zh-CN"/>
        </w:rPr>
        <w:t>- 32 -</w:t>
      </w:r>
      <w:r>
        <w:rPr>
          <w:lang w:val="en-US" w:eastAsia="zh-CN"/>
        </w:rPr>
        <w:fldChar w:fldCharType="end"/>
      </w:r>
      <w:r>
        <w:rPr>
          <w:lang w:val="en-US" w:eastAsia="zh-CN"/>
        </w:rPr>
        <w:fldChar w:fldCharType="end"/>
      </w:r>
    </w:p>
    <w:p>
      <w:pPr>
        <w:pStyle w:val="41"/>
        <w:tabs>
          <w:tab w:val="right" w:leader="dot" w:pos="9354"/>
          <w:tab w:val="clear" w:pos="9344"/>
        </w:tabs>
        <w:rPr>
          <w:color w:val="auto"/>
        </w:rPr>
      </w:pPr>
      <w:r>
        <w:fldChar w:fldCharType="begin"/>
      </w:r>
      <w:r>
        <w:instrText xml:space="preserve"> HYPERLINK \l "_Toc6955" </w:instrText>
      </w:r>
      <w:r>
        <w:fldChar w:fldCharType="separate"/>
      </w:r>
      <w:r>
        <w:rPr>
          <w:rFonts w:hint="eastAsia" w:ascii="新宋体" w:hAnsi="新宋体" w:eastAsia="新宋体"/>
          <w:color w:val="auto"/>
        </w:rPr>
        <w:t>第五章  投标文件的有效性</w:t>
      </w:r>
      <w:r>
        <w:rPr>
          <w:color w:val="auto"/>
        </w:rPr>
        <w:tab/>
      </w:r>
      <w:r>
        <w:rPr>
          <w:color w:val="auto"/>
        </w:rPr>
        <w:fldChar w:fldCharType="begin"/>
      </w:r>
      <w:r>
        <w:rPr>
          <w:color w:val="auto"/>
        </w:rPr>
        <w:instrText xml:space="preserve"> PAGEREF _Toc6955 </w:instrText>
      </w:r>
      <w:r>
        <w:rPr>
          <w:color w:val="auto"/>
        </w:rPr>
        <w:fldChar w:fldCharType="separate"/>
      </w:r>
      <w:r>
        <w:rPr>
          <w:color w:val="auto"/>
        </w:rPr>
        <w:t>- 33 -</w:t>
      </w:r>
      <w:r>
        <w:rPr>
          <w:color w:val="auto"/>
        </w:rPr>
        <w:fldChar w:fldCharType="end"/>
      </w:r>
      <w:r>
        <w:rPr>
          <w:color w:val="auto"/>
        </w:rPr>
        <w:fldChar w:fldCharType="end"/>
      </w:r>
    </w:p>
    <w:p>
      <w:pPr>
        <w:pStyle w:val="41"/>
        <w:tabs>
          <w:tab w:val="right" w:leader="dot" w:pos="9354"/>
          <w:tab w:val="clear" w:pos="9344"/>
        </w:tabs>
        <w:rPr>
          <w:color w:val="auto"/>
        </w:rPr>
      </w:pPr>
      <w:r>
        <w:fldChar w:fldCharType="begin"/>
      </w:r>
      <w:r>
        <w:instrText xml:space="preserve"> HYPERLINK \l "_Toc23965" </w:instrText>
      </w:r>
      <w:r>
        <w:fldChar w:fldCharType="separate"/>
      </w:r>
      <w:r>
        <w:rPr>
          <w:rFonts w:hint="eastAsia" w:ascii="新宋体" w:hAnsi="新宋体" w:eastAsia="新宋体"/>
          <w:color w:val="auto"/>
        </w:rPr>
        <w:t>第六章  评标办法</w:t>
      </w:r>
      <w:r>
        <w:rPr>
          <w:color w:val="auto"/>
        </w:rPr>
        <w:tab/>
      </w:r>
      <w:r>
        <w:rPr>
          <w:color w:val="auto"/>
        </w:rPr>
        <w:fldChar w:fldCharType="begin"/>
      </w:r>
      <w:r>
        <w:rPr>
          <w:color w:val="auto"/>
        </w:rPr>
        <w:instrText xml:space="preserve"> PAGEREF _Toc23965 </w:instrText>
      </w:r>
      <w:r>
        <w:rPr>
          <w:color w:val="auto"/>
        </w:rPr>
        <w:fldChar w:fldCharType="separate"/>
      </w:r>
      <w:r>
        <w:rPr>
          <w:color w:val="auto"/>
        </w:rPr>
        <w:t>- 35 -</w:t>
      </w:r>
      <w:r>
        <w:rPr>
          <w:color w:val="auto"/>
        </w:rPr>
        <w:fldChar w:fldCharType="end"/>
      </w:r>
      <w:r>
        <w:rPr>
          <w:color w:val="auto"/>
        </w:rPr>
        <w:fldChar w:fldCharType="end"/>
      </w:r>
    </w:p>
    <w:p>
      <w:pPr>
        <w:pStyle w:val="41"/>
        <w:tabs>
          <w:tab w:val="right" w:leader="dot" w:pos="9354"/>
          <w:tab w:val="clear" w:pos="9344"/>
        </w:tabs>
        <w:rPr>
          <w:color w:val="auto"/>
        </w:rPr>
      </w:pPr>
      <w:r>
        <w:fldChar w:fldCharType="begin"/>
      </w:r>
      <w:r>
        <w:instrText xml:space="preserve"> HYPERLINK \l "_Toc13413" </w:instrText>
      </w:r>
      <w:r>
        <w:fldChar w:fldCharType="separate"/>
      </w:r>
      <w:r>
        <w:rPr>
          <w:rFonts w:ascii="新宋体" w:hAnsi="新宋体" w:eastAsia="新宋体"/>
          <w:color w:val="auto"/>
          <w:szCs w:val="36"/>
        </w:rPr>
        <w:t xml:space="preserve">第七章 </w:t>
      </w:r>
      <w:r>
        <w:rPr>
          <w:rFonts w:hint="eastAsia" w:ascii="新宋体" w:hAnsi="新宋体" w:eastAsia="新宋体"/>
          <w:color w:val="auto"/>
          <w:szCs w:val="36"/>
        </w:rPr>
        <w:t>合同主要条款</w:t>
      </w:r>
      <w:r>
        <w:rPr>
          <w:color w:val="auto"/>
        </w:rPr>
        <w:tab/>
      </w:r>
      <w:r>
        <w:rPr>
          <w:color w:val="auto"/>
        </w:rPr>
        <w:fldChar w:fldCharType="begin"/>
      </w:r>
      <w:r>
        <w:rPr>
          <w:color w:val="auto"/>
        </w:rPr>
        <w:instrText xml:space="preserve"> PAGEREF _Toc13413 </w:instrText>
      </w:r>
      <w:r>
        <w:rPr>
          <w:color w:val="auto"/>
        </w:rPr>
        <w:fldChar w:fldCharType="separate"/>
      </w:r>
      <w:r>
        <w:rPr>
          <w:color w:val="auto"/>
        </w:rPr>
        <w:t>- 37 -</w:t>
      </w:r>
      <w:r>
        <w:rPr>
          <w:color w:val="auto"/>
        </w:rPr>
        <w:fldChar w:fldCharType="end"/>
      </w:r>
      <w:r>
        <w:rPr>
          <w:color w:val="auto"/>
        </w:rPr>
        <w:fldChar w:fldCharType="end"/>
      </w:r>
    </w:p>
    <w:p>
      <w:pPr>
        <w:pStyle w:val="41"/>
        <w:tabs>
          <w:tab w:val="right" w:leader="dot" w:pos="9354"/>
          <w:tab w:val="clear" w:pos="9344"/>
        </w:tabs>
        <w:rPr>
          <w:color w:val="auto"/>
        </w:rPr>
      </w:pPr>
      <w:r>
        <w:fldChar w:fldCharType="begin"/>
      </w:r>
      <w:r>
        <w:instrText xml:space="preserve"> HYPERLINK \l "_Toc4515" </w:instrText>
      </w:r>
      <w:r>
        <w:fldChar w:fldCharType="separate"/>
      </w:r>
      <w:r>
        <w:rPr>
          <w:rFonts w:hint="eastAsia" w:ascii="新宋体" w:hAnsi="新宋体" w:eastAsia="新宋体"/>
          <w:color w:val="auto"/>
          <w:szCs w:val="36"/>
        </w:rPr>
        <w:t>第八章  投标文件部分格式</w:t>
      </w:r>
      <w:r>
        <w:rPr>
          <w:color w:val="auto"/>
        </w:rPr>
        <w:tab/>
      </w:r>
      <w:r>
        <w:rPr>
          <w:color w:val="auto"/>
        </w:rPr>
        <w:fldChar w:fldCharType="begin"/>
      </w:r>
      <w:r>
        <w:rPr>
          <w:color w:val="auto"/>
        </w:rPr>
        <w:instrText xml:space="preserve"> PAGEREF _Toc4515 </w:instrText>
      </w:r>
      <w:r>
        <w:rPr>
          <w:color w:val="auto"/>
        </w:rPr>
        <w:fldChar w:fldCharType="separate"/>
      </w:r>
      <w:r>
        <w:rPr>
          <w:color w:val="auto"/>
        </w:rPr>
        <w:t>- 41 -</w:t>
      </w:r>
      <w:r>
        <w:rPr>
          <w:color w:val="auto"/>
        </w:rPr>
        <w:fldChar w:fldCharType="end"/>
      </w:r>
      <w:r>
        <w:rPr>
          <w:color w:val="auto"/>
        </w:rPr>
        <w:fldChar w:fldCharType="end"/>
      </w:r>
    </w:p>
    <w:p>
      <w:pPr>
        <w:pStyle w:val="3"/>
        <w:numPr>
          <w:ilvl w:val="0"/>
          <w:numId w:val="0"/>
        </w:numPr>
        <w:spacing w:before="0" w:after="0" w:line="400" w:lineRule="exact"/>
        <w:rPr>
          <w:rFonts w:hint="eastAsia"/>
          <w:kern w:val="2"/>
        </w:rPr>
      </w:pPr>
      <w:r>
        <w:rPr>
          <w:kern w:val="2"/>
        </w:rPr>
        <w:fldChar w:fldCharType="end"/>
      </w:r>
    </w:p>
    <w:p>
      <w:pPr>
        <w:rPr>
          <w:rFonts w:hint="eastAsia"/>
        </w:rPr>
      </w:pPr>
    </w:p>
    <w:p>
      <w:pPr>
        <w:pStyle w:val="3"/>
        <w:numPr>
          <w:ilvl w:val="0"/>
          <w:numId w:val="0"/>
        </w:numPr>
        <w:spacing w:before="0" w:after="0" w:line="400" w:lineRule="exact"/>
        <w:jc w:val="center"/>
        <w:rPr>
          <w:rFonts w:hint="eastAsia" w:ascii="新宋体" w:hAnsi="新宋体" w:eastAsia="新宋体"/>
          <w:sz w:val="36"/>
        </w:rPr>
      </w:pPr>
      <w:r>
        <w:rPr>
          <w:rFonts w:hint="eastAsia"/>
        </w:rPr>
        <w:br w:type="page"/>
      </w:r>
      <w:bookmarkStart w:id="0" w:name="_Toc7490"/>
      <w:r>
        <w:rPr>
          <w:rFonts w:hint="eastAsia" w:ascii="新宋体" w:hAnsi="新宋体" w:eastAsia="新宋体"/>
          <w:sz w:val="36"/>
        </w:rPr>
        <w:t>第一章 招标公告</w:t>
      </w:r>
      <w:bookmarkEnd w:id="0"/>
    </w:p>
    <w:p>
      <w:pPr>
        <w:spacing w:line="400" w:lineRule="exact"/>
        <w:ind w:firstLine="480" w:firstLineChars="200"/>
        <w:jc w:val="center"/>
        <w:rPr>
          <w:rFonts w:hint="eastAsia" w:ascii="新宋体" w:hAnsi="新宋体" w:eastAsia="新宋体"/>
          <w:sz w:val="24"/>
        </w:rPr>
      </w:pPr>
    </w:p>
    <w:p>
      <w:pPr>
        <w:pStyle w:val="32"/>
        <w:adjustRightInd w:val="0"/>
        <w:snapToGrid w:val="0"/>
        <w:spacing w:line="400" w:lineRule="exact"/>
        <w:ind w:firstLine="480" w:firstLineChars="200"/>
        <w:rPr>
          <w:rFonts w:hint="eastAsia" w:ascii="新宋体" w:hAnsi="新宋体" w:eastAsia="新宋体" w:cs="Times New Roman"/>
          <w:sz w:val="24"/>
          <w:szCs w:val="20"/>
        </w:rPr>
      </w:pPr>
      <w:r>
        <w:rPr>
          <w:rFonts w:ascii="新宋体" w:hAnsi="新宋体" w:eastAsia="新宋体" w:cs="Times New Roman"/>
          <w:sz w:val="24"/>
          <w:szCs w:val="20"/>
        </w:rPr>
        <w:t>根据《中华人民共和国政府采购法》等有关规定，</w:t>
      </w:r>
      <w:r>
        <w:rPr>
          <w:rFonts w:hint="eastAsia" w:ascii="新宋体" w:hAnsi="新宋体" w:eastAsia="新宋体" w:cs="Times New Roman"/>
          <w:sz w:val="24"/>
          <w:szCs w:val="20"/>
        </w:rPr>
        <w:t>义乌市政府采购中心受国家税务总局义乌市税务局委托，现就机关大楼物业管理采购项目进行公开招标，欢迎国内合格的供应商参加投标。</w:t>
      </w:r>
    </w:p>
    <w:p>
      <w:pPr>
        <w:pStyle w:val="32"/>
        <w:adjustRightInd w:val="0"/>
        <w:snapToGrid w:val="0"/>
        <w:spacing w:line="400" w:lineRule="exact"/>
        <w:ind w:left="420" w:firstLine="60" w:firstLineChars="25"/>
        <w:rPr>
          <w:rFonts w:hint="eastAsia" w:ascii="新宋体" w:hAnsi="新宋体" w:eastAsia="新宋体"/>
          <w:b/>
          <w:sz w:val="24"/>
          <w:szCs w:val="24"/>
        </w:rPr>
      </w:pPr>
      <w:r>
        <w:rPr>
          <w:rFonts w:hint="eastAsia" w:ascii="新宋体" w:hAnsi="新宋体" w:eastAsia="新宋体"/>
          <w:b/>
          <w:sz w:val="24"/>
          <w:szCs w:val="24"/>
        </w:rPr>
        <w:t>一、项目基本情况</w:t>
      </w:r>
    </w:p>
    <w:p>
      <w:pPr>
        <w:pStyle w:val="32"/>
        <w:adjustRightInd w:val="0"/>
        <w:snapToGrid w:val="0"/>
        <w:spacing w:line="400" w:lineRule="exact"/>
        <w:ind w:firstLine="480" w:firstLineChars="200"/>
        <w:rPr>
          <w:rFonts w:hint="eastAsia" w:ascii="新宋体" w:hAnsi="新宋体" w:eastAsia="新宋体" w:cs="Times New Roman"/>
          <w:sz w:val="24"/>
          <w:szCs w:val="20"/>
        </w:rPr>
      </w:pPr>
      <w:r>
        <w:rPr>
          <w:rFonts w:hint="eastAsia" w:ascii="新宋体" w:hAnsi="新宋体" w:eastAsia="新宋体" w:cs="Times New Roman"/>
          <w:sz w:val="24"/>
          <w:szCs w:val="20"/>
        </w:rPr>
        <w:t>1.采购编号：YWCG2020128GK</w:t>
      </w:r>
    </w:p>
    <w:p>
      <w:pPr>
        <w:pStyle w:val="32"/>
        <w:adjustRightInd w:val="0"/>
        <w:snapToGrid w:val="0"/>
        <w:spacing w:line="400" w:lineRule="exact"/>
        <w:ind w:left="420" w:firstLine="60" w:firstLineChars="25"/>
        <w:rPr>
          <w:rFonts w:hint="eastAsia" w:ascii="新宋体" w:hAnsi="新宋体" w:eastAsia="新宋体"/>
          <w:b/>
          <w:sz w:val="24"/>
        </w:rPr>
      </w:pPr>
      <w:r>
        <w:rPr>
          <w:rFonts w:hint="eastAsia" w:ascii="新宋体" w:hAnsi="新宋体" w:eastAsia="新宋体" w:cs="Times New Roman"/>
          <w:sz w:val="24"/>
          <w:szCs w:val="20"/>
        </w:rPr>
        <w:t>2.项目名称，项目预算，</w:t>
      </w:r>
      <w:r>
        <w:rPr>
          <w:rFonts w:hint="eastAsia" w:ascii="新宋体" w:hAnsi="新宋体" w:eastAsia="新宋体"/>
          <w:sz w:val="24"/>
          <w:szCs w:val="24"/>
        </w:rPr>
        <w:t>最高限价</w:t>
      </w:r>
      <w:r>
        <w:rPr>
          <w:rFonts w:hint="eastAsia" w:ascii="新宋体" w:hAnsi="新宋体" w:eastAsia="新宋体" w:cs="Times New Roman"/>
          <w:sz w:val="24"/>
          <w:szCs w:val="20"/>
        </w:rPr>
        <w:t>，采购需求：</w:t>
      </w:r>
    </w:p>
    <w:tbl>
      <w:tblPr>
        <w:tblStyle w:val="61"/>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25"/>
        <w:gridCol w:w="805"/>
        <w:gridCol w:w="859"/>
        <w:gridCol w:w="1295"/>
        <w:gridCol w:w="1418"/>
        <w:gridCol w:w="3059"/>
      </w:tblGrid>
      <w:tr>
        <w:tblPrEx>
          <w:tblLayout w:type="fixed"/>
        </w:tblPrEx>
        <w:trPr>
          <w:trHeight w:val="315" w:hRule="atLeast"/>
        </w:trPr>
        <w:tc>
          <w:tcPr>
            <w:tcW w:w="709" w:type="dxa"/>
            <w:vAlign w:val="center"/>
          </w:tcPr>
          <w:p>
            <w:pPr>
              <w:pStyle w:val="32"/>
              <w:adjustRightInd w:val="0"/>
              <w:snapToGrid w:val="0"/>
              <w:spacing w:line="400" w:lineRule="exact"/>
              <w:jc w:val="center"/>
              <w:rPr>
                <w:rFonts w:hint="eastAsia" w:ascii="新宋体" w:hAnsi="新宋体" w:eastAsia="新宋体"/>
              </w:rPr>
            </w:pPr>
            <w:r>
              <w:rPr>
                <w:rFonts w:hint="eastAsia" w:ascii="新宋体" w:hAnsi="新宋体" w:eastAsia="新宋体"/>
              </w:rPr>
              <w:t>标项</w:t>
            </w:r>
          </w:p>
        </w:tc>
        <w:tc>
          <w:tcPr>
            <w:tcW w:w="1425" w:type="dxa"/>
            <w:vAlign w:val="center"/>
          </w:tcPr>
          <w:p>
            <w:pPr>
              <w:pStyle w:val="32"/>
              <w:adjustRightInd w:val="0"/>
              <w:snapToGrid w:val="0"/>
              <w:spacing w:line="400" w:lineRule="exact"/>
              <w:jc w:val="center"/>
              <w:rPr>
                <w:rFonts w:hint="eastAsia" w:ascii="新宋体" w:hAnsi="新宋体" w:eastAsia="新宋体"/>
              </w:rPr>
            </w:pPr>
            <w:r>
              <w:rPr>
                <w:rFonts w:hint="eastAsia" w:ascii="新宋体" w:hAnsi="新宋体" w:eastAsia="新宋体"/>
              </w:rPr>
              <w:t>标项内容</w:t>
            </w:r>
          </w:p>
        </w:tc>
        <w:tc>
          <w:tcPr>
            <w:tcW w:w="805" w:type="dxa"/>
            <w:vAlign w:val="center"/>
          </w:tcPr>
          <w:p>
            <w:pPr>
              <w:pStyle w:val="32"/>
              <w:adjustRightInd w:val="0"/>
              <w:snapToGrid w:val="0"/>
              <w:spacing w:line="400" w:lineRule="exact"/>
              <w:jc w:val="center"/>
              <w:rPr>
                <w:rFonts w:hint="eastAsia" w:ascii="新宋体" w:hAnsi="新宋体" w:eastAsia="新宋体"/>
              </w:rPr>
            </w:pPr>
            <w:r>
              <w:rPr>
                <w:rFonts w:hint="eastAsia" w:ascii="新宋体" w:hAnsi="新宋体" w:eastAsia="新宋体"/>
              </w:rPr>
              <w:t>数量</w:t>
            </w:r>
          </w:p>
        </w:tc>
        <w:tc>
          <w:tcPr>
            <w:tcW w:w="859" w:type="dxa"/>
            <w:vAlign w:val="center"/>
          </w:tcPr>
          <w:p>
            <w:pPr>
              <w:pStyle w:val="32"/>
              <w:adjustRightInd w:val="0"/>
              <w:snapToGrid w:val="0"/>
              <w:spacing w:line="400" w:lineRule="exact"/>
              <w:jc w:val="center"/>
              <w:rPr>
                <w:rFonts w:hint="eastAsia" w:ascii="新宋体" w:hAnsi="新宋体" w:eastAsia="新宋体"/>
              </w:rPr>
            </w:pPr>
            <w:r>
              <w:rPr>
                <w:rFonts w:hint="eastAsia" w:ascii="新宋体" w:hAnsi="新宋体" w:eastAsia="新宋体"/>
              </w:rPr>
              <w:t>单位</w:t>
            </w:r>
          </w:p>
        </w:tc>
        <w:tc>
          <w:tcPr>
            <w:tcW w:w="1295" w:type="dxa"/>
            <w:vAlign w:val="center"/>
          </w:tcPr>
          <w:p>
            <w:pPr>
              <w:pStyle w:val="32"/>
              <w:adjustRightInd w:val="0"/>
              <w:snapToGrid w:val="0"/>
              <w:spacing w:line="400" w:lineRule="exact"/>
              <w:jc w:val="center"/>
              <w:rPr>
                <w:rFonts w:hint="eastAsia" w:ascii="新宋体" w:hAnsi="新宋体" w:eastAsia="新宋体"/>
              </w:rPr>
            </w:pPr>
            <w:r>
              <w:rPr>
                <w:rFonts w:hint="eastAsia" w:ascii="新宋体" w:hAnsi="新宋体" w:eastAsia="新宋体"/>
              </w:rPr>
              <w:t>预算金额</w:t>
            </w:r>
          </w:p>
        </w:tc>
        <w:tc>
          <w:tcPr>
            <w:tcW w:w="1418" w:type="dxa"/>
            <w:vAlign w:val="center"/>
          </w:tcPr>
          <w:p>
            <w:pPr>
              <w:pStyle w:val="32"/>
              <w:adjustRightInd w:val="0"/>
              <w:snapToGrid w:val="0"/>
              <w:spacing w:line="400" w:lineRule="exact"/>
              <w:jc w:val="center"/>
              <w:rPr>
                <w:rFonts w:hint="eastAsia" w:ascii="新宋体" w:hAnsi="新宋体" w:eastAsia="新宋体"/>
              </w:rPr>
            </w:pPr>
            <w:r>
              <w:rPr>
                <w:rFonts w:hint="eastAsia" w:ascii="新宋体" w:hAnsi="新宋体" w:eastAsia="新宋体"/>
              </w:rPr>
              <w:t>最高限价</w:t>
            </w:r>
          </w:p>
        </w:tc>
        <w:tc>
          <w:tcPr>
            <w:tcW w:w="3059" w:type="dxa"/>
            <w:vAlign w:val="center"/>
          </w:tcPr>
          <w:p>
            <w:pPr>
              <w:pStyle w:val="32"/>
              <w:adjustRightInd w:val="0"/>
              <w:snapToGrid w:val="0"/>
              <w:spacing w:line="400" w:lineRule="exact"/>
              <w:jc w:val="center"/>
              <w:rPr>
                <w:rFonts w:hint="eastAsia" w:ascii="新宋体" w:hAnsi="新宋体" w:eastAsia="新宋体"/>
              </w:rPr>
            </w:pPr>
            <w:r>
              <w:rPr>
                <w:rFonts w:hint="eastAsia" w:ascii="新宋体" w:hAnsi="新宋体" w:eastAsia="新宋体"/>
              </w:rPr>
              <w:t>备注</w:t>
            </w:r>
          </w:p>
        </w:tc>
      </w:tr>
      <w:tr>
        <w:tblPrEx>
          <w:tblLayout w:type="fixed"/>
        </w:tblPrEx>
        <w:trPr>
          <w:trHeight w:val="883" w:hRule="atLeast"/>
        </w:trPr>
        <w:tc>
          <w:tcPr>
            <w:tcW w:w="709" w:type="dxa"/>
            <w:vAlign w:val="center"/>
          </w:tcPr>
          <w:p>
            <w:pPr>
              <w:pStyle w:val="32"/>
              <w:adjustRightInd w:val="0"/>
              <w:snapToGrid w:val="0"/>
              <w:spacing w:line="400" w:lineRule="exact"/>
              <w:jc w:val="center"/>
              <w:rPr>
                <w:rFonts w:hint="eastAsia" w:ascii="新宋体" w:hAnsi="新宋体" w:eastAsia="新宋体"/>
                <w:sz w:val="24"/>
                <w:szCs w:val="24"/>
              </w:rPr>
            </w:pPr>
            <w:r>
              <w:rPr>
                <w:rFonts w:hint="eastAsia" w:ascii="新宋体" w:hAnsi="新宋体" w:eastAsia="新宋体"/>
                <w:sz w:val="24"/>
                <w:szCs w:val="24"/>
              </w:rPr>
              <w:t>一</w:t>
            </w:r>
          </w:p>
        </w:tc>
        <w:tc>
          <w:tcPr>
            <w:tcW w:w="1425" w:type="dxa"/>
            <w:vAlign w:val="center"/>
          </w:tcPr>
          <w:p>
            <w:pPr>
              <w:pStyle w:val="32"/>
              <w:adjustRightInd w:val="0"/>
              <w:snapToGrid w:val="0"/>
              <w:spacing w:line="400" w:lineRule="exact"/>
              <w:jc w:val="center"/>
              <w:rPr>
                <w:rFonts w:hint="eastAsia" w:ascii="新宋体" w:hAnsi="新宋体" w:eastAsia="新宋体"/>
                <w:sz w:val="24"/>
                <w:szCs w:val="24"/>
              </w:rPr>
            </w:pPr>
            <w:r>
              <w:rPr>
                <w:rFonts w:hint="eastAsia" w:ascii="新宋体" w:hAnsi="新宋体" w:eastAsia="新宋体"/>
              </w:rPr>
              <w:t>机关大楼物业管理</w:t>
            </w:r>
          </w:p>
        </w:tc>
        <w:tc>
          <w:tcPr>
            <w:tcW w:w="805" w:type="dxa"/>
            <w:vAlign w:val="center"/>
          </w:tcPr>
          <w:p>
            <w:pPr>
              <w:pStyle w:val="32"/>
              <w:adjustRightInd w:val="0"/>
              <w:snapToGrid w:val="0"/>
              <w:spacing w:line="400" w:lineRule="exact"/>
              <w:jc w:val="center"/>
              <w:rPr>
                <w:rFonts w:hint="eastAsia" w:ascii="新宋体" w:hAnsi="新宋体" w:eastAsia="新宋体"/>
                <w:sz w:val="24"/>
                <w:szCs w:val="24"/>
              </w:rPr>
            </w:pPr>
            <w:r>
              <w:rPr>
                <w:rFonts w:hint="eastAsia" w:ascii="新宋体" w:hAnsi="新宋体" w:eastAsia="新宋体"/>
                <w:sz w:val="24"/>
                <w:szCs w:val="24"/>
              </w:rPr>
              <w:t>3</w:t>
            </w:r>
          </w:p>
        </w:tc>
        <w:tc>
          <w:tcPr>
            <w:tcW w:w="859" w:type="dxa"/>
            <w:vAlign w:val="center"/>
          </w:tcPr>
          <w:p>
            <w:pPr>
              <w:pStyle w:val="32"/>
              <w:adjustRightInd w:val="0"/>
              <w:snapToGrid w:val="0"/>
              <w:spacing w:line="400" w:lineRule="exact"/>
              <w:jc w:val="center"/>
              <w:rPr>
                <w:rFonts w:hint="eastAsia" w:ascii="新宋体" w:hAnsi="新宋体" w:eastAsia="新宋体"/>
                <w:sz w:val="24"/>
                <w:szCs w:val="24"/>
              </w:rPr>
            </w:pPr>
            <w:r>
              <w:rPr>
                <w:rFonts w:hint="eastAsia" w:ascii="新宋体" w:hAnsi="新宋体" w:eastAsia="新宋体"/>
                <w:sz w:val="24"/>
                <w:szCs w:val="24"/>
              </w:rPr>
              <w:t>年</w:t>
            </w:r>
          </w:p>
        </w:tc>
        <w:tc>
          <w:tcPr>
            <w:tcW w:w="1295" w:type="dxa"/>
            <w:vAlign w:val="center"/>
          </w:tcPr>
          <w:p>
            <w:pPr>
              <w:pStyle w:val="32"/>
              <w:adjustRightInd w:val="0"/>
              <w:snapToGrid w:val="0"/>
              <w:spacing w:line="400" w:lineRule="exact"/>
              <w:jc w:val="center"/>
              <w:rPr>
                <w:rFonts w:hint="eastAsia" w:ascii="新宋体" w:hAnsi="新宋体" w:eastAsia="新宋体"/>
                <w:sz w:val="24"/>
                <w:szCs w:val="24"/>
              </w:rPr>
            </w:pPr>
            <w:r>
              <w:rPr>
                <w:rFonts w:hint="eastAsia" w:ascii="新宋体" w:hAnsi="新宋体" w:eastAsia="新宋体"/>
                <w:sz w:val="24"/>
                <w:szCs w:val="24"/>
              </w:rPr>
              <w:t>405万元</w:t>
            </w:r>
          </w:p>
        </w:tc>
        <w:tc>
          <w:tcPr>
            <w:tcW w:w="1418" w:type="dxa"/>
            <w:vAlign w:val="center"/>
          </w:tcPr>
          <w:p>
            <w:pPr>
              <w:pStyle w:val="32"/>
              <w:adjustRightInd w:val="0"/>
              <w:snapToGrid w:val="0"/>
              <w:spacing w:line="400" w:lineRule="exact"/>
              <w:jc w:val="center"/>
              <w:rPr>
                <w:rFonts w:hint="eastAsia" w:ascii="新宋体" w:hAnsi="新宋体" w:eastAsia="新宋体"/>
                <w:sz w:val="24"/>
                <w:szCs w:val="24"/>
              </w:rPr>
            </w:pPr>
            <w:r>
              <w:rPr>
                <w:rFonts w:hint="eastAsia" w:ascii="新宋体" w:hAnsi="新宋体" w:eastAsia="新宋体"/>
                <w:sz w:val="24"/>
                <w:szCs w:val="24"/>
              </w:rPr>
              <w:t>405万元</w:t>
            </w:r>
          </w:p>
        </w:tc>
        <w:tc>
          <w:tcPr>
            <w:tcW w:w="3059" w:type="dxa"/>
            <w:vAlign w:val="center"/>
          </w:tcPr>
          <w:p>
            <w:pPr>
              <w:pStyle w:val="32"/>
              <w:adjustRightInd w:val="0"/>
              <w:snapToGrid w:val="0"/>
              <w:spacing w:line="320" w:lineRule="exact"/>
              <w:rPr>
                <w:rFonts w:hint="eastAsia" w:ascii="新宋体" w:hAnsi="新宋体" w:eastAsia="新宋体"/>
                <w:color w:val="FF0000"/>
              </w:rPr>
            </w:pPr>
            <w:r>
              <w:t>在合同履约期间，甲方定期对乙方的服务进行考核测评，如考核测评分值达不到85分，按乙方违约处理，甲方可提前终止合同。具体要求见第三章《招标项目要求》</w:t>
            </w:r>
          </w:p>
        </w:tc>
      </w:tr>
    </w:tbl>
    <w:p>
      <w:pPr>
        <w:pStyle w:val="32"/>
        <w:adjustRightInd w:val="0"/>
        <w:snapToGrid w:val="0"/>
        <w:spacing w:line="400" w:lineRule="exact"/>
        <w:ind w:left="420" w:firstLine="60" w:firstLineChars="25"/>
        <w:rPr>
          <w:rFonts w:hint="eastAsia" w:ascii="新宋体" w:hAnsi="新宋体" w:eastAsia="新宋体"/>
          <w:b/>
          <w:sz w:val="24"/>
          <w:szCs w:val="24"/>
        </w:rPr>
      </w:pPr>
      <w:r>
        <w:rPr>
          <w:rFonts w:hint="eastAsia" w:ascii="新宋体" w:hAnsi="新宋体" w:eastAsia="新宋体"/>
          <w:b/>
          <w:sz w:val="24"/>
          <w:szCs w:val="24"/>
        </w:rPr>
        <w:t>二、投标人的资格要求，须同时满足以下条件：</w:t>
      </w:r>
    </w:p>
    <w:p>
      <w:pPr>
        <w:snapToGrid w:val="0"/>
        <w:spacing w:line="400" w:lineRule="exact"/>
        <w:ind w:firstLine="480" w:firstLineChars="200"/>
        <w:rPr>
          <w:rFonts w:hint="eastAsia" w:ascii="新宋体" w:hAnsi="新宋体" w:eastAsia="新宋体" w:cs="Courier New"/>
          <w:sz w:val="24"/>
        </w:rPr>
      </w:pPr>
      <w:r>
        <w:rPr>
          <w:rFonts w:hint="eastAsia" w:ascii="新宋体" w:hAnsi="新宋体" w:eastAsia="新宋体" w:cs="Courier New"/>
          <w:sz w:val="24"/>
        </w:rPr>
        <w:t>①符合《中华人民共和国政府采购法》第二十二条要求；</w:t>
      </w:r>
    </w:p>
    <w:p>
      <w:pPr>
        <w:snapToGrid w:val="0"/>
        <w:spacing w:line="400" w:lineRule="exact"/>
        <w:ind w:firstLine="480" w:firstLineChars="200"/>
        <w:rPr>
          <w:rFonts w:hint="eastAsia" w:ascii="新宋体" w:hAnsi="新宋体" w:eastAsia="新宋体" w:cs="Courier New"/>
          <w:sz w:val="24"/>
        </w:rPr>
      </w:pPr>
      <w:r>
        <w:rPr>
          <w:rFonts w:hint="eastAsia" w:ascii="新宋体" w:hAnsi="新宋体" w:eastAsia="新宋体" w:cs="Courier New"/>
          <w:sz w:val="24"/>
        </w:rPr>
        <w:t>②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pPr>
        <w:snapToGrid w:val="0"/>
        <w:spacing w:line="400" w:lineRule="exact"/>
        <w:ind w:firstLine="480" w:firstLineChars="200"/>
        <w:rPr>
          <w:rFonts w:hint="eastAsia" w:ascii="新宋体" w:hAnsi="新宋体" w:eastAsia="新宋体" w:cs="Courier New"/>
          <w:sz w:val="24"/>
        </w:rPr>
      </w:pPr>
      <w:r>
        <w:rPr>
          <w:rFonts w:hint="eastAsia" w:ascii="新宋体" w:hAnsi="新宋体" w:eastAsia="新宋体" w:cs="Courier New"/>
          <w:sz w:val="24"/>
        </w:rPr>
        <w:t>③</w:t>
      </w:r>
      <w:r>
        <w:rPr>
          <w:rFonts w:ascii="新宋体" w:hAnsi="新宋体" w:eastAsia="新宋体" w:cs="Courier New"/>
          <w:sz w:val="24"/>
        </w:rPr>
        <w:t>投标人自2017年01月01日起到中标公告期结束前无行贿犯罪记录</w:t>
      </w:r>
      <w:r>
        <w:rPr>
          <w:rFonts w:hint="eastAsia" w:ascii="新宋体" w:hAnsi="新宋体" w:eastAsia="新宋体" w:cs="Courier New"/>
          <w:sz w:val="24"/>
        </w:rPr>
        <w:t>［</w:t>
      </w:r>
      <w:r>
        <w:rPr>
          <w:rFonts w:ascii="新宋体" w:hAnsi="新宋体" w:eastAsia="新宋体" w:cs="Courier New"/>
          <w:sz w:val="24"/>
        </w:rPr>
        <w:t>评标结束后，发放中标通知书前由采购人通过中国裁判文书网（http://wenshu.court.gov.cn/）按照招标文件约定对拟中标（成交）单位的行贿犯罪记录进行查询，查询结果以网站页面显示内容为准</w:t>
      </w:r>
      <w:r>
        <w:rPr>
          <w:rFonts w:hint="eastAsia" w:ascii="新宋体" w:hAnsi="新宋体" w:eastAsia="新宋体" w:cs="Courier New"/>
          <w:sz w:val="24"/>
        </w:rPr>
        <w:t>］；</w:t>
      </w:r>
    </w:p>
    <w:p>
      <w:pPr>
        <w:snapToGrid w:val="0"/>
        <w:spacing w:line="400" w:lineRule="exact"/>
        <w:ind w:firstLine="480" w:firstLineChars="200"/>
        <w:rPr>
          <w:rFonts w:hint="eastAsia" w:ascii="新宋体" w:hAnsi="新宋体" w:eastAsia="新宋体" w:cs="Courier New"/>
          <w:sz w:val="24"/>
        </w:rPr>
      </w:pPr>
      <w:r>
        <w:rPr>
          <w:rFonts w:hint="eastAsia" w:ascii="新宋体" w:hAnsi="新宋体" w:eastAsia="新宋体" w:cs="Courier New"/>
          <w:sz w:val="24"/>
        </w:rPr>
        <w:t>④本项目不接受联合体或公益一类事业单位参与投标；</w:t>
      </w:r>
    </w:p>
    <w:p>
      <w:pPr>
        <w:snapToGrid w:val="0"/>
        <w:spacing w:line="400" w:lineRule="exact"/>
        <w:ind w:firstLine="480" w:firstLineChars="200"/>
        <w:rPr>
          <w:rFonts w:hint="eastAsia" w:ascii="新宋体" w:hAnsi="新宋体" w:eastAsia="新宋体" w:cs="Courier New"/>
          <w:sz w:val="24"/>
        </w:rPr>
      </w:pPr>
      <w:r>
        <w:rPr>
          <w:rFonts w:hint="eastAsia" w:ascii="新宋体" w:hAnsi="新宋体" w:eastAsia="新宋体" w:cs="Courier New"/>
          <w:sz w:val="24"/>
        </w:rPr>
        <w:t>⑤根据《关于在全市公共资源交易活动中应用信用报告的通知》（义行服管〔2017〕17号）的规定，综合信用报告评级不属于D类或E类的（无信用评价供应商不受此项条件限制，查询结果以网站页面显示内容为准）</w:t>
      </w:r>
      <w:r>
        <w:rPr>
          <w:rFonts w:ascii="新宋体" w:hAnsi="新宋体" w:eastAsia="新宋体" w:cs="Courier New"/>
          <w:sz w:val="24"/>
        </w:rPr>
        <w:t>。</w:t>
      </w:r>
    </w:p>
    <w:p>
      <w:pPr>
        <w:snapToGrid w:val="0"/>
        <w:spacing w:line="400" w:lineRule="exact"/>
        <w:ind w:firstLine="482" w:firstLineChars="200"/>
        <w:rPr>
          <w:rFonts w:hint="eastAsia" w:ascii="新宋体" w:hAnsi="新宋体" w:eastAsia="新宋体"/>
          <w:b/>
          <w:sz w:val="24"/>
        </w:rPr>
      </w:pPr>
      <w:r>
        <w:rPr>
          <w:rFonts w:hint="eastAsia" w:ascii="新宋体" w:hAnsi="新宋体" w:eastAsia="新宋体"/>
          <w:b/>
          <w:sz w:val="24"/>
        </w:rPr>
        <w:t>三、采购文件获取时间和方式：</w:t>
      </w:r>
    </w:p>
    <w:p>
      <w:pPr>
        <w:snapToGrid w:val="0"/>
        <w:spacing w:line="400" w:lineRule="exact"/>
        <w:ind w:firstLine="480" w:firstLineChars="200"/>
        <w:rPr>
          <w:rFonts w:hint="eastAsia" w:ascii="新宋体" w:hAnsi="新宋体" w:eastAsia="新宋体" w:cs="Courier New"/>
          <w:sz w:val="24"/>
        </w:rPr>
      </w:pPr>
      <w:r>
        <w:rPr>
          <w:rFonts w:hint="eastAsia" w:ascii="新宋体" w:hAnsi="新宋体" w:eastAsia="新宋体" w:cs="Courier New"/>
          <w:sz w:val="24"/>
        </w:rPr>
        <w:t>①时间：</w:t>
      </w:r>
      <w:r>
        <w:rPr>
          <w:rFonts w:ascii="新宋体" w:hAnsi="新宋体" w:eastAsia="新宋体" w:cs="Courier New"/>
          <w:sz w:val="24"/>
        </w:rPr>
        <w:t>潜在供应商</w:t>
      </w:r>
      <w:r>
        <w:rPr>
          <w:rFonts w:hint="eastAsia" w:ascii="新宋体" w:hAnsi="新宋体" w:eastAsia="新宋体" w:cs="Courier New"/>
          <w:sz w:val="24"/>
        </w:rPr>
        <w:t>可在招标文件公告期内获取招标文件，公告期</w:t>
      </w:r>
      <w:r>
        <w:rPr>
          <w:rFonts w:ascii="新宋体" w:hAnsi="新宋体" w:eastAsia="新宋体" w:cs="Courier New"/>
          <w:sz w:val="24"/>
        </w:rPr>
        <w:t>截止时间之后至</w:t>
      </w:r>
      <w:r>
        <w:rPr>
          <w:rFonts w:hint="eastAsia" w:ascii="新宋体" w:hAnsi="新宋体" w:eastAsia="新宋体" w:cs="Courier New"/>
          <w:sz w:val="24"/>
        </w:rPr>
        <w:t>投标截止前</w:t>
      </w:r>
      <w:r>
        <w:rPr>
          <w:rFonts w:ascii="新宋体" w:hAnsi="新宋体" w:eastAsia="新宋体" w:cs="Courier New"/>
          <w:sz w:val="24"/>
        </w:rPr>
        <w:t>潜在供应商仍可获取</w:t>
      </w:r>
      <w:r>
        <w:rPr>
          <w:rFonts w:hint="eastAsia" w:ascii="新宋体" w:hAnsi="新宋体" w:eastAsia="新宋体" w:cs="Courier New"/>
          <w:sz w:val="24"/>
        </w:rPr>
        <w:t>招标文件</w:t>
      </w:r>
      <w:r>
        <w:rPr>
          <w:rFonts w:ascii="新宋体" w:hAnsi="新宋体" w:eastAsia="新宋体" w:cs="Courier New"/>
          <w:sz w:val="24"/>
        </w:rPr>
        <w:t>，如对</w:t>
      </w:r>
      <w:r>
        <w:rPr>
          <w:rFonts w:hint="eastAsia" w:ascii="新宋体" w:hAnsi="新宋体" w:eastAsia="新宋体" w:cs="Courier New"/>
          <w:sz w:val="24"/>
        </w:rPr>
        <w:t>招标文件</w:t>
      </w:r>
      <w:r>
        <w:rPr>
          <w:rFonts w:ascii="新宋体" w:hAnsi="新宋体" w:eastAsia="新宋体" w:cs="Courier New"/>
          <w:sz w:val="24"/>
        </w:rPr>
        <w:t>有疑问的，答疑时间按招标文件规定执行。</w:t>
      </w:r>
    </w:p>
    <w:p>
      <w:pPr>
        <w:snapToGrid w:val="0"/>
        <w:spacing w:line="400" w:lineRule="exact"/>
        <w:ind w:firstLine="480" w:firstLineChars="200"/>
        <w:rPr>
          <w:rFonts w:hint="eastAsia" w:ascii="新宋体" w:hAnsi="新宋体" w:eastAsia="新宋体" w:cs="Courier New"/>
          <w:sz w:val="24"/>
        </w:rPr>
      </w:pPr>
      <w:r>
        <w:rPr>
          <w:rFonts w:hint="eastAsia" w:ascii="新宋体" w:hAnsi="新宋体" w:eastAsia="新宋体" w:cs="Courier New"/>
          <w:sz w:val="24"/>
        </w:rPr>
        <w:t>②注册：潜在</w:t>
      </w:r>
      <w:r>
        <w:rPr>
          <w:rFonts w:ascii="新宋体" w:hAnsi="新宋体" w:eastAsia="新宋体" w:cs="Courier New"/>
          <w:sz w:val="24"/>
        </w:rPr>
        <w:t>供应商</w:t>
      </w:r>
      <w:r>
        <w:rPr>
          <w:rFonts w:hint="eastAsia" w:ascii="新宋体" w:hAnsi="新宋体" w:eastAsia="新宋体" w:cs="Courier New"/>
          <w:sz w:val="24"/>
        </w:rPr>
        <w:t>在获取招标文件前应在浙江省政府采购网上先行注册，注册流程详见</w:t>
      </w:r>
      <w:r>
        <w:rPr>
          <w:rFonts w:ascii="新宋体" w:hAnsi="新宋体" w:eastAsia="新宋体" w:cs="Courier New"/>
          <w:sz w:val="24"/>
        </w:rPr>
        <w:t>浙江政府采购网-网上办事指南-供应商注册申请</w:t>
      </w:r>
      <w:r>
        <w:rPr>
          <w:rFonts w:hint="eastAsia" w:ascii="新宋体" w:hAnsi="新宋体" w:eastAsia="新宋体" w:cs="Courier New"/>
          <w:sz w:val="24"/>
        </w:rPr>
        <w:t>。</w:t>
      </w:r>
    </w:p>
    <w:p>
      <w:pPr>
        <w:snapToGrid w:val="0"/>
        <w:spacing w:line="400" w:lineRule="exact"/>
        <w:ind w:firstLine="480" w:firstLineChars="200"/>
        <w:rPr>
          <w:rFonts w:hint="eastAsia" w:ascii="新宋体" w:hAnsi="新宋体" w:eastAsia="新宋体" w:cs="Courier New"/>
          <w:sz w:val="24"/>
        </w:rPr>
      </w:pPr>
      <w:r>
        <w:rPr>
          <w:rFonts w:hint="eastAsia" w:ascii="新宋体" w:hAnsi="新宋体" w:eastAsia="新宋体" w:cs="Courier New"/>
          <w:sz w:val="24"/>
        </w:rPr>
        <w:t>③地点及方式：潜在</w:t>
      </w:r>
      <w:r>
        <w:rPr>
          <w:rFonts w:ascii="新宋体" w:hAnsi="新宋体" w:eastAsia="新宋体" w:cs="Courier New"/>
          <w:sz w:val="24"/>
        </w:rPr>
        <w:t>供应商请自行登录浙江政府采购网(</w:t>
      </w:r>
      <w:r>
        <w:fldChar w:fldCharType="begin"/>
      </w:r>
      <w:r>
        <w:instrText xml:space="preserve"> HYPERLINK "http://zfcg.czt.zj.gov.cn/" </w:instrText>
      </w:r>
      <w:r>
        <w:fldChar w:fldCharType="separate"/>
      </w:r>
      <w:r>
        <w:rPr>
          <w:rFonts w:ascii="新宋体" w:hAnsi="新宋体" w:eastAsia="新宋体" w:cs="Courier New"/>
          <w:sz w:val="24"/>
        </w:rPr>
        <w:t>http://zfcg.czt.zj.gov.cn/</w:t>
      </w:r>
      <w:r>
        <w:rPr>
          <w:rFonts w:ascii="新宋体" w:hAnsi="新宋体" w:eastAsia="新宋体" w:cs="Courier New"/>
          <w:sz w:val="24"/>
        </w:rPr>
        <w:fldChar w:fldCharType="end"/>
      </w:r>
      <w:r>
        <w:rPr>
          <w:rFonts w:ascii="新宋体" w:hAnsi="新宋体" w:eastAsia="新宋体" w:cs="Courier New"/>
          <w:sz w:val="24"/>
        </w:rPr>
        <w:t>)</w:t>
      </w:r>
      <w:r>
        <w:rPr>
          <w:rFonts w:hint="eastAsia" w:ascii="新宋体" w:hAnsi="新宋体" w:eastAsia="新宋体" w:cs="Courier New"/>
          <w:sz w:val="24"/>
        </w:rPr>
        <w:t>免费下载且无需报名【在谷歌或360浏览器上，用政采云注册的帐号、密码登录系统后，点击（申请获取采购文件）按钮，填写获取采购文件的申请信息】。</w:t>
      </w:r>
    </w:p>
    <w:p>
      <w:pPr>
        <w:pStyle w:val="32"/>
        <w:adjustRightInd w:val="0"/>
        <w:snapToGrid w:val="0"/>
        <w:spacing w:line="400" w:lineRule="exact"/>
        <w:ind w:firstLine="480" w:firstLineChars="200"/>
        <w:rPr>
          <w:rFonts w:hint="eastAsia" w:ascii="新宋体" w:hAnsi="新宋体" w:eastAsia="新宋体"/>
          <w:sz w:val="24"/>
        </w:rPr>
      </w:pPr>
      <w:r>
        <w:rPr>
          <w:rFonts w:hint="eastAsia" w:ascii="新宋体" w:hAnsi="新宋体" w:eastAsia="新宋体"/>
          <w:sz w:val="24"/>
        </w:rPr>
        <w:t>④义乌市政府采购中心联系方式：义乌市望道路300号行政服务中心四楼，联系人：洪女士0579-85232979、傅先生0579-85583800，传真：0579-85570067、0579-85583812（上午9：00－11：30，下午13：00－17：00，双休日及节假日除外）。</w:t>
      </w:r>
    </w:p>
    <w:p>
      <w:pPr>
        <w:snapToGrid w:val="0"/>
        <w:spacing w:line="400" w:lineRule="exact"/>
        <w:ind w:firstLine="482" w:firstLineChars="200"/>
        <w:rPr>
          <w:rFonts w:hint="eastAsia" w:ascii="新宋体" w:hAnsi="新宋体" w:eastAsia="新宋体"/>
          <w:b/>
          <w:sz w:val="24"/>
        </w:rPr>
      </w:pPr>
      <w:r>
        <w:rPr>
          <w:rFonts w:hint="eastAsia" w:ascii="新宋体" w:hAnsi="新宋体" w:eastAsia="新宋体"/>
          <w:b/>
          <w:sz w:val="24"/>
        </w:rPr>
        <w:t>四、投标截止时间及地点：</w:t>
      </w:r>
    </w:p>
    <w:p>
      <w:pPr>
        <w:snapToGrid w:val="0"/>
        <w:spacing w:line="400" w:lineRule="exact"/>
        <w:ind w:firstLine="480" w:firstLineChars="200"/>
        <w:rPr>
          <w:rFonts w:ascii="新宋体" w:hAnsi="新宋体" w:eastAsia="新宋体" w:cs="Courier New"/>
          <w:sz w:val="24"/>
        </w:rPr>
      </w:pPr>
      <w:r>
        <w:rPr>
          <w:rFonts w:hint="eastAsia" w:ascii="新宋体" w:hAnsi="新宋体" w:eastAsia="新宋体" w:cs="Courier New"/>
          <w:sz w:val="24"/>
        </w:rPr>
        <w:t>1.提交投标文件截止时间：</w:t>
      </w:r>
      <w:r>
        <w:rPr>
          <w:rFonts w:hint="eastAsia" w:ascii="新宋体" w:hAnsi="新宋体" w:eastAsia="新宋体" w:cs="Courier New"/>
          <w:color w:val="FF0000"/>
          <w:sz w:val="24"/>
        </w:rPr>
        <w:t>2020年**月**日</w:t>
      </w:r>
      <w:r>
        <w:rPr>
          <w:rFonts w:hint="eastAsia" w:ascii="新宋体" w:hAnsi="新宋体" w:eastAsia="新宋体"/>
          <w:sz w:val="24"/>
        </w:rPr>
        <w:t>上午9:30</w:t>
      </w:r>
      <w:r>
        <w:rPr>
          <w:rFonts w:hint="eastAsia" w:ascii="新宋体" w:hAnsi="新宋体" w:eastAsia="新宋体" w:cs="Courier New"/>
          <w:sz w:val="24"/>
        </w:rPr>
        <w:t>（北京时间）</w:t>
      </w:r>
    </w:p>
    <w:p>
      <w:pPr>
        <w:snapToGrid w:val="0"/>
        <w:spacing w:line="400" w:lineRule="exact"/>
        <w:ind w:firstLine="480" w:firstLineChars="200"/>
        <w:rPr>
          <w:rFonts w:hint="eastAsia" w:ascii="新宋体" w:hAnsi="新宋体" w:eastAsia="新宋体" w:cs="Courier New"/>
          <w:sz w:val="24"/>
        </w:rPr>
      </w:pPr>
      <w:r>
        <w:rPr>
          <w:rFonts w:hint="eastAsia" w:ascii="新宋体" w:hAnsi="新宋体" w:eastAsia="新宋体" w:cs="Courier New"/>
          <w:sz w:val="24"/>
        </w:rPr>
        <w:t>2.投标地点：登陆政采云账号，并上传电子加密标书至“政采云”平台，</w:t>
      </w:r>
      <w:r>
        <w:rPr>
          <w:rFonts w:hint="eastAsia" w:ascii="新宋体" w:hAnsi="新宋体" w:eastAsia="新宋体" w:cs="Courier New"/>
          <w:b/>
          <w:sz w:val="24"/>
        </w:rPr>
        <w:t>逾期或未上传成功的将导致无法投标或投标无效</w:t>
      </w:r>
      <w:r>
        <w:rPr>
          <w:rFonts w:hint="eastAsia" w:ascii="新宋体" w:hAnsi="新宋体" w:eastAsia="新宋体" w:cs="Courier New"/>
          <w:sz w:val="24"/>
        </w:rPr>
        <w:t>。</w:t>
      </w:r>
    </w:p>
    <w:p>
      <w:pPr>
        <w:snapToGrid w:val="0"/>
        <w:spacing w:line="400" w:lineRule="exact"/>
        <w:ind w:firstLine="480" w:firstLineChars="200"/>
        <w:rPr>
          <w:rFonts w:hint="eastAsia" w:ascii="新宋体" w:hAnsi="新宋体" w:eastAsia="新宋体" w:cs="Courier New"/>
          <w:sz w:val="24"/>
        </w:rPr>
      </w:pPr>
      <w:r>
        <w:rPr>
          <w:rFonts w:hint="eastAsia" w:ascii="新宋体" w:hAnsi="新宋体" w:eastAsia="新宋体" w:cs="Courier New"/>
          <w:sz w:val="24"/>
        </w:rPr>
        <w:t>3.</w:t>
      </w:r>
      <w:r>
        <w:rPr>
          <w:rFonts w:hint="eastAsia" w:ascii="新宋体" w:hAnsi="新宋体" w:eastAsia="新宋体" w:cs="Courier New"/>
          <w:b/>
          <w:sz w:val="24"/>
        </w:rPr>
        <w:t>开标时间</w:t>
      </w:r>
      <w:r>
        <w:rPr>
          <w:rFonts w:hint="eastAsia" w:ascii="新宋体" w:hAnsi="新宋体" w:eastAsia="新宋体" w:cs="Courier New"/>
          <w:sz w:val="24"/>
        </w:rPr>
        <w:t>：2020年**月**日上午9:30；</w:t>
      </w:r>
    </w:p>
    <w:p>
      <w:pPr>
        <w:snapToGrid w:val="0"/>
        <w:spacing w:line="400" w:lineRule="exact"/>
        <w:ind w:firstLine="480" w:firstLineChars="200"/>
        <w:rPr>
          <w:rFonts w:hint="eastAsia" w:ascii="新宋体" w:hAnsi="新宋体" w:eastAsia="新宋体" w:cs="Courier New"/>
          <w:sz w:val="24"/>
        </w:rPr>
      </w:pPr>
      <w:r>
        <w:rPr>
          <w:rFonts w:hint="eastAsia" w:ascii="新宋体" w:hAnsi="新宋体" w:eastAsia="新宋体" w:cs="Courier New"/>
          <w:sz w:val="24"/>
        </w:rPr>
        <w:t>4.</w:t>
      </w:r>
      <w:r>
        <w:rPr>
          <w:rFonts w:hint="eastAsia" w:ascii="新宋体" w:hAnsi="新宋体" w:eastAsia="新宋体" w:cs="Courier New"/>
          <w:b/>
          <w:sz w:val="24"/>
        </w:rPr>
        <w:t>开标地点</w:t>
      </w:r>
      <w:r>
        <w:rPr>
          <w:rFonts w:hint="eastAsia" w:ascii="新宋体" w:hAnsi="新宋体" w:eastAsia="新宋体" w:cs="Courier New"/>
          <w:sz w:val="24"/>
        </w:rPr>
        <w:t>：义乌市望道路300号行政服务中心四楼电子开标室。</w:t>
      </w:r>
    </w:p>
    <w:p>
      <w:pPr>
        <w:snapToGrid w:val="0"/>
        <w:spacing w:line="400" w:lineRule="exact"/>
        <w:ind w:firstLine="480" w:firstLineChars="200"/>
        <w:rPr>
          <w:rFonts w:hint="eastAsia" w:ascii="新宋体" w:hAnsi="新宋体" w:eastAsia="新宋体" w:cs="Courier New"/>
          <w:sz w:val="24"/>
        </w:rPr>
      </w:pPr>
      <w:r>
        <w:rPr>
          <w:rFonts w:hint="eastAsia" w:ascii="新宋体" w:hAnsi="新宋体" w:eastAsia="新宋体" w:cs="Courier New"/>
          <w:sz w:val="24"/>
        </w:rPr>
        <w:t>5.</w:t>
      </w:r>
      <w:r>
        <w:rPr>
          <w:rFonts w:hint="eastAsia" w:ascii="新宋体" w:hAnsi="新宋体" w:eastAsia="新宋体" w:cs="Courier New"/>
          <w:b/>
          <w:sz w:val="24"/>
        </w:rPr>
        <w:t>开标时间后1小时内（2020年**月**日</w:t>
      </w:r>
      <w:r>
        <w:rPr>
          <w:rFonts w:ascii="新宋体" w:hAnsi="新宋体" w:eastAsia="新宋体" w:cs="Courier New"/>
          <w:b/>
          <w:sz w:val="24"/>
        </w:rPr>
        <w:t>上午10:30前</w:t>
      </w:r>
      <w:r>
        <w:rPr>
          <w:rFonts w:hint="eastAsia" w:ascii="新宋体" w:hAnsi="新宋体" w:eastAsia="新宋体" w:cs="Courier New"/>
          <w:b/>
          <w:sz w:val="24"/>
        </w:rPr>
        <w:t>）</w:t>
      </w:r>
      <w:r>
        <w:rPr>
          <w:rFonts w:ascii="新宋体" w:hAnsi="新宋体" w:eastAsia="新宋体" w:cs="Courier New"/>
          <w:b/>
          <w:sz w:val="24"/>
        </w:rPr>
        <w:t>供应商可以登录“</w:t>
      </w:r>
      <w:r>
        <w:rPr>
          <w:rFonts w:hint="eastAsia" w:ascii="新宋体" w:hAnsi="新宋体" w:eastAsia="新宋体" w:cs="Courier New"/>
          <w:b/>
          <w:sz w:val="24"/>
        </w:rPr>
        <w:t>政采云</w:t>
      </w:r>
      <w:r>
        <w:rPr>
          <w:rFonts w:ascii="新宋体" w:hAnsi="新宋体" w:eastAsia="新宋体" w:cs="Courier New"/>
          <w:b/>
          <w:sz w:val="24"/>
        </w:rPr>
        <w:t>”</w:t>
      </w:r>
      <w:r>
        <w:rPr>
          <w:rFonts w:hint="eastAsia" w:ascii="新宋体" w:hAnsi="新宋体" w:eastAsia="新宋体" w:cs="Courier New"/>
          <w:b/>
          <w:sz w:val="24"/>
        </w:rPr>
        <w:t>平台</w:t>
      </w:r>
      <w:r>
        <w:rPr>
          <w:rFonts w:ascii="新宋体" w:hAnsi="新宋体" w:eastAsia="新宋体" w:cs="Courier New"/>
          <w:b/>
          <w:sz w:val="24"/>
        </w:rPr>
        <w:t>，用“</w:t>
      </w:r>
      <w:r>
        <w:rPr>
          <w:rFonts w:hint="eastAsia" w:ascii="新宋体" w:hAnsi="新宋体" w:eastAsia="新宋体" w:cs="Courier New"/>
          <w:b/>
          <w:sz w:val="24"/>
        </w:rPr>
        <w:t>项目采购-开标评标</w:t>
      </w:r>
      <w:r>
        <w:rPr>
          <w:rFonts w:ascii="新宋体" w:hAnsi="新宋体" w:eastAsia="新宋体" w:cs="Courier New"/>
          <w:b/>
          <w:sz w:val="24"/>
        </w:rPr>
        <w:t>”功能</w:t>
      </w:r>
      <w:r>
        <w:rPr>
          <w:rFonts w:hint="eastAsia" w:ascii="新宋体" w:hAnsi="新宋体" w:eastAsia="新宋体" w:cs="Courier New"/>
          <w:b/>
          <w:sz w:val="24"/>
        </w:rPr>
        <w:t>进行解密投标文件</w:t>
      </w:r>
      <w:r>
        <w:rPr>
          <w:rFonts w:ascii="新宋体" w:hAnsi="新宋体" w:eastAsia="新宋体" w:cs="Courier New"/>
          <w:sz w:val="24"/>
        </w:rPr>
        <w:t>。</w:t>
      </w:r>
    </w:p>
    <w:p>
      <w:pPr>
        <w:pStyle w:val="32"/>
        <w:adjustRightInd w:val="0"/>
        <w:snapToGrid w:val="0"/>
        <w:spacing w:line="400" w:lineRule="exact"/>
        <w:ind w:firstLine="480" w:firstLineChars="200"/>
        <w:rPr>
          <w:rFonts w:hint="eastAsia" w:ascii="新宋体" w:hAnsi="新宋体" w:eastAsia="新宋体"/>
          <w:sz w:val="24"/>
          <w:szCs w:val="24"/>
        </w:rPr>
      </w:pPr>
      <w:r>
        <w:rPr>
          <w:rFonts w:hint="eastAsia" w:ascii="新宋体" w:hAnsi="新宋体" w:eastAsia="新宋体"/>
          <w:sz w:val="24"/>
          <w:szCs w:val="24"/>
        </w:rPr>
        <w:t>备注：为确保采购项目顺利实施，避免因政采云上电子投标文件解密失败导致投标方投标无效，投标方可在2020年**月**日上午9:30前将在政采云平台上最后生成的具备电子签章的备份加密投标文件（文件名后缀为备份文件四字的首字母）以电子邮件方式传送至义乌市政府采购中心邮箱（ywszfcgzx@163.com），传送的备份电子投标文件需打包压缩并加密，加密密码由投标方自行保管，如政采云上电子投标文件出现解密失败情况（开标当日9:30-10:30期间进行解密），投标方可按照自身意愿确认是否同意提供加密密码解密传送至义乌市政府采购中心邮箱（ywszfcgzx@163.com）的备份文件，并以备份文件作为替代电子投标文件，如投标方未按照规定时间（2020年**月**日上午9:30前）及要求提供有效备份文件，同时政采云上投标文件解密失败的，将导致投标无效。</w:t>
      </w:r>
    </w:p>
    <w:p>
      <w:pPr>
        <w:pStyle w:val="32"/>
        <w:adjustRightInd w:val="0"/>
        <w:snapToGrid w:val="0"/>
        <w:spacing w:line="400" w:lineRule="exact"/>
        <w:ind w:firstLine="480" w:firstLineChars="200"/>
        <w:rPr>
          <w:rFonts w:hint="eastAsia" w:ascii="新宋体" w:hAnsi="新宋体" w:eastAsia="新宋体"/>
          <w:sz w:val="24"/>
        </w:rPr>
      </w:pPr>
      <w:r>
        <w:rPr>
          <w:rFonts w:hint="eastAsia" w:ascii="新宋体" w:hAnsi="新宋体" w:eastAsia="新宋体"/>
          <w:sz w:val="24"/>
          <w:szCs w:val="24"/>
        </w:rPr>
        <w:t>投标方无需在开标当天到达开标现场，只需在规定时间内在投标方自己的办公场地，对电子投标文件进行解密。</w:t>
      </w:r>
    </w:p>
    <w:p>
      <w:pPr>
        <w:snapToGrid w:val="0"/>
        <w:spacing w:line="400" w:lineRule="exact"/>
        <w:ind w:firstLine="482" w:firstLineChars="200"/>
        <w:rPr>
          <w:rFonts w:hint="eastAsia" w:ascii="新宋体" w:hAnsi="新宋体" w:eastAsia="新宋体"/>
          <w:b/>
          <w:sz w:val="24"/>
        </w:rPr>
      </w:pPr>
      <w:r>
        <w:rPr>
          <w:rFonts w:hint="eastAsia" w:ascii="新宋体" w:hAnsi="新宋体" w:eastAsia="新宋体"/>
          <w:b/>
          <w:sz w:val="24"/>
        </w:rPr>
        <w:t>五、公告期限：</w:t>
      </w:r>
      <w:r>
        <w:rPr>
          <w:rFonts w:hint="eastAsia" w:ascii="新宋体" w:hAnsi="新宋体" w:eastAsia="新宋体" w:cs="Courier New"/>
          <w:sz w:val="24"/>
        </w:rPr>
        <w:t>自本公告发布之日起5个工作日。</w:t>
      </w:r>
    </w:p>
    <w:p>
      <w:pPr>
        <w:snapToGrid w:val="0"/>
        <w:spacing w:line="400" w:lineRule="exact"/>
        <w:ind w:firstLine="482" w:firstLineChars="200"/>
        <w:rPr>
          <w:rFonts w:hint="eastAsia" w:ascii="新宋体" w:hAnsi="新宋体" w:eastAsia="新宋体"/>
          <w:b/>
          <w:sz w:val="24"/>
        </w:rPr>
      </w:pPr>
      <w:r>
        <w:rPr>
          <w:rFonts w:hint="eastAsia" w:ascii="新宋体" w:hAnsi="新宋体" w:eastAsia="新宋体"/>
          <w:b/>
          <w:sz w:val="24"/>
        </w:rPr>
        <w:t>六、其他补充事宜</w:t>
      </w:r>
    </w:p>
    <w:p>
      <w:pPr>
        <w:pStyle w:val="32"/>
        <w:adjustRightInd w:val="0"/>
        <w:snapToGrid w:val="0"/>
        <w:spacing w:line="400" w:lineRule="exact"/>
        <w:ind w:firstLine="480" w:firstLineChars="200"/>
        <w:rPr>
          <w:rFonts w:hint="eastAsia" w:ascii="新宋体" w:hAnsi="新宋体" w:eastAsia="新宋体"/>
          <w:sz w:val="24"/>
          <w:szCs w:val="24"/>
        </w:rPr>
      </w:pPr>
      <w:r>
        <w:rPr>
          <w:rFonts w:hint="eastAsia" w:ascii="新宋体" w:hAnsi="新宋体" w:eastAsia="新宋体"/>
          <w:sz w:val="24"/>
          <w:szCs w:val="24"/>
        </w:rPr>
        <w:t>1.答疑与澄清：潜在供应商</w:t>
      </w:r>
      <w:r>
        <w:rPr>
          <w:rFonts w:ascii="新宋体" w:hAnsi="新宋体" w:eastAsia="新宋体"/>
          <w:sz w:val="24"/>
          <w:szCs w:val="24"/>
        </w:rPr>
        <w:t>如认为招标文件表述不清晰、存在歧视性、排他性或者其他违法内容的，可以自收到采购文件之日或者采购文件公告期限届满之日（</w:t>
      </w:r>
      <w:r>
        <w:rPr>
          <w:rFonts w:hint="eastAsia" w:ascii="新宋体" w:hAnsi="新宋体" w:eastAsia="新宋体"/>
          <w:sz w:val="24"/>
          <w:szCs w:val="24"/>
        </w:rPr>
        <w:t>公告期限届满后获取采购文件的，以公告期限届满之日为准</w:t>
      </w:r>
      <w:r>
        <w:rPr>
          <w:rFonts w:ascii="新宋体" w:hAnsi="新宋体" w:eastAsia="新宋体"/>
          <w:sz w:val="24"/>
          <w:szCs w:val="24"/>
        </w:rPr>
        <w:t>）起7个工作日内，以书面递交或传真形式要求招标方作出书面解释、澄清或者向招标方提出书面质疑；本项目不组织答疑会；招标方的答疑内容和书面澄清文件是招标文件的组成部份，</w:t>
      </w:r>
      <w:r>
        <w:rPr>
          <w:rFonts w:hint="eastAsia" w:ascii="新宋体" w:hAnsi="新宋体" w:eastAsia="新宋体"/>
          <w:sz w:val="24"/>
          <w:szCs w:val="24"/>
        </w:rPr>
        <w:t>招标方的</w:t>
      </w:r>
      <w:r>
        <w:rPr>
          <w:rFonts w:ascii="新宋体" w:hAnsi="新宋体" w:eastAsia="新宋体"/>
          <w:sz w:val="24"/>
          <w:szCs w:val="24"/>
        </w:rPr>
        <w:t>书面澄清</w:t>
      </w:r>
      <w:r>
        <w:rPr>
          <w:rFonts w:hint="eastAsia" w:ascii="新宋体" w:hAnsi="新宋体" w:eastAsia="新宋体"/>
          <w:sz w:val="24"/>
          <w:szCs w:val="24"/>
        </w:rPr>
        <w:t>（更正）</w:t>
      </w:r>
      <w:r>
        <w:rPr>
          <w:rFonts w:ascii="新宋体" w:hAnsi="新宋体" w:eastAsia="新宋体"/>
          <w:sz w:val="24"/>
          <w:szCs w:val="24"/>
        </w:rPr>
        <w:t>文件</w:t>
      </w:r>
      <w:r>
        <w:rPr>
          <w:rFonts w:hint="eastAsia" w:ascii="新宋体" w:hAnsi="新宋体" w:eastAsia="新宋体"/>
          <w:sz w:val="24"/>
          <w:szCs w:val="24"/>
        </w:rPr>
        <w:t>会在浙江政府采购网上发布公告，</w:t>
      </w:r>
      <w:r>
        <w:rPr>
          <w:rFonts w:ascii="新宋体" w:hAnsi="新宋体" w:eastAsia="新宋体"/>
          <w:sz w:val="24"/>
          <w:szCs w:val="24"/>
        </w:rPr>
        <w:t>同时</w:t>
      </w:r>
      <w:r>
        <w:rPr>
          <w:rFonts w:hint="eastAsia" w:ascii="新宋体" w:hAnsi="新宋体" w:eastAsia="新宋体"/>
          <w:sz w:val="24"/>
          <w:szCs w:val="24"/>
        </w:rPr>
        <w:t>政采云系统会</w:t>
      </w:r>
      <w:r>
        <w:rPr>
          <w:rFonts w:ascii="新宋体" w:hAnsi="新宋体" w:eastAsia="新宋体"/>
          <w:sz w:val="24"/>
          <w:szCs w:val="24"/>
        </w:rPr>
        <w:t>向所有</w:t>
      </w:r>
      <w:r>
        <w:rPr>
          <w:rFonts w:hint="eastAsia" w:ascii="新宋体" w:hAnsi="新宋体" w:eastAsia="新宋体"/>
          <w:sz w:val="24"/>
          <w:szCs w:val="24"/>
        </w:rPr>
        <w:t>已按招标文件规定方式获取招标文件的潜在供应商</w:t>
      </w:r>
      <w:r>
        <w:rPr>
          <w:rFonts w:ascii="新宋体" w:hAnsi="新宋体" w:eastAsia="新宋体"/>
          <w:sz w:val="24"/>
          <w:szCs w:val="24"/>
        </w:rPr>
        <w:t>发送</w:t>
      </w:r>
      <w:r>
        <w:rPr>
          <w:rFonts w:hint="eastAsia" w:ascii="新宋体" w:hAnsi="新宋体" w:eastAsia="新宋体"/>
          <w:sz w:val="24"/>
          <w:szCs w:val="24"/>
        </w:rPr>
        <w:t>澄清（更正）提醒信息，潜在供应商请自行到浙江政府采购网上下载</w:t>
      </w:r>
      <w:r>
        <w:rPr>
          <w:rFonts w:ascii="新宋体" w:hAnsi="新宋体" w:eastAsia="新宋体"/>
          <w:sz w:val="24"/>
          <w:szCs w:val="24"/>
        </w:rPr>
        <w:t>澄清</w:t>
      </w:r>
      <w:r>
        <w:rPr>
          <w:rFonts w:hint="eastAsia" w:ascii="新宋体" w:hAnsi="新宋体" w:eastAsia="新宋体"/>
          <w:sz w:val="24"/>
          <w:szCs w:val="24"/>
        </w:rPr>
        <w:t>（更正）</w:t>
      </w:r>
      <w:r>
        <w:rPr>
          <w:rFonts w:ascii="新宋体" w:hAnsi="新宋体" w:eastAsia="新宋体"/>
          <w:sz w:val="24"/>
          <w:szCs w:val="24"/>
        </w:rPr>
        <w:t>文件</w:t>
      </w:r>
      <w:r>
        <w:rPr>
          <w:rFonts w:hint="eastAsia" w:ascii="新宋体" w:hAnsi="新宋体" w:eastAsia="新宋体"/>
          <w:sz w:val="24"/>
          <w:szCs w:val="24"/>
        </w:rPr>
        <w:t>，潜在供应商</w:t>
      </w:r>
      <w:r>
        <w:rPr>
          <w:rFonts w:ascii="新宋体" w:hAnsi="新宋体" w:eastAsia="新宋体"/>
          <w:sz w:val="24"/>
          <w:szCs w:val="24"/>
        </w:rPr>
        <w:t>在收到该澄清</w:t>
      </w:r>
      <w:r>
        <w:rPr>
          <w:rFonts w:hint="eastAsia" w:ascii="新宋体" w:hAnsi="新宋体" w:eastAsia="新宋体"/>
          <w:sz w:val="24"/>
          <w:szCs w:val="24"/>
        </w:rPr>
        <w:t>（更正）</w:t>
      </w:r>
      <w:r>
        <w:rPr>
          <w:rFonts w:ascii="新宋体" w:hAnsi="新宋体" w:eastAsia="新宋体"/>
          <w:sz w:val="24"/>
          <w:szCs w:val="24"/>
        </w:rPr>
        <w:t>文件后应于1日内，以书面或传真形式（签署意见并加盖公章）向招标代理机构回函给予确认。过期未回复的，视为默认接受。</w:t>
      </w:r>
    </w:p>
    <w:p>
      <w:pPr>
        <w:pStyle w:val="32"/>
        <w:adjustRightInd w:val="0"/>
        <w:snapToGrid w:val="0"/>
        <w:spacing w:line="400" w:lineRule="exact"/>
        <w:ind w:firstLine="480" w:firstLineChars="200"/>
        <w:rPr>
          <w:rFonts w:hint="eastAsia" w:ascii="新宋体" w:hAnsi="新宋体" w:eastAsia="新宋体"/>
          <w:sz w:val="24"/>
          <w:szCs w:val="24"/>
        </w:rPr>
      </w:pPr>
      <w:r>
        <w:rPr>
          <w:rFonts w:hint="eastAsia" w:ascii="新宋体" w:hAnsi="新宋体" w:eastAsia="新宋体"/>
          <w:sz w:val="24"/>
          <w:szCs w:val="24"/>
        </w:rPr>
        <w:t>2.投标保证金：无</w:t>
      </w:r>
    </w:p>
    <w:p>
      <w:pPr>
        <w:pStyle w:val="32"/>
        <w:adjustRightInd w:val="0"/>
        <w:snapToGrid w:val="0"/>
        <w:spacing w:line="400" w:lineRule="exact"/>
        <w:ind w:firstLine="480" w:firstLineChars="200"/>
        <w:rPr>
          <w:rFonts w:hint="eastAsia" w:ascii="新宋体" w:hAnsi="新宋体" w:eastAsia="新宋体"/>
          <w:sz w:val="24"/>
        </w:rPr>
      </w:pPr>
      <w:r>
        <w:rPr>
          <w:rFonts w:hint="eastAsia" w:ascii="新宋体" w:hAnsi="新宋体" w:eastAsia="新宋体"/>
          <w:sz w:val="24"/>
          <w:szCs w:val="24"/>
        </w:rPr>
        <w:t>3.</w:t>
      </w:r>
      <w:r>
        <w:rPr>
          <w:rFonts w:ascii="新宋体" w:hAnsi="新宋体" w:eastAsia="新宋体"/>
          <w:sz w:val="24"/>
          <w:szCs w:val="24"/>
        </w:rPr>
        <w:t>投标与开标注意事项：</w:t>
      </w:r>
    </w:p>
    <w:p>
      <w:pPr>
        <w:pStyle w:val="32"/>
        <w:adjustRightInd w:val="0"/>
        <w:snapToGrid w:val="0"/>
        <w:spacing w:line="400" w:lineRule="exact"/>
        <w:ind w:firstLine="480" w:firstLineChars="200"/>
        <w:rPr>
          <w:rFonts w:ascii="新宋体" w:hAnsi="新宋体" w:eastAsia="新宋体"/>
          <w:sz w:val="24"/>
          <w:szCs w:val="24"/>
        </w:rPr>
      </w:pPr>
      <w:r>
        <w:rPr>
          <w:rFonts w:ascii="新宋体" w:hAnsi="新宋体" w:eastAsia="新宋体"/>
          <w:sz w:val="24"/>
          <w:szCs w:val="24"/>
        </w:rPr>
        <w:t>①本项目实行网上投标，</w:t>
      </w:r>
      <w:r>
        <w:rPr>
          <w:rFonts w:hint="eastAsia" w:ascii="新宋体" w:hAnsi="新宋体" w:eastAsia="新宋体"/>
          <w:sz w:val="24"/>
          <w:szCs w:val="24"/>
        </w:rPr>
        <w:t>获取文件后供应商即可参投，投标方在投标截止时间之前上传</w:t>
      </w:r>
      <w:r>
        <w:rPr>
          <w:rFonts w:ascii="新宋体" w:hAnsi="新宋体" w:eastAsia="新宋体"/>
          <w:sz w:val="24"/>
          <w:szCs w:val="24"/>
        </w:rPr>
        <w:t>电子投标文件。供应商参与投标，</w:t>
      </w:r>
      <w:r>
        <w:rPr>
          <w:rFonts w:hint="eastAsia" w:ascii="新宋体" w:hAnsi="新宋体" w:eastAsia="新宋体"/>
          <w:sz w:val="24"/>
          <w:szCs w:val="24"/>
        </w:rPr>
        <w:t>需</w:t>
      </w:r>
      <w:r>
        <w:rPr>
          <w:rFonts w:ascii="新宋体" w:hAnsi="新宋体" w:eastAsia="新宋体"/>
          <w:sz w:val="24"/>
          <w:szCs w:val="24"/>
        </w:rPr>
        <w:t>自行承担投标一切费用。</w:t>
      </w:r>
      <w:r>
        <w:rPr>
          <w:rFonts w:hint="eastAsia" w:ascii="新宋体" w:hAnsi="新宋体" w:eastAsia="新宋体"/>
          <w:sz w:val="24"/>
          <w:szCs w:val="24"/>
        </w:rPr>
        <w:t>网上投标操作咨询电话：0579-85583800，4008817190</w:t>
      </w:r>
      <w:r>
        <w:rPr>
          <w:rFonts w:ascii="新宋体" w:hAnsi="新宋体" w:eastAsia="新宋体"/>
          <w:sz w:val="24"/>
          <w:szCs w:val="24"/>
        </w:rPr>
        <w:t>。</w:t>
      </w:r>
    </w:p>
    <w:p>
      <w:pPr>
        <w:pStyle w:val="32"/>
        <w:adjustRightInd w:val="0"/>
        <w:snapToGrid w:val="0"/>
        <w:spacing w:line="400" w:lineRule="exact"/>
        <w:ind w:firstLine="480" w:firstLineChars="200"/>
        <w:rPr>
          <w:rFonts w:ascii="新宋体" w:hAnsi="新宋体" w:eastAsia="新宋体"/>
          <w:sz w:val="24"/>
          <w:szCs w:val="24"/>
        </w:rPr>
      </w:pPr>
      <w:r>
        <w:rPr>
          <w:rFonts w:ascii="新宋体" w:hAnsi="新宋体" w:eastAsia="新宋体"/>
          <w:sz w:val="24"/>
          <w:szCs w:val="24"/>
        </w:rPr>
        <w:t>②标前准备：各供应商应在开标前确保成为浙江省政府采购网正式注册入库供应商，并完成CA数字证书办理。</w:t>
      </w:r>
      <w:r>
        <w:rPr>
          <w:rFonts w:hint="eastAsia" w:ascii="新宋体" w:hAnsi="新宋体" w:eastAsia="新宋体"/>
          <w:sz w:val="24"/>
          <w:szCs w:val="24"/>
        </w:rPr>
        <w:t>【</w:t>
      </w:r>
      <w:r>
        <w:rPr>
          <w:rFonts w:ascii="新宋体" w:hAnsi="新宋体" w:eastAsia="新宋体"/>
          <w:sz w:val="24"/>
          <w:szCs w:val="24"/>
        </w:rPr>
        <w:t>办理流程详见</w:t>
      </w:r>
      <w:r>
        <w:rPr>
          <w:rFonts w:hint="eastAsia" w:ascii="新宋体" w:hAnsi="新宋体" w:eastAsia="新宋体"/>
          <w:sz w:val="24"/>
          <w:szCs w:val="24"/>
        </w:rPr>
        <w:t>电子投标工具链接，（目前“政采云”平台仅支持浙江汇信或天谷CA锁，个体工商户投标仅支持浙江汇信CA锁），</w:t>
      </w:r>
      <w:r>
        <w:rPr>
          <w:rFonts w:ascii="新宋体" w:hAnsi="新宋体" w:eastAsia="新宋体"/>
          <w:sz w:val="24"/>
          <w:szCs w:val="24"/>
        </w:rPr>
        <w:t>申领操作流程</w:t>
      </w:r>
      <w:r>
        <w:rPr>
          <w:rFonts w:hint="eastAsia" w:ascii="新宋体" w:hAnsi="新宋体" w:eastAsia="新宋体"/>
          <w:sz w:val="24"/>
          <w:szCs w:val="24"/>
        </w:rPr>
        <w:t>】</w:t>
      </w:r>
      <w:r>
        <w:rPr>
          <w:rFonts w:ascii="新宋体" w:hAnsi="新宋体" w:eastAsia="新宋体"/>
          <w:sz w:val="24"/>
          <w:szCs w:val="24"/>
        </w:rPr>
        <w:t>。因未注册入库、未办理CA数字证书等原因造成无法投标或投标失败等后果由供应商自行承担。</w:t>
      </w:r>
    </w:p>
    <w:p>
      <w:pPr>
        <w:pStyle w:val="32"/>
        <w:adjustRightInd w:val="0"/>
        <w:snapToGrid w:val="0"/>
        <w:spacing w:line="400" w:lineRule="exact"/>
        <w:ind w:firstLine="480" w:firstLineChars="200"/>
        <w:rPr>
          <w:rFonts w:hint="eastAsia" w:ascii="新宋体" w:hAnsi="新宋体" w:eastAsia="新宋体"/>
          <w:sz w:val="24"/>
          <w:szCs w:val="24"/>
        </w:rPr>
      </w:pPr>
      <w:r>
        <w:rPr>
          <w:rFonts w:ascii="新宋体" w:hAnsi="新宋体" w:eastAsia="新宋体"/>
          <w:sz w:val="24"/>
          <w:szCs w:val="24"/>
        </w:rPr>
        <w:t>③投标文件制作：投标人通过“政采云”平台电子投标工具制作投标文件，电子投标工具请供应商自行前往浙江省政府采购网下载并安装，投标文件制作具体流程详见“政采云供应商项目采购-电子招投标操作指南”（请投标供应商登陆政采云平台政府采购电子卖场后</w:t>
      </w:r>
      <w:r>
        <w:rPr>
          <w:rFonts w:hint="eastAsia" w:ascii="新宋体" w:hAnsi="新宋体" w:eastAsia="新宋体"/>
          <w:sz w:val="24"/>
          <w:szCs w:val="24"/>
        </w:rPr>
        <w:t>，</w:t>
      </w:r>
      <w:r>
        <w:rPr>
          <w:rFonts w:ascii="新宋体" w:hAnsi="新宋体" w:eastAsia="新宋体"/>
          <w:sz w:val="24"/>
          <w:szCs w:val="24"/>
        </w:rPr>
        <w:t>点击链接https://service.zcygov.cn/#/knowledges/CW1EtGwBFdiHxlNd6I3m/6IMVAG0BFdiHxlNdQ8Na）以获取最新操作指南。</w:t>
      </w:r>
      <w:r>
        <w:rPr>
          <w:rFonts w:hint="eastAsia" w:ascii="新宋体" w:hAnsi="新宋体" w:eastAsia="新宋体"/>
          <w:sz w:val="24"/>
          <w:szCs w:val="24"/>
        </w:rPr>
        <w:t>咨询电话：0579-85583800，傅先生。</w:t>
      </w:r>
    </w:p>
    <w:p>
      <w:pPr>
        <w:pStyle w:val="32"/>
        <w:adjustRightInd w:val="0"/>
        <w:snapToGrid w:val="0"/>
        <w:spacing w:line="400" w:lineRule="exact"/>
        <w:ind w:firstLine="480" w:firstLineChars="200"/>
        <w:rPr>
          <w:rFonts w:hint="eastAsia" w:ascii="新宋体" w:hAnsi="新宋体" w:eastAsia="新宋体"/>
          <w:sz w:val="24"/>
          <w:szCs w:val="24"/>
        </w:rPr>
      </w:pPr>
      <w:r>
        <w:rPr>
          <w:rFonts w:hint="eastAsia" w:hAnsi="宋体"/>
          <w:sz w:val="24"/>
        </w:rPr>
        <w:t>4.资格审查：本项目无需报名，供应商可直接参投。</w:t>
      </w:r>
      <w:r>
        <w:rPr>
          <w:rFonts w:hAnsi="宋体"/>
          <w:sz w:val="24"/>
        </w:rPr>
        <w:t>供应商资格采用资格后审方式由评标委员会进行审查。</w:t>
      </w:r>
    </w:p>
    <w:p>
      <w:pPr>
        <w:snapToGrid w:val="0"/>
        <w:spacing w:line="400" w:lineRule="exact"/>
        <w:ind w:firstLine="482" w:firstLineChars="200"/>
        <w:rPr>
          <w:rFonts w:hint="eastAsia" w:ascii="新宋体" w:hAnsi="新宋体" w:eastAsia="新宋体" w:cs="新宋体"/>
          <w:b/>
          <w:sz w:val="24"/>
        </w:rPr>
      </w:pPr>
      <w:r>
        <w:rPr>
          <w:rFonts w:hint="eastAsia" w:ascii="新宋体" w:hAnsi="新宋体" w:eastAsia="新宋体" w:cs="新宋体"/>
          <w:b/>
          <w:sz w:val="24"/>
        </w:rPr>
        <w:t>七、对本次招标提出询问、质疑、投诉，请按以下方式联系：</w:t>
      </w:r>
    </w:p>
    <w:p>
      <w:pPr>
        <w:snapToGrid w:val="0"/>
        <w:spacing w:line="400" w:lineRule="exact"/>
        <w:ind w:firstLine="482" w:firstLineChars="200"/>
        <w:rPr>
          <w:rFonts w:hint="eastAsia" w:ascii="新宋体" w:hAnsi="新宋体" w:eastAsia="新宋体" w:cs="新宋体"/>
          <w:b/>
          <w:sz w:val="24"/>
        </w:rPr>
      </w:pPr>
      <w:r>
        <w:rPr>
          <w:rFonts w:hint="eastAsia" w:ascii="新宋体" w:hAnsi="新宋体" w:eastAsia="新宋体" w:cs="新宋体"/>
          <w:b/>
          <w:sz w:val="24"/>
        </w:rPr>
        <w:t>采购人信息</w:t>
      </w:r>
    </w:p>
    <w:p>
      <w:pPr>
        <w:pStyle w:val="32"/>
        <w:adjustRightInd w:val="0"/>
        <w:snapToGrid w:val="0"/>
        <w:spacing w:line="4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单位名称：</w:t>
      </w:r>
      <w:r>
        <w:rPr>
          <w:rFonts w:hint="eastAsia" w:ascii="新宋体" w:hAnsi="新宋体" w:eastAsia="新宋体" w:cs="新宋体"/>
          <w:sz w:val="24"/>
          <w:szCs w:val="24"/>
        </w:rPr>
        <w:t>国家税务总局义乌市税务局</w:t>
      </w:r>
    </w:p>
    <w:p>
      <w:pPr>
        <w:pStyle w:val="32"/>
        <w:adjustRightInd w:val="0"/>
        <w:snapToGrid w:val="0"/>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rPr>
        <w:t>单位</w:t>
      </w:r>
      <w:r>
        <w:rPr>
          <w:rFonts w:hint="eastAsia" w:ascii="新宋体" w:hAnsi="新宋体" w:eastAsia="新宋体" w:cs="新宋体"/>
          <w:sz w:val="24"/>
          <w:szCs w:val="24"/>
        </w:rPr>
        <w:t>地址：义乌市稠州北路369号827室</w:t>
      </w:r>
    </w:p>
    <w:p>
      <w:pPr>
        <w:pStyle w:val="32"/>
        <w:adjustRightInd w:val="0"/>
        <w:snapToGrid w:val="0"/>
        <w:spacing w:line="4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项目联系人：龚伟怀</w:t>
      </w:r>
    </w:p>
    <w:p>
      <w:pPr>
        <w:pStyle w:val="32"/>
        <w:adjustRightInd w:val="0"/>
        <w:snapToGrid w:val="0"/>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项目联系方式：0579-89907016</w:t>
      </w:r>
    </w:p>
    <w:p>
      <w:pPr>
        <w:pStyle w:val="32"/>
        <w:adjustRightInd w:val="0"/>
        <w:snapToGrid w:val="0"/>
        <w:spacing w:line="4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质疑联系人： 冯跃军</w:t>
      </w:r>
    </w:p>
    <w:p>
      <w:pPr>
        <w:pStyle w:val="32"/>
        <w:adjustRightInd w:val="0"/>
        <w:snapToGrid w:val="0"/>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质疑联系方式：0579-89907016</w:t>
      </w:r>
    </w:p>
    <w:p>
      <w:pPr>
        <w:snapToGrid w:val="0"/>
        <w:spacing w:line="400" w:lineRule="exact"/>
        <w:ind w:firstLine="482" w:firstLineChars="200"/>
        <w:rPr>
          <w:rFonts w:hint="eastAsia" w:ascii="新宋体" w:hAnsi="新宋体" w:eastAsia="新宋体" w:cs="新宋体"/>
          <w:b/>
          <w:sz w:val="24"/>
        </w:rPr>
      </w:pPr>
      <w:r>
        <w:rPr>
          <w:rFonts w:hint="eastAsia" w:ascii="新宋体" w:hAnsi="新宋体" w:eastAsia="新宋体" w:cs="新宋体"/>
          <w:b/>
          <w:sz w:val="24"/>
        </w:rPr>
        <w:t>2.采购代理机构信息</w:t>
      </w:r>
    </w:p>
    <w:p>
      <w:pPr>
        <w:pStyle w:val="32"/>
        <w:adjustRightInd w:val="0"/>
        <w:snapToGrid w:val="0"/>
        <w:spacing w:line="4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单位名称：义乌市政府采购中心</w:t>
      </w:r>
    </w:p>
    <w:p>
      <w:pPr>
        <w:pStyle w:val="32"/>
        <w:adjustRightInd w:val="0"/>
        <w:snapToGrid w:val="0"/>
        <w:spacing w:line="4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单位地址：义乌市望道路300号4楼</w:t>
      </w:r>
    </w:p>
    <w:p>
      <w:pPr>
        <w:pStyle w:val="32"/>
        <w:adjustRightInd w:val="0"/>
        <w:snapToGrid w:val="0"/>
        <w:spacing w:line="4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传真：0579-85583812</w:t>
      </w:r>
    </w:p>
    <w:p>
      <w:pPr>
        <w:pStyle w:val="32"/>
        <w:adjustRightInd w:val="0"/>
        <w:snapToGrid w:val="0"/>
        <w:spacing w:line="4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 xml:space="preserve">项目联系人：陈莹媛 </w:t>
      </w:r>
    </w:p>
    <w:p>
      <w:pPr>
        <w:pStyle w:val="32"/>
        <w:adjustRightInd w:val="0"/>
        <w:snapToGrid w:val="0"/>
        <w:spacing w:line="4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项目联系方式：0579-85583807</w:t>
      </w:r>
    </w:p>
    <w:p>
      <w:pPr>
        <w:pStyle w:val="32"/>
        <w:adjustRightInd w:val="0"/>
        <w:snapToGrid w:val="0"/>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质疑联系人：洪艳</w:t>
      </w:r>
    </w:p>
    <w:p>
      <w:pPr>
        <w:pStyle w:val="32"/>
        <w:adjustRightInd w:val="0"/>
        <w:snapToGrid w:val="0"/>
        <w:spacing w:line="4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质疑联系方式：0579-85583803</w:t>
      </w:r>
    </w:p>
    <w:p>
      <w:pPr>
        <w:snapToGrid w:val="0"/>
        <w:spacing w:line="400" w:lineRule="exact"/>
        <w:ind w:firstLine="482" w:firstLineChars="200"/>
        <w:rPr>
          <w:rFonts w:hint="eastAsia" w:ascii="新宋体" w:hAnsi="新宋体" w:eastAsia="新宋体" w:cs="新宋体"/>
          <w:b/>
          <w:sz w:val="24"/>
        </w:rPr>
      </w:pPr>
      <w:r>
        <w:rPr>
          <w:rFonts w:hint="eastAsia" w:ascii="新宋体" w:hAnsi="新宋体" w:eastAsia="新宋体" w:cs="新宋体"/>
          <w:b/>
          <w:sz w:val="24"/>
        </w:rPr>
        <w:t>3.同级政府采购监督管理部门</w:t>
      </w:r>
    </w:p>
    <w:p>
      <w:pPr>
        <w:pStyle w:val="32"/>
        <w:adjustRightInd w:val="0"/>
        <w:snapToGrid w:val="0"/>
        <w:spacing w:line="4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单位名称：义乌市财政局</w:t>
      </w:r>
    </w:p>
    <w:p>
      <w:pPr>
        <w:pStyle w:val="32"/>
        <w:adjustRightInd w:val="0"/>
        <w:snapToGrid w:val="0"/>
        <w:spacing w:line="4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单位地址：义乌市望道路300号5楼</w:t>
      </w:r>
    </w:p>
    <w:p>
      <w:pPr>
        <w:pStyle w:val="32"/>
        <w:adjustRightInd w:val="0"/>
        <w:snapToGrid w:val="0"/>
        <w:spacing w:line="4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联系人 ：龚珊珊</w:t>
      </w:r>
    </w:p>
    <w:p>
      <w:pPr>
        <w:pStyle w:val="32"/>
        <w:adjustRightInd w:val="0"/>
        <w:snapToGrid w:val="0"/>
        <w:spacing w:line="400" w:lineRule="exact"/>
        <w:ind w:firstLine="480" w:firstLineChars="200"/>
        <w:rPr>
          <w:rFonts w:hint="eastAsia" w:ascii="新宋体" w:hAnsi="新宋体" w:eastAsia="新宋体" w:cs="新宋体"/>
          <w:b/>
          <w:sz w:val="24"/>
          <w:szCs w:val="24"/>
        </w:rPr>
      </w:pPr>
      <w:r>
        <w:rPr>
          <w:rFonts w:hint="eastAsia" w:ascii="新宋体" w:hAnsi="新宋体" w:eastAsia="新宋体" w:cs="新宋体"/>
          <w:sz w:val="24"/>
        </w:rPr>
        <w:t>监督投诉电话：0579-89915078</w:t>
      </w:r>
    </w:p>
    <w:p>
      <w:pPr>
        <w:pStyle w:val="32"/>
        <w:adjustRightInd w:val="0"/>
        <w:snapToGrid w:val="0"/>
        <w:spacing w:line="400" w:lineRule="exact"/>
        <w:ind w:firstLine="6840" w:firstLineChars="2850"/>
        <w:rPr>
          <w:rFonts w:hint="eastAsia" w:ascii="新宋体" w:hAnsi="新宋体" w:eastAsia="新宋体"/>
          <w:sz w:val="24"/>
          <w:szCs w:val="24"/>
        </w:rPr>
      </w:pPr>
    </w:p>
    <w:p>
      <w:pPr>
        <w:pStyle w:val="32"/>
        <w:adjustRightInd w:val="0"/>
        <w:snapToGrid w:val="0"/>
        <w:spacing w:line="400" w:lineRule="exact"/>
        <w:ind w:firstLine="6840" w:firstLineChars="2850"/>
        <w:rPr>
          <w:rFonts w:hint="eastAsia" w:ascii="新宋体" w:hAnsi="新宋体" w:eastAsia="新宋体"/>
          <w:sz w:val="24"/>
          <w:szCs w:val="24"/>
        </w:rPr>
      </w:pPr>
    </w:p>
    <w:p>
      <w:pPr>
        <w:pStyle w:val="32"/>
        <w:adjustRightInd w:val="0"/>
        <w:snapToGrid w:val="0"/>
        <w:spacing w:line="400" w:lineRule="exact"/>
        <w:ind w:firstLine="5760" w:firstLineChars="2400"/>
        <w:rPr>
          <w:rFonts w:hint="eastAsia" w:ascii="新宋体" w:hAnsi="新宋体" w:eastAsia="新宋体"/>
          <w:sz w:val="24"/>
          <w:szCs w:val="24"/>
        </w:rPr>
      </w:pPr>
      <w:r>
        <w:rPr>
          <w:rFonts w:hint="eastAsia" w:ascii="新宋体" w:hAnsi="新宋体" w:eastAsia="新宋体"/>
          <w:sz w:val="24"/>
          <w:szCs w:val="24"/>
        </w:rPr>
        <w:t>国家税务总局义乌市税务局</w:t>
      </w:r>
    </w:p>
    <w:p>
      <w:pPr>
        <w:pStyle w:val="32"/>
        <w:adjustRightInd w:val="0"/>
        <w:snapToGrid w:val="0"/>
        <w:spacing w:line="400" w:lineRule="exact"/>
        <w:ind w:firstLine="7080" w:firstLineChars="2950"/>
        <w:rPr>
          <w:rFonts w:hint="eastAsia" w:ascii="新宋体" w:hAnsi="新宋体" w:eastAsia="新宋体"/>
          <w:sz w:val="24"/>
          <w:szCs w:val="24"/>
        </w:rPr>
      </w:pPr>
      <w:r>
        <w:rPr>
          <w:rFonts w:hint="eastAsia" w:ascii="新宋体" w:hAnsi="新宋体" w:eastAsia="新宋体"/>
          <w:sz w:val="24"/>
          <w:szCs w:val="24"/>
        </w:rPr>
        <w:t>义乌市政府采购中心</w:t>
      </w:r>
    </w:p>
    <w:p>
      <w:pPr>
        <w:pStyle w:val="32"/>
        <w:adjustRightInd w:val="0"/>
        <w:snapToGrid w:val="0"/>
        <w:spacing w:line="400" w:lineRule="exact"/>
        <w:ind w:firstLine="7320" w:firstLineChars="3050"/>
        <w:rPr>
          <w:rFonts w:hint="eastAsia" w:ascii="新宋体" w:hAnsi="新宋体" w:eastAsia="新宋体"/>
          <w:sz w:val="24"/>
          <w:szCs w:val="24"/>
        </w:rPr>
      </w:pPr>
      <w:r>
        <w:rPr>
          <w:rFonts w:hint="eastAsia" w:ascii="新宋体" w:hAnsi="新宋体" w:eastAsia="新宋体"/>
          <w:sz w:val="24"/>
          <w:szCs w:val="24"/>
        </w:rPr>
        <w:t>2020年00月00日</w:t>
      </w:r>
    </w:p>
    <w:p>
      <w:pPr>
        <w:pStyle w:val="32"/>
        <w:adjustRightInd w:val="0"/>
        <w:snapToGrid w:val="0"/>
        <w:spacing w:line="400" w:lineRule="exact"/>
        <w:ind w:firstLine="7320" w:firstLineChars="3050"/>
        <w:rPr>
          <w:rFonts w:hint="eastAsia" w:ascii="新宋体" w:hAnsi="新宋体" w:eastAsia="新宋体"/>
          <w:sz w:val="24"/>
          <w:szCs w:val="24"/>
        </w:rPr>
      </w:pPr>
    </w:p>
    <w:p>
      <w:pPr>
        <w:pStyle w:val="3"/>
        <w:numPr>
          <w:ilvl w:val="0"/>
          <w:numId w:val="0"/>
        </w:numPr>
        <w:spacing w:before="0" w:after="0" w:line="400" w:lineRule="exact"/>
        <w:jc w:val="center"/>
        <w:rPr>
          <w:rFonts w:hint="eastAsia" w:ascii="新宋体" w:hAnsi="新宋体" w:eastAsia="新宋体"/>
          <w:sz w:val="36"/>
        </w:rPr>
      </w:pPr>
      <w:r>
        <w:rPr>
          <w:rFonts w:hint="eastAsia" w:ascii="新宋体" w:hAnsi="新宋体" w:eastAsia="新宋体"/>
          <w:sz w:val="24"/>
          <w:szCs w:val="24"/>
        </w:rPr>
        <w:br w:type="page"/>
      </w:r>
      <w:bookmarkStart w:id="1" w:name="_Toc476731359"/>
      <w:bookmarkStart w:id="2" w:name="_Toc20260"/>
      <w:r>
        <w:rPr>
          <w:rFonts w:hint="eastAsia" w:ascii="新宋体" w:hAnsi="新宋体" w:eastAsia="新宋体"/>
          <w:sz w:val="36"/>
        </w:rPr>
        <w:t>第二章　投标须知和投标须知前附表</w:t>
      </w:r>
      <w:bookmarkEnd w:id="1"/>
      <w:bookmarkEnd w:id="2"/>
    </w:p>
    <w:p>
      <w:pPr>
        <w:spacing w:line="400" w:lineRule="exact"/>
        <w:ind w:firstLine="602" w:firstLineChars="200"/>
        <w:jc w:val="center"/>
        <w:rPr>
          <w:rFonts w:hint="eastAsia" w:ascii="新宋体" w:hAnsi="新宋体" w:eastAsia="新宋体"/>
          <w:b/>
          <w:sz w:val="30"/>
          <w:szCs w:val="30"/>
        </w:rPr>
      </w:pPr>
      <w:r>
        <w:rPr>
          <w:rFonts w:hint="eastAsia" w:ascii="新宋体" w:hAnsi="新宋体" w:eastAsia="新宋体"/>
          <w:b/>
          <w:sz w:val="30"/>
          <w:szCs w:val="30"/>
        </w:rPr>
        <w:t>投标须知前附表</w:t>
      </w:r>
    </w:p>
    <w:tbl>
      <w:tblPr>
        <w:tblStyle w:val="61"/>
        <w:tblW w:w="9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70"/>
        <w:gridCol w:w="7560"/>
      </w:tblGrid>
      <w:tr>
        <w:tblPrEx>
          <w:tblLayout w:type="fixed"/>
        </w:tblPrEx>
        <w:trPr>
          <w:trHeight w:val="602" w:hRule="atLeast"/>
          <w:jc w:val="center"/>
        </w:trPr>
        <w:tc>
          <w:tcPr>
            <w:tcW w:w="720" w:type="dxa"/>
            <w:vAlign w:val="center"/>
          </w:tcPr>
          <w:p>
            <w:pPr>
              <w:spacing w:line="400" w:lineRule="exact"/>
              <w:jc w:val="center"/>
              <w:rPr>
                <w:rFonts w:hint="eastAsia" w:ascii="新宋体" w:hAnsi="新宋体" w:eastAsia="新宋体"/>
                <w:b/>
                <w:sz w:val="24"/>
              </w:rPr>
            </w:pPr>
            <w:r>
              <w:rPr>
                <w:rFonts w:hint="eastAsia" w:ascii="新宋体" w:hAnsi="新宋体" w:eastAsia="新宋体"/>
                <w:b/>
                <w:sz w:val="24"/>
              </w:rPr>
              <w:t>序号</w:t>
            </w:r>
          </w:p>
        </w:tc>
        <w:tc>
          <w:tcPr>
            <w:tcW w:w="9230" w:type="dxa"/>
            <w:gridSpan w:val="2"/>
            <w:vAlign w:val="center"/>
          </w:tcPr>
          <w:p>
            <w:pPr>
              <w:spacing w:line="400" w:lineRule="exact"/>
              <w:jc w:val="center"/>
              <w:rPr>
                <w:rFonts w:hint="eastAsia" w:ascii="新宋体" w:hAnsi="新宋体" w:eastAsia="新宋体"/>
                <w:b/>
                <w:sz w:val="24"/>
              </w:rPr>
            </w:pPr>
            <w:r>
              <w:rPr>
                <w:rFonts w:hint="eastAsia" w:ascii="新宋体" w:hAnsi="新宋体" w:eastAsia="新宋体"/>
                <w:b/>
                <w:sz w:val="24"/>
              </w:rPr>
              <w:t>内容规定</w:t>
            </w:r>
          </w:p>
        </w:tc>
      </w:tr>
      <w:tr>
        <w:tblPrEx>
          <w:tblLayout w:type="fixed"/>
        </w:tblPrEx>
        <w:trPr>
          <w:trHeight w:val="519" w:hRule="atLeast"/>
          <w:jc w:val="center"/>
        </w:trPr>
        <w:tc>
          <w:tcPr>
            <w:tcW w:w="720" w:type="dxa"/>
            <w:vAlign w:val="center"/>
          </w:tcPr>
          <w:p>
            <w:pPr>
              <w:spacing w:line="400" w:lineRule="exact"/>
              <w:ind w:firstLine="240" w:firstLineChars="100"/>
              <w:rPr>
                <w:rFonts w:hint="eastAsia" w:ascii="新宋体" w:hAnsi="新宋体" w:eastAsia="新宋体"/>
                <w:sz w:val="24"/>
              </w:rPr>
            </w:pPr>
            <w:r>
              <w:rPr>
                <w:rFonts w:hint="eastAsia" w:ascii="新宋体" w:hAnsi="新宋体" w:eastAsia="新宋体"/>
                <w:sz w:val="24"/>
              </w:rPr>
              <w:t>1</w:t>
            </w:r>
          </w:p>
        </w:tc>
        <w:tc>
          <w:tcPr>
            <w:tcW w:w="167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项目综合说明</w:t>
            </w:r>
          </w:p>
        </w:tc>
        <w:tc>
          <w:tcPr>
            <w:tcW w:w="7560" w:type="dxa"/>
            <w:vAlign w:val="center"/>
          </w:tcPr>
          <w:p>
            <w:pPr>
              <w:spacing w:beforeLines="50" w:line="400" w:lineRule="exact"/>
              <w:rPr>
                <w:rFonts w:hint="eastAsia" w:ascii="新宋体" w:hAnsi="新宋体" w:eastAsia="新宋体"/>
                <w:sz w:val="24"/>
              </w:rPr>
            </w:pPr>
            <w:r>
              <w:rPr>
                <w:rFonts w:hint="eastAsia" w:ascii="新宋体" w:hAnsi="新宋体" w:eastAsia="新宋体"/>
                <w:sz w:val="24"/>
              </w:rPr>
              <w:t>项目名称：</w:t>
            </w:r>
            <w:r>
              <w:rPr>
                <w:rFonts w:hint="eastAsia" w:ascii="新宋体" w:hAnsi="新宋体" w:eastAsia="新宋体"/>
                <w:sz w:val="24"/>
                <w:szCs w:val="20"/>
              </w:rPr>
              <w:t>机关大楼物业管理采购</w:t>
            </w:r>
          </w:p>
          <w:p>
            <w:pPr>
              <w:wordWrap w:val="0"/>
              <w:rPr>
                <w:rFonts w:hint="eastAsia" w:ascii="新宋体" w:hAnsi="新宋体" w:eastAsia="新宋体"/>
                <w:sz w:val="24"/>
              </w:rPr>
            </w:pPr>
            <w:r>
              <w:rPr>
                <w:rFonts w:hint="eastAsia" w:ascii="新宋体" w:hAnsi="新宋体" w:eastAsia="新宋体"/>
                <w:sz w:val="24"/>
              </w:rPr>
              <w:t>采购内容及数量：</w:t>
            </w:r>
            <w:r>
              <w:rPr>
                <w:rFonts w:hint="eastAsia" w:ascii="新宋体" w:hAnsi="新宋体" w:eastAsia="新宋体" w:cs="宋体"/>
                <w:kern w:val="0"/>
                <w:sz w:val="24"/>
              </w:rPr>
              <w:t>具体见《第三章招标项目要求》。</w:t>
            </w:r>
          </w:p>
        </w:tc>
      </w:tr>
      <w:tr>
        <w:tblPrEx>
          <w:tblLayout w:type="fixed"/>
        </w:tblPrEx>
        <w:trPr>
          <w:trHeight w:val="248"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2</w:t>
            </w:r>
          </w:p>
        </w:tc>
        <w:tc>
          <w:tcPr>
            <w:tcW w:w="167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招标方式</w:t>
            </w:r>
          </w:p>
        </w:tc>
        <w:tc>
          <w:tcPr>
            <w:tcW w:w="7560" w:type="dxa"/>
            <w:vAlign w:val="center"/>
          </w:tcPr>
          <w:p>
            <w:pPr>
              <w:spacing w:line="400" w:lineRule="exact"/>
              <w:rPr>
                <w:rFonts w:hint="eastAsia" w:ascii="新宋体" w:hAnsi="新宋体" w:eastAsia="新宋体"/>
                <w:sz w:val="24"/>
              </w:rPr>
            </w:pPr>
            <w:r>
              <w:rPr>
                <w:rFonts w:hint="eastAsia" w:ascii="新宋体" w:hAnsi="新宋体" w:eastAsia="新宋体"/>
                <w:sz w:val="24"/>
              </w:rPr>
              <w:t>公开招标</w:t>
            </w:r>
          </w:p>
        </w:tc>
      </w:tr>
      <w:tr>
        <w:tblPrEx>
          <w:tblLayout w:type="fixed"/>
        </w:tblPrEx>
        <w:trPr>
          <w:trHeight w:val="466"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3</w:t>
            </w:r>
          </w:p>
        </w:tc>
        <w:tc>
          <w:tcPr>
            <w:tcW w:w="167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投标人资格要求</w:t>
            </w:r>
          </w:p>
        </w:tc>
        <w:tc>
          <w:tcPr>
            <w:tcW w:w="7560" w:type="dxa"/>
            <w:vAlign w:val="center"/>
          </w:tcPr>
          <w:p>
            <w:pPr>
              <w:spacing w:line="400" w:lineRule="exact"/>
              <w:rPr>
                <w:rFonts w:hint="eastAsia" w:ascii="新宋体" w:hAnsi="新宋体" w:eastAsia="新宋体"/>
                <w:sz w:val="24"/>
              </w:rPr>
            </w:pPr>
            <w:r>
              <w:rPr>
                <w:rFonts w:hint="eastAsia" w:ascii="新宋体" w:hAnsi="新宋体" w:eastAsia="新宋体" w:cs="宋体"/>
                <w:kern w:val="0"/>
                <w:sz w:val="24"/>
              </w:rPr>
              <w:t>详见招标公告</w:t>
            </w:r>
          </w:p>
        </w:tc>
      </w:tr>
      <w:tr>
        <w:tblPrEx>
          <w:tblLayout w:type="fixed"/>
        </w:tblPrEx>
        <w:trPr>
          <w:trHeight w:val="278"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4</w:t>
            </w:r>
          </w:p>
        </w:tc>
        <w:tc>
          <w:tcPr>
            <w:tcW w:w="167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交货日期</w:t>
            </w:r>
          </w:p>
        </w:tc>
        <w:tc>
          <w:tcPr>
            <w:tcW w:w="7560" w:type="dxa"/>
            <w:vAlign w:val="center"/>
          </w:tcPr>
          <w:p>
            <w:pPr>
              <w:spacing w:line="400" w:lineRule="exact"/>
              <w:rPr>
                <w:rFonts w:hint="eastAsia" w:ascii="新宋体" w:hAnsi="新宋体" w:eastAsia="新宋体"/>
                <w:sz w:val="24"/>
              </w:rPr>
            </w:pPr>
            <w:r>
              <w:rPr>
                <w:rFonts w:hint="eastAsia" w:ascii="新宋体" w:hAnsi="新宋体" w:eastAsia="新宋体"/>
                <w:sz w:val="24"/>
              </w:rPr>
              <w:t>详见第三章招标项目具体要求</w:t>
            </w:r>
          </w:p>
        </w:tc>
      </w:tr>
      <w:tr>
        <w:tblPrEx>
          <w:tblLayout w:type="fixed"/>
        </w:tblPrEx>
        <w:trPr>
          <w:trHeight w:val="530"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5</w:t>
            </w:r>
          </w:p>
        </w:tc>
        <w:tc>
          <w:tcPr>
            <w:tcW w:w="167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采购文件获取时间和方式</w:t>
            </w:r>
          </w:p>
        </w:tc>
        <w:tc>
          <w:tcPr>
            <w:tcW w:w="7560" w:type="dxa"/>
            <w:vAlign w:val="center"/>
          </w:tcPr>
          <w:p>
            <w:pPr>
              <w:spacing w:line="400" w:lineRule="exact"/>
              <w:rPr>
                <w:rFonts w:hint="eastAsia" w:ascii="新宋体" w:hAnsi="新宋体" w:eastAsia="新宋体"/>
                <w:sz w:val="24"/>
              </w:rPr>
            </w:pPr>
            <w:r>
              <w:rPr>
                <w:rFonts w:hint="eastAsia" w:ascii="新宋体" w:hAnsi="新宋体" w:eastAsia="新宋体"/>
                <w:sz w:val="24"/>
              </w:rPr>
              <w:t>详见招标公告</w:t>
            </w:r>
          </w:p>
        </w:tc>
      </w:tr>
      <w:tr>
        <w:tblPrEx>
          <w:tblLayout w:type="fixed"/>
        </w:tblPrEx>
        <w:trPr>
          <w:trHeight w:val="1370"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6</w:t>
            </w:r>
          </w:p>
        </w:tc>
        <w:tc>
          <w:tcPr>
            <w:tcW w:w="167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现场踏勘</w:t>
            </w:r>
          </w:p>
        </w:tc>
        <w:tc>
          <w:tcPr>
            <w:tcW w:w="7560" w:type="dxa"/>
            <w:vAlign w:val="center"/>
          </w:tcPr>
          <w:p>
            <w:pPr>
              <w:spacing w:line="400" w:lineRule="exact"/>
              <w:rPr>
                <w:rFonts w:hint="eastAsia" w:ascii="新宋体" w:hAnsi="新宋体" w:eastAsia="新宋体"/>
                <w:sz w:val="24"/>
              </w:rPr>
            </w:pPr>
            <w:r>
              <w:rPr>
                <w:rFonts w:hint="eastAsia" w:ascii="新宋体" w:hAnsi="新宋体" w:eastAsia="新宋体"/>
                <w:sz w:val="24"/>
              </w:rPr>
              <w:t>本项目采购人不组织现场踏勘，投标前，投标人应自行到项目所在地踏勘，对项目实施现场及周边环境等进行勘察，以获取编制投标文件和签署合同所需的所有资料，否则，由此所造成的一切后果由投标人自行承担。</w:t>
            </w:r>
          </w:p>
        </w:tc>
      </w:tr>
      <w:tr>
        <w:tblPrEx>
          <w:tblLayout w:type="fixed"/>
        </w:tblPrEx>
        <w:trPr>
          <w:trHeight w:val="925"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7</w:t>
            </w:r>
          </w:p>
        </w:tc>
        <w:tc>
          <w:tcPr>
            <w:tcW w:w="167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招标答疑截止时间</w:t>
            </w:r>
          </w:p>
        </w:tc>
        <w:tc>
          <w:tcPr>
            <w:tcW w:w="7560" w:type="dxa"/>
            <w:vAlign w:val="center"/>
          </w:tcPr>
          <w:p>
            <w:pPr>
              <w:rPr>
                <w:rFonts w:hint="eastAsia" w:ascii="新宋体" w:hAnsi="新宋体" w:eastAsia="新宋体"/>
                <w:sz w:val="24"/>
              </w:rPr>
            </w:pPr>
            <w:r>
              <w:rPr>
                <w:rFonts w:hint="eastAsia" w:ascii="新宋体" w:hAnsi="新宋体" w:eastAsia="新宋体"/>
                <w:sz w:val="24"/>
              </w:rPr>
              <w:t>答疑与澄清：潜在供应商如认为招标文件表述不清晰、存在歧视性、排他性或者其他违法内容的，可以自收到采购文件之日或者采购文件公告期限届满之日（公告期限届满后获取采购文件的，以公告期限届满之日为准）起7个工作日内，以书面递交或传真形式要求招标方作出书面解释、澄清或者向招标方提出书面质疑；本项目不组织答疑会；招标方的答疑内容和书面澄清文件是招标文件的组成部份，招标方的书面澄清（更正）文件会在浙江政府采购网上发布公告，同时政采云系统会向所有已按招标文件规定方式获取招标文件的潜在供应商发送澄清（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tc>
      </w:tr>
      <w:tr>
        <w:tblPrEx>
          <w:tblLayout w:type="fixed"/>
        </w:tblPrEx>
        <w:trPr>
          <w:trHeight w:val="414"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8</w:t>
            </w:r>
          </w:p>
        </w:tc>
        <w:tc>
          <w:tcPr>
            <w:tcW w:w="167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投标有效期</w:t>
            </w:r>
          </w:p>
        </w:tc>
        <w:tc>
          <w:tcPr>
            <w:tcW w:w="7560" w:type="dxa"/>
            <w:vAlign w:val="center"/>
          </w:tcPr>
          <w:p>
            <w:pPr>
              <w:spacing w:line="400" w:lineRule="exact"/>
              <w:rPr>
                <w:rFonts w:hint="eastAsia" w:ascii="新宋体" w:hAnsi="新宋体" w:eastAsia="新宋体"/>
                <w:sz w:val="24"/>
              </w:rPr>
            </w:pPr>
            <w:r>
              <w:rPr>
                <w:rFonts w:hint="eastAsia" w:ascii="新宋体" w:hAnsi="新宋体" w:eastAsia="新宋体"/>
                <w:sz w:val="24"/>
              </w:rPr>
              <w:t>自开标之日起90天（日历天）</w:t>
            </w:r>
          </w:p>
        </w:tc>
      </w:tr>
      <w:tr>
        <w:tblPrEx>
          <w:tblLayout w:type="fixed"/>
        </w:tblPrEx>
        <w:trPr>
          <w:trHeight w:val="912"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9</w:t>
            </w:r>
          </w:p>
        </w:tc>
        <w:tc>
          <w:tcPr>
            <w:tcW w:w="1670" w:type="dxa"/>
            <w:vAlign w:val="center"/>
          </w:tcPr>
          <w:p>
            <w:pPr>
              <w:jc w:val="center"/>
              <w:rPr>
                <w:rFonts w:hint="eastAsia" w:ascii="新宋体" w:hAnsi="新宋体" w:eastAsia="新宋体"/>
                <w:sz w:val="24"/>
              </w:rPr>
            </w:pPr>
            <w:r>
              <w:rPr>
                <w:rFonts w:hint="eastAsia" w:ascii="新宋体" w:hAnsi="新宋体" w:eastAsia="新宋体"/>
                <w:sz w:val="24"/>
              </w:rPr>
              <w:t>政府采购中心地址</w:t>
            </w:r>
          </w:p>
        </w:tc>
        <w:tc>
          <w:tcPr>
            <w:tcW w:w="7560" w:type="dxa"/>
            <w:vAlign w:val="center"/>
          </w:tcPr>
          <w:p>
            <w:pPr>
              <w:rPr>
                <w:rFonts w:hint="eastAsia" w:ascii="新宋体" w:hAnsi="新宋体" w:eastAsia="新宋体"/>
                <w:sz w:val="24"/>
              </w:rPr>
            </w:pPr>
            <w:r>
              <w:rPr>
                <w:rFonts w:hint="eastAsia" w:ascii="新宋体" w:hAnsi="新宋体" w:eastAsia="新宋体"/>
                <w:sz w:val="24"/>
              </w:rPr>
              <w:t>义乌市望道路300号义乌市行政服务中心大楼4楼政府采购中心</w:t>
            </w:r>
          </w:p>
        </w:tc>
      </w:tr>
      <w:tr>
        <w:tblPrEx>
          <w:tblLayout w:type="fixed"/>
        </w:tblPrEx>
        <w:trPr>
          <w:trHeight w:val="783"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10</w:t>
            </w:r>
          </w:p>
        </w:tc>
        <w:tc>
          <w:tcPr>
            <w:tcW w:w="1670" w:type="dxa"/>
            <w:vAlign w:val="center"/>
          </w:tcPr>
          <w:p>
            <w:pPr>
              <w:jc w:val="center"/>
              <w:rPr>
                <w:rFonts w:hint="eastAsia" w:ascii="新宋体" w:hAnsi="新宋体" w:eastAsia="新宋体"/>
                <w:sz w:val="24"/>
              </w:rPr>
            </w:pPr>
            <w:r>
              <w:rPr>
                <w:rFonts w:hint="eastAsia" w:ascii="新宋体" w:hAnsi="新宋体" w:eastAsia="新宋体"/>
                <w:sz w:val="24"/>
              </w:rPr>
              <w:t>上传电子投标文件时间</w:t>
            </w:r>
          </w:p>
        </w:tc>
        <w:tc>
          <w:tcPr>
            <w:tcW w:w="7560" w:type="dxa"/>
            <w:vAlign w:val="center"/>
          </w:tcPr>
          <w:p>
            <w:pPr>
              <w:rPr>
                <w:rFonts w:hint="eastAsia" w:ascii="新宋体" w:hAnsi="新宋体" w:eastAsia="新宋体"/>
                <w:sz w:val="24"/>
              </w:rPr>
            </w:pPr>
            <w:r>
              <w:rPr>
                <w:rFonts w:hint="eastAsia" w:ascii="新宋体" w:hAnsi="新宋体" w:eastAsia="新宋体"/>
                <w:sz w:val="24"/>
              </w:rPr>
              <w:t>供应商应于2020年**月**日</w:t>
            </w:r>
            <w:r>
              <w:rPr>
                <w:rFonts w:ascii="新宋体" w:hAnsi="新宋体" w:eastAsia="新宋体"/>
                <w:sz w:val="24"/>
              </w:rPr>
              <w:t>上午9:30</w:t>
            </w:r>
            <w:r>
              <w:rPr>
                <w:rFonts w:hint="eastAsia" w:ascii="新宋体" w:hAnsi="新宋体" w:eastAsia="新宋体"/>
                <w:sz w:val="24"/>
              </w:rPr>
              <w:t>前在“政采云”上自行加密上传电子投标文件，</w:t>
            </w:r>
            <w:r>
              <w:rPr>
                <w:rFonts w:ascii="新宋体" w:hAnsi="新宋体" w:eastAsia="新宋体"/>
                <w:sz w:val="24"/>
              </w:rPr>
              <w:t>逾期</w:t>
            </w:r>
            <w:r>
              <w:rPr>
                <w:rFonts w:hint="eastAsia" w:ascii="新宋体" w:hAnsi="新宋体" w:eastAsia="新宋体"/>
                <w:sz w:val="24"/>
              </w:rPr>
              <w:t>上传</w:t>
            </w:r>
            <w:r>
              <w:rPr>
                <w:rFonts w:ascii="新宋体" w:hAnsi="新宋体" w:eastAsia="新宋体"/>
                <w:sz w:val="24"/>
              </w:rPr>
              <w:t>或未按要求</w:t>
            </w:r>
            <w:r>
              <w:rPr>
                <w:rFonts w:hint="eastAsia" w:ascii="新宋体" w:hAnsi="新宋体" w:eastAsia="新宋体"/>
                <w:sz w:val="24"/>
              </w:rPr>
              <w:t>上传</w:t>
            </w:r>
            <w:r>
              <w:rPr>
                <w:rFonts w:ascii="新宋体" w:hAnsi="新宋体" w:eastAsia="新宋体"/>
                <w:sz w:val="24"/>
              </w:rPr>
              <w:t>的投标文件将予以拒收。</w:t>
            </w:r>
          </w:p>
        </w:tc>
      </w:tr>
      <w:tr>
        <w:tblPrEx>
          <w:tblLayout w:type="fixed"/>
        </w:tblPrEx>
        <w:trPr>
          <w:trHeight w:val="264"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11</w:t>
            </w:r>
          </w:p>
        </w:tc>
        <w:tc>
          <w:tcPr>
            <w:tcW w:w="167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投标保证金</w:t>
            </w:r>
          </w:p>
        </w:tc>
        <w:tc>
          <w:tcPr>
            <w:tcW w:w="7560" w:type="dxa"/>
            <w:vAlign w:val="center"/>
          </w:tcPr>
          <w:p>
            <w:pPr>
              <w:rPr>
                <w:rFonts w:hint="eastAsia" w:ascii="新宋体" w:hAnsi="新宋体" w:eastAsia="新宋体"/>
                <w:sz w:val="24"/>
              </w:rPr>
            </w:pPr>
            <w:r>
              <w:rPr>
                <w:rFonts w:hint="eastAsia" w:ascii="新宋体" w:hAnsi="新宋体" w:eastAsia="新宋体"/>
                <w:sz w:val="24"/>
              </w:rPr>
              <w:t>无</w:t>
            </w:r>
          </w:p>
        </w:tc>
      </w:tr>
      <w:tr>
        <w:tblPrEx>
          <w:tblLayout w:type="fixed"/>
        </w:tblPrEx>
        <w:trPr>
          <w:trHeight w:val="785"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12</w:t>
            </w:r>
          </w:p>
        </w:tc>
        <w:tc>
          <w:tcPr>
            <w:tcW w:w="167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投标保证金退还</w:t>
            </w:r>
          </w:p>
        </w:tc>
        <w:tc>
          <w:tcPr>
            <w:tcW w:w="7560" w:type="dxa"/>
            <w:vAlign w:val="center"/>
          </w:tcPr>
          <w:p>
            <w:pPr>
              <w:rPr>
                <w:rFonts w:hint="eastAsia" w:ascii="新宋体" w:hAnsi="新宋体" w:eastAsia="新宋体"/>
                <w:sz w:val="24"/>
              </w:rPr>
            </w:pPr>
            <w:r>
              <w:rPr>
                <w:rFonts w:hint="eastAsia" w:ascii="新宋体" w:hAnsi="新宋体" w:eastAsia="新宋体"/>
                <w:sz w:val="24"/>
              </w:rPr>
              <w:t>无</w:t>
            </w:r>
          </w:p>
        </w:tc>
      </w:tr>
      <w:tr>
        <w:tblPrEx>
          <w:tblLayout w:type="fixed"/>
        </w:tblPrEx>
        <w:trPr>
          <w:trHeight w:val="555"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13</w:t>
            </w:r>
          </w:p>
        </w:tc>
        <w:tc>
          <w:tcPr>
            <w:tcW w:w="1670" w:type="dxa"/>
            <w:vAlign w:val="center"/>
          </w:tcPr>
          <w:p>
            <w:pPr>
              <w:jc w:val="center"/>
              <w:rPr>
                <w:rFonts w:hint="eastAsia" w:ascii="新宋体" w:hAnsi="新宋体" w:eastAsia="新宋体"/>
                <w:sz w:val="24"/>
              </w:rPr>
            </w:pPr>
            <w:r>
              <w:rPr>
                <w:rFonts w:hint="eastAsia" w:ascii="新宋体" w:hAnsi="新宋体" w:eastAsia="新宋体"/>
                <w:sz w:val="24"/>
              </w:rPr>
              <w:t>开标时间</w:t>
            </w:r>
          </w:p>
        </w:tc>
        <w:tc>
          <w:tcPr>
            <w:tcW w:w="7560" w:type="dxa"/>
            <w:vAlign w:val="center"/>
          </w:tcPr>
          <w:p>
            <w:pPr>
              <w:rPr>
                <w:rFonts w:hint="eastAsia" w:ascii="新宋体" w:hAnsi="新宋体" w:eastAsia="新宋体"/>
                <w:sz w:val="24"/>
              </w:rPr>
            </w:pPr>
            <w:r>
              <w:rPr>
                <w:rFonts w:hint="eastAsia" w:ascii="新宋体" w:hAnsi="新宋体" w:eastAsia="新宋体"/>
                <w:sz w:val="24"/>
              </w:rPr>
              <w:t>开标时间：2020年**月**日上午9:30</w:t>
            </w:r>
          </w:p>
        </w:tc>
      </w:tr>
      <w:tr>
        <w:tblPrEx>
          <w:tblLayout w:type="fixed"/>
        </w:tblPrEx>
        <w:trPr>
          <w:trHeight w:val="785" w:hRule="atLeast"/>
          <w:jc w:val="center"/>
        </w:trPr>
        <w:tc>
          <w:tcPr>
            <w:tcW w:w="720" w:type="dxa"/>
            <w:vAlign w:val="center"/>
          </w:tcPr>
          <w:p>
            <w:pPr>
              <w:jc w:val="center"/>
              <w:rPr>
                <w:rFonts w:hint="eastAsia" w:ascii="新宋体" w:hAnsi="新宋体" w:eastAsia="新宋体"/>
                <w:sz w:val="24"/>
              </w:rPr>
            </w:pPr>
            <w:r>
              <w:rPr>
                <w:rFonts w:hint="eastAsia" w:ascii="新宋体" w:hAnsi="新宋体" w:eastAsia="新宋体"/>
                <w:sz w:val="24"/>
              </w:rPr>
              <w:t>14</w:t>
            </w:r>
          </w:p>
        </w:tc>
        <w:tc>
          <w:tcPr>
            <w:tcW w:w="1670" w:type="dxa"/>
            <w:vAlign w:val="center"/>
          </w:tcPr>
          <w:p>
            <w:pPr>
              <w:jc w:val="center"/>
              <w:rPr>
                <w:rFonts w:hint="eastAsia" w:ascii="新宋体" w:hAnsi="新宋体" w:eastAsia="新宋体"/>
                <w:sz w:val="24"/>
              </w:rPr>
            </w:pPr>
            <w:r>
              <w:rPr>
                <w:rFonts w:hint="eastAsia" w:ascii="新宋体" w:hAnsi="新宋体" w:eastAsia="新宋体"/>
                <w:sz w:val="24"/>
              </w:rPr>
              <w:t>开标地点</w:t>
            </w:r>
          </w:p>
        </w:tc>
        <w:tc>
          <w:tcPr>
            <w:tcW w:w="7560" w:type="dxa"/>
            <w:vAlign w:val="center"/>
          </w:tcPr>
          <w:p>
            <w:pPr>
              <w:rPr>
                <w:rFonts w:hint="eastAsia" w:ascii="新宋体" w:hAnsi="新宋体" w:eastAsia="新宋体"/>
                <w:sz w:val="24"/>
              </w:rPr>
            </w:pPr>
            <w:r>
              <w:rPr>
                <w:rFonts w:hint="eastAsia" w:ascii="新宋体" w:hAnsi="新宋体" w:eastAsia="新宋体"/>
                <w:sz w:val="24"/>
              </w:rPr>
              <w:t>开标地点：义乌市望道路300号义乌市行政服务中心大楼4楼电子开标室</w:t>
            </w:r>
          </w:p>
          <w:p>
            <w:pPr>
              <w:rPr>
                <w:rFonts w:hint="eastAsia" w:ascii="新宋体" w:hAnsi="新宋体" w:eastAsia="新宋体"/>
                <w:sz w:val="24"/>
              </w:rPr>
            </w:pPr>
            <w:r>
              <w:rPr>
                <w:rFonts w:hint="eastAsia" w:ascii="新宋体" w:hAnsi="新宋体" w:eastAsia="新宋体"/>
                <w:sz w:val="24"/>
              </w:rPr>
              <w:t>开标时间后1小时内（2020年**月**日</w:t>
            </w:r>
            <w:r>
              <w:rPr>
                <w:rFonts w:ascii="新宋体" w:hAnsi="新宋体" w:eastAsia="新宋体"/>
                <w:sz w:val="24"/>
              </w:rPr>
              <w:t>上午10:30前</w:t>
            </w:r>
            <w:r>
              <w:rPr>
                <w:rFonts w:hint="eastAsia" w:ascii="新宋体" w:hAnsi="新宋体" w:eastAsia="新宋体"/>
                <w:sz w:val="24"/>
              </w:rPr>
              <w:t>）</w:t>
            </w:r>
            <w:r>
              <w:rPr>
                <w:rFonts w:ascii="新宋体" w:hAnsi="新宋体" w:eastAsia="新宋体"/>
                <w:sz w:val="24"/>
              </w:rPr>
              <w:t>供应商可以登录“</w:t>
            </w:r>
            <w:r>
              <w:rPr>
                <w:rFonts w:hint="eastAsia" w:ascii="新宋体" w:hAnsi="新宋体" w:eastAsia="新宋体"/>
                <w:sz w:val="24"/>
              </w:rPr>
              <w:t>政采云</w:t>
            </w:r>
            <w:r>
              <w:rPr>
                <w:rFonts w:ascii="新宋体" w:hAnsi="新宋体" w:eastAsia="新宋体"/>
                <w:sz w:val="24"/>
              </w:rPr>
              <w:t>”</w:t>
            </w:r>
            <w:r>
              <w:rPr>
                <w:rFonts w:hint="eastAsia" w:ascii="新宋体" w:hAnsi="新宋体" w:eastAsia="新宋体"/>
                <w:sz w:val="24"/>
              </w:rPr>
              <w:t>平台</w:t>
            </w:r>
            <w:r>
              <w:rPr>
                <w:rFonts w:ascii="新宋体" w:hAnsi="新宋体" w:eastAsia="新宋体"/>
                <w:sz w:val="24"/>
              </w:rPr>
              <w:t>，用“</w:t>
            </w:r>
            <w:r>
              <w:rPr>
                <w:rFonts w:hint="eastAsia" w:ascii="新宋体" w:hAnsi="新宋体" w:eastAsia="新宋体"/>
                <w:sz w:val="24"/>
              </w:rPr>
              <w:t>项目采购-开标评标</w:t>
            </w:r>
            <w:r>
              <w:rPr>
                <w:rFonts w:ascii="新宋体" w:hAnsi="新宋体" w:eastAsia="新宋体"/>
                <w:sz w:val="24"/>
              </w:rPr>
              <w:t>”功能</w:t>
            </w:r>
            <w:r>
              <w:rPr>
                <w:rFonts w:hint="eastAsia" w:ascii="新宋体" w:hAnsi="新宋体" w:eastAsia="新宋体"/>
                <w:sz w:val="24"/>
              </w:rPr>
              <w:t>进行解密投标文件</w:t>
            </w:r>
            <w:r>
              <w:rPr>
                <w:rFonts w:ascii="新宋体" w:hAnsi="新宋体" w:eastAsia="新宋体"/>
                <w:sz w:val="24"/>
              </w:rPr>
              <w:t>。</w:t>
            </w:r>
            <w:r>
              <w:rPr>
                <w:rFonts w:hint="eastAsia" w:ascii="新宋体" w:hAnsi="新宋体" w:eastAsia="新宋体"/>
                <w:sz w:val="24"/>
              </w:rPr>
              <w:t>若供应商在规定时间内无法解密或解密失败，将导致投标无效或失败。</w:t>
            </w:r>
          </w:p>
          <w:p>
            <w:pPr>
              <w:rPr>
                <w:rFonts w:hint="eastAsia" w:ascii="新宋体" w:hAnsi="新宋体" w:eastAsia="新宋体"/>
                <w:sz w:val="24"/>
              </w:rPr>
            </w:pPr>
            <w:r>
              <w:rPr>
                <w:rFonts w:hint="eastAsia" w:ascii="新宋体" w:hAnsi="新宋体" w:eastAsia="新宋体"/>
                <w:sz w:val="24"/>
              </w:rPr>
              <w:t>备注：为确保采购项目顺利实施，避免因政采云上电子投标文件解密失败导致投标方投标无效，投标方可在2020年**月**日上午9:30前将在政采云平台上最后生成的具备电子签章的备份加密投标文件（文件名后缀为备份文件四字的首字母）以电子邮件方式传送至义乌市政府采购中心邮箱（ywszfcgzx@163.com），传送的备份电子投标文件需打包压缩并加密，加密密码由投标方自行保管，如政采云上电子投标文件出现解密失败情况（开标当日9:30-10:30期间进行解密），投标方可按照自身意愿确认是否同意提供加密密码解密传送至义乌市政府采购中心邮箱（ywszfcgzx@163.com）的备份文件，并以备份文件作为替代电子投标文件，如投标方未按照规定时间（2020年**月**日上午9:30前）及要求提供有效备份文件，同时政采云上投标文件解密失败的，将导致投标无效。</w:t>
            </w:r>
          </w:p>
        </w:tc>
      </w:tr>
      <w:tr>
        <w:tblPrEx>
          <w:tblLayout w:type="fixed"/>
        </w:tblPrEx>
        <w:trPr>
          <w:trHeight w:val="462"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15</w:t>
            </w:r>
          </w:p>
        </w:tc>
        <w:tc>
          <w:tcPr>
            <w:tcW w:w="167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履约保证金</w:t>
            </w:r>
          </w:p>
        </w:tc>
        <w:tc>
          <w:tcPr>
            <w:tcW w:w="7560" w:type="dxa"/>
            <w:vAlign w:val="center"/>
          </w:tcPr>
          <w:p>
            <w:pPr>
              <w:spacing w:line="400" w:lineRule="exact"/>
              <w:rPr>
                <w:rFonts w:hint="eastAsia" w:ascii="新宋体" w:hAnsi="新宋体" w:eastAsia="新宋体"/>
                <w:sz w:val="24"/>
              </w:rPr>
            </w:pPr>
            <w:r>
              <w:rPr>
                <w:rFonts w:hint="eastAsia" w:ascii="新宋体" w:hAnsi="新宋体" w:eastAsia="新宋体"/>
                <w:sz w:val="24"/>
              </w:rPr>
              <w:t>无</w:t>
            </w:r>
          </w:p>
        </w:tc>
      </w:tr>
      <w:tr>
        <w:tblPrEx>
          <w:tblLayout w:type="fixed"/>
        </w:tblPrEx>
        <w:trPr>
          <w:trHeight w:val="922"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16</w:t>
            </w:r>
          </w:p>
        </w:tc>
        <w:tc>
          <w:tcPr>
            <w:tcW w:w="167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履约保证金退还</w:t>
            </w:r>
          </w:p>
        </w:tc>
        <w:tc>
          <w:tcPr>
            <w:tcW w:w="7560" w:type="dxa"/>
            <w:vAlign w:val="center"/>
          </w:tcPr>
          <w:p>
            <w:pPr>
              <w:spacing w:line="400" w:lineRule="exact"/>
              <w:rPr>
                <w:rFonts w:hint="eastAsia" w:ascii="新宋体" w:hAnsi="新宋体" w:eastAsia="新宋体"/>
                <w:sz w:val="24"/>
              </w:rPr>
            </w:pPr>
            <w:r>
              <w:rPr>
                <w:rFonts w:hint="eastAsia" w:ascii="新宋体" w:hAnsi="新宋体" w:eastAsia="新宋体"/>
                <w:sz w:val="24"/>
              </w:rPr>
              <w:t>无</w:t>
            </w:r>
          </w:p>
        </w:tc>
      </w:tr>
      <w:tr>
        <w:tblPrEx>
          <w:tblLayout w:type="fixed"/>
        </w:tblPrEx>
        <w:trPr>
          <w:trHeight w:val="155"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17</w:t>
            </w:r>
          </w:p>
        </w:tc>
        <w:tc>
          <w:tcPr>
            <w:tcW w:w="167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评标办法</w:t>
            </w:r>
          </w:p>
        </w:tc>
        <w:tc>
          <w:tcPr>
            <w:tcW w:w="7560" w:type="dxa"/>
            <w:vAlign w:val="center"/>
          </w:tcPr>
          <w:p>
            <w:pPr>
              <w:spacing w:line="400" w:lineRule="exact"/>
              <w:rPr>
                <w:rFonts w:hint="eastAsia" w:ascii="新宋体" w:hAnsi="新宋体" w:eastAsia="新宋体"/>
                <w:sz w:val="24"/>
              </w:rPr>
            </w:pPr>
            <w:r>
              <w:rPr>
                <w:rFonts w:hint="eastAsia" w:ascii="新宋体" w:hAnsi="新宋体" w:eastAsia="新宋体"/>
                <w:sz w:val="24"/>
              </w:rPr>
              <w:t>综合评分法</w:t>
            </w:r>
          </w:p>
        </w:tc>
      </w:tr>
      <w:tr>
        <w:tblPrEx>
          <w:tblLayout w:type="fixed"/>
        </w:tblPrEx>
        <w:trPr>
          <w:trHeight w:val="299"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18</w:t>
            </w:r>
          </w:p>
        </w:tc>
        <w:tc>
          <w:tcPr>
            <w:tcW w:w="1670" w:type="dxa"/>
            <w:vAlign w:val="center"/>
          </w:tcPr>
          <w:p>
            <w:pPr>
              <w:jc w:val="center"/>
              <w:rPr>
                <w:rFonts w:hint="eastAsia" w:ascii="新宋体" w:hAnsi="新宋体" w:eastAsia="新宋体"/>
                <w:sz w:val="24"/>
              </w:rPr>
            </w:pPr>
            <w:r>
              <w:rPr>
                <w:rFonts w:hint="eastAsia" w:ascii="新宋体" w:hAnsi="新宋体" w:eastAsia="新宋体"/>
                <w:sz w:val="24"/>
              </w:rPr>
              <w:t>小微企业有关政策</w:t>
            </w:r>
          </w:p>
        </w:tc>
        <w:tc>
          <w:tcPr>
            <w:tcW w:w="7560" w:type="dxa"/>
            <w:vAlign w:val="center"/>
          </w:tcPr>
          <w:p>
            <w:pPr>
              <w:rPr>
                <w:rFonts w:hint="eastAsia" w:ascii="新宋体" w:hAnsi="新宋体" w:eastAsia="新宋体"/>
                <w:sz w:val="24"/>
              </w:rPr>
            </w:pPr>
            <w:r>
              <w:rPr>
                <w:rFonts w:hint="eastAsia" w:ascii="新宋体" w:hAnsi="新宋体" w:eastAsia="新宋体"/>
                <w:sz w:val="24"/>
              </w:rPr>
              <w:t>1.根据财库〔2011〕181号的相关规定，在评审时对最终认定为小型和微型企业的投标报价给予</w:t>
            </w:r>
            <w:bookmarkStart w:id="3" w:name="小微企业价格扣除比例2"/>
            <w:r>
              <w:rPr>
                <w:rFonts w:ascii="新宋体" w:hAnsi="新宋体" w:eastAsia="新宋体"/>
                <w:sz w:val="24"/>
              </w:rPr>
              <w:t>6</w:t>
            </w:r>
            <w:bookmarkEnd w:id="3"/>
            <w:r>
              <w:rPr>
                <w:rFonts w:hint="eastAsia" w:ascii="新宋体" w:hAnsi="新宋体" w:eastAsia="新宋体"/>
                <w:sz w:val="24"/>
              </w:rPr>
              <w:t>%的扣除，取扣除后的价格作为最终投标报价（此最终投标报价仅在评标时使用）。属于小型和微型企业的，投标文件中投标人必须提供的《小微企业声明函》以及本单位、制造商（如有）“国家企业信用信息公示系统——小微企业名录”页面查询结果或当地小微企业官网的查询截图（查询时间为投标前一周内，并加盖投标人公章，浙江省内企业可在浙江小微公众号中查询），并在报价明细表中说明制造商情况。</w:t>
            </w:r>
          </w:p>
          <w:p>
            <w:pPr>
              <w:rPr>
                <w:rFonts w:hint="eastAsia" w:ascii="新宋体" w:hAnsi="新宋体" w:eastAsia="新宋体"/>
                <w:sz w:val="24"/>
              </w:rPr>
            </w:pPr>
            <w:r>
              <w:rPr>
                <w:rFonts w:hint="eastAsia" w:ascii="新宋体" w:hAnsi="新宋体" w:eastAsia="新宋体"/>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rPr>
                <w:rFonts w:hint="eastAsia" w:ascii="新宋体" w:hAnsi="新宋体" w:eastAsia="新宋体"/>
                <w:sz w:val="24"/>
              </w:rPr>
            </w:pPr>
            <w:r>
              <w:rPr>
                <w:rFonts w:hint="eastAsia" w:ascii="新宋体" w:hAnsi="新宋体" w:eastAsia="新宋体"/>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jc w:val="left"/>
              <w:rPr>
                <w:rFonts w:hint="eastAsia" w:ascii="新宋体" w:hAnsi="新宋体" w:eastAsia="新宋体"/>
                <w:sz w:val="24"/>
              </w:rPr>
            </w:pPr>
            <w:r>
              <w:rPr>
                <w:rFonts w:hint="eastAsia" w:ascii="新宋体" w:hAnsi="新宋体" w:eastAsia="新宋体"/>
                <w:sz w:val="24"/>
              </w:rPr>
              <w:t>(注：未提供以上材料的，均不给予价格扣除）。</w:t>
            </w:r>
          </w:p>
        </w:tc>
      </w:tr>
      <w:tr>
        <w:tblPrEx>
          <w:tblLayout w:type="fixed"/>
        </w:tblPrEx>
        <w:trPr>
          <w:trHeight w:val="299"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19</w:t>
            </w:r>
          </w:p>
        </w:tc>
        <w:tc>
          <w:tcPr>
            <w:tcW w:w="1670" w:type="dxa"/>
            <w:vAlign w:val="center"/>
          </w:tcPr>
          <w:p>
            <w:pPr>
              <w:jc w:val="center"/>
              <w:rPr>
                <w:rFonts w:hint="eastAsia" w:ascii="新宋体" w:hAnsi="新宋体" w:eastAsia="新宋体"/>
                <w:sz w:val="24"/>
              </w:rPr>
            </w:pPr>
            <w:r>
              <w:rPr>
                <w:rFonts w:ascii="新宋体" w:hAnsi="新宋体" w:eastAsia="新宋体"/>
                <w:sz w:val="24"/>
              </w:rPr>
              <w:t>信用融资</w:t>
            </w:r>
          </w:p>
        </w:tc>
        <w:tc>
          <w:tcPr>
            <w:tcW w:w="7560" w:type="dxa"/>
            <w:vAlign w:val="center"/>
          </w:tcPr>
          <w:p>
            <w:pPr>
              <w:rPr>
                <w:rFonts w:hint="eastAsia" w:ascii="新宋体" w:hAnsi="新宋体" w:eastAsia="新宋体"/>
                <w:sz w:val="24"/>
              </w:rPr>
            </w:pPr>
            <w:r>
              <w:rPr>
                <w:rFonts w:ascii="新宋体" w:hAnsi="新宋体" w:eastAsia="新宋体"/>
                <w:sz w:val="24"/>
              </w:rPr>
              <w:t>为支持和促进中小企业发展，进一步发挥政府采购政策功能，根据《义乌市政府采购支持中小企业信用融资暂行办法》，供应商若有融资意向，登陆义乌市公共资源交易平台（http://ywjypt.yw.gov.cn/）“政采贷”专栏进行查询，查看信用融资政策文件及各相关银行服务方案。</w:t>
            </w:r>
          </w:p>
        </w:tc>
      </w:tr>
      <w:tr>
        <w:tblPrEx>
          <w:tblLayout w:type="fixed"/>
        </w:tblPrEx>
        <w:trPr>
          <w:trHeight w:val="299"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20</w:t>
            </w:r>
          </w:p>
        </w:tc>
        <w:tc>
          <w:tcPr>
            <w:tcW w:w="1670" w:type="dxa"/>
            <w:vAlign w:val="center"/>
          </w:tcPr>
          <w:p>
            <w:pPr>
              <w:jc w:val="center"/>
              <w:rPr>
                <w:rFonts w:ascii="新宋体" w:hAnsi="新宋体" w:eastAsia="新宋体"/>
                <w:sz w:val="24"/>
              </w:rPr>
            </w:pPr>
            <w:r>
              <w:rPr>
                <w:rFonts w:hint="eastAsia" w:ascii="新宋体" w:hAnsi="新宋体" w:eastAsia="新宋体"/>
                <w:sz w:val="24"/>
              </w:rPr>
              <w:t>失信行为处理</w:t>
            </w:r>
          </w:p>
        </w:tc>
        <w:tc>
          <w:tcPr>
            <w:tcW w:w="7560" w:type="dxa"/>
            <w:vAlign w:val="center"/>
          </w:tcPr>
          <w:p>
            <w:pPr>
              <w:rPr>
                <w:rFonts w:ascii="新宋体" w:hAnsi="新宋体" w:eastAsia="新宋体"/>
                <w:sz w:val="24"/>
              </w:rPr>
            </w:pPr>
            <w:r>
              <w:rPr>
                <w:rFonts w:hint="eastAsia" w:ascii="新宋体" w:hAnsi="新宋体" w:eastAsia="新宋体"/>
                <w:sz w:val="24"/>
              </w:rPr>
              <w:t>投标人发生下列情况之一时，除严格依法依规进行处理外，还将通报市信用管理部门，列入严重失信名单：</w:t>
            </w:r>
          </w:p>
          <w:p>
            <w:pPr>
              <w:rPr>
                <w:rFonts w:hint="eastAsia" w:ascii="新宋体" w:hAnsi="新宋体" w:eastAsia="新宋体"/>
                <w:sz w:val="24"/>
              </w:rPr>
            </w:pPr>
            <w:r>
              <w:rPr>
                <w:rFonts w:hint="eastAsia" w:ascii="新宋体" w:hAnsi="新宋体" w:eastAsia="新宋体"/>
                <w:sz w:val="24"/>
              </w:rPr>
              <w:t>（1）投标人在规定的投标有效期内撤回投标或放弃中标的；</w:t>
            </w:r>
          </w:p>
          <w:p>
            <w:pPr>
              <w:rPr>
                <w:rFonts w:hint="eastAsia" w:ascii="新宋体" w:hAnsi="新宋体" w:eastAsia="新宋体"/>
                <w:sz w:val="24"/>
              </w:rPr>
            </w:pPr>
            <w:r>
              <w:rPr>
                <w:rFonts w:hint="eastAsia" w:ascii="新宋体" w:hAnsi="新宋体" w:eastAsia="新宋体"/>
                <w:sz w:val="24"/>
              </w:rPr>
              <w:t>（2）有意串标或提供虚假材料的；</w:t>
            </w:r>
          </w:p>
          <w:p>
            <w:pPr>
              <w:rPr>
                <w:rFonts w:hint="eastAsia" w:ascii="新宋体" w:hAnsi="新宋体" w:eastAsia="新宋体"/>
                <w:sz w:val="24"/>
              </w:rPr>
            </w:pPr>
            <w:r>
              <w:rPr>
                <w:rFonts w:hint="eastAsia" w:ascii="新宋体" w:hAnsi="新宋体" w:eastAsia="新宋体"/>
                <w:sz w:val="24"/>
              </w:rPr>
              <w:t>（3）中标人在收到中标通知书后，因自身原因不能在投标有效期内和采购人签订合同。</w:t>
            </w:r>
          </w:p>
          <w:p>
            <w:pPr>
              <w:rPr>
                <w:rFonts w:hint="eastAsia" w:ascii="新宋体" w:hAnsi="新宋体" w:eastAsia="新宋体"/>
                <w:sz w:val="24"/>
              </w:rPr>
            </w:pPr>
            <w:r>
              <w:rPr>
                <w:rFonts w:hint="eastAsia" w:ascii="新宋体" w:hAnsi="新宋体" w:eastAsia="新宋体"/>
                <w:sz w:val="24"/>
              </w:rPr>
              <w:t>（4）中标供应商在标后履约过程中未按合同约定的期限和要求履约的。</w:t>
            </w:r>
          </w:p>
          <w:p>
            <w:pPr>
              <w:rPr>
                <w:rFonts w:hint="eastAsia" w:ascii="新宋体" w:hAnsi="新宋体" w:eastAsia="新宋体"/>
                <w:sz w:val="24"/>
              </w:rPr>
            </w:pPr>
            <w:r>
              <w:rPr>
                <w:rFonts w:hint="eastAsia" w:ascii="新宋体" w:hAnsi="新宋体" w:eastAsia="新宋体"/>
                <w:sz w:val="24"/>
              </w:rPr>
              <w:t>（5）因中标供应商原因在标后履约过程中擅自终止合同的。</w:t>
            </w:r>
          </w:p>
          <w:p>
            <w:pPr>
              <w:rPr>
                <w:rFonts w:ascii="新宋体" w:hAnsi="新宋体" w:eastAsia="新宋体"/>
                <w:sz w:val="24"/>
              </w:rPr>
            </w:pPr>
            <w:r>
              <w:rPr>
                <w:rFonts w:hint="eastAsia" w:ascii="新宋体" w:hAnsi="新宋体" w:eastAsia="新宋体"/>
                <w:sz w:val="24"/>
              </w:rPr>
              <w:t>（6）不符合招标文件要求的其他失信行为。</w:t>
            </w:r>
          </w:p>
        </w:tc>
      </w:tr>
      <w:tr>
        <w:tblPrEx>
          <w:tblLayout w:type="fixed"/>
        </w:tblPrEx>
        <w:trPr>
          <w:trHeight w:val="299"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21</w:t>
            </w:r>
          </w:p>
        </w:tc>
        <w:tc>
          <w:tcPr>
            <w:tcW w:w="1670" w:type="dxa"/>
            <w:vAlign w:val="center"/>
          </w:tcPr>
          <w:p>
            <w:pPr>
              <w:jc w:val="center"/>
              <w:rPr>
                <w:rFonts w:hint="eastAsia" w:ascii="新宋体" w:hAnsi="新宋体" w:eastAsia="新宋体"/>
                <w:sz w:val="24"/>
              </w:rPr>
            </w:pPr>
            <w:r>
              <w:rPr>
                <w:rFonts w:hint="eastAsia" w:ascii="新宋体" w:hAnsi="新宋体" w:eastAsia="新宋体"/>
                <w:sz w:val="24"/>
              </w:rPr>
              <w:t>政府采购节能环保产品</w:t>
            </w:r>
          </w:p>
        </w:tc>
        <w:tc>
          <w:tcPr>
            <w:tcW w:w="7560" w:type="dxa"/>
            <w:vAlign w:val="center"/>
          </w:tcPr>
          <w:p>
            <w:pPr>
              <w:widowControl/>
              <w:jc w:val="left"/>
              <w:rPr>
                <w:rFonts w:hint="eastAsia"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根据财政部 发展改革委 生态环境部 市场监管总局关于调整优化节能产品、环境标志产品政府采购执行机制的通知财库〔2019〕9号文件要求，投标方所投产品如属于节能产品政府采购品目清单或环境标志产品政府从采购品目清单内的，投标人所投的相应产品须在中国政府采购网节能清单查询目录（</w:t>
            </w:r>
            <w:bookmarkStart w:id="4" w:name="OLE_LINK1"/>
            <w:r>
              <w:rPr>
                <w:rFonts w:ascii="宋体" w:hAnsi="宋体" w:cs="宋体"/>
                <w:kern w:val="0"/>
                <w:sz w:val="24"/>
              </w:rPr>
              <w:t>http://www.ccgp.gov.cn/search/jnqdchaxun.htm</w:t>
            </w:r>
            <w:bookmarkEnd w:id="4"/>
            <w:r>
              <w:rPr>
                <w:rFonts w:ascii="宋体" w:hAnsi="宋体" w:cs="宋体"/>
                <w:kern w:val="0"/>
                <w:sz w:val="24"/>
              </w:rPr>
              <w:t>）或环保清单查询目录（http://www.ccgp.gov.cn/search/hbqdchaxun.htm）中可查询到，</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相应的承诺</w:t>
            </w:r>
            <w:r>
              <w:rPr>
                <w:rFonts w:ascii="宋体" w:hAnsi="宋体" w:cs="宋体"/>
                <w:kern w:val="0"/>
                <w:sz w:val="24"/>
              </w:rPr>
              <w:t>。</w:t>
            </w:r>
          </w:p>
          <w:p>
            <w:pPr>
              <w:widowControl/>
              <w:jc w:val="left"/>
              <w:rPr>
                <w:rFonts w:hint="eastAsia" w:ascii="宋体" w:hAnsi="宋体" w:cs="宋体"/>
                <w:kern w:val="0"/>
                <w:sz w:val="24"/>
              </w:rPr>
            </w:pPr>
            <w:r>
              <w:rPr>
                <w:rFonts w:ascii="宋体" w:hAnsi="宋体" w:cs="宋体"/>
                <w:kern w:val="0"/>
                <w:sz w:val="24"/>
              </w:rPr>
              <w:t>★2、招标需求中要求提供的产品属于节能产品政府采购品目清单中强制采购的，投标人须提供该清单内产品，否则其投标将作为无效标处理。</w:t>
            </w:r>
          </w:p>
        </w:tc>
      </w:tr>
      <w:tr>
        <w:tblPrEx>
          <w:tblLayout w:type="fixed"/>
        </w:tblPrEx>
        <w:trPr>
          <w:trHeight w:val="123"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22</w:t>
            </w:r>
          </w:p>
        </w:tc>
        <w:tc>
          <w:tcPr>
            <w:tcW w:w="167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付款方式</w:t>
            </w:r>
          </w:p>
        </w:tc>
        <w:tc>
          <w:tcPr>
            <w:tcW w:w="7560" w:type="dxa"/>
            <w:vAlign w:val="center"/>
          </w:tcPr>
          <w:p>
            <w:pPr>
              <w:spacing w:line="400" w:lineRule="exact"/>
              <w:rPr>
                <w:rFonts w:hint="eastAsia" w:ascii="新宋体" w:hAnsi="新宋体" w:eastAsia="新宋体"/>
                <w:spacing w:val="-8"/>
                <w:sz w:val="24"/>
              </w:rPr>
            </w:pPr>
            <w:r>
              <w:rPr>
                <w:rFonts w:hint="eastAsia" w:ascii="新宋体" w:hAnsi="新宋体" w:eastAsia="新宋体"/>
                <w:spacing w:val="-8"/>
                <w:sz w:val="24"/>
              </w:rPr>
              <w:t>详见第三章招标项目具体要求</w:t>
            </w:r>
          </w:p>
        </w:tc>
      </w:tr>
      <w:tr>
        <w:tblPrEx>
          <w:tblLayout w:type="fixed"/>
        </w:tblPrEx>
        <w:trPr>
          <w:trHeight w:val="584" w:hRule="atLeast"/>
          <w:jc w:val="center"/>
        </w:trPr>
        <w:tc>
          <w:tcPr>
            <w:tcW w:w="72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23</w:t>
            </w:r>
          </w:p>
        </w:tc>
        <w:tc>
          <w:tcPr>
            <w:tcW w:w="1670" w:type="dxa"/>
            <w:vAlign w:val="center"/>
          </w:tcPr>
          <w:p>
            <w:pPr>
              <w:spacing w:line="400" w:lineRule="exact"/>
              <w:jc w:val="center"/>
              <w:rPr>
                <w:rFonts w:hint="eastAsia" w:ascii="新宋体" w:hAnsi="新宋体" w:eastAsia="新宋体"/>
                <w:sz w:val="24"/>
              </w:rPr>
            </w:pPr>
            <w:r>
              <w:rPr>
                <w:rFonts w:hint="eastAsia" w:ascii="新宋体" w:hAnsi="新宋体" w:eastAsia="新宋体"/>
                <w:sz w:val="24"/>
              </w:rPr>
              <w:t>其他</w:t>
            </w:r>
          </w:p>
        </w:tc>
        <w:tc>
          <w:tcPr>
            <w:tcW w:w="7560" w:type="dxa"/>
            <w:vAlign w:val="center"/>
          </w:tcPr>
          <w:p>
            <w:pPr>
              <w:spacing w:line="400" w:lineRule="exact"/>
              <w:rPr>
                <w:rFonts w:hint="eastAsia" w:ascii="新宋体" w:hAnsi="新宋体" w:eastAsia="新宋体"/>
                <w:sz w:val="24"/>
              </w:rPr>
            </w:pPr>
            <w:r>
              <w:rPr>
                <w:rFonts w:hint="eastAsia" w:ascii="新宋体" w:hAnsi="新宋体" w:eastAsia="新宋体"/>
                <w:b/>
                <w:bCs/>
                <w:sz w:val="24"/>
              </w:rPr>
              <w:t>1）</w:t>
            </w:r>
            <w:r>
              <w:rPr>
                <w:rFonts w:ascii="新宋体" w:hAnsi="新宋体" w:eastAsia="新宋体"/>
                <w:sz w:val="24"/>
              </w:rPr>
              <w:t>投标报价超过</w:t>
            </w:r>
            <w:r>
              <w:rPr>
                <w:rFonts w:hint="eastAsia" w:ascii="新宋体" w:hAnsi="新宋体" w:eastAsia="新宋体"/>
                <w:sz w:val="24"/>
              </w:rPr>
              <w:t>预算价（或最高限价）</w:t>
            </w:r>
            <w:r>
              <w:rPr>
                <w:rFonts w:ascii="新宋体" w:hAnsi="新宋体" w:eastAsia="新宋体"/>
                <w:sz w:val="24"/>
              </w:rPr>
              <w:t>的，其投标均为无效标。</w:t>
            </w:r>
          </w:p>
          <w:p>
            <w:pPr>
              <w:spacing w:line="400" w:lineRule="exact"/>
              <w:rPr>
                <w:rFonts w:hint="eastAsia" w:ascii="新宋体" w:hAnsi="新宋体" w:eastAsia="新宋体"/>
                <w:sz w:val="24"/>
              </w:rPr>
            </w:pPr>
            <w:r>
              <w:rPr>
                <w:rFonts w:hint="eastAsia" w:ascii="新宋体" w:hAnsi="新宋体" w:eastAsia="新宋体"/>
                <w:sz w:val="24"/>
              </w:rPr>
              <w:t>2</w:t>
            </w:r>
            <w:r>
              <w:rPr>
                <w:rFonts w:hint="eastAsia" w:ascii="新宋体" w:hAnsi="新宋体" w:eastAsia="新宋体"/>
                <w:b/>
                <w:bCs/>
                <w:sz w:val="24"/>
              </w:rPr>
              <w:t>）</w:t>
            </w:r>
            <w:r>
              <w:rPr>
                <w:rFonts w:hint="eastAsia" w:ascii="新宋体" w:hAnsi="新宋体" w:eastAsia="新宋体"/>
                <w:sz w:val="24"/>
              </w:rPr>
              <w:t>招标文件中要求投标人在制作投标文件时，提供的扫描件必须根据评审细则对评审的内容复印完整、清晰可辨，否则在评审时以最不利于投标人原则评审。</w:t>
            </w:r>
          </w:p>
        </w:tc>
      </w:tr>
    </w:tbl>
    <w:p>
      <w:pPr>
        <w:spacing w:line="400" w:lineRule="exact"/>
        <w:ind w:firstLine="482" w:firstLineChars="200"/>
        <w:rPr>
          <w:rFonts w:hint="eastAsia" w:ascii="新宋体" w:hAnsi="新宋体" w:eastAsia="新宋体"/>
          <w:b/>
          <w:sz w:val="24"/>
        </w:rPr>
      </w:pPr>
      <w:r>
        <w:rPr>
          <w:rFonts w:hint="eastAsia" w:ascii="新宋体" w:hAnsi="新宋体" w:eastAsia="新宋体"/>
          <w:b/>
          <w:sz w:val="24"/>
        </w:rPr>
        <w:t>注：投标人须知前附表内容与本招标文件后述内容不一致的，以投标须知前附表为准。</w:t>
      </w:r>
    </w:p>
    <w:p>
      <w:pPr>
        <w:pStyle w:val="3"/>
        <w:numPr>
          <w:ilvl w:val="0"/>
          <w:numId w:val="0"/>
        </w:numPr>
        <w:spacing w:before="0" w:after="0" w:line="400" w:lineRule="exact"/>
        <w:jc w:val="center"/>
        <w:rPr>
          <w:rFonts w:hint="eastAsia" w:ascii="新宋体" w:hAnsi="新宋体" w:eastAsia="新宋体"/>
          <w:sz w:val="36"/>
          <w:szCs w:val="36"/>
        </w:rPr>
      </w:pPr>
      <w:bookmarkStart w:id="5" w:name="_Toc274303228"/>
      <w:bookmarkStart w:id="6" w:name="_Toc362250686"/>
      <w:r>
        <w:rPr>
          <w:rFonts w:ascii="新宋体" w:hAnsi="新宋体" w:eastAsia="新宋体"/>
          <w:sz w:val="36"/>
          <w:szCs w:val="36"/>
        </w:rPr>
        <w:br w:type="page"/>
      </w:r>
      <w:bookmarkStart w:id="7" w:name="_Toc19064"/>
      <w:r>
        <w:rPr>
          <w:rFonts w:hint="eastAsia" w:ascii="新宋体" w:hAnsi="新宋体" w:eastAsia="新宋体"/>
          <w:sz w:val="36"/>
          <w:szCs w:val="36"/>
        </w:rPr>
        <w:t>投标须知</w:t>
      </w:r>
      <w:bookmarkEnd w:id="5"/>
      <w:bookmarkEnd w:id="6"/>
      <w:bookmarkEnd w:id="7"/>
    </w:p>
    <w:p>
      <w:pPr>
        <w:pStyle w:val="4"/>
        <w:spacing w:before="120" w:after="120" w:line="400" w:lineRule="exact"/>
        <w:rPr>
          <w:rFonts w:hint="eastAsia" w:ascii="新宋体" w:hAnsi="新宋体" w:eastAsia="新宋体"/>
          <w:sz w:val="28"/>
          <w:szCs w:val="28"/>
        </w:rPr>
      </w:pPr>
      <w:bookmarkStart w:id="8" w:name="_Toc362250687"/>
      <w:bookmarkStart w:id="9" w:name="_Toc274303229"/>
      <w:bookmarkStart w:id="10" w:name="_Toc440619572"/>
      <w:bookmarkStart w:id="11" w:name="_Toc22849"/>
      <w:r>
        <w:rPr>
          <w:rFonts w:hint="eastAsia" w:ascii="新宋体" w:hAnsi="新宋体" w:eastAsia="新宋体"/>
          <w:sz w:val="28"/>
          <w:szCs w:val="28"/>
        </w:rPr>
        <w:t>一、说明</w:t>
      </w:r>
      <w:bookmarkEnd w:id="8"/>
      <w:bookmarkEnd w:id="9"/>
      <w:bookmarkEnd w:id="10"/>
      <w:bookmarkEnd w:id="11"/>
    </w:p>
    <w:p>
      <w:pPr>
        <w:pStyle w:val="2"/>
        <w:adjustRightInd w:val="0"/>
        <w:snapToGrid w:val="0"/>
        <w:spacing w:line="400" w:lineRule="exact"/>
        <w:ind w:firstLine="482" w:firstLineChars="200"/>
        <w:jc w:val="both"/>
        <w:rPr>
          <w:rFonts w:hint="eastAsia" w:ascii="新宋体" w:hAnsi="新宋体" w:eastAsia="新宋体"/>
          <w:color w:val="auto"/>
          <w:sz w:val="24"/>
        </w:rPr>
      </w:pPr>
      <w:r>
        <w:rPr>
          <w:rFonts w:hint="eastAsia" w:ascii="新宋体" w:hAnsi="新宋体" w:eastAsia="新宋体"/>
          <w:color w:val="auto"/>
          <w:sz w:val="24"/>
        </w:rPr>
        <w:t>1.适用范围</w:t>
      </w:r>
    </w:p>
    <w:p>
      <w:pPr>
        <w:pStyle w:val="2"/>
        <w:adjustRightInd w:val="0"/>
        <w:snapToGrid w:val="0"/>
        <w:spacing w:line="400" w:lineRule="exact"/>
        <w:ind w:firstLine="480" w:firstLineChars="200"/>
        <w:jc w:val="both"/>
        <w:rPr>
          <w:rFonts w:hint="eastAsia" w:ascii="新宋体" w:hAnsi="新宋体" w:eastAsia="新宋体"/>
          <w:b w:val="0"/>
          <w:bCs w:val="0"/>
          <w:color w:val="auto"/>
          <w:sz w:val="24"/>
        </w:rPr>
      </w:pPr>
      <w:r>
        <w:rPr>
          <w:rFonts w:hint="eastAsia" w:ascii="新宋体" w:hAnsi="新宋体" w:eastAsia="新宋体"/>
          <w:b w:val="0"/>
          <w:bCs w:val="0"/>
          <w:color w:val="auto"/>
          <w:sz w:val="24"/>
          <w:szCs w:val="24"/>
        </w:rPr>
        <w:t>1.</w:t>
      </w:r>
      <w:r>
        <w:rPr>
          <w:rFonts w:ascii="新宋体" w:hAnsi="新宋体" w:eastAsia="新宋体"/>
          <w:b w:val="0"/>
          <w:bCs w:val="0"/>
          <w:color w:val="auto"/>
          <w:sz w:val="24"/>
          <w:szCs w:val="24"/>
        </w:rPr>
        <w:t>1</w:t>
      </w:r>
      <w:r>
        <w:rPr>
          <w:rFonts w:hint="eastAsia" w:ascii="新宋体" w:hAnsi="新宋体" w:eastAsia="新宋体"/>
          <w:b w:val="0"/>
          <w:bCs w:val="0"/>
          <w:color w:val="auto"/>
          <w:sz w:val="24"/>
          <w:szCs w:val="24"/>
        </w:rPr>
        <w:t xml:space="preserve"> 本招标文件仅适用于本次招标采购所叙述的服务项目。</w:t>
      </w:r>
    </w:p>
    <w:p>
      <w:pPr>
        <w:pStyle w:val="2"/>
        <w:adjustRightInd w:val="0"/>
        <w:snapToGrid w:val="0"/>
        <w:spacing w:line="400" w:lineRule="exact"/>
        <w:ind w:firstLine="482" w:firstLineChars="200"/>
        <w:jc w:val="both"/>
        <w:rPr>
          <w:rFonts w:hint="eastAsia" w:ascii="新宋体" w:hAnsi="新宋体" w:eastAsia="新宋体"/>
          <w:color w:val="auto"/>
          <w:sz w:val="24"/>
        </w:rPr>
      </w:pPr>
      <w:r>
        <w:rPr>
          <w:rFonts w:hint="eastAsia" w:ascii="新宋体" w:hAnsi="新宋体" w:eastAsia="新宋体"/>
          <w:color w:val="auto"/>
          <w:sz w:val="24"/>
        </w:rPr>
        <w:t>2.定义</w:t>
      </w:r>
    </w:p>
    <w:p>
      <w:pPr>
        <w:pStyle w:val="2"/>
        <w:spacing w:line="440" w:lineRule="exact"/>
        <w:ind w:firstLine="480" w:firstLineChars="200"/>
        <w:jc w:val="both"/>
        <w:rPr>
          <w:rFonts w:ascii="新宋体" w:hAnsi="新宋体" w:eastAsia="新宋体"/>
          <w:b w:val="0"/>
          <w:color w:val="auto"/>
          <w:sz w:val="24"/>
          <w:szCs w:val="24"/>
        </w:rPr>
      </w:pPr>
      <w:r>
        <w:rPr>
          <w:rFonts w:ascii="新宋体" w:hAnsi="新宋体" w:eastAsia="新宋体"/>
          <w:b w:val="0"/>
          <w:color w:val="auto"/>
          <w:sz w:val="24"/>
          <w:szCs w:val="24"/>
        </w:rPr>
        <w:t xml:space="preserve">2.1招标方：系指的是采购人和采购代理机构； </w:t>
      </w:r>
    </w:p>
    <w:p>
      <w:pPr>
        <w:pStyle w:val="2"/>
        <w:spacing w:line="440" w:lineRule="exact"/>
        <w:ind w:firstLine="480" w:firstLineChars="200"/>
        <w:jc w:val="both"/>
        <w:rPr>
          <w:rFonts w:ascii="新宋体" w:hAnsi="新宋体" w:eastAsia="新宋体"/>
          <w:b w:val="0"/>
          <w:color w:val="auto"/>
          <w:sz w:val="24"/>
          <w:szCs w:val="24"/>
        </w:rPr>
      </w:pPr>
      <w:r>
        <w:rPr>
          <w:rFonts w:ascii="新宋体" w:hAnsi="新宋体" w:eastAsia="新宋体"/>
          <w:b w:val="0"/>
          <w:color w:val="auto"/>
          <w:sz w:val="24"/>
          <w:szCs w:val="24"/>
        </w:rPr>
        <w:t>2.2采购人：系指的是</w:t>
      </w:r>
      <w:r>
        <w:rPr>
          <w:rFonts w:hint="eastAsia" w:ascii="新宋体" w:hAnsi="新宋体" w:eastAsia="新宋体"/>
          <w:b w:val="0"/>
          <w:color w:val="auto"/>
          <w:sz w:val="24"/>
          <w:szCs w:val="24"/>
        </w:rPr>
        <w:t>国家税务总局义乌市税务局</w:t>
      </w:r>
      <w:r>
        <w:rPr>
          <w:rFonts w:ascii="新宋体" w:hAnsi="新宋体" w:eastAsia="新宋体"/>
          <w:b w:val="0"/>
          <w:color w:val="auto"/>
          <w:sz w:val="24"/>
          <w:szCs w:val="24"/>
        </w:rPr>
        <w:t>；</w:t>
      </w:r>
    </w:p>
    <w:p>
      <w:pPr>
        <w:pStyle w:val="2"/>
        <w:spacing w:line="440" w:lineRule="exact"/>
        <w:ind w:firstLine="480" w:firstLineChars="200"/>
        <w:jc w:val="both"/>
        <w:rPr>
          <w:rFonts w:ascii="新宋体" w:hAnsi="新宋体" w:eastAsia="新宋体"/>
          <w:b w:val="0"/>
          <w:color w:val="auto"/>
          <w:sz w:val="24"/>
          <w:szCs w:val="24"/>
        </w:rPr>
      </w:pPr>
      <w:r>
        <w:rPr>
          <w:rFonts w:ascii="新宋体" w:hAnsi="新宋体" w:eastAsia="新宋体"/>
          <w:b w:val="0"/>
          <w:color w:val="auto"/>
          <w:sz w:val="24"/>
          <w:szCs w:val="24"/>
        </w:rPr>
        <w:t>采购</w:t>
      </w:r>
      <w:r>
        <w:rPr>
          <w:rFonts w:hint="eastAsia" w:ascii="新宋体" w:hAnsi="新宋体" w:eastAsia="新宋体"/>
          <w:b w:val="0"/>
          <w:color w:val="auto"/>
          <w:sz w:val="24"/>
          <w:szCs w:val="24"/>
        </w:rPr>
        <w:t>（招标）</w:t>
      </w:r>
      <w:r>
        <w:rPr>
          <w:rFonts w:ascii="新宋体" w:hAnsi="新宋体" w:eastAsia="新宋体"/>
          <w:b w:val="0"/>
          <w:color w:val="auto"/>
          <w:sz w:val="24"/>
          <w:szCs w:val="24"/>
        </w:rPr>
        <w:t>代理机构：系指的是义乌市政府采购中心。</w:t>
      </w:r>
    </w:p>
    <w:p>
      <w:pPr>
        <w:pStyle w:val="2"/>
        <w:spacing w:line="440" w:lineRule="exact"/>
        <w:ind w:firstLine="480" w:firstLineChars="200"/>
        <w:jc w:val="both"/>
        <w:rPr>
          <w:rFonts w:ascii="新宋体" w:hAnsi="新宋体" w:eastAsia="新宋体"/>
          <w:b w:val="0"/>
          <w:color w:val="auto"/>
          <w:sz w:val="24"/>
          <w:szCs w:val="24"/>
        </w:rPr>
      </w:pPr>
      <w:r>
        <w:rPr>
          <w:rFonts w:ascii="新宋体" w:hAnsi="新宋体" w:eastAsia="新宋体"/>
          <w:b w:val="0"/>
          <w:color w:val="auto"/>
          <w:sz w:val="24"/>
          <w:szCs w:val="24"/>
        </w:rPr>
        <w:t>2.3投标人：系指符合招标公告要求的投标供应商。</w:t>
      </w:r>
    </w:p>
    <w:p>
      <w:pPr>
        <w:pStyle w:val="2"/>
        <w:spacing w:line="440" w:lineRule="exact"/>
        <w:ind w:firstLine="480" w:firstLineChars="200"/>
        <w:jc w:val="both"/>
        <w:rPr>
          <w:rFonts w:ascii="新宋体" w:hAnsi="新宋体" w:eastAsia="新宋体"/>
          <w:b w:val="0"/>
          <w:color w:val="auto"/>
          <w:sz w:val="24"/>
          <w:szCs w:val="24"/>
        </w:rPr>
      </w:pPr>
      <w:r>
        <w:rPr>
          <w:rFonts w:ascii="新宋体" w:hAnsi="新宋体" w:eastAsia="新宋体"/>
          <w:b w:val="0"/>
          <w:color w:val="auto"/>
          <w:sz w:val="24"/>
          <w:szCs w:val="24"/>
        </w:rPr>
        <w:t>2.4服务：系指招标文件规定投标人须承担的劳务及其它类似的服务。</w:t>
      </w:r>
    </w:p>
    <w:p>
      <w:pPr>
        <w:pStyle w:val="2"/>
        <w:spacing w:line="440" w:lineRule="exact"/>
        <w:ind w:firstLine="480" w:firstLineChars="200"/>
        <w:jc w:val="both"/>
        <w:rPr>
          <w:rFonts w:ascii="新宋体" w:hAnsi="新宋体" w:eastAsia="新宋体"/>
          <w:b w:val="0"/>
          <w:color w:val="auto"/>
          <w:sz w:val="24"/>
          <w:szCs w:val="24"/>
        </w:rPr>
      </w:pPr>
      <w:r>
        <w:rPr>
          <w:rFonts w:ascii="新宋体" w:hAnsi="新宋体" w:eastAsia="新宋体"/>
          <w:b w:val="0"/>
          <w:color w:val="auto"/>
          <w:sz w:val="24"/>
          <w:szCs w:val="24"/>
        </w:rPr>
        <w:t>2.5货物：系指按招标文件规定投标人须向采购人提供的一切材料、设备、机械、仪器仪表、工具及其它有关技术资料和文字材料。</w:t>
      </w:r>
    </w:p>
    <w:p>
      <w:pPr>
        <w:pStyle w:val="2"/>
        <w:spacing w:line="440" w:lineRule="exact"/>
        <w:ind w:firstLine="480" w:firstLineChars="200"/>
        <w:jc w:val="both"/>
        <w:rPr>
          <w:rFonts w:ascii="新宋体" w:hAnsi="新宋体" w:eastAsia="新宋体"/>
          <w:b w:val="0"/>
          <w:color w:val="auto"/>
          <w:sz w:val="24"/>
          <w:szCs w:val="24"/>
        </w:rPr>
      </w:pPr>
      <w:r>
        <w:rPr>
          <w:rFonts w:ascii="新宋体" w:hAnsi="新宋体" w:eastAsia="新宋体"/>
          <w:b w:val="0"/>
          <w:color w:val="auto"/>
          <w:sz w:val="24"/>
          <w:szCs w:val="24"/>
        </w:rPr>
        <w:t>2.6甲方：即采购人，在招投标阶段称为采购人，在签订和执行合同阶段称为甲方。</w:t>
      </w:r>
    </w:p>
    <w:p>
      <w:pPr>
        <w:pStyle w:val="2"/>
        <w:spacing w:line="440" w:lineRule="exact"/>
        <w:ind w:firstLine="480" w:firstLineChars="200"/>
        <w:jc w:val="both"/>
        <w:rPr>
          <w:rFonts w:ascii="新宋体" w:hAnsi="新宋体" w:eastAsia="新宋体"/>
          <w:b w:val="0"/>
          <w:color w:val="auto"/>
          <w:sz w:val="24"/>
          <w:szCs w:val="24"/>
        </w:rPr>
      </w:pPr>
      <w:r>
        <w:rPr>
          <w:rFonts w:ascii="新宋体" w:hAnsi="新宋体" w:eastAsia="新宋体"/>
          <w:b w:val="0"/>
          <w:color w:val="auto"/>
          <w:sz w:val="24"/>
          <w:szCs w:val="24"/>
        </w:rPr>
        <w:t>2.7乙方：在招投标阶段称为投标人，中标后在签订和执行合同阶段称为乙方。</w:t>
      </w:r>
    </w:p>
    <w:p>
      <w:pPr>
        <w:pStyle w:val="2"/>
        <w:spacing w:line="440" w:lineRule="exact"/>
        <w:ind w:firstLine="480" w:firstLineChars="200"/>
        <w:jc w:val="both"/>
        <w:rPr>
          <w:rFonts w:ascii="新宋体" w:hAnsi="新宋体" w:eastAsia="新宋体"/>
          <w:b w:val="0"/>
          <w:color w:val="auto"/>
          <w:sz w:val="24"/>
          <w:szCs w:val="24"/>
        </w:rPr>
      </w:pPr>
      <w:r>
        <w:rPr>
          <w:rFonts w:ascii="新宋体" w:hAnsi="新宋体" w:eastAsia="新宋体"/>
          <w:b w:val="0"/>
          <w:color w:val="auto"/>
          <w:sz w:val="24"/>
          <w:szCs w:val="24"/>
        </w:rPr>
        <w:t>2.8“★”标记系指必须满足不能负偏离且必须应答的实质性条款。</w:t>
      </w:r>
    </w:p>
    <w:p>
      <w:pPr>
        <w:pStyle w:val="2"/>
        <w:adjustRightInd w:val="0"/>
        <w:snapToGrid w:val="0"/>
        <w:spacing w:line="400" w:lineRule="exact"/>
        <w:ind w:firstLine="482" w:firstLineChars="200"/>
        <w:jc w:val="both"/>
        <w:rPr>
          <w:rFonts w:hint="eastAsia" w:ascii="新宋体" w:hAnsi="新宋体" w:eastAsia="新宋体"/>
          <w:color w:val="auto"/>
          <w:sz w:val="24"/>
        </w:rPr>
      </w:pPr>
      <w:r>
        <w:rPr>
          <w:rFonts w:hint="eastAsia" w:ascii="新宋体" w:hAnsi="新宋体" w:eastAsia="新宋体"/>
          <w:color w:val="auto"/>
          <w:sz w:val="24"/>
        </w:rPr>
        <w:t>3.合格的投标人</w:t>
      </w:r>
    </w:p>
    <w:p>
      <w:pPr>
        <w:pStyle w:val="2"/>
        <w:adjustRightInd w:val="0"/>
        <w:snapToGrid w:val="0"/>
        <w:spacing w:line="400" w:lineRule="exact"/>
        <w:ind w:firstLine="482" w:firstLineChars="200"/>
        <w:jc w:val="both"/>
        <w:rPr>
          <w:rFonts w:hint="eastAsia" w:ascii="新宋体" w:hAnsi="新宋体" w:eastAsia="新宋体"/>
          <w:b w:val="0"/>
          <w:bCs w:val="0"/>
          <w:color w:val="auto"/>
          <w:sz w:val="24"/>
        </w:rPr>
      </w:pPr>
      <w:r>
        <w:rPr>
          <w:rFonts w:hint="eastAsia" w:ascii="新宋体" w:hAnsi="新宋体" w:eastAsia="新宋体"/>
          <w:color w:val="auto"/>
          <w:sz w:val="24"/>
        </w:rPr>
        <w:t>3.1</w:t>
      </w:r>
      <w:r>
        <w:rPr>
          <w:rFonts w:hint="eastAsia" w:ascii="新宋体" w:hAnsi="新宋体" w:eastAsia="新宋体"/>
          <w:b w:val="0"/>
          <w:bCs w:val="0"/>
          <w:color w:val="auto"/>
          <w:sz w:val="24"/>
        </w:rPr>
        <w:t>符合第一章采购公告中规定的投标人资格条件的投标人。</w:t>
      </w:r>
    </w:p>
    <w:p>
      <w:pPr>
        <w:pStyle w:val="32"/>
        <w:spacing w:line="400" w:lineRule="exact"/>
        <w:ind w:firstLine="482" w:firstLineChars="200"/>
        <w:rPr>
          <w:rFonts w:hint="eastAsia" w:ascii="新宋体" w:hAnsi="新宋体" w:eastAsia="新宋体"/>
          <w:sz w:val="24"/>
        </w:rPr>
      </w:pPr>
      <w:r>
        <w:rPr>
          <w:rFonts w:hint="eastAsia" w:ascii="新宋体" w:hAnsi="新宋体" w:eastAsia="新宋体"/>
          <w:b/>
          <w:sz w:val="24"/>
        </w:rPr>
        <w:t>4.保证</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rPr>
        <w:t>投标人应保证所提交给采购代理机构和采购人的资料和数据是真实有效的。</w:t>
      </w:r>
    </w:p>
    <w:p>
      <w:pPr>
        <w:pStyle w:val="32"/>
        <w:spacing w:line="400" w:lineRule="exact"/>
        <w:ind w:firstLine="482" w:firstLineChars="200"/>
        <w:rPr>
          <w:rFonts w:hint="eastAsia" w:ascii="新宋体" w:hAnsi="新宋体" w:eastAsia="新宋体"/>
          <w:b/>
          <w:sz w:val="24"/>
        </w:rPr>
      </w:pPr>
      <w:r>
        <w:rPr>
          <w:rFonts w:hint="eastAsia" w:ascii="新宋体" w:hAnsi="新宋体" w:eastAsia="新宋体"/>
          <w:b/>
          <w:sz w:val="24"/>
        </w:rPr>
        <w:t>5.招标投标费用</w:t>
      </w:r>
    </w:p>
    <w:p>
      <w:pPr>
        <w:pStyle w:val="32"/>
        <w:spacing w:line="400" w:lineRule="exact"/>
        <w:ind w:firstLine="480" w:firstLineChars="200"/>
        <w:rPr>
          <w:rFonts w:hint="eastAsia" w:ascii="新宋体" w:hAnsi="新宋体" w:eastAsia="新宋体"/>
          <w:b/>
          <w:sz w:val="24"/>
        </w:rPr>
      </w:pPr>
      <w:r>
        <w:rPr>
          <w:rFonts w:hint="eastAsia" w:ascii="新宋体" w:hAnsi="新宋体" w:eastAsia="新宋体"/>
          <w:sz w:val="24"/>
        </w:rPr>
        <w:t>不论投标过程中的作法和结果如何，投标人应承担所有与投标有关的全部费用。采购人和采购代理机构在任何情况下均无义务和责任承担上述这些费用。</w:t>
      </w:r>
    </w:p>
    <w:p>
      <w:pPr>
        <w:pStyle w:val="32"/>
        <w:spacing w:line="400" w:lineRule="exact"/>
        <w:ind w:firstLine="480"/>
        <w:rPr>
          <w:rFonts w:hint="eastAsia" w:ascii="新宋体" w:hAnsi="新宋体" w:eastAsia="新宋体"/>
          <w:b/>
          <w:sz w:val="24"/>
        </w:rPr>
      </w:pPr>
      <w:r>
        <w:rPr>
          <w:rFonts w:hint="eastAsia" w:ascii="新宋体" w:hAnsi="新宋体" w:eastAsia="新宋体"/>
          <w:b/>
          <w:sz w:val="24"/>
        </w:rPr>
        <w:t>6.现场勘察</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rPr>
        <w:t>本项目采购人不组织现场踏勘，投标前，投标人应自行到项目所在地踏勘，对项目实施现场及周边环境等进行勘察，以获取编制投标文件和签署合同所需的所有资料，否则，由此所造成的一切后果由投标人自行承担。</w:t>
      </w:r>
    </w:p>
    <w:p>
      <w:pPr>
        <w:adjustRightInd w:val="0"/>
        <w:snapToGrid w:val="0"/>
        <w:spacing w:line="400" w:lineRule="exact"/>
        <w:ind w:firstLine="482" w:firstLineChars="200"/>
        <w:rPr>
          <w:rFonts w:hint="eastAsia" w:ascii="新宋体" w:hAnsi="新宋体" w:eastAsia="新宋体"/>
          <w:b/>
          <w:sz w:val="24"/>
        </w:rPr>
      </w:pPr>
      <w:r>
        <w:rPr>
          <w:rFonts w:hint="eastAsia" w:ascii="新宋体" w:hAnsi="新宋体" w:eastAsia="新宋体"/>
          <w:b/>
          <w:sz w:val="24"/>
        </w:rPr>
        <w:t>7.联合体投标</w:t>
      </w:r>
    </w:p>
    <w:p>
      <w:pPr>
        <w:adjustRightInd w:val="0"/>
        <w:snapToGrid w:val="0"/>
        <w:spacing w:line="400" w:lineRule="exact"/>
        <w:ind w:firstLine="480" w:firstLineChars="200"/>
        <w:rPr>
          <w:rFonts w:hint="eastAsia" w:ascii="新宋体" w:hAnsi="新宋体" w:eastAsia="新宋体"/>
          <w:sz w:val="24"/>
        </w:rPr>
      </w:pPr>
      <w:r>
        <w:rPr>
          <w:rFonts w:hint="eastAsia" w:ascii="新宋体" w:hAnsi="新宋体" w:eastAsia="新宋体"/>
          <w:sz w:val="24"/>
        </w:rPr>
        <w:t>本项目不接受联合体投标。</w:t>
      </w:r>
    </w:p>
    <w:p>
      <w:pPr>
        <w:pStyle w:val="4"/>
        <w:spacing w:before="120" w:after="120" w:line="400" w:lineRule="exact"/>
        <w:rPr>
          <w:rFonts w:hint="eastAsia" w:ascii="新宋体" w:hAnsi="新宋体" w:eastAsia="新宋体"/>
          <w:sz w:val="28"/>
          <w:szCs w:val="28"/>
        </w:rPr>
      </w:pPr>
      <w:bookmarkStart w:id="12" w:name="_Toc274303230"/>
      <w:bookmarkStart w:id="13" w:name="_Toc362250688"/>
      <w:bookmarkStart w:id="14" w:name="_Toc20362"/>
      <w:r>
        <w:rPr>
          <w:rFonts w:hint="eastAsia" w:ascii="新宋体" w:hAnsi="新宋体" w:eastAsia="新宋体"/>
          <w:sz w:val="28"/>
          <w:szCs w:val="28"/>
        </w:rPr>
        <w:t>二、招标文件</w:t>
      </w:r>
      <w:bookmarkEnd w:id="12"/>
      <w:bookmarkEnd w:id="13"/>
      <w:bookmarkEnd w:id="14"/>
    </w:p>
    <w:p>
      <w:pPr>
        <w:adjustRightInd w:val="0"/>
        <w:snapToGrid w:val="0"/>
        <w:spacing w:before="50" w:after="50" w:line="400" w:lineRule="exact"/>
        <w:ind w:firstLine="482" w:firstLineChars="200"/>
        <w:rPr>
          <w:rFonts w:hint="eastAsia" w:ascii="新宋体" w:hAnsi="新宋体" w:eastAsia="新宋体"/>
          <w:b/>
          <w:bCs/>
          <w:sz w:val="24"/>
        </w:rPr>
      </w:pPr>
      <w:r>
        <w:rPr>
          <w:rFonts w:hint="eastAsia" w:ascii="新宋体" w:hAnsi="新宋体" w:eastAsia="新宋体"/>
          <w:b/>
          <w:bCs/>
          <w:sz w:val="24"/>
        </w:rPr>
        <w:t>8.招标文件的组成</w:t>
      </w:r>
    </w:p>
    <w:p>
      <w:pPr>
        <w:adjustRightInd w:val="0"/>
        <w:snapToGrid w:val="0"/>
        <w:spacing w:before="50" w:after="50" w:line="400" w:lineRule="exact"/>
        <w:ind w:firstLine="480" w:firstLineChars="200"/>
        <w:rPr>
          <w:rFonts w:hint="eastAsia" w:ascii="新宋体" w:hAnsi="新宋体" w:eastAsia="新宋体"/>
          <w:sz w:val="24"/>
        </w:rPr>
      </w:pPr>
      <w:r>
        <w:rPr>
          <w:rFonts w:hint="eastAsia" w:ascii="新宋体" w:hAnsi="新宋体" w:eastAsia="新宋体"/>
          <w:sz w:val="24"/>
        </w:rPr>
        <w:t>8.1招标文件包括下列内容：</w:t>
      </w:r>
    </w:p>
    <w:p>
      <w:pPr>
        <w:adjustRightInd w:val="0"/>
        <w:snapToGrid w:val="0"/>
        <w:spacing w:before="50" w:after="50" w:line="440" w:lineRule="exact"/>
        <w:ind w:firstLine="480" w:firstLineChars="200"/>
        <w:rPr>
          <w:rFonts w:hint="eastAsia" w:ascii="新宋体" w:hAnsi="新宋体" w:eastAsia="新宋体"/>
          <w:sz w:val="24"/>
        </w:rPr>
      </w:pPr>
      <w:r>
        <w:rPr>
          <w:rFonts w:hint="eastAsia" w:ascii="新宋体" w:hAnsi="新宋体" w:eastAsia="新宋体"/>
          <w:sz w:val="24"/>
        </w:rPr>
        <w:t>第一章  招标公告</w:t>
      </w:r>
    </w:p>
    <w:p>
      <w:pPr>
        <w:adjustRightInd w:val="0"/>
        <w:snapToGrid w:val="0"/>
        <w:spacing w:before="50" w:after="50" w:line="440" w:lineRule="exact"/>
        <w:ind w:firstLine="480" w:firstLineChars="200"/>
        <w:rPr>
          <w:rFonts w:ascii="新宋体" w:hAnsi="新宋体" w:eastAsia="新宋体"/>
          <w:sz w:val="24"/>
        </w:rPr>
      </w:pPr>
      <w:r>
        <w:rPr>
          <w:rFonts w:hint="eastAsia" w:ascii="新宋体" w:hAnsi="新宋体" w:eastAsia="新宋体"/>
          <w:sz w:val="24"/>
        </w:rPr>
        <w:t>第二章  投标须知和投标须知前附表</w:t>
      </w:r>
    </w:p>
    <w:p>
      <w:pPr>
        <w:adjustRightInd w:val="0"/>
        <w:snapToGrid w:val="0"/>
        <w:spacing w:before="50" w:after="50" w:line="440" w:lineRule="exact"/>
        <w:ind w:firstLine="480" w:firstLineChars="200"/>
        <w:rPr>
          <w:rFonts w:hint="eastAsia" w:ascii="新宋体" w:hAnsi="新宋体" w:eastAsia="新宋体"/>
          <w:sz w:val="24"/>
        </w:rPr>
      </w:pPr>
      <w:r>
        <w:rPr>
          <w:rFonts w:hint="eastAsia" w:ascii="新宋体" w:hAnsi="新宋体" w:eastAsia="新宋体"/>
          <w:sz w:val="24"/>
        </w:rPr>
        <w:t>第三章  招标项目要求</w:t>
      </w:r>
    </w:p>
    <w:p>
      <w:pPr>
        <w:adjustRightInd w:val="0"/>
        <w:snapToGrid w:val="0"/>
        <w:spacing w:before="50" w:after="50" w:line="440" w:lineRule="exact"/>
        <w:ind w:firstLine="480" w:firstLineChars="200"/>
        <w:rPr>
          <w:rFonts w:hint="eastAsia" w:ascii="新宋体" w:hAnsi="新宋体" w:eastAsia="新宋体"/>
          <w:sz w:val="24"/>
        </w:rPr>
      </w:pPr>
      <w:r>
        <w:rPr>
          <w:rFonts w:hint="eastAsia" w:ascii="新宋体" w:hAnsi="新宋体" w:eastAsia="新宋体"/>
          <w:sz w:val="24"/>
        </w:rPr>
        <w:t>第四章  开标、评标和定标</w:t>
      </w:r>
    </w:p>
    <w:p>
      <w:pPr>
        <w:adjustRightInd w:val="0"/>
        <w:snapToGrid w:val="0"/>
        <w:spacing w:before="50" w:after="50" w:line="440" w:lineRule="exact"/>
        <w:ind w:firstLine="480" w:firstLineChars="200"/>
        <w:rPr>
          <w:rFonts w:hint="eastAsia" w:ascii="新宋体" w:hAnsi="新宋体" w:eastAsia="新宋体"/>
          <w:sz w:val="24"/>
        </w:rPr>
      </w:pPr>
      <w:r>
        <w:rPr>
          <w:rFonts w:hint="eastAsia" w:ascii="新宋体" w:hAnsi="新宋体" w:eastAsia="新宋体"/>
          <w:sz w:val="24"/>
        </w:rPr>
        <w:t>第五章  投标文件的有效性</w:t>
      </w:r>
    </w:p>
    <w:p>
      <w:pPr>
        <w:adjustRightInd w:val="0"/>
        <w:snapToGrid w:val="0"/>
        <w:spacing w:before="50" w:after="50" w:line="440" w:lineRule="exact"/>
        <w:ind w:firstLine="480" w:firstLineChars="200"/>
        <w:rPr>
          <w:rFonts w:hint="eastAsia" w:ascii="新宋体" w:hAnsi="新宋体" w:eastAsia="新宋体"/>
          <w:sz w:val="24"/>
        </w:rPr>
      </w:pPr>
      <w:r>
        <w:rPr>
          <w:rFonts w:hint="eastAsia" w:ascii="新宋体" w:hAnsi="新宋体" w:eastAsia="新宋体"/>
          <w:sz w:val="24"/>
        </w:rPr>
        <w:t>第六章  评标办法</w:t>
      </w:r>
    </w:p>
    <w:p>
      <w:pPr>
        <w:adjustRightInd w:val="0"/>
        <w:snapToGrid w:val="0"/>
        <w:spacing w:before="50" w:after="50" w:line="440" w:lineRule="exact"/>
        <w:ind w:firstLine="480" w:firstLineChars="200"/>
        <w:rPr>
          <w:rFonts w:hint="eastAsia" w:ascii="新宋体" w:hAnsi="新宋体" w:eastAsia="新宋体"/>
          <w:sz w:val="24"/>
        </w:rPr>
      </w:pPr>
      <w:r>
        <w:rPr>
          <w:rFonts w:hint="eastAsia" w:ascii="新宋体" w:hAnsi="新宋体" w:eastAsia="新宋体"/>
          <w:sz w:val="24"/>
        </w:rPr>
        <w:t>第七章  合同主要条款</w:t>
      </w:r>
    </w:p>
    <w:p>
      <w:pPr>
        <w:adjustRightInd w:val="0"/>
        <w:snapToGrid w:val="0"/>
        <w:spacing w:before="50" w:after="50" w:line="440" w:lineRule="exact"/>
        <w:ind w:firstLine="480" w:firstLineChars="200"/>
        <w:rPr>
          <w:rFonts w:hint="eastAsia" w:ascii="新宋体" w:hAnsi="新宋体" w:eastAsia="新宋体"/>
          <w:sz w:val="24"/>
        </w:rPr>
      </w:pPr>
      <w:r>
        <w:rPr>
          <w:rFonts w:hint="eastAsia" w:ascii="新宋体" w:hAnsi="新宋体" w:eastAsia="新宋体"/>
          <w:sz w:val="24"/>
        </w:rPr>
        <w:t>第八章  投标文件部分格式</w:t>
      </w:r>
    </w:p>
    <w:p>
      <w:pPr>
        <w:adjustRightInd w:val="0"/>
        <w:snapToGrid w:val="0"/>
        <w:spacing w:before="50" w:after="50" w:line="400" w:lineRule="exact"/>
        <w:ind w:firstLine="480" w:firstLineChars="200"/>
        <w:rPr>
          <w:rFonts w:hint="eastAsia" w:ascii="新宋体" w:hAnsi="新宋体" w:eastAsia="新宋体"/>
          <w:sz w:val="24"/>
        </w:rPr>
      </w:pPr>
      <w:r>
        <w:rPr>
          <w:rFonts w:hint="eastAsia" w:ascii="新宋体" w:hAnsi="新宋体" w:eastAsia="新宋体"/>
          <w:sz w:val="24"/>
        </w:rPr>
        <w:t>8.2除8.1内容外，招标方在投标截止前以书面形式发出的对招标文件的澄清或修改内容，均为招标文件的组成部分，对招标方和投标人起约束作用。</w:t>
      </w:r>
    </w:p>
    <w:p>
      <w:pPr>
        <w:adjustRightInd w:val="0"/>
        <w:snapToGrid w:val="0"/>
        <w:spacing w:before="50" w:after="50" w:line="400" w:lineRule="exact"/>
        <w:ind w:firstLine="480" w:firstLineChars="200"/>
        <w:rPr>
          <w:rFonts w:hint="eastAsia" w:ascii="新宋体" w:hAnsi="新宋体" w:eastAsia="新宋体"/>
          <w:sz w:val="24"/>
        </w:rPr>
      </w:pPr>
      <w:r>
        <w:rPr>
          <w:rFonts w:hint="eastAsia" w:ascii="新宋体" w:hAnsi="新宋体" w:eastAsia="新宋体"/>
          <w:sz w:val="24"/>
        </w:rPr>
        <w:t>8.3上述所列8.1及8.2条内容均以书面文件为准，招标方的任何工作人员对投标人所作的任何口头解释、介绍、答复，对招标方和投标人无任何约束力。</w:t>
      </w:r>
    </w:p>
    <w:p>
      <w:pPr>
        <w:adjustRightInd w:val="0"/>
        <w:snapToGrid w:val="0"/>
        <w:spacing w:before="50" w:after="50" w:line="400" w:lineRule="exact"/>
        <w:ind w:firstLine="480" w:firstLineChars="200"/>
        <w:rPr>
          <w:rFonts w:hint="eastAsia" w:ascii="新宋体" w:hAnsi="新宋体" w:eastAsia="新宋体"/>
          <w:sz w:val="24"/>
        </w:rPr>
      </w:pPr>
      <w:r>
        <w:rPr>
          <w:rFonts w:hint="eastAsia" w:ascii="新宋体" w:hAnsi="新宋体" w:eastAsia="新宋体"/>
          <w:sz w:val="24"/>
        </w:rPr>
        <w:t>8</w:t>
      </w:r>
      <w:r>
        <w:rPr>
          <w:rFonts w:ascii="新宋体" w:hAnsi="新宋体" w:eastAsia="新宋体"/>
          <w:sz w:val="24"/>
        </w:rPr>
        <w:t>.</w:t>
      </w:r>
      <w:r>
        <w:rPr>
          <w:rFonts w:hint="eastAsia" w:ascii="新宋体" w:hAnsi="新宋体" w:eastAsia="新宋体"/>
          <w:sz w:val="24"/>
        </w:rPr>
        <w:t>4投标人应认真阅读投标须知、合同条件、规定格式、项目要求、报价要求等招标文件所有的内容。如果投标人的投标文件不能符合招标文件的要求，责任由投标人自负。实质上不响应招标文件要求的投标文件将被拒绝。</w:t>
      </w:r>
    </w:p>
    <w:p>
      <w:pPr>
        <w:adjustRightInd w:val="0"/>
        <w:snapToGrid w:val="0"/>
        <w:spacing w:before="50" w:after="50" w:line="400" w:lineRule="exact"/>
        <w:ind w:firstLine="480" w:firstLineChars="200"/>
        <w:rPr>
          <w:rFonts w:hint="eastAsia" w:ascii="新宋体" w:hAnsi="新宋体" w:eastAsia="新宋体"/>
          <w:i/>
          <w:iCs/>
          <w:sz w:val="24"/>
        </w:rPr>
      </w:pPr>
      <w:r>
        <w:rPr>
          <w:rFonts w:hint="eastAsia" w:ascii="宋体" w:hAnsi="宋体"/>
          <w:i/>
          <w:iCs/>
          <w:sz w:val="24"/>
        </w:rPr>
        <w:t>8.5招标方在政采云系统上设定的内容与招标文件的内容不一致的，以招标文件的内容为准。</w:t>
      </w:r>
    </w:p>
    <w:p>
      <w:pPr>
        <w:adjustRightInd w:val="0"/>
        <w:snapToGrid w:val="0"/>
        <w:spacing w:before="50" w:after="50" w:line="400" w:lineRule="exact"/>
        <w:ind w:firstLine="482" w:firstLineChars="200"/>
        <w:rPr>
          <w:rFonts w:hint="eastAsia" w:ascii="新宋体" w:hAnsi="新宋体" w:eastAsia="新宋体"/>
          <w:b/>
          <w:bCs/>
          <w:sz w:val="24"/>
        </w:rPr>
      </w:pPr>
      <w:r>
        <w:rPr>
          <w:rFonts w:hint="eastAsia" w:ascii="新宋体" w:hAnsi="新宋体" w:eastAsia="新宋体"/>
          <w:b/>
          <w:bCs/>
          <w:sz w:val="24"/>
        </w:rPr>
        <w:t>9.招标文件的澄清</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rPr>
        <w:t>9.1投标人若对招标文件有任何疑问，应于前附表规定的时间以书面形式（送达或传真）向采购人和代理机构提出。</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rPr>
        <w:t>9.2无论是招标方根据需要主动对招标文件进行必要澄清，或是根据投标人的要求对招标文件做出澄清，招标方的</w:t>
      </w:r>
      <w:r>
        <w:rPr>
          <w:rFonts w:ascii="新宋体" w:hAnsi="新宋体" w:eastAsia="新宋体"/>
          <w:sz w:val="24"/>
        </w:rPr>
        <w:t>书面澄清</w:t>
      </w:r>
      <w:r>
        <w:rPr>
          <w:rFonts w:hint="eastAsia" w:ascii="新宋体" w:hAnsi="新宋体" w:eastAsia="新宋体"/>
          <w:sz w:val="24"/>
        </w:rPr>
        <w:t>（更正）</w:t>
      </w:r>
      <w:r>
        <w:rPr>
          <w:rFonts w:ascii="新宋体" w:hAnsi="新宋体" w:eastAsia="新宋体"/>
          <w:sz w:val="24"/>
        </w:rPr>
        <w:t>文件</w:t>
      </w:r>
      <w:r>
        <w:rPr>
          <w:rFonts w:hint="eastAsia" w:ascii="新宋体" w:hAnsi="新宋体" w:eastAsia="新宋体"/>
          <w:sz w:val="24"/>
        </w:rPr>
        <w:t>会在浙江省政府网上发布公告，</w:t>
      </w:r>
      <w:r>
        <w:rPr>
          <w:rFonts w:ascii="新宋体" w:hAnsi="新宋体" w:eastAsia="新宋体"/>
          <w:sz w:val="24"/>
        </w:rPr>
        <w:t>同时</w:t>
      </w:r>
      <w:r>
        <w:rPr>
          <w:rFonts w:hint="eastAsia" w:ascii="新宋体" w:hAnsi="新宋体" w:eastAsia="新宋体"/>
          <w:sz w:val="24"/>
        </w:rPr>
        <w:t>政采云系统会</w:t>
      </w:r>
      <w:r>
        <w:rPr>
          <w:rFonts w:ascii="新宋体" w:hAnsi="新宋体" w:eastAsia="新宋体"/>
          <w:sz w:val="24"/>
        </w:rPr>
        <w:t>向所有</w:t>
      </w:r>
      <w:r>
        <w:rPr>
          <w:rFonts w:hint="eastAsia" w:ascii="新宋体" w:hAnsi="新宋体" w:eastAsia="新宋体"/>
          <w:sz w:val="24"/>
        </w:rPr>
        <w:t>已按招标文件规定方式获取招标文件的潜在供应商</w:t>
      </w:r>
      <w:r>
        <w:rPr>
          <w:rFonts w:ascii="新宋体" w:hAnsi="新宋体" w:eastAsia="新宋体"/>
          <w:sz w:val="24"/>
        </w:rPr>
        <w:t>发送</w:t>
      </w:r>
      <w:r>
        <w:rPr>
          <w:rFonts w:hint="eastAsia" w:ascii="新宋体" w:hAnsi="新宋体" w:eastAsia="新宋体"/>
          <w:sz w:val="24"/>
        </w:rPr>
        <w:t>更正提醒信息，潜在供应商请自行到浙江省政府采网上下载</w:t>
      </w:r>
      <w:r>
        <w:rPr>
          <w:rFonts w:ascii="新宋体" w:hAnsi="新宋体" w:eastAsia="新宋体"/>
          <w:sz w:val="24"/>
        </w:rPr>
        <w:t>澄清</w:t>
      </w:r>
      <w:r>
        <w:rPr>
          <w:rFonts w:hint="eastAsia" w:ascii="新宋体" w:hAnsi="新宋体" w:eastAsia="新宋体"/>
          <w:sz w:val="24"/>
        </w:rPr>
        <w:t>（更正）</w:t>
      </w:r>
      <w:r>
        <w:rPr>
          <w:rFonts w:ascii="新宋体" w:hAnsi="新宋体" w:eastAsia="新宋体"/>
          <w:sz w:val="24"/>
        </w:rPr>
        <w:t>文件</w:t>
      </w:r>
      <w:r>
        <w:rPr>
          <w:rFonts w:hint="eastAsia" w:ascii="新宋体" w:hAnsi="新宋体" w:eastAsia="新宋体"/>
          <w:sz w:val="24"/>
        </w:rPr>
        <w:t>，潜在供应商</w:t>
      </w:r>
      <w:r>
        <w:rPr>
          <w:rFonts w:ascii="新宋体" w:hAnsi="新宋体" w:eastAsia="新宋体"/>
          <w:sz w:val="24"/>
        </w:rPr>
        <w:t>在收到该澄清</w:t>
      </w:r>
      <w:r>
        <w:rPr>
          <w:rFonts w:hint="eastAsia" w:ascii="新宋体" w:hAnsi="新宋体" w:eastAsia="新宋体"/>
          <w:sz w:val="24"/>
        </w:rPr>
        <w:t>（更正）</w:t>
      </w:r>
      <w:r>
        <w:rPr>
          <w:rFonts w:ascii="新宋体" w:hAnsi="新宋体" w:eastAsia="新宋体"/>
          <w:sz w:val="24"/>
        </w:rPr>
        <w:t>文件后应于1日内，以书面或传真形式（签署意见并加盖公章）向招标代理机构回函给予确认。过期未回复的，视为默认接受。</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rPr>
        <w:t>9</w:t>
      </w:r>
      <w:r>
        <w:rPr>
          <w:rFonts w:ascii="新宋体" w:hAnsi="新宋体" w:eastAsia="新宋体"/>
          <w:sz w:val="24"/>
        </w:rPr>
        <w:t>.</w:t>
      </w:r>
      <w:r>
        <w:rPr>
          <w:rFonts w:hint="eastAsia" w:ascii="新宋体" w:hAnsi="新宋体" w:eastAsia="新宋体"/>
          <w:sz w:val="24"/>
        </w:rPr>
        <w:t>3投标人在前附表规定时间未提交疑问或质疑的，视作默认对本次招标过程中招标文件无异议，招标方对其提出的问题可以不予受理。</w:t>
      </w:r>
    </w:p>
    <w:p>
      <w:pPr>
        <w:spacing w:line="400" w:lineRule="exact"/>
        <w:ind w:firstLine="480" w:firstLineChars="200"/>
        <w:textAlignment w:val="baseline"/>
        <w:rPr>
          <w:rFonts w:hint="eastAsia" w:ascii="新宋体" w:hAnsi="新宋体" w:eastAsia="新宋体"/>
          <w:spacing w:val="-4"/>
          <w:sz w:val="24"/>
        </w:rPr>
      </w:pPr>
      <w:r>
        <w:rPr>
          <w:rFonts w:hint="eastAsia" w:ascii="新宋体" w:hAnsi="新宋体" w:eastAsia="新宋体"/>
          <w:sz w:val="24"/>
        </w:rPr>
        <w:t>9</w:t>
      </w:r>
      <w:r>
        <w:rPr>
          <w:rFonts w:ascii="新宋体" w:hAnsi="新宋体" w:eastAsia="新宋体"/>
          <w:sz w:val="24"/>
        </w:rPr>
        <w:t>.</w:t>
      </w:r>
      <w:r>
        <w:rPr>
          <w:rFonts w:hint="eastAsia" w:ascii="新宋体" w:hAnsi="新宋体" w:eastAsia="新宋体"/>
          <w:sz w:val="24"/>
        </w:rPr>
        <w:t>4</w:t>
      </w:r>
      <w:r>
        <w:rPr>
          <w:rFonts w:hint="eastAsia" w:ascii="新宋体" w:hAnsi="新宋体" w:eastAsia="新宋体"/>
          <w:spacing w:val="-4"/>
          <w:sz w:val="24"/>
        </w:rPr>
        <w:t>招标文件澄清、修改、补充等内容均以书面形式明确的内容为准。当招标文件、招标文件的澄清、修改、补充等在同一内容的表述上不一致时，</w:t>
      </w:r>
      <w:r>
        <w:rPr>
          <w:rFonts w:ascii="新宋体" w:hAnsi="新宋体" w:eastAsia="新宋体"/>
          <w:spacing w:val="-4"/>
          <w:sz w:val="24"/>
        </w:rPr>
        <w:t>以最后</w:t>
      </w:r>
      <w:r>
        <w:rPr>
          <w:rFonts w:hint="eastAsia" w:ascii="新宋体" w:hAnsi="新宋体" w:eastAsia="新宋体"/>
          <w:spacing w:val="-4"/>
          <w:sz w:val="24"/>
        </w:rPr>
        <w:t>在浙江政府采购网</w:t>
      </w:r>
      <w:r>
        <w:rPr>
          <w:rFonts w:ascii="新宋体" w:hAnsi="新宋体" w:eastAsia="新宋体"/>
          <w:spacing w:val="-4"/>
          <w:sz w:val="24"/>
        </w:rPr>
        <w:t>发出的</w:t>
      </w:r>
      <w:r>
        <w:rPr>
          <w:rFonts w:hint="eastAsia" w:ascii="新宋体" w:hAnsi="新宋体" w:eastAsia="新宋体"/>
          <w:spacing w:val="-4"/>
          <w:sz w:val="24"/>
        </w:rPr>
        <w:t>公示内容</w:t>
      </w:r>
      <w:r>
        <w:rPr>
          <w:rFonts w:ascii="新宋体" w:hAnsi="新宋体" w:eastAsia="新宋体"/>
          <w:spacing w:val="-4"/>
          <w:sz w:val="24"/>
        </w:rPr>
        <w:t>为准。</w:t>
      </w:r>
    </w:p>
    <w:p>
      <w:pPr>
        <w:spacing w:line="440" w:lineRule="exact"/>
        <w:ind w:firstLine="464" w:firstLineChars="200"/>
        <w:textAlignment w:val="baseline"/>
        <w:rPr>
          <w:rFonts w:hint="eastAsia" w:ascii="新宋体" w:hAnsi="新宋体" w:eastAsia="新宋体"/>
          <w:spacing w:val="-4"/>
          <w:sz w:val="24"/>
        </w:rPr>
      </w:pPr>
      <w:r>
        <w:rPr>
          <w:rFonts w:hint="eastAsia" w:ascii="新宋体" w:hAnsi="新宋体" w:eastAsia="新宋体"/>
          <w:spacing w:val="-4"/>
          <w:sz w:val="24"/>
        </w:rPr>
        <w:t>9.5采购人及招标代理机构工作人员向投标人所作的任何口头答复或电话通知一律无效。</w:t>
      </w:r>
    </w:p>
    <w:p>
      <w:pPr>
        <w:spacing w:line="400" w:lineRule="exact"/>
        <w:ind w:firstLine="464" w:firstLineChars="200"/>
        <w:textAlignment w:val="baseline"/>
        <w:rPr>
          <w:rFonts w:hint="eastAsia" w:ascii="新宋体" w:hAnsi="新宋体" w:eastAsia="新宋体"/>
          <w:spacing w:val="-4"/>
          <w:sz w:val="24"/>
        </w:rPr>
      </w:pPr>
      <w:r>
        <w:rPr>
          <w:rFonts w:hint="eastAsia" w:ascii="新宋体" w:hAnsi="新宋体" w:eastAsia="新宋体"/>
          <w:spacing w:val="-4"/>
          <w:sz w:val="24"/>
        </w:rPr>
        <w:t>9.6投标人应仔细阅读和检查招标文件的全部内容。如发现缺页或附件不全，应及时向招标方提出，以便补齐。如有疑问，应在投标人须知前附表规定的方式及时间前不署名书面或传真形式要求澄清问题的文件，要求招标方对招标文件予以澄清。否则，由此引起的损失由投标人自己承担。</w:t>
      </w:r>
    </w:p>
    <w:p>
      <w:pPr>
        <w:pStyle w:val="4"/>
        <w:spacing w:before="120" w:after="120" w:line="400" w:lineRule="exact"/>
        <w:rPr>
          <w:rFonts w:hint="eastAsia" w:ascii="新宋体" w:hAnsi="新宋体" w:eastAsia="新宋体"/>
          <w:sz w:val="28"/>
          <w:szCs w:val="28"/>
        </w:rPr>
      </w:pPr>
      <w:bookmarkStart w:id="15" w:name="_Toc274303231"/>
      <w:bookmarkStart w:id="16" w:name="_Toc22006"/>
      <w:bookmarkStart w:id="17" w:name="_Toc362250689"/>
      <w:r>
        <w:rPr>
          <w:rFonts w:hint="eastAsia" w:ascii="新宋体" w:hAnsi="新宋体" w:eastAsia="新宋体"/>
          <w:sz w:val="28"/>
          <w:szCs w:val="28"/>
        </w:rPr>
        <w:t>三、投标文件</w:t>
      </w:r>
      <w:bookmarkEnd w:id="15"/>
      <w:bookmarkEnd w:id="16"/>
      <w:bookmarkEnd w:id="17"/>
    </w:p>
    <w:p>
      <w:pPr>
        <w:adjustRightInd w:val="0"/>
        <w:snapToGrid w:val="0"/>
        <w:spacing w:line="400" w:lineRule="exact"/>
        <w:ind w:firstLine="480"/>
        <w:rPr>
          <w:rFonts w:hint="eastAsia" w:ascii="新宋体" w:hAnsi="新宋体" w:eastAsia="新宋体"/>
          <w:sz w:val="24"/>
        </w:rPr>
      </w:pPr>
      <w:r>
        <w:rPr>
          <w:rFonts w:hint="eastAsia" w:ascii="新宋体" w:hAnsi="新宋体" w:eastAsia="新宋体"/>
          <w:b/>
          <w:sz w:val="24"/>
        </w:rPr>
        <w:t>10.</w:t>
      </w:r>
      <w:r>
        <w:rPr>
          <w:rFonts w:hint="eastAsia" w:ascii="新宋体" w:hAnsi="新宋体" w:eastAsia="新宋体"/>
          <w:b/>
          <w:bCs/>
          <w:sz w:val="24"/>
        </w:rPr>
        <w:t>投标文件的语言及度量衡单位</w:t>
      </w:r>
    </w:p>
    <w:p>
      <w:pPr>
        <w:adjustRightInd w:val="0"/>
        <w:snapToGrid w:val="0"/>
        <w:spacing w:line="400" w:lineRule="exact"/>
        <w:ind w:firstLine="480" w:firstLineChars="200"/>
        <w:rPr>
          <w:rFonts w:hint="eastAsia" w:ascii="新宋体" w:hAnsi="新宋体" w:eastAsia="新宋体"/>
          <w:sz w:val="24"/>
        </w:rPr>
      </w:pPr>
      <w:r>
        <w:rPr>
          <w:rFonts w:hint="eastAsia" w:ascii="新宋体" w:hAnsi="新宋体" w:eastAsia="新宋体"/>
          <w:sz w:val="24"/>
          <w:szCs w:val="20"/>
        </w:rPr>
        <w:t>10.1</w:t>
      </w:r>
      <w:r>
        <w:rPr>
          <w:rFonts w:hint="eastAsia" w:ascii="新宋体" w:hAnsi="新宋体" w:eastAsia="新宋体"/>
          <w:sz w:val="24"/>
        </w:rPr>
        <w:t>投标文件和与投标有关的所有文件均应使用简体中文。</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rPr>
        <w:t>10.2除工程规范另有规定外，投标文件使用的度量衡单位，均采用中华人民共和国法定计量单位。</w:t>
      </w:r>
    </w:p>
    <w:p>
      <w:pPr>
        <w:spacing w:line="400" w:lineRule="exact"/>
        <w:ind w:firstLine="482" w:firstLineChars="200"/>
        <w:rPr>
          <w:rFonts w:hint="eastAsia" w:ascii="新宋体" w:hAnsi="新宋体" w:eastAsia="新宋体"/>
          <w:kern w:val="0"/>
          <w:sz w:val="24"/>
          <w:szCs w:val="21"/>
        </w:rPr>
      </w:pPr>
      <w:r>
        <w:rPr>
          <w:rFonts w:hint="eastAsia" w:ascii="新宋体" w:hAnsi="新宋体" w:eastAsia="新宋体"/>
          <w:b/>
          <w:bCs/>
          <w:sz w:val="24"/>
        </w:rPr>
        <w:t>11.对投标文件的要求</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rPr>
        <w:t>11.1投标人应仔细阅读招标文件，了解招标文件的要求，在完全了解招标项目的技术要求和商务要求后，编制投标文件。</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rPr>
        <w:t>11.2 在招标文件对技术要求中，投标人必须充分应答和满足用户的实质性的需求，如“★”等，否则将导致无效标。</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rPr>
        <w:t>11.3编制的投标文件对招标文件中有关条款未提出异议的，均被视为接受和同意。</w:t>
      </w:r>
    </w:p>
    <w:p>
      <w:pPr>
        <w:spacing w:line="400" w:lineRule="exact"/>
        <w:ind w:firstLine="480"/>
        <w:rPr>
          <w:rFonts w:hint="eastAsia" w:ascii="新宋体" w:hAnsi="新宋体" w:eastAsia="新宋体"/>
          <w:b/>
          <w:bCs/>
          <w:sz w:val="24"/>
        </w:rPr>
      </w:pPr>
      <w:r>
        <w:rPr>
          <w:rFonts w:hint="eastAsia" w:ascii="新宋体" w:hAnsi="新宋体" w:eastAsia="新宋体"/>
          <w:b/>
          <w:bCs/>
          <w:sz w:val="24"/>
        </w:rPr>
        <w:t>12.投标文件的组成</w:t>
      </w:r>
    </w:p>
    <w:p>
      <w:pPr>
        <w:spacing w:line="440" w:lineRule="exact"/>
        <w:ind w:firstLine="480"/>
        <w:rPr>
          <w:rFonts w:hint="eastAsia" w:ascii="新宋体" w:hAnsi="新宋体" w:eastAsia="新宋体"/>
          <w:b/>
          <w:bCs/>
          <w:sz w:val="24"/>
        </w:rPr>
      </w:pPr>
      <w:r>
        <w:rPr>
          <w:rFonts w:hint="eastAsia" w:ascii="新宋体" w:hAnsi="新宋体" w:eastAsia="新宋体"/>
          <w:b/>
          <w:bCs/>
          <w:sz w:val="24"/>
        </w:rPr>
        <w:t>★</w:t>
      </w:r>
      <w:r>
        <w:rPr>
          <w:rFonts w:ascii="新宋体" w:hAnsi="新宋体" w:eastAsia="新宋体"/>
          <w:b/>
          <w:bCs/>
          <w:sz w:val="24"/>
        </w:rPr>
        <w:t>1</w:t>
      </w:r>
      <w:r>
        <w:rPr>
          <w:rFonts w:hint="eastAsia" w:ascii="新宋体" w:hAnsi="新宋体" w:eastAsia="新宋体"/>
          <w:b/>
          <w:bCs/>
          <w:sz w:val="24"/>
        </w:rPr>
        <w:t>2</w:t>
      </w:r>
      <w:r>
        <w:rPr>
          <w:rFonts w:ascii="新宋体" w:hAnsi="新宋体" w:eastAsia="新宋体"/>
          <w:b/>
          <w:bCs/>
          <w:sz w:val="24"/>
        </w:rPr>
        <w:t>.1投标文件由</w:t>
      </w:r>
      <w:r>
        <w:rPr>
          <w:rFonts w:hint="eastAsia" w:ascii="新宋体" w:hAnsi="新宋体" w:eastAsia="新宋体"/>
          <w:b/>
          <w:bCs/>
          <w:sz w:val="24"/>
        </w:rPr>
        <w:t>资格响应文件、商务技术响应文件</w:t>
      </w:r>
      <w:r>
        <w:rPr>
          <w:rFonts w:ascii="新宋体" w:hAnsi="新宋体" w:eastAsia="新宋体"/>
          <w:b/>
          <w:bCs/>
          <w:sz w:val="24"/>
        </w:rPr>
        <w:t>和</w:t>
      </w:r>
      <w:r>
        <w:rPr>
          <w:rFonts w:hint="eastAsia" w:ascii="新宋体" w:hAnsi="新宋体" w:eastAsia="新宋体"/>
          <w:b/>
          <w:bCs/>
          <w:sz w:val="24"/>
        </w:rPr>
        <w:t>报价响应文件</w:t>
      </w:r>
      <w:r>
        <w:rPr>
          <w:rFonts w:ascii="新宋体" w:hAnsi="新宋体" w:eastAsia="新宋体"/>
          <w:b/>
          <w:bCs/>
          <w:sz w:val="24"/>
        </w:rPr>
        <w:t>组成，以下的“格式”，指的是第八章投标文件格式中的表格</w:t>
      </w:r>
      <w:r>
        <w:rPr>
          <w:rFonts w:hint="eastAsia" w:ascii="新宋体" w:hAnsi="新宋体" w:eastAsia="新宋体"/>
          <w:b/>
          <w:bCs/>
          <w:sz w:val="24"/>
        </w:rPr>
        <w:t>，</w:t>
      </w:r>
      <w:r>
        <w:rPr>
          <w:rFonts w:hint="eastAsia" w:ascii="新宋体" w:hAnsi="新宋体" w:eastAsia="新宋体"/>
          <w:b/>
          <w:bCs/>
          <w:sz w:val="28"/>
          <w:szCs w:val="28"/>
          <w:u w:val="single"/>
        </w:rPr>
        <w:t>电子投标文件中所有加盖公章均采用CA签章</w:t>
      </w:r>
      <w:r>
        <w:rPr>
          <w:rFonts w:hint="eastAsia" w:ascii="新宋体" w:hAnsi="新宋体" w:eastAsia="新宋体"/>
          <w:b/>
          <w:bCs/>
          <w:sz w:val="24"/>
        </w:rPr>
        <w:t>。</w:t>
      </w:r>
    </w:p>
    <w:p>
      <w:pPr>
        <w:pStyle w:val="32"/>
        <w:spacing w:line="400" w:lineRule="exact"/>
        <w:ind w:firstLine="482" w:firstLineChars="200"/>
        <w:rPr>
          <w:rFonts w:hint="eastAsia" w:ascii="新宋体" w:hAnsi="新宋体" w:eastAsia="新宋体"/>
          <w:b/>
          <w:bCs/>
          <w:sz w:val="24"/>
        </w:rPr>
      </w:pPr>
      <w:r>
        <w:rPr>
          <w:rFonts w:hint="eastAsia" w:ascii="新宋体" w:hAnsi="新宋体" w:eastAsia="新宋体"/>
          <w:b/>
          <w:bCs/>
          <w:sz w:val="24"/>
        </w:rPr>
        <w:t>12.1.1技术响应文件：</w:t>
      </w:r>
      <w:r>
        <w:rPr>
          <w:rFonts w:ascii="新宋体" w:hAnsi="新宋体" w:eastAsia="新宋体"/>
          <w:b/>
          <w:bCs/>
          <w:sz w:val="24"/>
        </w:rPr>
        <w:t>包含以下内容：(</w:t>
      </w:r>
      <w:r>
        <w:rPr>
          <w:rFonts w:hint="eastAsia" w:ascii="新宋体" w:hAnsi="新宋体" w:eastAsia="新宋体"/>
          <w:b/>
          <w:bCs/>
          <w:sz w:val="24"/>
        </w:rPr>
        <w:t>★</w:t>
      </w:r>
      <w:r>
        <w:rPr>
          <w:rFonts w:ascii="新宋体" w:hAnsi="新宋体" w:eastAsia="新宋体"/>
          <w:b/>
          <w:bCs/>
          <w:sz w:val="24"/>
        </w:rPr>
        <w:t>对存在有效期的文件应在有效期内（截止开标当日24：00时止），过期的文件无效</w:t>
      </w:r>
      <w:r>
        <w:rPr>
          <w:rFonts w:hint="eastAsia" w:ascii="新宋体" w:hAnsi="新宋体" w:eastAsia="新宋体"/>
          <w:b/>
          <w:bCs/>
          <w:sz w:val="24"/>
        </w:rPr>
        <w:t>)</w:t>
      </w:r>
    </w:p>
    <w:p>
      <w:pPr>
        <w:pStyle w:val="32"/>
        <w:spacing w:line="400" w:lineRule="exact"/>
        <w:ind w:firstLine="240" w:firstLineChars="100"/>
        <w:rPr>
          <w:rFonts w:hint="eastAsia" w:ascii="新宋体" w:hAnsi="新宋体" w:eastAsia="新宋体"/>
          <w:sz w:val="24"/>
        </w:rPr>
      </w:pPr>
      <w:r>
        <w:rPr>
          <w:rFonts w:hint="eastAsia" w:ascii="新宋体" w:hAnsi="新宋体" w:eastAsia="新宋体"/>
          <w:sz w:val="24"/>
        </w:rPr>
        <w:t>★（1）义乌市政府采购承诺书（见格式1）</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rPr>
        <w:t>（2）资格资信证明文件：</w:t>
      </w:r>
    </w:p>
    <w:p>
      <w:pPr>
        <w:spacing w:line="400" w:lineRule="exact"/>
        <w:ind w:firstLine="360" w:firstLineChars="150"/>
        <w:rPr>
          <w:rFonts w:hint="eastAsia" w:ascii="新宋体" w:hAnsi="新宋体" w:eastAsia="新宋体" w:cs="Courier New"/>
          <w:sz w:val="24"/>
          <w:szCs w:val="21"/>
        </w:rPr>
      </w:pPr>
      <w:r>
        <w:rPr>
          <w:rFonts w:hint="eastAsia" w:ascii="新宋体" w:hAnsi="新宋体" w:eastAsia="新宋体"/>
          <w:sz w:val="24"/>
        </w:rPr>
        <w:t>★①</w:t>
      </w:r>
      <w:r>
        <w:rPr>
          <w:rFonts w:hint="eastAsia" w:ascii="新宋体" w:hAnsi="新宋体" w:eastAsia="新宋体" w:cs="Courier New"/>
          <w:sz w:val="24"/>
          <w:szCs w:val="21"/>
        </w:rPr>
        <w:t>单位营业执照副本扫描件（加盖投标人公章）</w:t>
      </w:r>
    </w:p>
    <w:p>
      <w:pPr>
        <w:spacing w:line="400" w:lineRule="exact"/>
        <w:ind w:firstLine="360" w:firstLineChars="150"/>
        <w:rPr>
          <w:rFonts w:hint="eastAsia" w:ascii="新宋体" w:hAnsi="新宋体" w:eastAsia="新宋体" w:cs="Courier New"/>
          <w:sz w:val="24"/>
          <w:szCs w:val="21"/>
        </w:rPr>
      </w:pPr>
      <w:r>
        <w:rPr>
          <w:rFonts w:hint="eastAsia" w:ascii="新宋体" w:hAnsi="新宋体" w:eastAsia="新宋体" w:cs="Courier New"/>
          <w:sz w:val="24"/>
          <w:szCs w:val="21"/>
        </w:rPr>
        <w:t>②其他投标方认为有必要提供的资料。</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rPr>
        <w:t>（3）所投服务产品的商务技术响应文件：投标人应仔细分析第三章招标项目要求中的内容要求，相对应地填写以下方面的资料</w:t>
      </w:r>
    </w:p>
    <w:p>
      <w:pPr>
        <w:pStyle w:val="32"/>
        <w:spacing w:line="400" w:lineRule="exact"/>
        <w:ind w:firstLine="360" w:firstLineChars="150"/>
        <w:rPr>
          <w:rFonts w:hint="eastAsia" w:ascii="新宋体" w:hAnsi="新宋体" w:eastAsia="新宋体"/>
          <w:sz w:val="24"/>
        </w:rPr>
      </w:pPr>
      <w:r>
        <w:rPr>
          <w:rFonts w:hint="eastAsia" w:ascii="新宋体" w:hAnsi="新宋体" w:eastAsia="新宋体"/>
          <w:sz w:val="24"/>
        </w:rPr>
        <w:t>★①规范偏离表（见格式2）；</w:t>
      </w:r>
    </w:p>
    <w:p>
      <w:pPr>
        <w:pStyle w:val="32"/>
        <w:spacing w:line="400" w:lineRule="exact"/>
        <w:ind w:firstLine="360" w:firstLineChars="150"/>
        <w:rPr>
          <w:rFonts w:ascii="新宋体" w:hAnsi="新宋体" w:eastAsia="新宋体"/>
          <w:sz w:val="24"/>
        </w:rPr>
      </w:pPr>
      <w:r>
        <w:rPr>
          <w:rFonts w:hint="eastAsia" w:ascii="新宋体" w:hAnsi="新宋体" w:eastAsia="新宋体"/>
          <w:sz w:val="24"/>
        </w:rPr>
        <w:t>★②服务质量保证承诺书（见格式3）；</w:t>
      </w:r>
    </w:p>
    <w:p>
      <w:pPr>
        <w:pStyle w:val="32"/>
        <w:spacing w:line="400" w:lineRule="exact"/>
        <w:ind w:firstLine="360" w:firstLineChars="150"/>
        <w:rPr>
          <w:rFonts w:hint="eastAsia" w:ascii="新宋体" w:hAnsi="新宋体" w:eastAsia="新宋体"/>
          <w:sz w:val="24"/>
        </w:rPr>
      </w:pPr>
      <w:r>
        <w:rPr>
          <w:rFonts w:hint="eastAsia" w:ascii="新宋体" w:hAnsi="新宋体" w:eastAsia="新宋体"/>
          <w:sz w:val="24"/>
        </w:rPr>
        <w:t>③投标人认为需要提供的其他技术文件或说明。</w:t>
      </w:r>
    </w:p>
    <w:p>
      <w:pPr>
        <w:pStyle w:val="32"/>
        <w:spacing w:line="400" w:lineRule="exact"/>
        <w:ind w:firstLine="482" w:firstLineChars="200"/>
        <w:rPr>
          <w:rFonts w:hint="eastAsia" w:ascii="新宋体" w:hAnsi="新宋体" w:eastAsia="新宋体"/>
          <w:b/>
          <w:bCs/>
          <w:sz w:val="24"/>
        </w:rPr>
      </w:pPr>
      <w:r>
        <w:rPr>
          <w:rFonts w:hint="eastAsia" w:ascii="新宋体" w:hAnsi="新宋体" w:eastAsia="新宋体"/>
          <w:b/>
          <w:bCs/>
          <w:sz w:val="24"/>
        </w:rPr>
        <w:t>12.1.2报价响应文件应包含下列内容（可不仅限于以下内容）并应按顺序编辑：</w:t>
      </w:r>
    </w:p>
    <w:p>
      <w:pPr>
        <w:pStyle w:val="32"/>
        <w:spacing w:line="400" w:lineRule="exact"/>
        <w:ind w:left="359" w:leftChars="171"/>
        <w:rPr>
          <w:rFonts w:hint="eastAsia" w:ascii="新宋体" w:hAnsi="新宋体" w:eastAsia="新宋体"/>
          <w:sz w:val="24"/>
        </w:rPr>
      </w:pPr>
      <w:r>
        <w:rPr>
          <w:rFonts w:hint="eastAsia" w:ascii="新宋体" w:hAnsi="新宋体" w:eastAsia="新宋体"/>
          <w:sz w:val="24"/>
        </w:rPr>
        <w:t>★（1）开标一览表（见格式4）</w:t>
      </w:r>
    </w:p>
    <w:p>
      <w:pPr>
        <w:pStyle w:val="32"/>
        <w:spacing w:line="400" w:lineRule="exact"/>
        <w:ind w:left="359" w:leftChars="171"/>
        <w:rPr>
          <w:rFonts w:hint="eastAsia" w:ascii="新宋体" w:hAnsi="新宋体" w:eastAsia="新宋体"/>
          <w:sz w:val="24"/>
        </w:rPr>
      </w:pPr>
      <w:r>
        <w:rPr>
          <w:rFonts w:hint="eastAsia" w:ascii="新宋体" w:hAnsi="新宋体" w:eastAsia="新宋体"/>
          <w:sz w:val="24"/>
        </w:rPr>
        <w:t>★（2）投标人自报成本价表（见格式5）</w:t>
      </w:r>
    </w:p>
    <w:p>
      <w:pPr>
        <w:pStyle w:val="32"/>
        <w:spacing w:line="400" w:lineRule="exact"/>
        <w:ind w:left="359" w:leftChars="171"/>
        <w:rPr>
          <w:rFonts w:hint="eastAsia" w:ascii="新宋体" w:hAnsi="新宋体" w:eastAsia="新宋体"/>
          <w:sz w:val="24"/>
        </w:rPr>
      </w:pPr>
      <w:r>
        <w:rPr>
          <w:rFonts w:hint="eastAsia" w:ascii="新宋体" w:hAnsi="新宋体" w:eastAsia="新宋体"/>
          <w:sz w:val="24"/>
        </w:rPr>
        <w:t>（3）小微企业声明函（见格式6,如有）</w:t>
      </w:r>
    </w:p>
    <w:p>
      <w:pPr>
        <w:pStyle w:val="32"/>
        <w:spacing w:line="400" w:lineRule="exact"/>
        <w:ind w:left="359" w:leftChars="171"/>
        <w:rPr>
          <w:rFonts w:hint="eastAsia" w:ascii="新宋体" w:hAnsi="新宋体" w:eastAsia="新宋体"/>
          <w:sz w:val="24"/>
        </w:rPr>
      </w:pPr>
      <w:r>
        <w:rPr>
          <w:rFonts w:hint="eastAsia" w:ascii="新宋体" w:hAnsi="新宋体" w:eastAsia="新宋体"/>
          <w:sz w:val="24"/>
        </w:rPr>
        <w:t>（4）残疾人福利性单位声明函（见格式7,如有）</w:t>
      </w:r>
    </w:p>
    <w:p>
      <w:pPr>
        <w:pStyle w:val="32"/>
        <w:spacing w:line="400" w:lineRule="exact"/>
        <w:ind w:left="359" w:leftChars="171"/>
        <w:rPr>
          <w:rFonts w:hint="eastAsia" w:ascii="新宋体" w:hAnsi="新宋体" w:eastAsia="新宋体"/>
          <w:sz w:val="24"/>
        </w:rPr>
      </w:pPr>
      <w:r>
        <w:rPr>
          <w:rFonts w:hint="eastAsia" w:ascii="新宋体" w:hAnsi="新宋体" w:eastAsia="新宋体"/>
          <w:sz w:val="24"/>
        </w:rPr>
        <w:t>（5）监狱企业的证明文件（格式自拟,如有）</w:t>
      </w:r>
    </w:p>
    <w:p>
      <w:pPr>
        <w:pStyle w:val="2"/>
        <w:spacing w:line="400" w:lineRule="exact"/>
        <w:ind w:firstLine="482" w:firstLineChars="200"/>
        <w:jc w:val="both"/>
        <w:rPr>
          <w:rFonts w:hint="eastAsia" w:ascii="新宋体" w:hAnsi="新宋体" w:eastAsia="新宋体"/>
          <w:b w:val="0"/>
          <w:bCs w:val="0"/>
          <w:color w:val="auto"/>
          <w:sz w:val="24"/>
        </w:rPr>
      </w:pPr>
      <w:r>
        <w:rPr>
          <w:rFonts w:hint="eastAsia" w:ascii="新宋体" w:hAnsi="新宋体" w:eastAsia="新宋体"/>
          <w:color w:val="auto"/>
          <w:sz w:val="24"/>
        </w:rPr>
        <w:t>13.投标人资格的有关证明资料</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13.1投标人应提交证明其有资格参加投标和中标后有能力履行合同的文件，并作为其投标文件的一部分。</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13.2投标人在投标时应符合本项目供应商资格条件。</w:t>
      </w:r>
    </w:p>
    <w:p>
      <w:pPr>
        <w:pStyle w:val="32"/>
        <w:spacing w:line="400" w:lineRule="exact"/>
        <w:ind w:firstLine="472" w:firstLineChars="196"/>
        <w:rPr>
          <w:rFonts w:hint="eastAsia" w:ascii="新宋体" w:hAnsi="新宋体" w:eastAsia="新宋体"/>
          <w:b/>
          <w:bCs/>
          <w:sz w:val="24"/>
        </w:rPr>
      </w:pPr>
      <w:r>
        <w:rPr>
          <w:rFonts w:hint="eastAsia" w:ascii="新宋体" w:hAnsi="新宋体" w:eastAsia="新宋体"/>
          <w:b/>
          <w:bCs/>
          <w:sz w:val="24"/>
        </w:rPr>
        <w:t>14.投标报价</w:t>
      </w:r>
    </w:p>
    <w:p>
      <w:pPr>
        <w:pStyle w:val="32"/>
        <w:spacing w:line="400" w:lineRule="exact"/>
        <w:ind w:firstLine="480" w:firstLineChars="200"/>
        <w:rPr>
          <w:rFonts w:hint="eastAsia" w:ascii="新宋体" w:hAnsi="新宋体" w:eastAsia="新宋体"/>
          <w:b/>
          <w:sz w:val="24"/>
        </w:rPr>
      </w:pPr>
      <w:r>
        <w:rPr>
          <w:rFonts w:hint="eastAsia" w:ascii="新宋体" w:hAnsi="新宋体" w:eastAsia="新宋体"/>
          <w:sz w:val="24"/>
        </w:rPr>
        <w:t>14.1</w:t>
      </w:r>
      <w:r>
        <w:rPr>
          <w:rFonts w:hint="eastAsia" w:ascii="新宋体" w:hAnsi="新宋体" w:eastAsia="新宋体"/>
          <w:sz w:val="24"/>
          <w:szCs w:val="24"/>
        </w:rPr>
        <w:t>投标人应根据国家的有关规定和招标文件要求并结合企业的实际情况进行投标报价。</w:t>
      </w:r>
      <w:r>
        <w:rPr>
          <w:rFonts w:hint="eastAsia" w:ascii="新宋体" w:hAnsi="新宋体" w:eastAsia="新宋体"/>
          <w:sz w:val="24"/>
        </w:rPr>
        <w:t>投标报价以人民币为结算货币，</w:t>
      </w:r>
      <w:r>
        <w:rPr>
          <w:rFonts w:hint="eastAsia" w:ascii="新宋体" w:hAnsi="新宋体" w:eastAsia="新宋体"/>
          <w:b/>
          <w:sz w:val="24"/>
        </w:rPr>
        <w:t>包括服务人员工资，按规定缴纳的各类保险，加班费，管理费用，税费，固定资产折旧费，企业提取费用，所有材料及易耗品（包括卫生纸、擦手纸、洗手液、塑料袋、除臭香球、除臭剂等耗材）费用，工具，福利费，培训费，物业办公费用，房租费，服装费，夜餐费，伙食费，过节费，奖励费，劳保费，体检费，弱电及供水、供电等设备设施的日常维护、保养(不含消防、电梯、空调日常维护、保养产生费用)，浙江省义乌市最低基本工资的增资因素，楼外墙、窗清洗的费用，白蚁防治费，其它合同中明示或暗示的所有一般风险、责任和义务等所有费用，如有漏项，视同已包含在本报价中，并由中标单位开具</w:t>
      </w:r>
      <w:r>
        <w:rPr>
          <w:rFonts w:hint="eastAsia" w:ascii="新宋体" w:hAnsi="新宋体" w:eastAsia="新宋体"/>
          <w:sz w:val="24"/>
        </w:rPr>
        <w:t>正式税务发票</w:t>
      </w:r>
      <w:r>
        <w:rPr>
          <w:rFonts w:hint="eastAsia" w:ascii="新宋体" w:hAnsi="新宋体" w:eastAsia="新宋体"/>
          <w:b/>
          <w:sz w:val="24"/>
        </w:rPr>
        <w:t>。</w:t>
      </w:r>
    </w:p>
    <w:p>
      <w:pPr>
        <w:pStyle w:val="32"/>
        <w:spacing w:line="400" w:lineRule="exact"/>
        <w:ind w:firstLine="480" w:firstLineChars="200"/>
        <w:rPr>
          <w:rFonts w:hint="eastAsia" w:ascii="新宋体" w:hAnsi="新宋体" w:eastAsia="新宋体"/>
          <w:sz w:val="24"/>
          <w:szCs w:val="24"/>
        </w:rPr>
      </w:pPr>
      <w:r>
        <w:rPr>
          <w:rFonts w:hint="eastAsia" w:ascii="新宋体" w:hAnsi="新宋体" w:eastAsia="新宋体"/>
          <w:sz w:val="24"/>
          <w:szCs w:val="24"/>
        </w:rPr>
        <w:t>14.2投标方应在《开标一览表》上写明</w:t>
      </w:r>
      <w:r>
        <w:rPr>
          <w:rFonts w:hint="eastAsia" w:hAnsi="宋体"/>
          <w:sz w:val="24"/>
        </w:rPr>
        <w:t>投标服务项目的单价和总价，如总价金额与按单价汇总金额不一致的，以单价汇总金额计算结果为准；若文字大写表示的数据与数字表示的有差别，则以文字大写表示的数据为准；</w:t>
      </w:r>
      <w:r>
        <w:rPr>
          <w:rFonts w:hint="eastAsia"/>
          <w:sz w:val="24"/>
        </w:rPr>
        <w:t>当单价与数量的乘积与合价不一致时，以单价为准，除非评标委员会认为单价金额小数点有明显错误的，此时应以总价为准，并修改单价</w:t>
      </w:r>
      <w:r>
        <w:rPr>
          <w:rFonts w:hint="eastAsia" w:hAnsi="宋体"/>
          <w:sz w:val="24"/>
        </w:rPr>
        <w:t>。</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rPr>
        <w:t>14.3中标后，</w:t>
      </w:r>
      <w:r>
        <w:rPr>
          <w:rFonts w:hint="eastAsia" w:ascii="新宋体" w:hAnsi="新宋体" w:eastAsia="新宋体"/>
          <w:b/>
          <w:sz w:val="24"/>
        </w:rPr>
        <w:t>中标人所填写的</w:t>
      </w:r>
      <w:r>
        <w:rPr>
          <w:rFonts w:hint="eastAsia" w:ascii="新宋体" w:hAnsi="新宋体" w:eastAsia="新宋体"/>
          <w:b/>
          <w:i/>
          <w:sz w:val="24"/>
        </w:rPr>
        <w:t>总价</w:t>
      </w:r>
      <w:r>
        <w:rPr>
          <w:rFonts w:hint="eastAsia" w:ascii="新宋体" w:hAnsi="新宋体" w:eastAsia="新宋体"/>
          <w:b/>
          <w:sz w:val="24"/>
        </w:rPr>
        <w:t>在合同实施期间不因市场变化因素而变动；</w:t>
      </w:r>
      <w:r>
        <w:rPr>
          <w:rFonts w:hint="eastAsia" w:ascii="新宋体" w:hAnsi="新宋体" w:eastAsia="新宋体"/>
          <w:sz w:val="24"/>
        </w:rPr>
        <w:t>投标人在计算报价时应考虑一定的风险系数。</w:t>
      </w:r>
    </w:p>
    <w:p>
      <w:pPr>
        <w:pStyle w:val="32"/>
        <w:spacing w:line="400" w:lineRule="exact"/>
        <w:ind w:firstLine="480" w:firstLineChars="200"/>
        <w:rPr>
          <w:rFonts w:hint="eastAsia" w:ascii="新宋体" w:hAnsi="新宋体" w:eastAsia="新宋体"/>
          <w:sz w:val="24"/>
          <w:szCs w:val="24"/>
        </w:rPr>
      </w:pPr>
      <w:r>
        <w:rPr>
          <w:rFonts w:hint="eastAsia" w:ascii="新宋体" w:hAnsi="新宋体" w:eastAsia="新宋体"/>
          <w:sz w:val="24"/>
          <w:szCs w:val="24"/>
        </w:rPr>
        <w:t>14.4投标人应按招标文件规定的报价格式进行投标报价。投标人对同一个采购项目只允许有一个报价，招标方不接受任何有选择性的报价。</w:t>
      </w:r>
    </w:p>
    <w:p>
      <w:pPr>
        <w:pStyle w:val="32"/>
        <w:spacing w:line="400" w:lineRule="exact"/>
        <w:ind w:firstLine="480"/>
        <w:rPr>
          <w:rFonts w:hint="eastAsia" w:ascii="新宋体" w:hAnsi="新宋体" w:eastAsia="新宋体"/>
          <w:sz w:val="24"/>
        </w:rPr>
      </w:pPr>
      <w:r>
        <w:rPr>
          <w:rFonts w:hint="eastAsia" w:ascii="新宋体" w:hAnsi="新宋体" w:eastAsia="新宋体"/>
          <w:sz w:val="24"/>
        </w:rPr>
        <w:t>14.5</w:t>
      </w:r>
      <w:r>
        <w:rPr>
          <w:rFonts w:hint="eastAsia" w:ascii="新宋体" w:hAnsi="新宋体" w:eastAsia="新宋体"/>
          <w:spacing w:val="-8"/>
          <w:sz w:val="24"/>
        </w:rPr>
        <w:t>招标方不接受低于成本的投标报价。</w:t>
      </w:r>
    </w:p>
    <w:p>
      <w:pPr>
        <w:pStyle w:val="32"/>
        <w:spacing w:line="400" w:lineRule="exact"/>
        <w:ind w:firstLine="480" w:firstLineChars="200"/>
        <w:rPr>
          <w:rFonts w:hint="eastAsia" w:ascii="新宋体" w:hAnsi="新宋体" w:eastAsia="新宋体"/>
          <w:sz w:val="24"/>
          <w:szCs w:val="24"/>
        </w:rPr>
      </w:pPr>
      <w:r>
        <w:rPr>
          <w:rFonts w:hint="eastAsia" w:ascii="新宋体" w:hAnsi="新宋体" w:eastAsia="新宋体"/>
          <w:sz w:val="24"/>
        </w:rPr>
        <w:t>14.6投标人按照上述要求编制投标报价。一旦确认某一投标人中标，除合同规定的可调整内容外，中标人不得要求追加任何费用。</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14.7招标文件中规定由投标人承担并支付的相关费用在投标报价时应一并考虑。</w:t>
      </w:r>
    </w:p>
    <w:p>
      <w:pPr>
        <w:adjustRightInd w:val="0"/>
        <w:snapToGrid w:val="0"/>
        <w:spacing w:line="400" w:lineRule="exact"/>
        <w:ind w:firstLine="482" w:firstLineChars="200"/>
        <w:rPr>
          <w:rFonts w:hint="eastAsia" w:ascii="新宋体" w:hAnsi="新宋体" w:eastAsia="新宋体"/>
          <w:b/>
          <w:bCs/>
          <w:sz w:val="24"/>
        </w:rPr>
      </w:pPr>
      <w:r>
        <w:rPr>
          <w:rFonts w:hint="eastAsia" w:ascii="新宋体" w:hAnsi="新宋体" w:eastAsia="新宋体"/>
          <w:b/>
          <w:bCs/>
          <w:sz w:val="24"/>
        </w:rPr>
        <w:t>15.投标文件格式</w:t>
      </w:r>
    </w:p>
    <w:p>
      <w:pPr>
        <w:adjustRightInd w:val="0"/>
        <w:snapToGrid w:val="0"/>
        <w:spacing w:line="400" w:lineRule="exact"/>
        <w:ind w:firstLine="482" w:firstLineChars="200"/>
        <w:rPr>
          <w:rFonts w:hint="eastAsia" w:ascii="新宋体" w:hAnsi="新宋体" w:eastAsia="新宋体"/>
          <w:b/>
          <w:sz w:val="24"/>
        </w:rPr>
      </w:pPr>
      <w:r>
        <w:rPr>
          <w:rFonts w:hint="eastAsia" w:ascii="新宋体" w:hAnsi="新宋体" w:eastAsia="新宋体"/>
          <w:b/>
          <w:sz w:val="24"/>
        </w:rPr>
        <w:t>15.1投标文件须包括本须知第12条中规定的全部实质性内容，投标人不按招标文件的要求提供的投标文件和资料将视为没有对招标文件作实质性响应，其投标将被拒绝，其风险由投标人自行承担。</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15.2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32"/>
        <w:spacing w:line="400" w:lineRule="exact"/>
        <w:ind w:firstLine="482" w:firstLineChars="200"/>
        <w:rPr>
          <w:rFonts w:hint="eastAsia" w:ascii="新宋体" w:hAnsi="新宋体" w:eastAsia="新宋体"/>
          <w:b/>
          <w:bCs/>
          <w:sz w:val="24"/>
        </w:rPr>
      </w:pPr>
      <w:r>
        <w:rPr>
          <w:rFonts w:hint="eastAsia" w:ascii="新宋体" w:hAnsi="新宋体" w:eastAsia="新宋体"/>
          <w:b/>
          <w:bCs/>
          <w:sz w:val="24"/>
        </w:rPr>
        <w:t>16.投标文件编制要求</w:t>
      </w:r>
    </w:p>
    <w:p>
      <w:pPr>
        <w:spacing w:line="440" w:lineRule="exact"/>
        <w:ind w:firstLine="480" w:firstLineChars="200"/>
        <w:rPr>
          <w:rFonts w:ascii="新宋体" w:hAnsi="新宋体" w:eastAsia="新宋体"/>
          <w:sz w:val="24"/>
        </w:rPr>
      </w:pPr>
      <w:r>
        <w:rPr>
          <w:rFonts w:hint="eastAsia" w:ascii="新宋体" w:hAnsi="新宋体" w:eastAsia="新宋体"/>
          <w:sz w:val="24"/>
        </w:rPr>
        <w:t>16.1投标人应根据电子投标操作指南按本招标文件规定的格式和顺序编制电子投标文件并进行关联定位。</w:t>
      </w:r>
    </w:p>
    <w:p>
      <w:pPr>
        <w:pStyle w:val="32"/>
        <w:spacing w:line="400" w:lineRule="exact"/>
        <w:ind w:firstLine="480" w:firstLineChars="200"/>
        <w:rPr>
          <w:rFonts w:hint="eastAsia" w:ascii="新宋体" w:hAnsi="新宋体" w:eastAsia="新宋体"/>
          <w:spacing w:val="-4"/>
          <w:sz w:val="24"/>
        </w:rPr>
      </w:pPr>
      <w:r>
        <w:rPr>
          <w:rFonts w:ascii="新宋体" w:hAnsi="新宋体" w:eastAsia="新宋体"/>
          <w:sz w:val="24"/>
        </w:rPr>
        <w:t>1</w:t>
      </w:r>
      <w:r>
        <w:rPr>
          <w:rFonts w:hint="eastAsia" w:ascii="新宋体" w:hAnsi="新宋体" w:eastAsia="新宋体"/>
          <w:sz w:val="24"/>
        </w:rPr>
        <w:t>6</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由于未按招标文件的规定要求编制投标文件，导致评审小组作出的对投标方的误判，责任由投标方自己承担。</w:t>
      </w:r>
    </w:p>
    <w:p>
      <w:pPr>
        <w:pStyle w:val="32"/>
        <w:spacing w:line="400" w:lineRule="exact"/>
        <w:ind w:firstLine="482" w:firstLineChars="200"/>
        <w:rPr>
          <w:rFonts w:ascii="新宋体" w:hAnsi="新宋体" w:eastAsia="新宋体"/>
          <w:b/>
          <w:bCs/>
          <w:sz w:val="24"/>
        </w:rPr>
      </w:pPr>
      <w:r>
        <w:rPr>
          <w:rFonts w:hint="eastAsia" w:ascii="新宋体" w:hAnsi="新宋体" w:eastAsia="新宋体"/>
          <w:b/>
          <w:bCs/>
          <w:sz w:val="24"/>
        </w:rPr>
        <w:t>17.投标保证金</w:t>
      </w:r>
    </w:p>
    <w:p>
      <w:pPr>
        <w:tabs>
          <w:tab w:val="left" w:pos="2212"/>
        </w:tabs>
        <w:adjustRightInd w:val="0"/>
        <w:snapToGrid w:val="0"/>
        <w:spacing w:line="400" w:lineRule="exact"/>
        <w:ind w:firstLine="480" w:firstLineChars="200"/>
        <w:rPr>
          <w:rFonts w:hint="eastAsia" w:ascii="新宋体" w:hAnsi="新宋体" w:eastAsia="新宋体"/>
          <w:sz w:val="24"/>
        </w:rPr>
      </w:pPr>
      <w:r>
        <w:rPr>
          <w:rFonts w:hint="eastAsia" w:ascii="新宋体" w:hAnsi="新宋体" w:eastAsia="新宋体"/>
          <w:sz w:val="24"/>
        </w:rPr>
        <w:t>无</w:t>
      </w:r>
    </w:p>
    <w:p>
      <w:pPr>
        <w:tabs>
          <w:tab w:val="left" w:pos="2212"/>
        </w:tabs>
        <w:adjustRightInd w:val="0"/>
        <w:snapToGrid w:val="0"/>
        <w:spacing w:line="400" w:lineRule="exact"/>
        <w:ind w:firstLine="482" w:firstLineChars="200"/>
        <w:rPr>
          <w:rFonts w:hint="eastAsia" w:ascii="新宋体" w:hAnsi="新宋体" w:eastAsia="新宋体"/>
          <w:b/>
          <w:bCs/>
          <w:sz w:val="24"/>
        </w:rPr>
      </w:pPr>
      <w:r>
        <w:rPr>
          <w:rFonts w:hint="eastAsia" w:ascii="新宋体" w:hAnsi="新宋体" w:eastAsia="新宋体"/>
          <w:b/>
          <w:bCs/>
          <w:sz w:val="24"/>
        </w:rPr>
        <w:t>18.履约保证金</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rPr>
        <w:t>无</w:t>
      </w:r>
    </w:p>
    <w:p>
      <w:pPr>
        <w:spacing w:line="400" w:lineRule="exact"/>
        <w:ind w:firstLine="482" w:firstLineChars="200"/>
        <w:rPr>
          <w:rFonts w:hint="eastAsia" w:ascii="新宋体" w:hAnsi="新宋体" w:eastAsia="新宋体"/>
          <w:b/>
          <w:bCs/>
          <w:sz w:val="24"/>
          <w:szCs w:val="21"/>
        </w:rPr>
      </w:pPr>
      <w:r>
        <w:rPr>
          <w:rFonts w:hint="eastAsia" w:ascii="新宋体" w:hAnsi="新宋体" w:eastAsia="新宋体"/>
          <w:b/>
          <w:bCs/>
          <w:sz w:val="24"/>
          <w:szCs w:val="21"/>
        </w:rPr>
        <w:t>19.投标有效期</w:t>
      </w:r>
    </w:p>
    <w:p>
      <w:pPr>
        <w:spacing w:line="400" w:lineRule="exact"/>
        <w:ind w:firstLine="480" w:firstLineChars="200"/>
        <w:rPr>
          <w:rFonts w:hint="eastAsia" w:ascii="新宋体" w:hAnsi="新宋体" w:eastAsia="新宋体"/>
          <w:b/>
          <w:bCs/>
          <w:sz w:val="24"/>
          <w:szCs w:val="21"/>
        </w:rPr>
      </w:pPr>
      <w:r>
        <w:rPr>
          <w:rFonts w:hint="eastAsia" w:ascii="新宋体" w:hAnsi="新宋体" w:eastAsia="新宋体"/>
          <w:sz w:val="24"/>
          <w:szCs w:val="21"/>
        </w:rPr>
        <w:t>19.1 投标文件从开标之日起，投标有效期为9</w:t>
      </w:r>
      <w:r>
        <w:rPr>
          <w:rFonts w:ascii="新宋体" w:hAnsi="新宋体" w:eastAsia="新宋体"/>
          <w:sz w:val="24"/>
          <w:szCs w:val="21"/>
        </w:rPr>
        <w:t>0</w:t>
      </w:r>
      <w:r>
        <w:rPr>
          <w:rFonts w:hint="eastAsia" w:ascii="新宋体" w:hAnsi="新宋体" w:eastAsia="新宋体"/>
          <w:sz w:val="24"/>
          <w:szCs w:val="21"/>
        </w:rPr>
        <w:t>天。</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rPr>
        <w:t>19.2 特殊情况下，在原投标有效期截止之前，采购人可要求投标人同意延长有效期，这种要求与答复均应以书面形式提交。接受延长投标有效期的投标人将不会被要求和允许修正其投标。</w:t>
      </w:r>
    </w:p>
    <w:p>
      <w:pPr>
        <w:pStyle w:val="4"/>
        <w:spacing w:before="120" w:after="120" w:line="400" w:lineRule="exact"/>
        <w:rPr>
          <w:rFonts w:hint="eastAsia" w:ascii="新宋体" w:hAnsi="新宋体" w:eastAsia="新宋体"/>
          <w:sz w:val="28"/>
          <w:szCs w:val="28"/>
        </w:rPr>
      </w:pPr>
      <w:bookmarkStart w:id="18" w:name="_Toc274303232"/>
      <w:bookmarkStart w:id="19" w:name="_Toc362250690"/>
      <w:bookmarkStart w:id="20" w:name="_Toc21322"/>
      <w:r>
        <w:rPr>
          <w:rFonts w:hint="eastAsia" w:ascii="新宋体" w:hAnsi="新宋体" w:eastAsia="新宋体"/>
          <w:sz w:val="28"/>
          <w:szCs w:val="28"/>
        </w:rPr>
        <w:t>四、投标文件的递交</w:t>
      </w:r>
      <w:bookmarkEnd w:id="18"/>
      <w:bookmarkEnd w:id="19"/>
      <w:bookmarkEnd w:id="20"/>
    </w:p>
    <w:p>
      <w:pPr>
        <w:pStyle w:val="32"/>
        <w:spacing w:line="440" w:lineRule="exact"/>
        <w:ind w:firstLine="482" w:firstLineChars="200"/>
        <w:rPr>
          <w:rFonts w:hint="eastAsia" w:ascii="新宋体" w:hAnsi="新宋体" w:eastAsia="新宋体"/>
          <w:b/>
          <w:bCs/>
          <w:sz w:val="24"/>
        </w:rPr>
      </w:pPr>
      <w:r>
        <w:rPr>
          <w:rFonts w:hint="eastAsia" w:ascii="新宋体" w:hAnsi="新宋体" w:eastAsia="新宋体"/>
          <w:b/>
          <w:bCs/>
          <w:sz w:val="24"/>
        </w:rPr>
        <w:t>20.电子投标文件上传的地点和截止时间</w:t>
      </w:r>
    </w:p>
    <w:p>
      <w:pPr>
        <w:tabs>
          <w:tab w:val="left" w:pos="2212"/>
        </w:tabs>
        <w:adjustRightInd w:val="0"/>
        <w:snapToGrid w:val="0"/>
        <w:spacing w:line="400" w:lineRule="exact"/>
        <w:ind w:firstLine="480" w:firstLineChars="200"/>
        <w:rPr>
          <w:rFonts w:hint="eastAsia" w:ascii="新宋体" w:hAnsi="新宋体" w:eastAsia="新宋体" w:cs="Courier New"/>
          <w:sz w:val="24"/>
          <w:szCs w:val="21"/>
        </w:rPr>
      </w:pPr>
      <w:r>
        <w:rPr>
          <w:rFonts w:hint="eastAsia" w:ascii="新宋体" w:hAnsi="新宋体" w:eastAsia="新宋体" w:cs="Courier New"/>
          <w:sz w:val="24"/>
          <w:szCs w:val="21"/>
        </w:rPr>
        <w:t>20.1供应商应于2020年**月**日</w:t>
      </w:r>
      <w:r>
        <w:rPr>
          <w:rFonts w:ascii="新宋体" w:hAnsi="新宋体" w:eastAsia="新宋体" w:cs="Courier New"/>
          <w:sz w:val="24"/>
          <w:szCs w:val="21"/>
        </w:rPr>
        <w:t>上午9:30</w:t>
      </w:r>
      <w:r>
        <w:rPr>
          <w:rFonts w:hint="eastAsia" w:ascii="新宋体" w:hAnsi="新宋体" w:eastAsia="新宋体" w:cs="Courier New"/>
          <w:sz w:val="24"/>
          <w:szCs w:val="21"/>
        </w:rPr>
        <w:t>前在“政采云”上自行加密上传电子投标文件，</w:t>
      </w:r>
      <w:r>
        <w:rPr>
          <w:rFonts w:ascii="新宋体" w:hAnsi="新宋体" w:eastAsia="新宋体" w:cs="Courier New"/>
          <w:sz w:val="24"/>
          <w:szCs w:val="21"/>
        </w:rPr>
        <w:t>逾期</w:t>
      </w:r>
      <w:r>
        <w:rPr>
          <w:rFonts w:hint="eastAsia" w:ascii="新宋体" w:hAnsi="新宋体" w:eastAsia="新宋体" w:cs="Courier New"/>
          <w:sz w:val="24"/>
          <w:szCs w:val="21"/>
        </w:rPr>
        <w:t>上传</w:t>
      </w:r>
      <w:r>
        <w:rPr>
          <w:rFonts w:ascii="新宋体" w:hAnsi="新宋体" w:eastAsia="新宋体" w:cs="Courier New"/>
          <w:sz w:val="24"/>
          <w:szCs w:val="21"/>
        </w:rPr>
        <w:t>或未按要求</w:t>
      </w:r>
      <w:r>
        <w:rPr>
          <w:rFonts w:hint="eastAsia" w:ascii="新宋体" w:hAnsi="新宋体" w:eastAsia="新宋体" w:cs="Courier New"/>
          <w:sz w:val="24"/>
          <w:szCs w:val="21"/>
        </w:rPr>
        <w:t>上传</w:t>
      </w:r>
      <w:r>
        <w:rPr>
          <w:rFonts w:ascii="新宋体" w:hAnsi="新宋体" w:eastAsia="新宋体" w:cs="Courier New"/>
          <w:sz w:val="24"/>
          <w:szCs w:val="21"/>
        </w:rPr>
        <w:t>的投标文件将予以拒收。</w:t>
      </w:r>
    </w:p>
    <w:p>
      <w:pPr>
        <w:tabs>
          <w:tab w:val="left" w:pos="2212"/>
        </w:tabs>
        <w:adjustRightInd w:val="0"/>
        <w:snapToGrid w:val="0"/>
        <w:spacing w:line="400" w:lineRule="exact"/>
        <w:ind w:firstLine="480" w:firstLineChars="200"/>
        <w:rPr>
          <w:rFonts w:hint="eastAsia" w:ascii="新宋体" w:hAnsi="新宋体" w:eastAsia="新宋体" w:cs="Courier New"/>
          <w:sz w:val="24"/>
          <w:szCs w:val="21"/>
        </w:rPr>
      </w:pPr>
      <w:r>
        <w:rPr>
          <w:rFonts w:hint="eastAsia" w:ascii="新宋体" w:hAnsi="新宋体" w:eastAsia="新宋体" w:cs="Courier New"/>
          <w:sz w:val="24"/>
          <w:szCs w:val="21"/>
        </w:rPr>
        <w:t>20.2招标方在规定的投标截止时间以后“政采云平台”将不接收投标文件。</w:t>
      </w:r>
    </w:p>
    <w:p>
      <w:pPr>
        <w:pStyle w:val="32"/>
        <w:spacing w:line="440" w:lineRule="exact"/>
        <w:ind w:firstLine="482" w:firstLineChars="200"/>
        <w:rPr>
          <w:rFonts w:hint="eastAsia" w:ascii="新宋体" w:hAnsi="新宋体" w:eastAsia="新宋体"/>
          <w:b/>
          <w:bCs/>
          <w:sz w:val="24"/>
        </w:rPr>
      </w:pPr>
      <w:r>
        <w:rPr>
          <w:rFonts w:hint="eastAsia" w:ascii="新宋体" w:hAnsi="新宋体" w:eastAsia="新宋体"/>
          <w:b/>
          <w:bCs/>
          <w:sz w:val="24"/>
        </w:rPr>
        <w:t>21.投标文件解密</w:t>
      </w:r>
    </w:p>
    <w:p>
      <w:pPr>
        <w:tabs>
          <w:tab w:val="left" w:pos="2212"/>
        </w:tabs>
        <w:adjustRightInd w:val="0"/>
        <w:snapToGrid w:val="0"/>
        <w:spacing w:line="400" w:lineRule="exact"/>
        <w:ind w:firstLine="480" w:firstLineChars="200"/>
        <w:rPr>
          <w:rFonts w:hint="eastAsia" w:ascii="新宋体" w:hAnsi="新宋体" w:eastAsia="新宋体" w:cs="Courier New"/>
          <w:sz w:val="24"/>
          <w:szCs w:val="21"/>
        </w:rPr>
      </w:pPr>
      <w:r>
        <w:rPr>
          <w:rFonts w:hint="eastAsia" w:ascii="新宋体" w:hAnsi="新宋体" w:eastAsia="新宋体" w:cs="Courier New"/>
          <w:sz w:val="24"/>
          <w:szCs w:val="21"/>
        </w:rPr>
        <w:t>开标时间后1小时内（2020年**月**日</w:t>
      </w:r>
      <w:r>
        <w:rPr>
          <w:rFonts w:ascii="新宋体" w:hAnsi="新宋体" w:eastAsia="新宋体" w:cs="Courier New"/>
          <w:sz w:val="24"/>
          <w:szCs w:val="21"/>
        </w:rPr>
        <w:t>上午10:30前</w:t>
      </w:r>
      <w:r>
        <w:rPr>
          <w:rFonts w:hint="eastAsia" w:ascii="新宋体" w:hAnsi="新宋体" w:eastAsia="新宋体" w:cs="Courier New"/>
          <w:sz w:val="24"/>
          <w:szCs w:val="21"/>
        </w:rPr>
        <w:t>）</w:t>
      </w:r>
      <w:r>
        <w:rPr>
          <w:rFonts w:ascii="新宋体" w:hAnsi="新宋体" w:eastAsia="新宋体" w:cs="Courier New"/>
          <w:sz w:val="24"/>
          <w:szCs w:val="21"/>
        </w:rPr>
        <w:t>供应商可以登录“</w:t>
      </w:r>
      <w:r>
        <w:rPr>
          <w:rFonts w:hint="eastAsia" w:ascii="新宋体" w:hAnsi="新宋体" w:eastAsia="新宋体" w:cs="Courier New"/>
          <w:sz w:val="24"/>
          <w:szCs w:val="21"/>
        </w:rPr>
        <w:t>政采云</w:t>
      </w:r>
      <w:r>
        <w:rPr>
          <w:rFonts w:ascii="新宋体" w:hAnsi="新宋体" w:eastAsia="新宋体" w:cs="Courier New"/>
          <w:sz w:val="24"/>
          <w:szCs w:val="21"/>
        </w:rPr>
        <w:t>”</w:t>
      </w:r>
      <w:r>
        <w:rPr>
          <w:rFonts w:hint="eastAsia" w:ascii="新宋体" w:hAnsi="新宋体" w:eastAsia="新宋体" w:cs="Courier New"/>
          <w:sz w:val="24"/>
          <w:szCs w:val="21"/>
        </w:rPr>
        <w:t>平台</w:t>
      </w:r>
      <w:r>
        <w:rPr>
          <w:rFonts w:ascii="新宋体" w:hAnsi="新宋体" w:eastAsia="新宋体" w:cs="Courier New"/>
          <w:sz w:val="24"/>
          <w:szCs w:val="21"/>
        </w:rPr>
        <w:t>，用“</w:t>
      </w:r>
      <w:r>
        <w:rPr>
          <w:rFonts w:hint="eastAsia" w:ascii="新宋体" w:hAnsi="新宋体" w:eastAsia="新宋体" w:cs="Courier New"/>
          <w:sz w:val="24"/>
          <w:szCs w:val="21"/>
        </w:rPr>
        <w:t>项目采购-开标评标</w:t>
      </w:r>
      <w:r>
        <w:rPr>
          <w:rFonts w:ascii="新宋体" w:hAnsi="新宋体" w:eastAsia="新宋体" w:cs="Courier New"/>
          <w:sz w:val="24"/>
          <w:szCs w:val="21"/>
        </w:rPr>
        <w:t>”功能</w:t>
      </w:r>
      <w:r>
        <w:rPr>
          <w:rFonts w:hint="eastAsia" w:ascii="新宋体" w:hAnsi="新宋体" w:eastAsia="新宋体" w:cs="Courier New"/>
          <w:sz w:val="24"/>
          <w:szCs w:val="21"/>
        </w:rPr>
        <w:t>进行解密投标文件</w:t>
      </w:r>
      <w:r>
        <w:rPr>
          <w:rFonts w:ascii="新宋体" w:hAnsi="新宋体" w:eastAsia="新宋体" w:cs="Courier New"/>
          <w:sz w:val="24"/>
          <w:szCs w:val="21"/>
        </w:rPr>
        <w:t>。</w:t>
      </w:r>
      <w:r>
        <w:rPr>
          <w:rFonts w:hint="eastAsia" w:ascii="新宋体" w:hAnsi="新宋体" w:eastAsia="新宋体" w:cs="Courier New"/>
          <w:sz w:val="24"/>
          <w:szCs w:val="21"/>
        </w:rPr>
        <w:t>若供应商在规定时间内（2020年**月**日</w:t>
      </w:r>
      <w:r>
        <w:rPr>
          <w:rFonts w:ascii="新宋体" w:hAnsi="新宋体" w:eastAsia="新宋体" w:cs="Courier New"/>
          <w:sz w:val="24"/>
          <w:szCs w:val="21"/>
        </w:rPr>
        <w:t>上午10:30前</w:t>
      </w:r>
      <w:r>
        <w:rPr>
          <w:rFonts w:hint="eastAsia" w:ascii="新宋体" w:hAnsi="新宋体" w:eastAsia="新宋体" w:cs="Courier New"/>
          <w:sz w:val="24"/>
          <w:szCs w:val="21"/>
        </w:rPr>
        <w:t>）无法解密或解密失败，将导致投标无效或失败。</w:t>
      </w:r>
    </w:p>
    <w:p>
      <w:pPr>
        <w:tabs>
          <w:tab w:val="left" w:pos="2212"/>
        </w:tabs>
        <w:adjustRightInd w:val="0"/>
        <w:snapToGrid w:val="0"/>
        <w:spacing w:line="400" w:lineRule="exact"/>
        <w:ind w:firstLine="480" w:firstLineChars="200"/>
        <w:rPr>
          <w:rFonts w:hint="eastAsia" w:ascii="新宋体" w:hAnsi="新宋体" w:eastAsia="新宋体" w:cs="Courier New"/>
          <w:sz w:val="24"/>
          <w:szCs w:val="21"/>
        </w:rPr>
      </w:pPr>
      <w:r>
        <w:rPr>
          <w:rFonts w:hint="eastAsia" w:ascii="新宋体" w:hAnsi="新宋体" w:eastAsia="新宋体" w:cs="Courier New"/>
          <w:sz w:val="24"/>
          <w:szCs w:val="21"/>
        </w:rPr>
        <w:t>备注：为确保采购项目顺利实施，避免因政采云上电子投标文件解密失败导致投标方投标无效，投标方可在2020年**月**日上午9:30前将在政采云平台上最后生成的具备电子签章的备份加密投标文件（文件名后缀为备份文件四字的首字母）以电子邮件方式传送至义乌市政府采购中心邮箱（ywszfcgzx@163.com），传送的备份电子投标文件需打包压缩并加密，加密密码由投标方自行保管，如政采云上电子投标文件出现解密失败情况（开标当日9:30-10:30期间进行解密），投标方可按照自身意愿确认是否同意提供加密密码解密传送至义乌市政府采购中心邮箱（ywszfcgzx@163.com）的备份文件，并以备份文件作为替代电子投标文件，如投标方未按照规定时间（2020年**月**日上午9:30前）及要求提供有效备份文件，同时政采云上投标文件解密失败的，将导致投标无效。</w:t>
      </w:r>
    </w:p>
    <w:p>
      <w:pPr>
        <w:pStyle w:val="32"/>
        <w:spacing w:line="440" w:lineRule="exact"/>
        <w:ind w:firstLine="482" w:firstLineChars="200"/>
        <w:rPr>
          <w:rFonts w:hint="eastAsia" w:ascii="新宋体" w:hAnsi="新宋体" w:eastAsia="新宋体"/>
          <w:b/>
          <w:bCs/>
          <w:sz w:val="24"/>
        </w:rPr>
      </w:pPr>
      <w:r>
        <w:rPr>
          <w:rFonts w:hint="eastAsia" w:ascii="新宋体" w:hAnsi="新宋体" w:eastAsia="新宋体"/>
          <w:b/>
          <w:bCs/>
          <w:sz w:val="24"/>
        </w:rPr>
        <w:t>22.投标文件的补充、修改与撤回</w:t>
      </w:r>
    </w:p>
    <w:p>
      <w:pPr>
        <w:tabs>
          <w:tab w:val="left" w:pos="2212"/>
        </w:tabs>
        <w:adjustRightInd w:val="0"/>
        <w:snapToGrid w:val="0"/>
        <w:spacing w:line="400" w:lineRule="exact"/>
        <w:ind w:firstLine="480" w:firstLineChars="200"/>
        <w:rPr>
          <w:rFonts w:hint="eastAsia" w:ascii="新宋体" w:hAnsi="新宋体" w:eastAsia="新宋体" w:cs="Courier New"/>
          <w:sz w:val="24"/>
          <w:szCs w:val="21"/>
        </w:rPr>
      </w:pPr>
      <w:r>
        <w:rPr>
          <w:rFonts w:hint="eastAsia" w:ascii="新宋体" w:hAnsi="新宋体" w:eastAsia="新宋体" w:cs="Courier New"/>
          <w:sz w:val="24"/>
          <w:szCs w:val="21"/>
        </w:rPr>
        <w:t>22.1投标人在提交投标文件以后，在规定的投标截止时间之前，可以以重新补充修改或撤回已上传的投标文件，补充、修改的内容为投标文件的组成部分。</w:t>
      </w:r>
    </w:p>
    <w:p>
      <w:pPr>
        <w:tabs>
          <w:tab w:val="left" w:pos="2212"/>
        </w:tabs>
        <w:adjustRightInd w:val="0"/>
        <w:snapToGrid w:val="0"/>
        <w:spacing w:line="400" w:lineRule="exact"/>
        <w:ind w:firstLine="480" w:firstLineChars="200"/>
        <w:rPr>
          <w:rFonts w:hint="eastAsia" w:ascii="新宋体" w:hAnsi="新宋体" w:eastAsia="新宋体" w:cs="Courier New"/>
          <w:sz w:val="24"/>
          <w:szCs w:val="21"/>
        </w:rPr>
      </w:pPr>
      <w:r>
        <w:rPr>
          <w:rFonts w:hint="eastAsia" w:ascii="新宋体" w:hAnsi="新宋体" w:eastAsia="新宋体" w:cs="Courier New"/>
          <w:sz w:val="24"/>
          <w:szCs w:val="21"/>
        </w:rPr>
        <w:t>22.2在投标截止时间之后，投标人不得对其投标做任何修改。</w:t>
      </w:r>
    </w:p>
    <w:p>
      <w:pPr>
        <w:tabs>
          <w:tab w:val="left" w:pos="2212"/>
        </w:tabs>
        <w:adjustRightInd w:val="0"/>
        <w:snapToGrid w:val="0"/>
        <w:spacing w:line="400" w:lineRule="exact"/>
        <w:ind w:firstLine="480" w:firstLineChars="200"/>
        <w:rPr>
          <w:rFonts w:hint="eastAsia" w:ascii="新宋体" w:hAnsi="新宋体" w:eastAsia="新宋体" w:cs="Courier New"/>
          <w:sz w:val="24"/>
          <w:szCs w:val="21"/>
        </w:rPr>
      </w:pPr>
      <w:r>
        <w:rPr>
          <w:rFonts w:hint="eastAsia" w:ascii="新宋体" w:hAnsi="新宋体" w:eastAsia="新宋体" w:cs="Courier New"/>
          <w:sz w:val="24"/>
          <w:szCs w:val="21"/>
        </w:rPr>
        <w:t>22.3从投标截止时间至投标人在投标书格式中确定的投标有效期期满这段时间内，投标人不得撤回其投标。</w:t>
      </w:r>
    </w:p>
    <w:p>
      <w:pPr>
        <w:pStyle w:val="4"/>
        <w:spacing w:before="120" w:after="120" w:line="440" w:lineRule="exact"/>
        <w:rPr>
          <w:rFonts w:hint="eastAsia" w:ascii="新宋体" w:hAnsi="新宋体" w:eastAsia="新宋体"/>
          <w:sz w:val="28"/>
          <w:szCs w:val="28"/>
        </w:rPr>
      </w:pPr>
      <w:bookmarkStart w:id="21" w:name="_Toc274303233"/>
      <w:bookmarkStart w:id="22" w:name="_Toc362250691"/>
      <w:bookmarkStart w:id="23" w:name="_Toc27561020"/>
      <w:bookmarkStart w:id="24" w:name="_Toc1080"/>
      <w:r>
        <w:rPr>
          <w:rFonts w:hint="eastAsia" w:ascii="新宋体" w:hAnsi="新宋体" w:eastAsia="新宋体"/>
        </w:rPr>
        <w:t>五.其它</w:t>
      </w:r>
      <w:bookmarkEnd w:id="21"/>
      <w:bookmarkEnd w:id="22"/>
      <w:bookmarkEnd w:id="23"/>
      <w:bookmarkEnd w:id="24"/>
    </w:p>
    <w:p>
      <w:pPr>
        <w:spacing w:line="400" w:lineRule="exact"/>
        <w:ind w:firstLine="482" w:firstLineChars="200"/>
        <w:rPr>
          <w:rFonts w:hint="eastAsia" w:ascii="新宋体" w:hAnsi="新宋体" w:eastAsia="新宋体"/>
          <w:b/>
          <w:bCs/>
          <w:sz w:val="24"/>
        </w:rPr>
      </w:pPr>
      <w:r>
        <w:rPr>
          <w:rFonts w:hint="eastAsia" w:ascii="新宋体" w:hAnsi="新宋体" w:eastAsia="新宋体"/>
          <w:b/>
          <w:bCs/>
          <w:sz w:val="24"/>
        </w:rPr>
        <w:t>23.本招标文件解释权归“招标方”。</w:t>
      </w:r>
    </w:p>
    <w:p>
      <w:pPr>
        <w:spacing w:line="400" w:lineRule="exact"/>
        <w:ind w:firstLine="482" w:firstLineChars="200"/>
        <w:rPr>
          <w:rFonts w:hint="eastAsia" w:ascii="新宋体" w:hAnsi="新宋体" w:eastAsia="新宋体"/>
          <w:b/>
          <w:bCs/>
          <w:sz w:val="24"/>
        </w:rPr>
      </w:pPr>
    </w:p>
    <w:p>
      <w:pPr>
        <w:spacing w:line="400" w:lineRule="exact"/>
        <w:ind w:firstLine="482" w:firstLineChars="200"/>
        <w:rPr>
          <w:rFonts w:hint="eastAsia" w:ascii="新宋体" w:hAnsi="新宋体" w:eastAsia="新宋体"/>
          <w:b/>
          <w:bCs/>
          <w:sz w:val="24"/>
        </w:rPr>
      </w:pPr>
    </w:p>
    <w:p>
      <w:pPr>
        <w:spacing w:line="400" w:lineRule="exact"/>
        <w:ind w:firstLine="482" w:firstLineChars="200"/>
        <w:rPr>
          <w:rFonts w:hint="eastAsia" w:ascii="新宋体" w:hAnsi="新宋体" w:eastAsia="新宋体"/>
          <w:b/>
          <w:bCs/>
          <w:sz w:val="24"/>
        </w:rPr>
      </w:pPr>
    </w:p>
    <w:p>
      <w:pPr>
        <w:pStyle w:val="3"/>
        <w:numPr>
          <w:ilvl w:val="0"/>
          <w:numId w:val="0"/>
        </w:numPr>
        <w:spacing w:before="0" w:after="0" w:line="400" w:lineRule="exact"/>
        <w:jc w:val="center"/>
        <w:rPr>
          <w:rFonts w:hint="eastAsia" w:ascii="新宋体" w:hAnsi="新宋体" w:eastAsia="新宋体"/>
          <w:sz w:val="36"/>
        </w:rPr>
      </w:pPr>
      <w:r>
        <w:rPr>
          <w:rFonts w:hint="eastAsia" w:ascii="新宋体" w:hAnsi="新宋体" w:eastAsia="新宋体"/>
          <w:b w:val="0"/>
          <w:bCs w:val="0"/>
          <w:sz w:val="24"/>
        </w:rPr>
        <w:br w:type="page"/>
      </w:r>
      <w:bookmarkStart w:id="25" w:name="_Toc28682068"/>
      <w:bookmarkStart w:id="26" w:name="_Toc9884"/>
      <w:bookmarkStart w:id="27" w:name="_Toc276708417"/>
      <w:r>
        <w:rPr>
          <w:rFonts w:hint="eastAsia" w:ascii="新宋体" w:hAnsi="新宋体" w:eastAsia="新宋体"/>
          <w:sz w:val="36"/>
        </w:rPr>
        <w:t>第三章 招标项目要求</w:t>
      </w:r>
      <w:bookmarkEnd w:id="25"/>
      <w:bookmarkEnd w:id="26"/>
    </w:p>
    <w:p>
      <w:pPr>
        <w:spacing w:line="300" w:lineRule="auto"/>
        <w:rPr>
          <w:rFonts w:hAnsi="宋体"/>
          <w:b/>
          <w:szCs w:val="21"/>
        </w:rPr>
      </w:pPr>
      <w:bookmarkStart w:id="28" w:name="_Toc528315399"/>
      <w:bookmarkStart w:id="29" w:name="_Toc490211337"/>
      <w:bookmarkStart w:id="30" w:name="_Toc28682072"/>
      <w:bookmarkStart w:id="31" w:name="_Toc28005567"/>
      <w:bookmarkStart w:id="32" w:name="_Toc25799"/>
      <w:r>
        <w:rPr>
          <w:rFonts w:hAnsi="宋体"/>
          <w:b/>
          <w:szCs w:val="21"/>
        </w:rPr>
        <w:t>一、技术要求</w:t>
      </w:r>
      <w:bookmarkEnd w:id="28"/>
    </w:p>
    <w:p>
      <w:pPr>
        <w:spacing w:line="300" w:lineRule="auto"/>
        <w:rPr>
          <w:b/>
          <w:szCs w:val="21"/>
        </w:rPr>
      </w:pPr>
      <w:r>
        <w:rPr>
          <w:rFonts w:hAnsi="宋体"/>
          <w:b/>
          <w:szCs w:val="21"/>
        </w:rPr>
        <w:t>（一）、项目概况</w:t>
      </w:r>
    </w:p>
    <w:p>
      <w:pPr>
        <w:spacing w:line="300" w:lineRule="auto"/>
        <w:ind w:firstLine="420" w:firstLineChars="200"/>
        <w:rPr>
          <w:szCs w:val="21"/>
        </w:rPr>
      </w:pPr>
      <w:r>
        <w:rPr>
          <w:rFonts w:hAnsi="宋体"/>
          <w:szCs w:val="21"/>
        </w:rPr>
        <w:t>国家税务总局义乌市税务局机关大楼：位于义乌市稠州北路</w:t>
      </w:r>
      <w:r>
        <w:rPr>
          <w:szCs w:val="21"/>
        </w:rPr>
        <w:t>369</w:t>
      </w:r>
      <w:r>
        <w:rPr>
          <w:rFonts w:hAnsi="宋体"/>
          <w:szCs w:val="21"/>
        </w:rPr>
        <w:t>号，分主楼与辅楼两部分组成，建筑面积共约</w:t>
      </w:r>
      <w:r>
        <w:rPr>
          <w:szCs w:val="21"/>
        </w:rPr>
        <w:t>3</w:t>
      </w:r>
      <w:r>
        <w:rPr>
          <w:rFonts w:hAnsi="宋体"/>
          <w:szCs w:val="21"/>
        </w:rPr>
        <w:t>万平方米。其中主楼地上</w:t>
      </w:r>
      <w:r>
        <w:rPr>
          <w:szCs w:val="21"/>
        </w:rPr>
        <w:t>12</w:t>
      </w:r>
      <w:r>
        <w:rPr>
          <w:rFonts w:hAnsi="宋体"/>
          <w:szCs w:val="21"/>
        </w:rPr>
        <w:t>层，地下</w:t>
      </w:r>
      <w:r>
        <w:rPr>
          <w:szCs w:val="21"/>
        </w:rPr>
        <w:t>1</w:t>
      </w:r>
      <w:r>
        <w:rPr>
          <w:rFonts w:hAnsi="宋体"/>
          <w:szCs w:val="21"/>
        </w:rPr>
        <w:t>层；辅楼</w:t>
      </w:r>
      <w:r>
        <w:rPr>
          <w:szCs w:val="21"/>
        </w:rPr>
        <w:t>2</w:t>
      </w:r>
      <w:r>
        <w:rPr>
          <w:rFonts w:hAnsi="宋体"/>
          <w:szCs w:val="21"/>
        </w:rPr>
        <w:t>层。大楼的配套设施完善：设有供电高低压配电设备（须</w:t>
      </w:r>
      <w:r>
        <w:rPr>
          <w:szCs w:val="21"/>
        </w:rPr>
        <w:t>24</w:t>
      </w:r>
      <w:r>
        <w:rPr>
          <w:rFonts w:hAnsi="宋体"/>
          <w:szCs w:val="21"/>
        </w:rPr>
        <w:t>小时值班），冷热中央空调系统，电梯</w:t>
      </w:r>
      <w:r>
        <w:rPr>
          <w:szCs w:val="21"/>
        </w:rPr>
        <w:t>2</w:t>
      </w:r>
      <w:r>
        <w:rPr>
          <w:rFonts w:hAnsi="宋体"/>
          <w:szCs w:val="21"/>
        </w:rPr>
        <w:t>台，给水系统，消防自动警系统及联动系统、电视监视系统（须</w:t>
      </w:r>
      <w:r>
        <w:rPr>
          <w:szCs w:val="21"/>
        </w:rPr>
        <w:t>24</w:t>
      </w:r>
      <w:r>
        <w:rPr>
          <w:rFonts w:hAnsi="宋体"/>
          <w:szCs w:val="21"/>
        </w:rPr>
        <w:t>小时值班）。</w:t>
      </w:r>
    </w:p>
    <w:p>
      <w:pPr>
        <w:spacing w:line="300" w:lineRule="auto"/>
        <w:ind w:firstLine="420" w:firstLineChars="200"/>
        <w:rPr>
          <w:rFonts w:hAnsi="宋体"/>
          <w:szCs w:val="21"/>
          <w:highlight w:val="none"/>
        </w:rPr>
      </w:pPr>
      <w:r>
        <w:rPr>
          <w:rFonts w:hAnsi="宋体"/>
          <w:szCs w:val="21"/>
        </w:rPr>
        <w:t>本次招标项目服务的范围为国家税务总局义乌市税务局机关大楼（包括地下室）、院内广场、通道及大楼水、电、消防系统的管理维护，大楼安全管理，配套设施等。</w:t>
      </w:r>
      <w:r>
        <w:rPr>
          <w:rFonts w:hint="eastAsia" w:hAnsi="宋体"/>
          <w:szCs w:val="21"/>
          <w:highlight w:val="none"/>
        </w:rPr>
        <w:t>佛堂税务所、苏溪税务所、商城税务分局保洁；稠城税务分局保洁、保安工作。</w:t>
      </w:r>
    </w:p>
    <w:p>
      <w:pPr>
        <w:spacing w:line="300" w:lineRule="auto"/>
        <w:rPr>
          <w:b/>
          <w:szCs w:val="21"/>
        </w:rPr>
      </w:pPr>
      <w:r>
        <w:rPr>
          <w:rFonts w:hAnsi="宋体"/>
          <w:b/>
          <w:szCs w:val="21"/>
        </w:rPr>
        <w:t>（二）、招标内容</w:t>
      </w:r>
    </w:p>
    <w:p>
      <w:pPr>
        <w:spacing w:line="300" w:lineRule="auto"/>
        <w:ind w:firstLine="420" w:firstLineChars="200"/>
        <w:rPr>
          <w:szCs w:val="21"/>
        </w:rPr>
      </w:pPr>
      <w:r>
        <w:rPr>
          <w:szCs w:val="21"/>
        </w:rPr>
        <w:t>1.</w:t>
      </w:r>
      <w:r>
        <w:rPr>
          <w:rFonts w:hAnsi="宋体"/>
          <w:szCs w:val="21"/>
        </w:rPr>
        <w:t>包含：服务人员工资，按规定缴纳的各类保险，加班费，管理费用，税费，固定资产折旧费，企业提取费用，所有材料及易耗品（包括卫生纸、擦手纸、洗手液、塑料袋、除臭香球、除臭剂等耗材）费用</w:t>
      </w:r>
      <w:r>
        <w:rPr>
          <w:szCs w:val="21"/>
        </w:rPr>
        <w:t>,</w:t>
      </w:r>
      <w:r>
        <w:rPr>
          <w:rFonts w:hAnsi="宋体"/>
          <w:szCs w:val="21"/>
        </w:rPr>
        <w:t>工具，福利费，培训费，物业办公费用，房租费，服装费，夜餐费，伙食费，过节费，奖励费，劳保费，体检费，浙江省义乌市最低基本工资的增资因素，其它合同中明示或暗示的所有一般风险、责任和义务等所有费用。</w:t>
      </w:r>
    </w:p>
    <w:p>
      <w:pPr>
        <w:spacing w:line="300" w:lineRule="auto"/>
        <w:ind w:firstLine="420" w:firstLineChars="200"/>
        <w:rPr>
          <w:szCs w:val="21"/>
        </w:rPr>
      </w:pPr>
      <w:r>
        <w:rPr>
          <w:szCs w:val="21"/>
        </w:rPr>
        <w:t>2.</w:t>
      </w:r>
      <w:r>
        <w:rPr>
          <w:rFonts w:hAnsi="宋体"/>
          <w:szCs w:val="21"/>
        </w:rPr>
        <w:t>不含：</w:t>
      </w:r>
      <w:r>
        <w:rPr>
          <w:szCs w:val="21"/>
        </w:rPr>
        <w:t>(1)</w:t>
      </w:r>
      <w:r>
        <w:rPr>
          <w:rFonts w:hAnsi="宋体"/>
          <w:szCs w:val="21"/>
        </w:rPr>
        <w:t>消防、电梯、中央空调及供水、供电等设备设施的维修材料费；</w:t>
      </w:r>
      <w:r>
        <w:rPr>
          <w:szCs w:val="21"/>
        </w:rPr>
        <w:t>(2)</w:t>
      </w:r>
      <w:r>
        <w:rPr>
          <w:rFonts w:hAnsi="宋体"/>
          <w:szCs w:val="21"/>
        </w:rPr>
        <w:t>水、电费；</w:t>
      </w:r>
      <w:r>
        <w:rPr>
          <w:szCs w:val="21"/>
        </w:rPr>
        <w:t>(3)</w:t>
      </w:r>
      <w:r>
        <w:rPr>
          <w:rFonts w:hAnsi="宋体"/>
          <w:szCs w:val="21"/>
        </w:rPr>
        <w:t>消防、电梯、中央空调、供电等设备设施的年度检测费；</w:t>
      </w:r>
      <w:r>
        <w:rPr>
          <w:szCs w:val="21"/>
        </w:rPr>
        <w:t>(4)</w:t>
      </w:r>
      <w:r>
        <w:rPr>
          <w:rFonts w:hAnsi="宋体"/>
          <w:szCs w:val="21"/>
        </w:rPr>
        <w:t>垃圾清运费；（</w:t>
      </w:r>
      <w:r>
        <w:rPr>
          <w:szCs w:val="21"/>
        </w:rPr>
        <w:t>5</w:t>
      </w:r>
      <w:r>
        <w:rPr>
          <w:rFonts w:hAnsi="宋体"/>
          <w:szCs w:val="21"/>
        </w:rPr>
        <w:t>）外墙清洗。</w:t>
      </w:r>
    </w:p>
    <w:p>
      <w:pPr>
        <w:spacing w:line="300" w:lineRule="auto"/>
        <w:ind w:firstLine="420" w:firstLineChars="200"/>
        <w:rPr>
          <w:szCs w:val="21"/>
        </w:rPr>
      </w:pPr>
      <w:r>
        <w:rPr>
          <w:szCs w:val="21"/>
        </w:rPr>
        <w:t>3.</w:t>
      </w:r>
      <w:r>
        <w:rPr>
          <w:rFonts w:hAnsi="宋体"/>
          <w:szCs w:val="21"/>
        </w:rPr>
        <w:t>中标人应按法律政策有关规定，为职工足额交纳社会保险，并按有关规定标准足额支付员工超时及节假日的加班费用。</w:t>
      </w:r>
    </w:p>
    <w:p>
      <w:pPr>
        <w:spacing w:line="300" w:lineRule="auto"/>
        <w:ind w:firstLine="420" w:firstLineChars="200"/>
        <w:rPr>
          <w:szCs w:val="21"/>
        </w:rPr>
      </w:pPr>
      <w:r>
        <w:rPr>
          <w:szCs w:val="21"/>
        </w:rPr>
        <w:t>4.</w:t>
      </w:r>
      <w:r>
        <w:rPr>
          <w:rFonts w:hAnsi="宋体"/>
          <w:szCs w:val="21"/>
        </w:rPr>
        <w:t>招标人不提供中标单位职工的住宿用房。</w:t>
      </w:r>
    </w:p>
    <w:p>
      <w:pPr>
        <w:spacing w:line="300" w:lineRule="auto"/>
        <w:ind w:firstLine="420" w:firstLineChars="200"/>
        <w:rPr>
          <w:szCs w:val="21"/>
        </w:rPr>
      </w:pPr>
      <w:r>
        <w:rPr>
          <w:szCs w:val="21"/>
        </w:rPr>
        <w:t>5.</w:t>
      </w:r>
      <w:r>
        <w:rPr>
          <w:rFonts w:hAnsi="宋体"/>
          <w:szCs w:val="21"/>
        </w:rPr>
        <w:t>如果因大楼内办公用房调整，本项目需要削减中标单位员工数量的，将按投标书报价扣减相应费用。</w:t>
      </w:r>
    </w:p>
    <w:p>
      <w:pPr>
        <w:spacing w:line="300" w:lineRule="auto"/>
        <w:ind w:firstLine="420" w:firstLineChars="200"/>
        <w:rPr>
          <w:szCs w:val="21"/>
        </w:rPr>
      </w:pPr>
      <w:r>
        <w:rPr>
          <w:szCs w:val="21"/>
        </w:rPr>
        <w:t>6.</w:t>
      </w:r>
      <w:r>
        <w:rPr>
          <w:rFonts w:hAnsi="宋体"/>
          <w:szCs w:val="21"/>
        </w:rPr>
        <w:t>但如果有以下情况，招标人有权提前中止合同。</w:t>
      </w:r>
      <w:r>
        <w:rPr>
          <w:szCs w:val="21"/>
        </w:rPr>
        <w:t>(1)</w:t>
      </w:r>
      <w:r>
        <w:rPr>
          <w:rFonts w:hAnsi="宋体"/>
          <w:szCs w:val="21"/>
        </w:rPr>
        <w:t>发现员工数量缺员累计超过</w:t>
      </w:r>
      <w:r>
        <w:rPr>
          <w:szCs w:val="21"/>
        </w:rPr>
        <w:t>20</w:t>
      </w:r>
      <w:r>
        <w:rPr>
          <w:rFonts w:hAnsi="宋体"/>
          <w:szCs w:val="21"/>
        </w:rPr>
        <w:t>人次的；</w:t>
      </w:r>
      <w:r>
        <w:rPr>
          <w:szCs w:val="21"/>
        </w:rPr>
        <w:t>(2)</w:t>
      </w:r>
      <w:r>
        <w:rPr>
          <w:rFonts w:hAnsi="宋体"/>
          <w:szCs w:val="21"/>
        </w:rPr>
        <w:t>发现存在严重违反《劳动法》等法律法规行为的。</w:t>
      </w:r>
    </w:p>
    <w:p>
      <w:pPr>
        <w:spacing w:line="300" w:lineRule="auto"/>
        <w:ind w:firstLine="420" w:firstLineChars="200"/>
        <w:rPr>
          <w:szCs w:val="21"/>
        </w:rPr>
      </w:pPr>
      <w:r>
        <w:rPr>
          <w:szCs w:val="21"/>
        </w:rPr>
        <w:t>7.</w:t>
      </w:r>
      <w:r>
        <w:rPr>
          <w:rFonts w:hAnsi="宋体"/>
          <w:szCs w:val="21"/>
        </w:rPr>
        <w:t>服务范围及内容：</w:t>
      </w:r>
    </w:p>
    <w:p>
      <w:pPr>
        <w:spacing w:line="300" w:lineRule="auto"/>
        <w:ind w:firstLine="420" w:firstLineChars="200"/>
        <w:rPr>
          <w:szCs w:val="21"/>
        </w:rPr>
      </w:pPr>
      <w:r>
        <w:rPr>
          <w:szCs w:val="21"/>
        </w:rPr>
        <w:t>7.1.</w:t>
      </w:r>
      <w:r>
        <w:rPr>
          <w:rFonts w:hAnsi="宋体"/>
          <w:szCs w:val="21"/>
        </w:rPr>
        <w:t>制定物业管理服务工作计划，并组织实施等。</w:t>
      </w:r>
    </w:p>
    <w:p>
      <w:pPr>
        <w:spacing w:line="300" w:lineRule="auto"/>
        <w:ind w:firstLine="420" w:firstLineChars="200"/>
        <w:rPr>
          <w:szCs w:val="21"/>
        </w:rPr>
      </w:pPr>
      <w:r>
        <w:rPr>
          <w:szCs w:val="21"/>
        </w:rPr>
        <w:t>7.2.</w:t>
      </w:r>
      <w:r>
        <w:rPr>
          <w:rFonts w:hAnsi="宋体"/>
          <w:szCs w:val="21"/>
        </w:rPr>
        <w:t>大楼及停车场公共秩序和安全和管理维护。</w:t>
      </w:r>
    </w:p>
    <w:p>
      <w:pPr>
        <w:spacing w:line="300" w:lineRule="auto"/>
        <w:ind w:firstLine="420" w:firstLineChars="200"/>
        <w:rPr>
          <w:szCs w:val="21"/>
        </w:rPr>
      </w:pPr>
      <w:r>
        <w:rPr>
          <w:szCs w:val="21"/>
        </w:rPr>
        <w:t>7.3.</w:t>
      </w:r>
      <w:r>
        <w:rPr>
          <w:rFonts w:hAnsi="宋体"/>
          <w:szCs w:val="21"/>
        </w:rPr>
        <w:t>房屋、公共设施及附属建筑物、构筑物日常维修、养护和管理。主要包括：房屋建筑体、道路、化粪池、停车场，供排水系统、供电系统、照明系统、中央空调系统、消防系统、电梯、中央监控设备、建筑物防雷设施等。其中大门值班室</w:t>
      </w:r>
      <w:r>
        <w:rPr>
          <w:szCs w:val="21"/>
        </w:rPr>
        <w:t>24</w:t>
      </w:r>
      <w:r>
        <w:rPr>
          <w:rFonts w:hAnsi="宋体"/>
          <w:szCs w:val="21"/>
        </w:rPr>
        <w:t>小时值班。</w:t>
      </w:r>
    </w:p>
    <w:p>
      <w:pPr>
        <w:spacing w:line="300" w:lineRule="auto"/>
        <w:ind w:firstLine="420" w:firstLineChars="200"/>
        <w:rPr>
          <w:szCs w:val="21"/>
        </w:rPr>
      </w:pPr>
      <w:r>
        <w:rPr>
          <w:szCs w:val="21"/>
        </w:rPr>
        <w:t>7.4.</w:t>
      </w:r>
      <w:r>
        <w:rPr>
          <w:rFonts w:hAnsi="宋体"/>
          <w:szCs w:val="21"/>
        </w:rPr>
        <w:t>公共环境卫生，包括大楼公共部位、楼顶、停车场、公共会议室、电梯轿箱的清洁卫生等。</w:t>
      </w:r>
    </w:p>
    <w:p>
      <w:pPr>
        <w:spacing w:line="300" w:lineRule="auto"/>
        <w:ind w:firstLine="420" w:firstLineChars="200"/>
        <w:rPr>
          <w:szCs w:val="21"/>
        </w:rPr>
      </w:pPr>
      <w:r>
        <w:rPr>
          <w:szCs w:val="21"/>
        </w:rPr>
        <w:t>7.5.</w:t>
      </w:r>
      <w:r>
        <w:rPr>
          <w:rFonts w:hAnsi="宋体"/>
          <w:szCs w:val="21"/>
        </w:rPr>
        <w:t>大楼内部门班子成员办公室和会议室保洁。</w:t>
      </w:r>
    </w:p>
    <w:p>
      <w:pPr>
        <w:spacing w:line="300" w:lineRule="auto"/>
        <w:ind w:firstLine="420" w:firstLineChars="200"/>
        <w:rPr>
          <w:szCs w:val="21"/>
        </w:rPr>
      </w:pPr>
      <w:r>
        <w:rPr>
          <w:szCs w:val="21"/>
        </w:rPr>
        <w:t>7.6.</w:t>
      </w:r>
      <w:r>
        <w:rPr>
          <w:rFonts w:hAnsi="宋体"/>
          <w:szCs w:val="21"/>
        </w:rPr>
        <w:t>大楼配套绿化的养护管理。</w:t>
      </w:r>
    </w:p>
    <w:p>
      <w:pPr>
        <w:spacing w:line="300" w:lineRule="auto"/>
        <w:ind w:firstLine="420" w:firstLineChars="200"/>
        <w:rPr>
          <w:szCs w:val="21"/>
        </w:rPr>
      </w:pPr>
      <w:r>
        <w:rPr>
          <w:szCs w:val="21"/>
        </w:rPr>
        <w:t>7.7.</w:t>
      </w:r>
      <w:r>
        <w:rPr>
          <w:rFonts w:hAnsi="宋体"/>
          <w:szCs w:val="21"/>
        </w:rPr>
        <w:t>大楼电话线路故障的检测、维护。</w:t>
      </w:r>
    </w:p>
    <w:p>
      <w:pPr>
        <w:spacing w:line="300" w:lineRule="auto"/>
        <w:ind w:firstLine="420" w:firstLineChars="200"/>
        <w:rPr>
          <w:szCs w:val="21"/>
        </w:rPr>
      </w:pPr>
      <w:r>
        <w:rPr>
          <w:szCs w:val="21"/>
        </w:rPr>
        <w:t>7.8.</w:t>
      </w:r>
      <w:r>
        <w:rPr>
          <w:rFonts w:hAnsi="宋体"/>
          <w:szCs w:val="21"/>
        </w:rPr>
        <w:t>其他委托事项。如代收发报纸、包裹等。</w:t>
      </w:r>
      <w:r>
        <w:rPr>
          <w:szCs w:val="21"/>
        </w:rPr>
        <w:t xml:space="preserve"> </w:t>
      </w:r>
    </w:p>
    <w:p>
      <w:pPr>
        <w:spacing w:line="300" w:lineRule="auto"/>
        <w:ind w:firstLine="420" w:firstLineChars="200"/>
        <w:rPr>
          <w:color w:val="FF0000"/>
          <w:szCs w:val="21"/>
        </w:rPr>
      </w:pPr>
      <w:r>
        <w:rPr>
          <w:rFonts w:hAnsi="宋体"/>
          <w:szCs w:val="21"/>
        </w:rPr>
        <w:t>★</w:t>
      </w:r>
      <w:r>
        <w:rPr>
          <w:szCs w:val="21"/>
        </w:rPr>
        <w:t>8.</w:t>
      </w:r>
      <w:r>
        <w:rPr>
          <w:rFonts w:hAnsi="宋体"/>
          <w:szCs w:val="21"/>
        </w:rPr>
        <w:t>人数要求：总人数不少于</w:t>
      </w:r>
      <w:r>
        <w:rPr>
          <w:rFonts w:hint="eastAsia"/>
          <w:szCs w:val="21"/>
        </w:rPr>
        <w:t>20</w:t>
      </w:r>
      <w:r>
        <w:rPr>
          <w:rFonts w:hAnsi="宋体"/>
          <w:szCs w:val="21"/>
        </w:rPr>
        <w:t>人（含物业经理一名</w:t>
      </w:r>
      <w:r>
        <w:rPr>
          <w:rFonts w:hint="eastAsia" w:hAnsi="宋体"/>
          <w:szCs w:val="21"/>
        </w:rPr>
        <w:t>、保安队长一名</w:t>
      </w:r>
      <w:r>
        <w:rPr>
          <w:rFonts w:hAnsi="宋体"/>
          <w:szCs w:val="21"/>
        </w:rPr>
        <w:t>）。</w:t>
      </w:r>
    </w:p>
    <w:p>
      <w:pPr>
        <w:spacing w:line="300" w:lineRule="auto"/>
        <w:ind w:firstLine="420" w:firstLineChars="200"/>
        <w:rPr>
          <w:szCs w:val="21"/>
        </w:rPr>
      </w:pPr>
      <w:r>
        <w:rPr>
          <w:rFonts w:hAnsi="宋体"/>
          <w:szCs w:val="21"/>
        </w:rPr>
        <w:t>★</w:t>
      </w:r>
      <w:r>
        <w:rPr>
          <w:szCs w:val="21"/>
        </w:rPr>
        <w:t>9.</w:t>
      </w:r>
      <w:r>
        <w:rPr>
          <w:rFonts w:hAnsi="宋体"/>
          <w:szCs w:val="21"/>
        </w:rPr>
        <w:t>投标方须派一名物业经理</w:t>
      </w:r>
      <w:r>
        <w:rPr>
          <w:rFonts w:hint="eastAsia" w:hAnsi="宋体"/>
          <w:szCs w:val="21"/>
        </w:rPr>
        <w:t>:年龄35周岁以下，具有三年以上物业管理工作经验，提供</w:t>
      </w:r>
      <w:r>
        <w:rPr>
          <w:b/>
          <w:szCs w:val="21"/>
        </w:rPr>
        <w:t>建设行业主管部门颁发的全国</w:t>
      </w:r>
      <w:r>
        <w:rPr>
          <w:b/>
          <w:bCs/>
          <w:szCs w:val="21"/>
        </w:rPr>
        <w:t>物业管理企业经理岗位证书</w:t>
      </w:r>
      <w:r>
        <w:rPr>
          <w:rFonts w:hint="eastAsia" w:hAnsi="宋体"/>
          <w:szCs w:val="21"/>
        </w:rPr>
        <w:t>复印件</w:t>
      </w:r>
      <w:r>
        <w:rPr>
          <w:rFonts w:hint="eastAsia"/>
          <w:b/>
          <w:bCs/>
          <w:szCs w:val="21"/>
        </w:rPr>
        <w:t>或者</w:t>
      </w:r>
      <w:r>
        <w:rPr>
          <w:rFonts w:hAnsi="宋体"/>
          <w:szCs w:val="21"/>
        </w:rPr>
        <w:t>持</w:t>
      </w:r>
      <w:r>
        <w:rPr>
          <w:rFonts w:hint="eastAsia" w:hAnsi="宋体"/>
          <w:szCs w:val="21"/>
        </w:rPr>
        <w:t>物业管理行业协会</w:t>
      </w:r>
      <w:r>
        <w:rPr>
          <w:rFonts w:hAnsi="宋体"/>
          <w:szCs w:val="21"/>
        </w:rPr>
        <w:t>颁发的上岗证书</w:t>
      </w:r>
      <w:r>
        <w:rPr>
          <w:rFonts w:hint="eastAsia" w:hAnsi="宋体"/>
          <w:szCs w:val="21"/>
        </w:rPr>
        <w:t>复印件、身份</w:t>
      </w:r>
      <w:r>
        <w:rPr>
          <w:rFonts w:hint="eastAsia" w:hAnsi="宋体"/>
          <w:szCs w:val="21"/>
          <w:lang w:eastAsia="zh-CN"/>
        </w:rPr>
        <w:t>证</w:t>
      </w:r>
      <w:r>
        <w:rPr>
          <w:rFonts w:hint="eastAsia" w:hAnsi="宋体"/>
          <w:szCs w:val="21"/>
        </w:rPr>
        <w:t>复印件、全日制大专以上学历证书复印件、2020年9月、10月、11月的社保</w:t>
      </w:r>
      <w:r>
        <w:rPr>
          <w:rFonts w:hAnsi="宋体"/>
          <w:szCs w:val="21"/>
        </w:rPr>
        <w:t>缴费清单。（社保缴费清单需加盖缴费当地社保机构公章或业务章</w:t>
      </w:r>
      <w:r>
        <w:rPr>
          <w:rFonts w:hint="eastAsia" w:hAnsi="宋体"/>
          <w:szCs w:val="21"/>
          <w:lang w:val="en-US" w:eastAsia="zh-CN"/>
        </w:rPr>
        <w:t>)</w:t>
      </w:r>
      <w:r>
        <w:rPr>
          <w:rFonts w:hAnsi="宋体"/>
          <w:szCs w:val="21"/>
        </w:rPr>
        <w:t>。</w:t>
      </w:r>
    </w:p>
    <w:p>
      <w:pPr>
        <w:spacing w:line="300" w:lineRule="auto"/>
        <w:rPr>
          <w:b/>
          <w:szCs w:val="21"/>
        </w:rPr>
      </w:pPr>
      <w:bookmarkStart w:id="33" w:name="_Toc476578266"/>
      <w:r>
        <w:rPr>
          <w:rFonts w:hAnsi="宋体"/>
          <w:b/>
          <w:szCs w:val="21"/>
        </w:rPr>
        <w:t>（三）、</w:t>
      </w:r>
      <w:bookmarkEnd w:id="33"/>
      <w:r>
        <w:rPr>
          <w:rFonts w:hAnsi="宋体"/>
          <w:b/>
          <w:szCs w:val="21"/>
        </w:rPr>
        <w:t>物业管理标准</w:t>
      </w:r>
    </w:p>
    <w:p>
      <w:pPr>
        <w:spacing w:line="300" w:lineRule="auto"/>
        <w:ind w:firstLine="420" w:firstLineChars="200"/>
        <w:rPr>
          <w:szCs w:val="21"/>
        </w:rPr>
      </w:pPr>
      <w:r>
        <w:rPr>
          <w:rFonts w:hAnsi="宋体"/>
          <w:szCs w:val="21"/>
        </w:rPr>
        <w:t>须根据国务院物业管理条例和省、市有关物业管理法律法规的相关规定，以及供应商根据上述规定制定的物业管理制度。</w:t>
      </w:r>
    </w:p>
    <w:p>
      <w:pPr>
        <w:spacing w:line="300" w:lineRule="auto"/>
        <w:ind w:firstLine="420" w:firstLineChars="200"/>
        <w:rPr>
          <w:szCs w:val="21"/>
        </w:rPr>
      </w:pPr>
      <w:r>
        <w:rPr>
          <w:rFonts w:hAnsi="宋体"/>
          <w:szCs w:val="21"/>
        </w:rPr>
        <w:t>（一）服务人员准则，全体物业管理人员必须遵守如下工作准则：</w:t>
      </w:r>
    </w:p>
    <w:p>
      <w:pPr>
        <w:spacing w:line="300" w:lineRule="auto"/>
        <w:ind w:firstLine="420" w:firstLineChars="200"/>
        <w:rPr>
          <w:szCs w:val="21"/>
        </w:rPr>
      </w:pPr>
      <w:r>
        <w:rPr>
          <w:szCs w:val="21"/>
        </w:rPr>
        <w:t>1.</w:t>
      </w:r>
      <w:r>
        <w:rPr>
          <w:rFonts w:hAnsi="宋体"/>
          <w:szCs w:val="21"/>
        </w:rPr>
        <w:t>各职守岗位统一着装；</w:t>
      </w:r>
    </w:p>
    <w:p>
      <w:pPr>
        <w:spacing w:line="300" w:lineRule="auto"/>
        <w:ind w:firstLine="420" w:firstLineChars="200"/>
        <w:rPr>
          <w:szCs w:val="21"/>
        </w:rPr>
      </w:pPr>
      <w:r>
        <w:rPr>
          <w:szCs w:val="21"/>
        </w:rPr>
        <w:t>2.</w:t>
      </w:r>
      <w:r>
        <w:rPr>
          <w:rFonts w:hAnsi="宋体"/>
          <w:szCs w:val="21"/>
        </w:rPr>
        <w:t>上班时间佩戴工作牌；</w:t>
      </w:r>
    </w:p>
    <w:p>
      <w:pPr>
        <w:spacing w:line="300" w:lineRule="auto"/>
        <w:ind w:firstLine="420" w:firstLineChars="200"/>
        <w:rPr>
          <w:szCs w:val="21"/>
        </w:rPr>
      </w:pPr>
      <w:r>
        <w:rPr>
          <w:szCs w:val="21"/>
        </w:rPr>
        <w:t>3.</w:t>
      </w:r>
      <w:r>
        <w:rPr>
          <w:rFonts w:hAnsi="宋体"/>
          <w:szCs w:val="21"/>
        </w:rPr>
        <w:t>仪容仪表整洁、大方、得体；</w:t>
      </w:r>
    </w:p>
    <w:p>
      <w:pPr>
        <w:spacing w:line="300" w:lineRule="auto"/>
        <w:ind w:firstLine="420" w:firstLineChars="200"/>
        <w:rPr>
          <w:szCs w:val="21"/>
        </w:rPr>
      </w:pPr>
      <w:r>
        <w:rPr>
          <w:szCs w:val="21"/>
        </w:rPr>
        <w:t>4.</w:t>
      </w:r>
      <w:r>
        <w:rPr>
          <w:rFonts w:hAnsi="宋体"/>
          <w:szCs w:val="21"/>
        </w:rPr>
        <w:t>热情待人、文明礼貌、使用服务规范用语；</w:t>
      </w:r>
    </w:p>
    <w:p>
      <w:pPr>
        <w:spacing w:line="300" w:lineRule="auto"/>
        <w:ind w:firstLine="420" w:firstLineChars="200"/>
        <w:rPr>
          <w:szCs w:val="21"/>
        </w:rPr>
      </w:pPr>
      <w:r>
        <w:rPr>
          <w:szCs w:val="21"/>
        </w:rPr>
        <w:t>5.</w:t>
      </w:r>
      <w:r>
        <w:rPr>
          <w:rFonts w:hAnsi="宋体"/>
          <w:szCs w:val="21"/>
        </w:rPr>
        <w:t>开展微笑服务，遇到用户时主动问候和招呼；</w:t>
      </w:r>
    </w:p>
    <w:p>
      <w:pPr>
        <w:spacing w:line="300" w:lineRule="auto"/>
        <w:ind w:firstLine="420" w:firstLineChars="200"/>
        <w:rPr>
          <w:szCs w:val="21"/>
        </w:rPr>
      </w:pPr>
      <w:r>
        <w:rPr>
          <w:szCs w:val="21"/>
        </w:rPr>
        <w:t>6.</w:t>
      </w:r>
      <w:r>
        <w:rPr>
          <w:rFonts w:hAnsi="宋体"/>
          <w:szCs w:val="21"/>
        </w:rPr>
        <w:t>遵守安全工作规定及操作程序，及时发现不安全因素，正确处理突发事件；</w:t>
      </w:r>
    </w:p>
    <w:p>
      <w:pPr>
        <w:spacing w:line="300" w:lineRule="auto"/>
        <w:ind w:firstLine="420" w:firstLineChars="200"/>
        <w:rPr>
          <w:szCs w:val="21"/>
        </w:rPr>
      </w:pPr>
      <w:r>
        <w:rPr>
          <w:szCs w:val="21"/>
        </w:rPr>
        <w:t>7.</w:t>
      </w:r>
      <w:r>
        <w:rPr>
          <w:rFonts w:hAnsi="宋体"/>
          <w:szCs w:val="21"/>
        </w:rPr>
        <w:t>不损坏、不拿取公共或用户的财物；</w:t>
      </w:r>
    </w:p>
    <w:p>
      <w:pPr>
        <w:spacing w:line="300" w:lineRule="auto"/>
        <w:ind w:firstLine="420" w:firstLineChars="200"/>
        <w:rPr>
          <w:szCs w:val="21"/>
        </w:rPr>
      </w:pPr>
      <w:r>
        <w:rPr>
          <w:szCs w:val="21"/>
        </w:rPr>
        <w:t>8.</w:t>
      </w:r>
      <w:r>
        <w:rPr>
          <w:rFonts w:hAnsi="宋体"/>
          <w:szCs w:val="21"/>
        </w:rPr>
        <w:t>遵守保密规定，不得擅自进入机要部位。不得随便对外透露机关消息和用户情况。</w:t>
      </w:r>
    </w:p>
    <w:p>
      <w:pPr>
        <w:spacing w:line="300" w:lineRule="auto"/>
        <w:ind w:firstLine="420" w:firstLineChars="200"/>
        <w:rPr>
          <w:szCs w:val="21"/>
        </w:rPr>
      </w:pPr>
      <w:r>
        <w:rPr>
          <w:rFonts w:hAnsi="宋体"/>
          <w:szCs w:val="21"/>
        </w:rPr>
        <w:t>（二）保洁项目内容及清洁标准</w:t>
      </w:r>
    </w:p>
    <w:p>
      <w:pPr>
        <w:spacing w:line="300" w:lineRule="auto"/>
        <w:ind w:firstLine="420" w:firstLineChars="200"/>
        <w:rPr>
          <w:szCs w:val="21"/>
        </w:rPr>
      </w:pPr>
      <w:r>
        <w:rPr>
          <w:rFonts w:ascii="宋体" w:hAnsi="宋体"/>
          <w:szCs w:val="21"/>
          <w:highlight w:val="none"/>
        </w:rPr>
        <w:t>★</w:t>
      </w:r>
      <w:r>
        <w:rPr>
          <w:szCs w:val="21"/>
          <w:highlight w:val="none"/>
        </w:rPr>
        <w:t>1.</w:t>
      </w:r>
      <w:r>
        <w:rPr>
          <w:rFonts w:hAnsi="宋体"/>
          <w:szCs w:val="21"/>
          <w:highlight w:val="none"/>
        </w:rPr>
        <w:t>保洁员配备不</w:t>
      </w:r>
      <w:r>
        <w:rPr>
          <w:rFonts w:hint="eastAsia" w:hAnsi="宋体"/>
          <w:szCs w:val="21"/>
          <w:highlight w:val="none"/>
        </w:rPr>
        <w:t>少于</w:t>
      </w:r>
      <w:r>
        <w:rPr>
          <w:rFonts w:hint="eastAsia"/>
          <w:szCs w:val="21"/>
          <w:highlight w:val="none"/>
        </w:rPr>
        <w:t>9</w:t>
      </w:r>
      <w:r>
        <w:rPr>
          <w:rFonts w:hAnsi="宋体"/>
          <w:szCs w:val="21"/>
          <w:highlight w:val="none"/>
        </w:rPr>
        <w:t>人</w:t>
      </w:r>
      <w:r>
        <w:rPr>
          <w:rFonts w:hint="eastAsia" w:hAnsi="宋体"/>
          <w:szCs w:val="21"/>
          <w:highlight w:val="none"/>
        </w:rPr>
        <w:t>。本部大楼5人，佛堂税务所</w:t>
      </w:r>
      <w:r>
        <w:rPr>
          <w:rFonts w:hAnsi="宋体"/>
          <w:szCs w:val="21"/>
          <w:highlight w:val="none"/>
        </w:rPr>
        <w:t>配备</w:t>
      </w:r>
      <w:r>
        <w:rPr>
          <w:rFonts w:hint="eastAsia" w:hAnsi="宋体"/>
          <w:szCs w:val="21"/>
          <w:highlight w:val="none"/>
        </w:rPr>
        <w:t>保洁 1人 ，苏溪税务所</w:t>
      </w:r>
      <w:r>
        <w:rPr>
          <w:rFonts w:hAnsi="宋体"/>
          <w:szCs w:val="21"/>
          <w:highlight w:val="none"/>
        </w:rPr>
        <w:t>配备</w:t>
      </w:r>
      <w:r>
        <w:rPr>
          <w:rFonts w:hint="eastAsia" w:hAnsi="宋体"/>
          <w:szCs w:val="21"/>
          <w:highlight w:val="none"/>
        </w:rPr>
        <w:t>保洁 1人 ，商城税务分局</w:t>
      </w:r>
      <w:r>
        <w:rPr>
          <w:rFonts w:hAnsi="宋体"/>
          <w:szCs w:val="21"/>
          <w:highlight w:val="none"/>
        </w:rPr>
        <w:t>配备</w:t>
      </w:r>
      <w:r>
        <w:rPr>
          <w:rFonts w:hint="eastAsia" w:hAnsi="宋体"/>
          <w:szCs w:val="21"/>
          <w:highlight w:val="none"/>
        </w:rPr>
        <w:t>保洁 1人 ，稠城税务分局</w:t>
      </w:r>
      <w:r>
        <w:rPr>
          <w:rFonts w:hAnsi="宋体"/>
          <w:szCs w:val="21"/>
          <w:highlight w:val="none"/>
        </w:rPr>
        <w:t>配备</w:t>
      </w:r>
      <w:r>
        <w:rPr>
          <w:rFonts w:hint="eastAsia" w:hAnsi="宋体"/>
          <w:szCs w:val="21"/>
          <w:highlight w:val="none"/>
        </w:rPr>
        <w:t>保洁 1人。</w:t>
      </w:r>
      <w:r>
        <w:rPr>
          <w:rFonts w:hAnsi="宋体"/>
          <w:szCs w:val="21"/>
        </w:rPr>
        <w:t>保洁人员年龄不超过</w:t>
      </w:r>
      <w:r>
        <w:rPr>
          <w:szCs w:val="21"/>
        </w:rPr>
        <w:t>55</w:t>
      </w:r>
      <w:r>
        <w:rPr>
          <w:rFonts w:hAnsi="宋体"/>
          <w:szCs w:val="21"/>
        </w:rPr>
        <w:t>周岁。</w:t>
      </w:r>
      <w:r>
        <w:rPr>
          <w:szCs w:val="21"/>
        </w:rPr>
        <w:t xml:space="preserve"> </w:t>
      </w:r>
    </w:p>
    <w:p>
      <w:pPr>
        <w:spacing w:line="300" w:lineRule="auto"/>
        <w:ind w:firstLine="420" w:firstLineChars="200"/>
        <w:rPr>
          <w:szCs w:val="21"/>
        </w:rPr>
      </w:pPr>
      <w:r>
        <w:rPr>
          <w:szCs w:val="21"/>
        </w:rPr>
        <w:t>2.</w:t>
      </w:r>
      <w:r>
        <w:rPr>
          <w:rFonts w:hAnsi="宋体"/>
          <w:szCs w:val="21"/>
        </w:rPr>
        <w:t>清扫、拖洗楼内公共走廊地面和楼梯间地面，并随时保洁。</w:t>
      </w:r>
    </w:p>
    <w:p>
      <w:pPr>
        <w:spacing w:line="300" w:lineRule="auto"/>
        <w:ind w:firstLine="420" w:firstLineChars="200"/>
        <w:rPr>
          <w:szCs w:val="21"/>
        </w:rPr>
      </w:pPr>
      <w:r>
        <w:rPr>
          <w:szCs w:val="21"/>
        </w:rPr>
        <w:t>3.</w:t>
      </w:r>
      <w:r>
        <w:rPr>
          <w:rFonts w:hAnsi="宋体"/>
          <w:szCs w:val="21"/>
        </w:rPr>
        <w:t>清抹擦拭各层办公室外门和门套、防烟门、走廊灯具、开关、栏杆、楼梯扶手、石材墙面、窗台板等。</w:t>
      </w:r>
    </w:p>
    <w:p>
      <w:pPr>
        <w:spacing w:line="300" w:lineRule="auto"/>
        <w:ind w:firstLine="420" w:firstLineChars="200"/>
        <w:rPr>
          <w:szCs w:val="21"/>
        </w:rPr>
      </w:pPr>
      <w:r>
        <w:rPr>
          <w:szCs w:val="21"/>
        </w:rPr>
        <w:t>4.</w:t>
      </w:r>
      <w:r>
        <w:rPr>
          <w:rFonts w:hAnsi="宋体"/>
          <w:szCs w:val="21"/>
        </w:rPr>
        <w:t>随时清抹大堂玻璃门、走廊玻璃、电梯门、电梯按钮，电梯轿箱内不锈钢壁面。</w:t>
      </w:r>
    </w:p>
    <w:p>
      <w:pPr>
        <w:spacing w:line="300" w:lineRule="auto"/>
        <w:ind w:firstLine="420" w:firstLineChars="200"/>
        <w:rPr>
          <w:szCs w:val="21"/>
        </w:rPr>
      </w:pPr>
      <w:r>
        <w:rPr>
          <w:szCs w:val="21"/>
        </w:rPr>
        <w:t>5.</w:t>
      </w:r>
      <w:r>
        <w:rPr>
          <w:rFonts w:hAnsi="宋体"/>
          <w:szCs w:val="21"/>
        </w:rPr>
        <w:t>公共洗手间和茶水间内的墙面、地面、台面及卫生洁具的及时清洗和保洁，及时清倒、清洗垃圾桶。</w:t>
      </w:r>
    </w:p>
    <w:p>
      <w:pPr>
        <w:spacing w:line="300" w:lineRule="auto"/>
        <w:ind w:firstLine="420" w:firstLineChars="200"/>
        <w:rPr>
          <w:szCs w:val="21"/>
        </w:rPr>
      </w:pPr>
      <w:r>
        <w:rPr>
          <w:szCs w:val="21"/>
        </w:rPr>
        <w:t>6.</w:t>
      </w:r>
      <w:r>
        <w:rPr>
          <w:rFonts w:hAnsi="宋体"/>
          <w:szCs w:val="21"/>
        </w:rPr>
        <w:t>大堂大理石</w:t>
      </w:r>
      <w:r>
        <w:rPr>
          <w:rFonts w:hint="eastAsia" w:hAnsi="宋体"/>
          <w:szCs w:val="21"/>
        </w:rPr>
        <w:t>定期清洗</w:t>
      </w:r>
      <w:r>
        <w:rPr>
          <w:rFonts w:hAnsi="宋体"/>
          <w:szCs w:val="21"/>
        </w:rPr>
        <w:t>。</w:t>
      </w:r>
    </w:p>
    <w:p>
      <w:pPr>
        <w:spacing w:line="300" w:lineRule="auto"/>
        <w:ind w:firstLine="420" w:firstLineChars="200"/>
        <w:rPr>
          <w:szCs w:val="21"/>
        </w:rPr>
      </w:pPr>
      <w:r>
        <w:rPr>
          <w:szCs w:val="21"/>
        </w:rPr>
        <w:t>7.</w:t>
      </w:r>
      <w:r>
        <w:rPr>
          <w:rFonts w:hAnsi="宋体"/>
          <w:szCs w:val="21"/>
        </w:rPr>
        <w:t>每年</w:t>
      </w:r>
      <w:r>
        <w:rPr>
          <w:szCs w:val="21"/>
        </w:rPr>
        <w:t>10</w:t>
      </w:r>
      <w:r>
        <w:rPr>
          <w:rFonts w:hAnsi="宋体"/>
          <w:szCs w:val="21"/>
        </w:rPr>
        <w:t>月前后应安排清洗一次大楼的外墙面、玻璃窗；如果不能如期进行清洗的，招标人将委托专业清洗公司进行清洗，并由中标人承担相关清洗费用。</w:t>
      </w:r>
    </w:p>
    <w:p>
      <w:pPr>
        <w:spacing w:line="300" w:lineRule="auto"/>
        <w:ind w:firstLine="420" w:firstLineChars="200"/>
        <w:rPr>
          <w:szCs w:val="21"/>
        </w:rPr>
      </w:pPr>
      <w:r>
        <w:rPr>
          <w:szCs w:val="21"/>
        </w:rPr>
        <w:t>8.</w:t>
      </w:r>
      <w:r>
        <w:rPr>
          <w:rFonts w:hAnsi="宋体"/>
          <w:szCs w:val="21"/>
        </w:rPr>
        <w:t>门厅的玻璃顶盖应保持清洁。</w:t>
      </w:r>
    </w:p>
    <w:p>
      <w:pPr>
        <w:spacing w:line="300" w:lineRule="auto"/>
        <w:ind w:firstLine="420" w:firstLineChars="200"/>
        <w:rPr>
          <w:szCs w:val="21"/>
        </w:rPr>
      </w:pPr>
      <w:r>
        <w:rPr>
          <w:szCs w:val="21"/>
        </w:rPr>
        <w:t>9.</w:t>
      </w:r>
      <w:r>
        <w:rPr>
          <w:rFonts w:hAnsi="宋体"/>
          <w:szCs w:val="21"/>
        </w:rPr>
        <w:t>大楼外道路每天清扫，一季度清洗一次，垃圾桶每天及时清倒、清洗；及时清理公共场所，公共绿地的废弃杂物；及时清扫积水、积雪；及时组织清理乱堆放物品、乱张贴宣传品等。</w:t>
      </w:r>
    </w:p>
    <w:p>
      <w:pPr>
        <w:spacing w:line="300" w:lineRule="auto"/>
        <w:ind w:firstLine="420" w:firstLineChars="200"/>
        <w:rPr>
          <w:szCs w:val="21"/>
        </w:rPr>
      </w:pPr>
      <w:r>
        <w:rPr>
          <w:szCs w:val="21"/>
        </w:rPr>
        <w:t>10.</w:t>
      </w:r>
      <w:r>
        <w:rPr>
          <w:rFonts w:hAnsi="宋体"/>
          <w:szCs w:val="21"/>
        </w:rPr>
        <w:t>楼内走廊装饰玻璃应保持清洁。</w:t>
      </w:r>
    </w:p>
    <w:p>
      <w:pPr>
        <w:spacing w:line="300" w:lineRule="auto"/>
        <w:ind w:firstLine="420" w:firstLineChars="200"/>
        <w:rPr>
          <w:szCs w:val="21"/>
        </w:rPr>
      </w:pPr>
      <w:r>
        <w:rPr>
          <w:szCs w:val="21"/>
        </w:rPr>
        <w:t>11.</w:t>
      </w:r>
      <w:r>
        <w:rPr>
          <w:rFonts w:hAnsi="宋体"/>
          <w:szCs w:val="21"/>
        </w:rPr>
        <w:t>定期清抹标识牌等。</w:t>
      </w:r>
    </w:p>
    <w:p>
      <w:pPr>
        <w:spacing w:line="300" w:lineRule="auto"/>
        <w:ind w:firstLine="420" w:firstLineChars="200"/>
        <w:rPr>
          <w:szCs w:val="21"/>
        </w:rPr>
      </w:pPr>
      <w:r>
        <w:rPr>
          <w:szCs w:val="21"/>
        </w:rPr>
        <w:t>12.</w:t>
      </w:r>
      <w:r>
        <w:rPr>
          <w:rFonts w:hAnsi="宋体"/>
          <w:szCs w:val="21"/>
        </w:rPr>
        <w:t>按要求开展除</w:t>
      </w:r>
      <w:r>
        <w:rPr>
          <w:szCs w:val="21"/>
        </w:rPr>
        <w:t>“</w:t>
      </w:r>
      <w:r>
        <w:rPr>
          <w:rFonts w:hAnsi="宋体"/>
          <w:szCs w:val="21"/>
        </w:rPr>
        <w:t>四害</w:t>
      </w:r>
      <w:r>
        <w:rPr>
          <w:szCs w:val="21"/>
        </w:rPr>
        <w:t>”</w:t>
      </w:r>
      <w:r>
        <w:rPr>
          <w:rFonts w:hAnsi="宋体"/>
          <w:szCs w:val="21"/>
        </w:rPr>
        <w:t>工作。</w:t>
      </w:r>
    </w:p>
    <w:p>
      <w:pPr>
        <w:spacing w:line="300" w:lineRule="auto"/>
        <w:ind w:firstLine="420" w:firstLineChars="200"/>
        <w:rPr>
          <w:szCs w:val="21"/>
        </w:rPr>
      </w:pPr>
      <w:r>
        <w:rPr>
          <w:szCs w:val="21"/>
        </w:rPr>
        <w:t>13.</w:t>
      </w:r>
      <w:r>
        <w:rPr>
          <w:rFonts w:hAnsi="宋体"/>
          <w:szCs w:val="21"/>
        </w:rPr>
        <w:t>做好大楼配套绿化的浇水、修剪、除杂草等养护工作。</w:t>
      </w:r>
    </w:p>
    <w:p>
      <w:pPr>
        <w:spacing w:line="300" w:lineRule="auto"/>
        <w:ind w:firstLine="420" w:firstLineChars="200"/>
        <w:rPr>
          <w:szCs w:val="21"/>
        </w:rPr>
      </w:pPr>
      <w:r>
        <w:rPr>
          <w:szCs w:val="21"/>
        </w:rPr>
        <w:t>14.</w:t>
      </w:r>
      <w:r>
        <w:rPr>
          <w:rFonts w:hAnsi="宋体"/>
          <w:szCs w:val="21"/>
        </w:rPr>
        <w:t>保洁时间尽量与机关办公时间错开，避免干扰正常办公。每天地面两次清扫需在机关上班前和中午休息时间内完成。</w:t>
      </w:r>
    </w:p>
    <w:p>
      <w:pPr>
        <w:spacing w:line="300" w:lineRule="auto"/>
        <w:ind w:firstLine="420" w:firstLineChars="200"/>
        <w:rPr>
          <w:kern w:val="0"/>
          <w:szCs w:val="21"/>
        </w:rPr>
      </w:pPr>
      <w:r>
        <w:rPr>
          <w:kern w:val="0"/>
          <w:szCs w:val="21"/>
        </w:rPr>
        <w:t>15.</w:t>
      </w:r>
      <w:r>
        <w:rPr>
          <w:rFonts w:hAnsi="宋体"/>
          <w:kern w:val="0"/>
          <w:szCs w:val="21"/>
        </w:rPr>
        <w:t>保洁标准：</w:t>
      </w:r>
    </w:p>
    <w:tbl>
      <w:tblPr>
        <w:tblStyle w:val="61"/>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52"/>
        <w:gridCol w:w="2562"/>
        <w:gridCol w:w="3816"/>
        <w:gridCol w:w="2636"/>
      </w:tblGrid>
      <w:tr>
        <w:tblPrEx>
          <w:tblLayout w:type="fixed"/>
        </w:tblPrEx>
        <w:trPr>
          <w:cantSplit/>
          <w:trHeight w:val="268" w:hRule="atLeast"/>
          <w:jc w:val="center"/>
        </w:trPr>
        <w:tc>
          <w:tcPr>
            <w:tcW w:w="816" w:type="dxa"/>
            <w:vAlign w:val="center"/>
          </w:tcPr>
          <w:p>
            <w:pPr>
              <w:spacing w:line="360" w:lineRule="exact"/>
              <w:jc w:val="center"/>
              <w:rPr>
                <w:b/>
                <w:bCs/>
                <w:szCs w:val="21"/>
              </w:rPr>
            </w:pPr>
            <w:r>
              <w:rPr>
                <w:rFonts w:hAnsi="宋体"/>
                <w:b/>
                <w:bCs/>
                <w:szCs w:val="21"/>
              </w:rPr>
              <w:t>序号</w:t>
            </w:r>
          </w:p>
        </w:tc>
        <w:tc>
          <w:tcPr>
            <w:tcW w:w="852" w:type="dxa"/>
            <w:vAlign w:val="center"/>
          </w:tcPr>
          <w:p>
            <w:pPr>
              <w:spacing w:line="360" w:lineRule="exact"/>
              <w:jc w:val="center"/>
              <w:rPr>
                <w:b/>
                <w:bCs/>
                <w:szCs w:val="21"/>
              </w:rPr>
            </w:pPr>
            <w:r>
              <w:rPr>
                <w:rFonts w:hAnsi="宋体"/>
                <w:b/>
                <w:bCs/>
                <w:szCs w:val="21"/>
              </w:rPr>
              <w:t>位置</w:t>
            </w:r>
          </w:p>
        </w:tc>
        <w:tc>
          <w:tcPr>
            <w:tcW w:w="2562" w:type="dxa"/>
            <w:vAlign w:val="center"/>
          </w:tcPr>
          <w:p>
            <w:pPr>
              <w:spacing w:line="360" w:lineRule="exact"/>
              <w:jc w:val="center"/>
              <w:rPr>
                <w:b/>
                <w:bCs/>
                <w:szCs w:val="21"/>
              </w:rPr>
            </w:pPr>
            <w:r>
              <w:rPr>
                <w:rFonts w:hAnsi="宋体"/>
                <w:b/>
                <w:bCs/>
                <w:szCs w:val="21"/>
              </w:rPr>
              <w:t>清洁项目</w:t>
            </w:r>
          </w:p>
        </w:tc>
        <w:tc>
          <w:tcPr>
            <w:tcW w:w="3816" w:type="dxa"/>
            <w:vAlign w:val="center"/>
          </w:tcPr>
          <w:p>
            <w:pPr>
              <w:spacing w:line="360" w:lineRule="exact"/>
              <w:jc w:val="center"/>
              <w:rPr>
                <w:b/>
                <w:bCs/>
                <w:szCs w:val="21"/>
              </w:rPr>
            </w:pPr>
            <w:r>
              <w:rPr>
                <w:rFonts w:hAnsi="宋体"/>
                <w:b/>
                <w:bCs/>
                <w:szCs w:val="21"/>
              </w:rPr>
              <w:t>清洁工作内容</w:t>
            </w:r>
          </w:p>
        </w:tc>
        <w:tc>
          <w:tcPr>
            <w:tcW w:w="2636" w:type="dxa"/>
            <w:vAlign w:val="center"/>
          </w:tcPr>
          <w:p>
            <w:pPr>
              <w:spacing w:line="360" w:lineRule="exact"/>
              <w:jc w:val="center"/>
              <w:rPr>
                <w:b/>
                <w:bCs/>
                <w:szCs w:val="21"/>
              </w:rPr>
            </w:pPr>
            <w:r>
              <w:rPr>
                <w:rFonts w:hAnsi="宋体"/>
                <w:b/>
                <w:bCs/>
                <w:szCs w:val="21"/>
              </w:rPr>
              <w:t>清洁标准</w:t>
            </w:r>
          </w:p>
        </w:tc>
      </w:tr>
      <w:tr>
        <w:tblPrEx>
          <w:tblLayout w:type="fixed"/>
        </w:tblPrEx>
        <w:trPr>
          <w:cantSplit/>
          <w:trHeight w:val="443" w:hRule="atLeast"/>
          <w:jc w:val="center"/>
        </w:trPr>
        <w:tc>
          <w:tcPr>
            <w:tcW w:w="816" w:type="dxa"/>
            <w:vMerge w:val="restart"/>
            <w:vAlign w:val="center"/>
          </w:tcPr>
          <w:p>
            <w:pPr>
              <w:spacing w:line="360" w:lineRule="exact"/>
              <w:jc w:val="center"/>
              <w:rPr>
                <w:szCs w:val="21"/>
              </w:rPr>
            </w:pPr>
            <w:r>
              <w:rPr>
                <w:szCs w:val="21"/>
              </w:rPr>
              <w:t>1</w:t>
            </w:r>
          </w:p>
        </w:tc>
        <w:tc>
          <w:tcPr>
            <w:tcW w:w="852" w:type="dxa"/>
            <w:vMerge w:val="restart"/>
            <w:vAlign w:val="center"/>
          </w:tcPr>
          <w:p>
            <w:pPr>
              <w:spacing w:line="360" w:lineRule="exact"/>
              <w:jc w:val="center"/>
              <w:rPr>
                <w:szCs w:val="21"/>
              </w:rPr>
            </w:pPr>
            <w:r>
              <w:rPr>
                <w:rFonts w:hAnsi="宋体"/>
                <w:szCs w:val="21"/>
              </w:rPr>
              <w:t>办公区</w:t>
            </w:r>
          </w:p>
        </w:tc>
        <w:tc>
          <w:tcPr>
            <w:tcW w:w="2562" w:type="dxa"/>
            <w:vAlign w:val="center"/>
          </w:tcPr>
          <w:p>
            <w:pPr>
              <w:spacing w:line="360" w:lineRule="exact"/>
              <w:jc w:val="center"/>
              <w:rPr>
                <w:szCs w:val="21"/>
              </w:rPr>
            </w:pPr>
            <w:r>
              <w:rPr>
                <w:rFonts w:hAnsi="宋体"/>
                <w:szCs w:val="21"/>
              </w:rPr>
              <w:t>公共会议室</w:t>
            </w:r>
          </w:p>
        </w:tc>
        <w:tc>
          <w:tcPr>
            <w:tcW w:w="3816" w:type="dxa"/>
            <w:vAlign w:val="center"/>
          </w:tcPr>
          <w:p>
            <w:pPr>
              <w:spacing w:line="360" w:lineRule="exact"/>
              <w:jc w:val="center"/>
              <w:rPr>
                <w:szCs w:val="21"/>
              </w:rPr>
            </w:pPr>
            <w:r>
              <w:rPr>
                <w:rFonts w:hAnsi="宋体"/>
                <w:szCs w:val="21"/>
              </w:rPr>
              <w:t>每天清扫、拖地</w:t>
            </w:r>
          </w:p>
        </w:tc>
        <w:tc>
          <w:tcPr>
            <w:tcW w:w="2636" w:type="dxa"/>
            <w:vAlign w:val="center"/>
          </w:tcPr>
          <w:p>
            <w:pPr>
              <w:spacing w:line="360" w:lineRule="exact"/>
              <w:jc w:val="center"/>
              <w:rPr>
                <w:szCs w:val="21"/>
              </w:rPr>
            </w:pPr>
            <w:r>
              <w:rPr>
                <w:rFonts w:hAnsi="宋体"/>
                <w:szCs w:val="21"/>
              </w:rPr>
              <w:t>会场布置及开水服务、音响控制</w:t>
            </w:r>
          </w:p>
        </w:tc>
      </w:tr>
      <w:tr>
        <w:tblPrEx>
          <w:tblLayout w:type="fixed"/>
        </w:tblPrEx>
        <w:trPr>
          <w:cantSplit/>
          <w:trHeight w:val="357"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领导班子成员办公室</w:t>
            </w:r>
          </w:p>
        </w:tc>
        <w:tc>
          <w:tcPr>
            <w:tcW w:w="3816" w:type="dxa"/>
            <w:vAlign w:val="center"/>
          </w:tcPr>
          <w:p>
            <w:pPr>
              <w:spacing w:line="360" w:lineRule="exact"/>
              <w:jc w:val="center"/>
              <w:rPr>
                <w:szCs w:val="21"/>
              </w:rPr>
            </w:pPr>
            <w:r>
              <w:rPr>
                <w:rFonts w:hAnsi="宋体"/>
                <w:szCs w:val="21"/>
              </w:rPr>
              <w:t>每天清扫</w:t>
            </w:r>
          </w:p>
        </w:tc>
        <w:tc>
          <w:tcPr>
            <w:tcW w:w="2636" w:type="dxa"/>
            <w:vAlign w:val="center"/>
          </w:tcPr>
          <w:p>
            <w:pPr>
              <w:spacing w:line="360" w:lineRule="exact"/>
              <w:jc w:val="center"/>
              <w:rPr>
                <w:szCs w:val="21"/>
              </w:rPr>
            </w:pPr>
            <w:r>
              <w:rPr>
                <w:rFonts w:hAnsi="宋体"/>
                <w:szCs w:val="21"/>
              </w:rPr>
              <w:t>干净整洁</w:t>
            </w:r>
          </w:p>
        </w:tc>
      </w:tr>
      <w:tr>
        <w:tblPrEx>
          <w:tblLayout w:type="fixed"/>
        </w:tblPrEx>
        <w:trPr>
          <w:cantSplit/>
          <w:trHeight w:val="239"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花岗石（大理石）、抛光砖地面</w:t>
            </w:r>
          </w:p>
        </w:tc>
        <w:tc>
          <w:tcPr>
            <w:tcW w:w="3816" w:type="dxa"/>
            <w:vAlign w:val="center"/>
          </w:tcPr>
          <w:p>
            <w:pPr>
              <w:spacing w:line="360" w:lineRule="exact"/>
              <w:jc w:val="center"/>
              <w:rPr>
                <w:szCs w:val="21"/>
              </w:rPr>
            </w:pPr>
            <w:r>
              <w:rPr>
                <w:rFonts w:hAnsi="宋体"/>
                <w:szCs w:val="21"/>
              </w:rPr>
              <w:t>每天拖地两次，每月至少抛光一次、一个季度至少打蜡一次</w:t>
            </w:r>
          </w:p>
        </w:tc>
        <w:tc>
          <w:tcPr>
            <w:tcW w:w="2636" w:type="dxa"/>
            <w:vAlign w:val="center"/>
          </w:tcPr>
          <w:p>
            <w:pPr>
              <w:spacing w:line="360" w:lineRule="exact"/>
              <w:jc w:val="center"/>
              <w:rPr>
                <w:szCs w:val="21"/>
              </w:rPr>
            </w:pPr>
            <w:r>
              <w:rPr>
                <w:rFonts w:hAnsi="宋体"/>
                <w:szCs w:val="21"/>
              </w:rPr>
              <w:t>随时保持干净，无污渍、尘渍、痰渍、地板明洁如镜</w:t>
            </w:r>
          </w:p>
        </w:tc>
      </w:tr>
      <w:tr>
        <w:tblPrEx>
          <w:tblLayout w:type="fixed"/>
        </w:tblPrEx>
        <w:trPr>
          <w:cantSplit/>
          <w:trHeight w:val="450"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石材墙面、柱面</w:t>
            </w:r>
          </w:p>
        </w:tc>
        <w:tc>
          <w:tcPr>
            <w:tcW w:w="3816" w:type="dxa"/>
            <w:vAlign w:val="center"/>
          </w:tcPr>
          <w:p>
            <w:pPr>
              <w:spacing w:line="360" w:lineRule="exact"/>
              <w:jc w:val="center"/>
              <w:rPr>
                <w:szCs w:val="21"/>
              </w:rPr>
            </w:pPr>
            <w:r>
              <w:rPr>
                <w:rFonts w:hAnsi="宋体"/>
                <w:szCs w:val="21"/>
              </w:rPr>
              <w:t>每天保洁</w:t>
            </w:r>
          </w:p>
        </w:tc>
        <w:tc>
          <w:tcPr>
            <w:tcW w:w="2636" w:type="dxa"/>
            <w:vAlign w:val="center"/>
          </w:tcPr>
          <w:p>
            <w:pPr>
              <w:spacing w:line="360" w:lineRule="exact"/>
              <w:jc w:val="center"/>
              <w:rPr>
                <w:szCs w:val="21"/>
              </w:rPr>
            </w:pPr>
            <w:r>
              <w:rPr>
                <w:rFonts w:hAnsi="宋体"/>
                <w:szCs w:val="21"/>
              </w:rPr>
              <w:t>无尘渍、污渍</w:t>
            </w:r>
          </w:p>
        </w:tc>
      </w:tr>
      <w:tr>
        <w:tblPrEx>
          <w:tblLayout w:type="fixed"/>
        </w:tblPrEx>
        <w:trPr>
          <w:cantSplit/>
          <w:trHeight w:val="141"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玻璃门</w:t>
            </w:r>
          </w:p>
        </w:tc>
        <w:tc>
          <w:tcPr>
            <w:tcW w:w="3816" w:type="dxa"/>
            <w:vAlign w:val="center"/>
          </w:tcPr>
          <w:p>
            <w:pPr>
              <w:spacing w:line="360" w:lineRule="exact"/>
              <w:jc w:val="center"/>
              <w:rPr>
                <w:szCs w:val="21"/>
              </w:rPr>
            </w:pPr>
            <w:r>
              <w:rPr>
                <w:rFonts w:hAnsi="宋体"/>
                <w:szCs w:val="21"/>
              </w:rPr>
              <w:t>每天随时清抹；每两周用玻璃清洁剂清刮二次</w:t>
            </w:r>
          </w:p>
        </w:tc>
        <w:tc>
          <w:tcPr>
            <w:tcW w:w="2636" w:type="dxa"/>
            <w:vAlign w:val="center"/>
          </w:tcPr>
          <w:p>
            <w:pPr>
              <w:spacing w:line="360" w:lineRule="exact"/>
              <w:jc w:val="center"/>
              <w:rPr>
                <w:szCs w:val="21"/>
              </w:rPr>
            </w:pPr>
            <w:r>
              <w:rPr>
                <w:rFonts w:hAnsi="宋体"/>
                <w:szCs w:val="21"/>
              </w:rPr>
              <w:t>无手印、污渍</w:t>
            </w:r>
          </w:p>
        </w:tc>
      </w:tr>
      <w:tr>
        <w:tblPrEx>
          <w:tblLayout w:type="fixed"/>
        </w:tblPrEx>
        <w:trPr>
          <w:cantSplit/>
          <w:trHeight w:val="587"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玻璃不锈钢栏杆</w:t>
            </w:r>
          </w:p>
        </w:tc>
        <w:tc>
          <w:tcPr>
            <w:tcW w:w="3816" w:type="dxa"/>
            <w:vAlign w:val="center"/>
          </w:tcPr>
          <w:p>
            <w:pPr>
              <w:spacing w:line="360" w:lineRule="exact"/>
              <w:jc w:val="center"/>
              <w:rPr>
                <w:szCs w:val="21"/>
              </w:rPr>
            </w:pPr>
            <w:r>
              <w:rPr>
                <w:rFonts w:hAnsi="宋体"/>
                <w:szCs w:val="21"/>
              </w:rPr>
              <w:t>每天随时清抹；玻璃每两周用玻璃清洁剂清刮二次；不锈钢栏杆上每天用毛巾配合不锈钢清洁剂随时清抹污渍、手印，每周擦不锈钢油二次</w:t>
            </w:r>
          </w:p>
        </w:tc>
        <w:tc>
          <w:tcPr>
            <w:tcW w:w="2636" w:type="dxa"/>
            <w:vAlign w:val="center"/>
          </w:tcPr>
          <w:p>
            <w:pPr>
              <w:spacing w:line="360" w:lineRule="exact"/>
              <w:jc w:val="center"/>
              <w:rPr>
                <w:szCs w:val="21"/>
              </w:rPr>
            </w:pPr>
            <w:r>
              <w:rPr>
                <w:rFonts w:hAnsi="宋体"/>
                <w:szCs w:val="21"/>
              </w:rPr>
              <w:t>无手印、污渍</w:t>
            </w:r>
          </w:p>
        </w:tc>
      </w:tr>
      <w:tr>
        <w:tblPrEx>
          <w:tblLayout w:type="fixed"/>
        </w:tblPrEx>
        <w:trPr>
          <w:cantSplit/>
          <w:trHeight w:val="170"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天花板</w:t>
            </w:r>
          </w:p>
        </w:tc>
        <w:tc>
          <w:tcPr>
            <w:tcW w:w="3816" w:type="dxa"/>
            <w:vAlign w:val="center"/>
          </w:tcPr>
          <w:p>
            <w:pPr>
              <w:spacing w:line="360" w:lineRule="exact"/>
              <w:jc w:val="center"/>
              <w:rPr>
                <w:szCs w:val="21"/>
              </w:rPr>
            </w:pPr>
            <w:r>
              <w:rPr>
                <w:rFonts w:hAnsi="宋体"/>
                <w:szCs w:val="21"/>
              </w:rPr>
              <w:t>每两周清扫蜘蛛网及灰尘一次；每年大清洁一次</w:t>
            </w:r>
          </w:p>
        </w:tc>
        <w:tc>
          <w:tcPr>
            <w:tcW w:w="2636" w:type="dxa"/>
            <w:vAlign w:val="center"/>
          </w:tcPr>
          <w:p>
            <w:pPr>
              <w:spacing w:line="360" w:lineRule="exact"/>
              <w:jc w:val="center"/>
              <w:rPr>
                <w:szCs w:val="21"/>
              </w:rPr>
            </w:pPr>
          </w:p>
        </w:tc>
      </w:tr>
      <w:tr>
        <w:tblPrEx>
          <w:tblLayout w:type="fixed"/>
        </w:tblPrEx>
        <w:trPr>
          <w:cantSplit/>
          <w:trHeight w:val="413"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灯饰、风口</w:t>
            </w:r>
          </w:p>
        </w:tc>
        <w:tc>
          <w:tcPr>
            <w:tcW w:w="3816" w:type="dxa"/>
            <w:vAlign w:val="center"/>
          </w:tcPr>
          <w:p>
            <w:pPr>
              <w:spacing w:line="360" w:lineRule="exact"/>
              <w:jc w:val="center"/>
              <w:rPr>
                <w:szCs w:val="21"/>
              </w:rPr>
            </w:pPr>
            <w:r>
              <w:rPr>
                <w:rFonts w:hAnsi="宋体"/>
                <w:szCs w:val="21"/>
              </w:rPr>
              <w:t>每年清抹四次</w:t>
            </w:r>
          </w:p>
        </w:tc>
        <w:tc>
          <w:tcPr>
            <w:tcW w:w="2636" w:type="dxa"/>
            <w:vAlign w:val="center"/>
          </w:tcPr>
          <w:p>
            <w:pPr>
              <w:spacing w:line="360" w:lineRule="exact"/>
              <w:jc w:val="center"/>
              <w:rPr>
                <w:szCs w:val="21"/>
              </w:rPr>
            </w:pPr>
            <w:r>
              <w:rPr>
                <w:rFonts w:hAnsi="宋体"/>
                <w:szCs w:val="21"/>
              </w:rPr>
              <w:t>无蛛丝、尘渍</w:t>
            </w:r>
          </w:p>
        </w:tc>
      </w:tr>
      <w:tr>
        <w:tblPrEx>
          <w:tblLayout w:type="fixed"/>
        </w:tblPrEx>
        <w:trPr>
          <w:cantSplit/>
          <w:trHeight w:val="448"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指标牌和悬挂牌</w:t>
            </w:r>
          </w:p>
        </w:tc>
        <w:tc>
          <w:tcPr>
            <w:tcW w:w="3816" w:type="dxa"/>
            <w:vAlign w:val="center"/>
          </w:tcPr>
          <w:p>
            <w:pPr>
              <w:spacing w:line="360" w:lineRule="exact"/>
              <w:jc w:val="center"/>
              <w:rPr>
                <w:szCs w:val="21"/>
              </w:rPr>
            </w:pPr>
            <w:r>
              <w:rPr>
                <w:rFonts w:hAnsi="宋体"/>
                <w:szCs w:val="21"/>
              </w:rPr>
              <w:t>每周清抹二次</w:t>
            </w:r>
          </w:p>
        </w:tc>
        <w:tc>
          <w:tcPr>
            <w:tcW w:w="2636" w:type="dxa"/>
            <w:vAlign w:val="center"/>
          </w:tcPr>
          <w:p>
            <w:pPr>
              <w:spacing w:line="360" w:lineRule="exact"/>
              <w:jc w:val="center"/>
              <w:rPr>
                <w:szCs w:val="21"/>
              </w:rPr>
            </w:pPr>
            <w:r>
              <w:rPr>
                <w:rFonts w:hAnsi="宋体"/>
                <w:szCs w:val="21"/>
              </w:rPr>
              <w:t>无尘渍</w:t>
            </w:r>
          </w:p>
        </w:tc>
      </w:tr>
      <w:tr>
        <w:tblPrEx>
          <w:tblLayout w:type="fixed"/>
        </w:tblPrEx>
        <w:trPr>
          <w:cantSplit/>
          <w:trHeight w:val="63"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烟灰筒、废纸筒</w:t>
            </w:r>
          </w:p>
        </w:tc>
        <w:tc>
          <w:tcPr>
            <w:tcW w:w="3816" w:type="dxa"/>
            <w:vAlign w:val="center"/>
          </w:tcPr>
          <w:p>
            <w:pPr>
              <w:spacing w:line="360" w:lineRule="exact"/>
              <w:jc w:val="center"/>
              <w:rPr>
                <w:szCs w:val="21"/>
              </w:rPr>
            </w:pPr>
            <w:r>
              <w:rPr>
                <w:rFonts w:hAnsi="宋体"/>
                <w:szCs w:val="21"/>
              </w:rPr>
              <w:t>每天清倒垃圾一次、清抹筒盖、垃圾筒、垃圾缸一次</w:t>
            </w:r>
          </w:p>
        </w:tc>
        <w:tc>
          <w:tcPr>
            <w:tcW w:w="2636" w:type="dxa"/>
            <w:vAlign w:val="center"/>
          </w:tcPr>
          <w:p>
            <w:pPr>
              <w:spacing w:line="360" w:lineRule="exact"/>
              <w:jc w:val="center"/>
              <w:rPr>
                <w:szCs w:val="21"/>
              </w:rPr>
            </w:pPr>
            <w:r>
              <w:rPr>
                <w:rFonts w:hAnsi="宋体"/>
                <w:szCs w:val="21"/>
              </w:rPr>
              <w:t>无污渍、痰渍、烟灰</w:t>
            </w:r>
          </w:p>
        </w:tc>
      </w:tr>
      <w:tr>
        <w:tblPrEx>
          <w:tblLayout w:type="fixed"/>
        </w:tblPrEx>
        <w:trPr>
          <w:cantSplit/>
          <w:trHeight w:val="271"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电梯门按钮、门框不锈钢</w:t>
            </w:r>
          </w:p>
        </w:tc>
        <w:tc>
          <w:tcPr>
            <w:tcW w:w="3816" w:type="dxa"/>
            <w:vAlign w:val="center"/>
          </w:tcPr>
          <w:p>
            <w:pPr>
              <w:spacing w:line="360" w:lineRule="exact"/>
              <w:jc w:val="center"/>
              <w:rPr>
                <w:szCs w:val="21"/>
              </w:rPr>
            </w:pPr>
            <w:r>
              <w:rPr>
                <w:rFonts w:hAnsi="宋体"/>
                <w:szCs w:val="21"/>
              </w:rPr>
              <w:t>每天用毛巾配合不锈钢清洁剂随时清抹污渍、手印；每周擦不锈钢油二次</w:t>
            </w:r>
          </w:p>
        </w:tc>
        <w:tc>
          <w:tcPr>
            <w:tcW w:w="2636" w:type="dxa"/>
            <w:vAlign w:val="center"/>
          </w:tcPr>
          <w:p>
            <w:pPr>
              <w:spacing w:line="360" w:lineRule="exact"/>
              <w:jc w:val="center"/>
              <w:rPr>
                <w:szCs w:val="21"/>
              </w:rPr>
            </w:pPr>
            <w:r>
              <w:rPr>
                <w:rFonts w:hAnsi="宋体"/>
                <w:szCs w:val="21"/>
              </w:rPr>
              <w:t>无手印、污渍，保持不锈钢表面亮丽的金属光泽</w:t>
            </w:r>
          </w:p>
        </w:tc>
      </w:tr>
      <w:tr>
        <w:tblPrEx>
          <w:tblLayout w:type="fixed"/>
        </w:tblPrEx>
        <w:trPr>
          <w:cantSplit/>
          <w:trHeight w:val="88"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电梯间灯饰、按钮</w:t>
            </w:r>
          </w:p>
        </w:tc>
        <w:tc>
          <w:tcPr>
            <w:tcW w:w="3816" w:type="dxa"/>
            <w:vAlign w:val="center"/>
          </w:tcPr>
          <w:p>
            <w:pPr>
              <w:spacing w:line="360" w:lineRule="exact"/>
              <w:jc w:val="center"/>
              <w:rPr>
                <w:szCs w:val="21"/>
              </w:rPr>
            </w:pPr>
            <w:r>
              <w:rPr>
                <w:rFonts w:hAnsi="宋体"/>
                <w:szCs w:val="21"/>
              </w:rPr>
              <w:t>每天随时清抹污渍、手印；每月清洁电梯内灯饰、排气扇、防护罩二次</w:t>
            </w:r>
          </w:p>
        </w:tc>
        <w:tc>
          <w:tcPr>
            <w:tcW w:w="2636" w:type="dxa"/>
            <w:vAlign w:val="center"/>
          </w:tcPr>
          <w:p>
            <w:pPr>
              <w:spacing w:line="360" w:lineRule="exact"/>
              <w:jc w:val="center"/>
              <w:rPr>
                <w:szCs w:val="21"/>
              </w:rPr>
            </w:pPr>
            <w:r>
              <w:rPr>
                <w:rFonts w:hAnsi="宋体"/>
                <w:szCs w:val="21"/>
              </w:rPr>
              <w:t>无手印、污渍</w:t>
            </w:r>
          </w:p>
        </w:tc>
      </w:tr>
      <w:tr>
        <w:tblPrEx>
          <w:tblLayout w:type="fixed"/>
        </w:tblPrEx>
        <w:trPr>
          <w:cantSplit/>
          <w:trHeight w:val="88" w:hRule="atLeast"/>
          <w:jc w:val="center"/>
        </w:trPr>
        <w:tc>
          <w:tcPr>
            <w:tcW w:w="816" w:type="dxa"/>
            <w:vMerge w:val="restart"/>
            <w:vAlign w:val="center"/>
          </w:tcPr>
          <w:p>
            <w:pPr>
              <w:spacing w:line="360" w:lineRule="exact"/>
              <w:jc w:val="center"/>
              <w:rPr>
                <w:szCs w:val="21"/>
              </w:rPr>
            </w:pPr>
            <w:r>
              <w:rPr>
                <w:szCs w:val="21"/>
              </w:rPr>
              <w:t>2</w:t>
            </w:r>
          </w:p>
        </w:tc>
        <w:tc>
          <w:tcPr>
            <w:tcW w:w="852" w:type="dxa"/>
            <w:vMerge w:val="restart"/>
            <w:vAlign w:val="center"/>
          </w:tcPr>
          <w:p>
            <w:pPr>
              <w:spacing w:line="360" w:lineRule="exact"/>
              <w:jc w:val="center"/>
              <w:rPr>
                <w:szCs w:val="21"/>
              </w:rPr>
            </w:pPr>
            <w:r>
              <w:rPr>
                <w:rFonts w:hAnsi="宋体"/>
                <w:szCs w:val="21"/>
              </w:rPr>
              <w:t>楼梯、公共走廊电梯间部分</w:t>
            </w:r>
          </w:p>
        </w:tc>
        <w:tc>
          <w:tcPr>
            <w:tcW w:w="2562" w:type="dxa"/>
            <w:vAlign w:val="center"/>
          </w:tcPr>
          <w:p>
            <w:pPr>
              <w:spacing w:line="360" w:lineRule="exact"/>
              <w:jc w:val="center"/>
              <w:rPr>
                <w:szCs w:val="21"/>
              </w:rPr>
            </w:pPr>
            <w:r>
              <w:rPr>
                <w:rFonts w:hAnsi="宋体"/>
                <w:szCs w:val="21"/>
              </w:rPr>
              <w:t>花岗岩、抛光砖</w:t>
            </w:r>
          </w:p>
        </w:tc>
        <w:tc>
          <w:tcPr>
            <w:tcW w:w="3816" w:type="dxa"/>
            <w:vAlign w:val="center"/>
          </w:tcPr>
          <w:p>
            <w:pPr>
              <w:spacing w:line="360" w:lineRule="exact"/>
              <w:jc w:val="center"/>
              <w:rPr>
                <w:szCs w:val="21"/>
              </w:rPr>
            </w:pPr>
            <w:r>
              <w:rPr>
                <w:rFonts w:hAnsi="宋体"/>
                <w:szCs w:val="21"/>
              </w:rPr>
              <w:t>每天上下午清扫保洁</w:t>
            </w:r>
          </w:p>
        </w:tc>
        <w:tc>
          <w:tcPr>
            <w:tcW w:w="2636" w:type="dxa"/>
            <w:vAlign w:val="center"/>
          </w:tcPr>
          <w:p>
            <w:pPr>
              <w:spacing w:line="360" w:lineRule="exact"/>
              <w:jc w:val="center"/>
              <w:rPr>
                <w:szCs w:val="21"/>
              </w:rPr>
            </w:pPr>
            <w:r>
              <w:rPr>
                <w:rFonts w:hAnsi="宋体"/>
                <w:szCs w:val="21"/>
              </w:rPr>
              <w:t>无杂物、污渍、痰渍，保持干净、光泽</w:t>
            </w:r>
          </w:p>
        </w:tc>
      </w:tr>
      <w:tr>
        <w:tblPrEx>
          <w:tblLayout w:type="fixed"/>
        </w:tblPrEx>
        <w:trPr>
          <w:cantSplit/>
          <w:trHeight w:val="583"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墙身、窗台</w:t>
            </w:r>
          </w:p>
        </w:tc>
        <w:tc>
          <w:tcPr>
            <w:tcW w:w="3816" w:type="dxa"/>
            <w:vAlign w:val="center"/>
          </w:tcPr>
          <w:p>
            <w:pPr>
              <w:spacing w:line="360" w:lineRule="exact"/>
              <w:jc w:val="center"/>
              <w:rPr>
                <w:szCs w:val="21"/>
              </w:rPr>
            </w:pPr>
            <w:r>
              <w:rPr>
                <w:rFonts w:hAnsi="宋体"/>
                <w:szCs w:val="21"/>
              </w:rPr>
              <w:t>每天保洁</w:t>
            </w:r>
          </w:p>
        </w:tc>
        <w:tc>
          <w:tcPr>
            <w:tcW w:w="2636" w:type="dxa"/>
            <w:vAlign w:val="center"/>
          </w:tcPr>
          <w:p>
            <w:pPr>
              <w:spacing w:line="360" w:lineRule="exact"/>
              <w:jc w:val="center"/>
              <w:rPr>
                <w:szCs w:val="21"/>
              </w:rPr>
            </w:pPr>
            <w:r>
              <w:rPr>
                <w:rFonts w:hAnsi="宋体"/>
                <w:szCs w:val="21"/>
              </w:rPr>
              <w:t>保持干净，无尘渍</w:t>
            </w:r>
          </w:p>
        </w:tc>
      </w:tr>
      <w:tr>
        <w:tblPrEx>
          <w:tblLayout w:type="fixed"/>
        </w:tblPrEx>
        <w:trPr>
          <w:cantSplit/>
          <w:trHeight w:val="605"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玻璃窗</w:t>
            </w:r>
          </w:p>
        </w:tc>
        <w:tc>
          <w:tcPr>
            <w:tcW w:w="3816" w:type="dxa"/>
            <w:vAlign w:val="center"/>
          </w:tcPr>
          <w:p>
            <w:pPr>
              <w:spacing w:line="360" w:lineRule="exact"/>
              <w:jc w:val="center"/>
              <w:rPr>
                <w:szCs w:val="21"/>
              </w:rPr>
            </w:pPr>
            <w:r>
              <w:rPr>
                <w:rFonts w:hAnsi="宋体"/>
                <w:szCs w:val="21"/>
              </w:rPr>
              <w:t>每天保洁</w:t>
            </w:r>
          </w:p>
        </w:tc>
        <w:tc>
          <w:tcPr>
            <w:tcW w:w="2636" w:type="dxa"/>
            <w:vAlign w:val="center"/>
          </w:tcPr>
          <w:p>
            <w:pPr>
              <w:spacing w:line="360" w:lineRule="exact"/>
              <w:jc w:val="center"/>
              <w:rPr>
                <w:szCs w:val="21"/>
              </w:rPr>
            </w:pPr>
            <w:r>
              <w:rPr>
                <w:rFonts w:hAnsi="宋体"/>
                <w:szCs w:val="21"/>
              </w:rPr>
              <w:t>无污渍</w:t>
            </w:r>
          </w:p>
        </w:tc>
      </w:tr>
      <w:tr>
        <w:tblPrEx>
          <w:tblLayout w:type="fixed"/>
        </w:tblPrEx>
        <w:trPr>
          <w:cantSplit/>
          <w:trHeight w:val="88"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走廊装饰玻璃</w:t>
            </w:r>
          </w:p>
        </w:tc>
        <w:tc>
          <w:tcPr>
            <w:tcW w:w="3816" w:type="dxa"/>
            <w:vAlign w:val="center"/>
          </w:tcPr>
          <w:p>
            <w:pPr>
              <w:spacing w:line="360" w:lineRule="exact"/>
              <w:jc w:val="center"/>
              <w:rPr>
                <w:szCs w:val="21"/>
              </w:rPr>
            </w:pPr>
            <w:r>
              <w:rPr>
                <w:rFonts w:hAnsi="宋体"/>
                <w:szCs w:val="21"/>
              </w:rPr>
              <w:t>每天保洁</w:t>
            </w:r>
          </w:p>
        </w:tc>
        <w:tc>
          <w:tcPr>
            <w:tcW w:w="2636" w:type="dxa"/>
            <w:vAlign w:val="center"/>
          </w:tcPr>
          <w:p>
            <w:pPr>
              <w:spacing w:line="360" w:lineRule="exact"/>
              <w:jc w:val="center"/>
              <w:rPr>
                <w:szCs w:val="21"/>
              </w:rPr>
            </w:pPr>
            <w:r>
              <w:rPr>
                <w:rFonts w:hAnsi="宋体"/>
                <w:szCs w:val="21"/>
              </w:rPr>
              <w:t>保持干净，无手印、污渍</w:t>
            </w:r>
          </w:p>
        </w:tc>
      </w:tr>
      <w:tr>
        <w:tblPrEx>
          <w:tblLayout w:type="fixed"/>
        </w:tblPrEx>
        <w:trPr>
          <w:cantSplit/>
          <w:trHeight w:val="507"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灯饰及其他</w:t>
            </w:r>
          </w:p>
        </w:tc>
        <w:tc>
          <w:tcPr>
            <w:tcW w:w="3816" w:type="dxa"/>
            <w:vAlign w:val="center"/>
          </w:tcPr>
          <w:p>
            <w:pPr>
              <w:spacing w:line="360" w:lineRule="exact"/>
              <w:jc w:val="center"/>
              <w:rPr>
                <w:szCs w:val="21"/>
              </w:rPr>
            </w:pPr>
            <w:r>
              <w:rPr>
                <w:rFonts w:hAnsi="宋体"/>
                <w:szCs w:val="21"/>
              </w:rPr>
              <w:t>每天保洁</w:t>
            </w:r>
          </w:p>
        </w:tc>
        <w:tc>
          <w:tcPr>
            <w:tcW w:w="2636" w:type="dxa"/>
            <w:vAlign w:val="center"/>
          </w:tcPr>
          <w:p>
            <w:pPr>
              <w:spacing w:line="360" w:lineRule="exact"/>
              <w:jc w:val="center"/>
              <w:rPr>
                <w:szCs w:val="21"/>
              </w:rPr>
            </w:pPr>
            <w:r>
              <w:rPr>
                <w:rFonts w:hAnsi="宋体"/>
                <w:szCs w:val="21"/>
              </w:rPr>
              <w:t>保持干净，无蜘蛛网</w:t>
            </w:r>
          </w:p>
        </w:tc>
      </w:tr>
      <w:tr>
        <w:tblPrEx>
          <w:tblLayout w:type="fixed"/>
        </w:tblPrEx>
        <w:trPr>
          <w:cantSplit/>
          <w:trHeight w:val="472"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防烟门</w:t>
            </w:r>
          </w:p>
        </w:tc>
        <w:tc>
          <w:tcPr>
            <w:tcW w:w="3816" w:type="dxa"/>
            <w:vAlign w:val="center"/>
          </w:tcPr>
          <w:p>
            <w:pPr>
              <w:pStyle w:val="40"/>
              <w:pBdr>
                <w:bottom w:val="none" w:color="auto" w:sz="0" w:space="0"/>
              </w:pBdr>
              <w:tabs>
                <w:tab w:val="clear" w:pos="4153"/>
                <w:tab w:val="clear" w:pos="8306"/>
              </w:tabs>
              <w:snapToGrid/>
              <w:spacing w:line="360" w:lineRule="exact"/>
              <w:rPr>
                <w:sz w:val="21"/>
                <w:szCs w:val="21"/>
              </w:rPr>
            </w:pPr>
            <w:r>
              <w:rPr>
                <w:rFonts w:hAnsi="宋体"/>
                <w:sz w:val="21"/>
                <w:szCs w:val="21"/>
              </w:rPr>
              <w:t>每天保洁</w:t>
            </w:r>
          </w:p>
        </w:tc>
        <w:tc>
          <w:tcPr>
            <w:tcW w:w="2636" w:type="dxa"/>
            <w:vAlign w:val="center"/>
          </w:tcPr>
          <w:p>
            <w:pPr>
              <w:spacing w:line="360" w:lineRule="exact"/>
              <w:jc w:val="center"/>
              <w:rPr>
                <w:szCs w:val="21"/>
              </w:rPr>
            </w:pPr>
            <w:r>
              <w:rPr>
                <w:rFonts w:hAnsi="宋体"/>
                <w:szCs w:val="21"/>
              </w:rPr>
              <w:t>无污渍</w:t>
            </w:r>
          </w:p>
        </w:tc>
      </w:tr>
      <w:tr>
        <w:tblPrEx>
          <w:tblLayout w:type="fixed"/>
        </w:tblPrEx>
        <w:trPr>
          <w:cantSplit/>
          <w:trHeight w:val="450"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垃圾桶</w:t>
            </w:r>
          </w:p>
        </w:tc>
        <w:tc>
          <w:tcPr>
            <w:tcW w:w="3816" w:type="dxa"/>
            <w:vAlign w:val="center"/>
          </w:tcPr>
          <w:p>
            <w:pPr>
              <w:spacing w:line="360" w:lineRule="exact"/>
              <w:jc w:val="center"/>
              <w:rPr>
                <w:szCs w:val="21"/>
              </w:rPr>
            </w:pPr>
            <w:r>
              <w:rPr>
                <w:rFonts w:hAnsi="宋体"/>
                <w:szCs w:val="21"/>
              </w:rPr>
              <w:t>每天清倒垃圾二次</w:t>
            </w:r>
          </w:p>
        </w:tc>
        <w:tc>
          <w:tcPr>
            <w:tcW w:w="2636" w:type="dxa"/>
            <w:vAlign w:val="center"/>
          </w:tcPr>
          <w:p>
            <w:pPr>
              <w:spacing w:line="360" w:lineRule="exact"/>
              <w:jc w:val="center"/>
              <w:rPr>
                <w:szCs w:val="21"/>
              </w:rPr>
            </w:pPr>
            <w:r>
              <w:rPr>
                <w:rFonts w:hAnsi="宋体"/>
                <w:szCs w:val="21"/>
              </w:rPr>
              <w:t>无痰渍、污渍、烟灰</w:t>
            </w:r>
          </w:p>
        </w:tc>
      </w:tr>
      <w:tr>
        <w:tblPrEx>
          <w:tblLayout w:type="fixed"/>
        </w:tblPrEx>
        <w:trPr>
          <w:cantSplit/>
          <w:trHeight w:val="456" w:hRule="atLeast"/>
          <w:jc w:val="center"/>
        </w:trPr>
        <w:tc>
          <w:tcPr>
            <w:tcW w:w="816" w:type="dxa"/>
            <w:vMerge w:val="restart"/>
            <w:vAlign w:val="center"/>
          </w:tcPr>
          <w:p>
            <w:pPr>
              <w:spacing w:line="360" w:lineRule="exact"/>
              <w:jc w:val="center"/>
              <w:rPr>
                <w:szCs w:val="21"/>
              </w:rPr>
            </w:pPr>
            <w:r>
              <w:rPr>
                <w:szCs w:val="21"/>
              </w:rPr>
              <w:t>3</w:t>
            </w:r>
          </w:p>
        </w:tc>
        <w:tc>
          <w:tcPr>
            <w:tcW w:w="852" w:type="dxa"/>
            <w:vMerge w:val="restart"/>
            <w:vAlign w:val="center"/>
          </w:tcPr>
          <w:p>
            <w:pPr>
              <w:spacing w:line="360" w:lineRule="exact"/>
              <w:jc w:val="center"/>
              <w:rPr>
                <w:szCs w:val="21"/>
              </w:rPr>
            </w:pPr>
            <w:r>
              <w:rPr>
                <w:rFonts w:hAnsi="宋体"/>
                <w:szCs w:val="21"/>
              </w:rPr>
              <w:t>男、女洗手间</w:t>
            </w:r>
          </w:p>
          <w:p>
            <w:pPr>
              <w:spacing w:line="360" w:lineRule="exact"/>
              <w:jc w:val="center"/>
              <w:rPr>
                <w:szCs w:val="21"/>
              </w:rPr>
            </w:pPr>
            <w:r>
              <w:rPr>
                <w:rFonts w:hAnsi="宋体"/>
                <w:szCs w:val="21"/>
              </w:rPr>
              <w:t>部分</w:t>
            </w:r>
          </w:p>
        </w:tc>
        <w:tc>
          <w:tcPr>
            <w:tcW w:w="2562" w:type="dxa"/>
            <w:vAlign w:val="center"/>
          </w:tcPr>
          <w:p>
            <w:pPr>
              <w:spacing w:line="360" w:lineRule="exact"/>
              <w:jc w:val="center"/>
              <w:rPr>
                <w:szCs w:val="21"/>
              </w:rPr>
            </w:pPr>
            <w:r>
              <w:rPr>
                <w:rFonts w:hAnsi="宋体"/>
                <w:szCs w:val="21"/>
              </w:rPr>
              <w:t>瓷砖墙身</w:t>
            </w:r>
          </w:p>
        </w:tc>
        <w:tc>
          <w:tcPr>
            <w:tcW w:w="3816" w:type="dxa"/>
            <w:vAlign w:val="center"/>
          </w:tcPr>
          <w:p>
            <w:pPr>
              <w:spacing w:line="360" w:lineRule="exact"/>
              <w:jc w:val="center"/>
              <w:rPr>
                <w:szCs w:val="21"/>
              </w:rPr>
            </w:pPr>
            <w:r>
              <w:rPr>
                <w:rFonts w:hAnsi="宋体"/>
                <w:szCs w:val="21"/>
              </w:rPr>
              <w:t>每天保洁</w:t>
            </w:r>
          </w:p>
        </w:tc>
        <w:tc>
          <w:tcPr>
            <w:tcW w:w="2636" w:type="dxa"/>
            <w:vAlign w:val="center"/>
          </w:tcPr>
          <w:p>
            <w:pPr>
              <w:spacing w:line="360" w:lineRule="exact"/>
              <w:jc w:val="center"/>
              <w:rPr>
                <w:szCs w:val="21"/>
              </w:rPr>
            </w:pPr>
            <w:r>
              <w:rPr>
                <w:rFonts w:hAnsi="宋体"/>
                <w:szCs w:val="21"/>
              </w:rPr>
              <w:t>无污渍</w:t>
            </w:r>
          </w:p>
        </w:tc>
      </w:tr>
      <w:tr>
        <w:tblPrEx>
          <w:tblLayout w:type="fixed"/>
        </w:tblPrEx>
        <w:trPr>
          <w:cantSplit/>
          <w:trHeight w:val="389"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瓷砖地面</w:t>
            </w:r>
          </w:p>
        </w:tc>
        <w:tc>
          <w:tcPr>
            <w:tcW w:w="3816" w:type="dxa"/>
            <w:vAlign w:val="center"/>
          </w:tcPr>
          <w:p>
            <w:pPr>
              <w:spacing w:line="360" w:lineRule="exact"/>
              <w:jc w:val="center"/>
              <w:rPr>
                <w:szCs w:val="21"/>
              </w:rPr>
            </w:pPr>
            <w:r>
              <w:rPr>
                <w:rFonts w:hAnsi="宋体"/>
                <w:szCs w:val="21"/>
              </w:rPr>
              <w:t>每天用清洁剂拖地并随时保持干净；每两周用洁厕灵清洗二次并拖抹干净</w:t>
            </w:r>
          </w:p>
        </w:tc>
        <w:tc>
          <w:tcPr>
            <w:tcW w:w="2636" w:type="dxa"/>
            <w:vAlign w:val="center"/>
          </w:tcPr>
          <w:p>
            <w:pPr>
              <w:spacing w:line="360" w:lineRule="exact"/>
              <w:jc w:val="center"/>
              <w:rPr>
                <w:szCs w:val="21"/>
              </w:rPr>
            </w:pPr>
            <w:r>
              <w:rPr>
                <w:rFonts w:hAnsi="宋体"/>
                <w:szCs w:val="21"/>
              </w:rPr>
              <w:t>无污渍、无纸屑</w:t>
            </w:r>
          </w:p>
        </w:tc>
      </w:tr>
      <w:tr>
        <w:tblPrEx>
          <w:tblLayout w:type="fixed"/>
        </w:tblPrEx>
        <w:trPr>
          <w:cantSplit/>
          <w:trHeight w:val="189"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洗手间门</w:t>
            </w:r>
          </w:p>
        </w:tc>
        <w:tc>
          <w:tcPr>
            <w:tcW w:w="3816" w:type="dxa"/>
            <w:vAlign w:val="center"/>
          </w:tcPr>
          <w:p>
            <w:pPr>
              <w:spacing w:line="360" w:lineRule="exact"/>
              <w:jc w:val="center"/>
              <w:rPr>
                <w:szCs w:val="21"/>
              </w:rPr>
            </w:pPr>
            <w:r>
              <w:rPr>
                <w:rFonts w:hAnsi="宋体"/>
                <w:szCs w:val="21"/>
              </w:rPr>
              <w:t>每天保洁；每两周用清洁剂洗抹一次</w:t>
            </w:r>
          </w:p>
        </w:tc>
        <w:tc>
          <w:tcPr>
            <w:tcW w:w="2636" w:type="dxa"/>
            <w:vAlign w:val="center"/>
          </w:tcPr>
          <w:p>
            <w:pPr>
              <w:spacing w:line="360" w:lineRule="exact"/>
              <w:jc w:val="center"/>
              <w:rPr>
                <w:szCs w:val="21"/>
              </w:rPr>
            </w:pPr>
            <w:r>
              <w:rPr>
                <w:rFonts w:hAnsi="宋体"/>
                <w:szCs w:val="21"/>
              </w:rPr>
              <w:t>无水渍、无污渍、无手印</w:t>
            </w:r>
          </w:p>
        </w:tc>
      </w:tr>
      <w:tr>
        <w:tblPrEx>
          <w:tblLayout w:type="fixed"/>
        </w:tblPrEx>
        <w:trPr>
          <w:cantSplit/>
          <w:trHeight w:val="189"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pStyle w:val="26"/>
              <w:spacing w:line="360" w:lineRule="exact"/>
              <w:ind w:left="480" w:firstLine="0" w:firstLineChars="0"/>
              <w:jc w:val="center"/>
              <w:rPr>
                <w:b w:val="0"/>
                <w:bCs w:val="0"/>
                <w:sz w:val="21"/>
                <w:szCs w:val="21"/>
                <w:shd w:val="clear" w:color="auto" w:fill="auto"/>
              </w:rPr>
            </w:pPr>
            <w:r>
              <w:rPr>
                <w:rFonts w:hAnsi="宋体"/>
                <w:b w:val="0"/>
                <w:bCs w:val="0"/>
                <w:sz w:val="21"/>
                <w:szCs w:val="21"/>
                <w:shd w:val="clear" w:color="auto" w:fill="auto"/>
              </w:rPr>
              <w:t>洗手间内玻璃镜</w:t>
            </w:r>
          </w:p>
        </w:tc>
        <w:tc>
          <w:tcPr>
            <w:tcW w:w="3816" w:type="dxa"/>
            <w:vAlign w:val="center"/>
          </w:tcPr>
          <w:p>
            <w:pPr>
              <w:spacing w:line="360" w:lineRule="exact"/>
              <w:jc w:val="center"/>
              <w:rPr>
                <w:szCs w:val="21"/>
              </w:rPr>
            </w:pPr>
            <w:r>
              <w:rPr>
                <w:rFonts w:hAnsi="宋体"/>
                <w:szCs w:val="21"/>
              </w:rPr>
              <w:t>每天随时清抹、保持无污渍、水渍；每两周用玻璃清洁剂清刮一次</w:t>
            </w:r>
          </w:p>
        </w:tc>
        <w:tc>
          <w:tcPr>
            <w:tcW w:w="2636" w:type="dxa"/>
            <w:vAlign w:val="center"/>
          </w:tcPr>
          <w:p>
            <w:pPr>
              <w:spacing w:line="360" w:lineRule="exact"/>
              <w:jc w:val="center"/>
              <w:rPr>
                <w:szCs w:val="21"/>
              </w:rPr>
            </w:pPr>
            <w:r>
              <w:rPr>
                <w:rFonts w:hAnsi="宋体"/>
                <w:szCs w:val="21"/>
              </w:rPr>
              <w:t>无水渍、无污渍、无手印</w:t>
            </w:r>
          </w:p>
        </w:tc>
      </w:tr>
      <w:tr>
        <w:tblPrEx>
          <w:tblLayout w:type="fixed"/>
        </w:tblPrEx>
        <w:trPr>
          <w:cantSplit/>
          <w:trHeight w:val="189"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大、小便器、洗手盆</w:t>
            </w:r>
          </w:p>
        </w:tc>
        <w:tc>
          <w:tcPr>
            <w:tcW w:w="3816" w:type="dxa"/>
            <w:vAlign w:val="center"/>
          </w:tcPr>
          <w:p>
            <w:pPr>
              <w:spacing w:line="360" w:lineRule="exact"/>
              <w:jc w:val="center"/>
              <w:rPr>
                <w:szCs w:val="21"/>
              </w:rPr>
            </w:pPr>
            <w:r>
              <w:rPr>
                <w:rFonts w:hAnsi="宋体"/>
                <w:szCs w:val="21"/>
              </w:rPr>
              <w:t>上班期间每天随时用清洁剂清洗并放除臭香球；每两周用强力除渍剂去除尿垢、黄斑等；每月用消毒水清洁消毒二次</w:t>
            </w:r>
          </w:p>
        </w:tc>
        <w:tc>
          <w:tcPr>
            <w:tcW w:w="2636" w:type="dxa"/>
            <w:vAlign w:val="center"/>
          </w:tcPr>
          <w:p>
            <w:pPr>
              <w:spacing w:line="360" w:lineRule="exact"/>
              <w:jc w:val="center"/>
              <w:rPr>
                <w:szCs w:val="21"/>
              </w:rPr>
            </w:pPr>
            <w:r>
              <w:rPr>
                <w:rFonts w:hAnsi="宋体"/>
                <w:szCs w:val="21"/>
              </w:rPr>
              <w:t>无臭、无污垢，保持便瓷器的明洁如新</w:t>
            </w:r>
          </w:p>
        </w:tc>
      </w:tr>
      <w:tr>
        <w:tblPrEx>
          <w:tblLayout w:type="fixed"/>
        </w:tblPrEx>
        <w:trPr>
          <w:cantSplit/>
          <w:trHeight w:val="189"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洗手间隔断板</w:t>
            </w:r>
          </w:p>
        </w:tc>
        <w:tc>
          <w:tcPr>
            <w:tcW w:w="3816" w:type="dxa"/>
            <w:vAlign w:val="center"/>
          </w:tcPr>
          <w:p>
            <w:pPr>
              <w:spacing w:line="360" w:lineRule="exact"/>
              <w:jc w:val="center"/>
              <w:rPr>
                <w:szCs w:val="21"/>
              </w:rPr>
            </w:pPr>
            <w:r>
              <w:rPr>
                <w:rFonts w:hAnsi="宋体"/>
                <w:szCs w:val="21"/>
              </w:rPr>
              <w:t>每天保洁；每两周用清洁剂洗抹二次、保持干净</w:t>
            </w:r>
          </w:p>
        </w:tc>
        <w:tc>
          <w:tcPr>
            <w:tcW w:w="2636" w:type="dxa"/>
            <w:vAlign w:val="center"/>
          </w:tcPr>
          <w:p>
            <w:pPr>
              <w:spacing w:line="360" w:lineRule="exact"/>
              <w:jc w:val="center"/>
              <w:rPr>
                <w:szCs w:val="21"/>
              </w:rPr>
            </w:pPr>
            <w:r>
              <w:rPr>
                <w:rFonts w:hAnsi="宋体"/>
                <w:szCs w:val="21"/>
              </w:rPr>
              <w:t>无污渍</w:t>
            </w:r>
          </w:p>
        </w:tc>
      </w:tr>
      <w:tr>
        <w:tblPrEx>
          <w:tblLayout w:type="fixed"/>
        </w:tblPrEx>
        <w:trPr>
          <w:cantSplit/>
          <w:trHeight w:val="408"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洗手间灯饰</w:t>
            </w:r>
          </w:p>
        </w:tc>
        <w:tc>
          <w:tcPr>
            <w:tcW w:w="3816" w:type="dxa"/>
            <w:vAlign w:val="center"/>
          </w:tcPr>
          <w:p>
            <w:pPr>
              <w:spacing w:line="360" w:lineRule="exact"/>
              <w:jc w:val="center"/>
              <w:rPr>
                <w:szCs w:val="21"/>
              </w:rPr>
            </w:pPr>
            <w:r>
              <w:rPr>
                <w:rFonts w:hAnsi="宋体"/>
                <w:szCs w:val="21"/>
              </w:rPr>
              <w:t>每天保洁；每月用毛巾抹擦灯饰</w:t>
            </w:r>
          </w:p>
        </w:tc>
        <w:tc>
          <w:tcPr>
            <w:tcW w:w="2636" w:type="dxa"/>
            <w:vAlign w:val="center"/>
          </w:tcPr>
          <w:p>
            <w:pPr>
              <w:spacing w:line="360" w:lineRule="exact"/>
              <w:jc w:val="center"/>
              <w:rPr>
                <w:szCs w:val="21"/>
              </w:rPr>
            </w:pPr>
            <w:r>
              <w:rPr>
                <w:rFonts w:hAnsi="宋体"/>
                <w:szCs w:val="21"/>
              </w:rPr>
              <w:t>无蜘蛛网丝</w:t>
            </w:r>
          </w:p>
        </w:tc>
      </w:tr>
      <w:tr>
        <w:tblPrEx>
          <w:tblLayout w:type="fixed"/>
        </w:tblPrEx>
        <w:trPr>
          <w:cantSplit/>
          <w:trHeight w:val="189" w:hRule="atLeast"/>
          <w:jc w:val="center"/>
        </w:trPr>
        <w:tc>
          <w:tcPr>
            <w:tcW w:w="816" w:type="dxa"/>
            <w:vMerge w:val="restart"/>
            <w:vAlign w:val="center"/>
          </w:tcPr>
          <w:p>
            <w:pPr>
              <w:spacing w:line="360" w:lineRule="exact"/>
              <w:jc w:val="center"/>
              <w:rPr>
                <w:szCs w:val="21"/>
              </w:rPr>
            </w:pPr>
            <w:r>
              <w:rPr>
                <w:szCs w:val="21"/>
              </w:rPr>
              <w:t>4</w:t>
            </w:r>
          </w:p>
        </w:tc>
        <w:tc>
          <w:tcPr>
            <w:tcW w:w="852" w:type="dxa"/>
            <w:vMerge w:val="restart"/>
            <w:vAlign w:val="center"/>
          </w:tcPr>
          <w:p>
            <w:pPr>
              <w:spacing w:line="360" w:lineRule="exact"/>
              <w:jc w:val="center"/>
              <w:rPr>
                <w:szCs w:val="21"/>
              </w:rPr>
            </w:pPr>
            <w:r>
              <w:rPr>
                <w:rFonts w:hAnsi="宋体"/>
                <w:szCs w:val="21"/>
              </w:rPr>
              <w:t>庭院部分</w:t>
            </w:r>
          </w:p>
        </w:tc>
        <w:tc>
          <w:tcPr>
            <w:tcW w:w="2562" w:type="dxa"/>
            <w:vAlign w:val="center"/>
          </w:tcPr>
          <w:p>
            <w:pPr>
              <w:spacing w:line="360" w:lineRule="exact"/>
              <w:jc w:val="center"/>
              <w:rPr>
                <w:szCs w:val="21"/>
              </w:rPr>
            </w:pPr>
            <w:r>
              <w:rPr>
                <w:rFonts w:hAnsi="宋体"/>
                <w:szCs w:val="21"/>
              </w:rPr>
              <w:t>院内运动场</w:t>
            </w:r>
          </w:p>
        </w:tc>
        <w:tc>
          <w:tcPr>
            <w:tcW w:w="3816" w:type="dxa"/>
            <w:vAlign w:val="center"/>
          </w:tcPr>
          <w:p>
            <w:pPr>
              <w:spacing w:line="360" w:lineRule="exact"/>
              <w:jc w:val="center"/>
              <w:rPr>
                <w:szCs w:val="21"/>
              </w:rPr>
            </w:pPr>
            <w:r>
              <w:rPr>
                <w:rFonts w:hAnsi="宋体"/>
                <w:szCs w:val="21"/>
              </w:rPr>
              <w:t>每天清扫二次、并随时保持干净、清除杂物</w:t>
            </w:r>
          </w:p>
        </w:tc>
        <w:tc>
          <w:tcPr>
            <w:tcW w:w="2636" w:type="dxa"/>
            <w:vAlign w:val="center"/>
          </w:tcPr>
          <w:p>
            <w:pPr>
              <w:spacing w:line="360" w:lineRule="exact"/>
              <w:jc w:val="center"/>
              <w:rPr>
                <w:szCs w:val="21"/>
              </w:rPr>
            </w:pPr>
            <w:r>
              <w:rPr>
                <w:rFonts w:hAnsi="宋体"/>
                <w:szCs w:val="21"/>
              </w:rPr>
              <w:t>无果皮、纸屑、烟蒂、痰渍等</w:t>
            </w:r>
          </w:p>
        </w:tc>
      </w:tr>
      <w:tr>
        <w:tblPrEx>
          <w:tblLayout w:type="fixed"/>
        </w:tblPrEx>
        <w:trPr>
          <w:cantSplit/>
          <w:trHeight w:val="450"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大门前、各楼层公共区域绿化</w:t>
            </w:r>
          </w:p>
        </w:tc>
        <w:tc>
          <w:tcPr>
            <w:tcW w:w="3816" w:type="dxa"/>
            <w:vAlign w:val="center"/>
          </w:tcPr>
          <w:p>
            <w:pPr>
              <w:spacing w:line="360" w:lineRule="exact"/>
              <w:jc w:val="center"/>
              <w:rPr>
                <w:szCs w:val="21"/>
              </w:rPr>
            </w:pPr>
            <w:r>
              <w:rPr>
                <w:rFonts w:hAnsi="宋体"/>
                <w:szCs w:val="21"/>
              </w:rPr>
              <w:t>每天消除果皮、纸屑、烟蒂等杂物</w:t>
            </w:r>
          </w:p>
        </w:tc>
        <w:tc>
          <w:tcPr>
            <w:tcW w:w="2636" w:type="dxa"/>
            <w:vAlign w:val="center"/>
          </w:tcPr>
          <w:p>
            <w:pPr>
              <w:spacing w:line="360" w:lineRule="exact"/>
              <w:jc w:val="center"/>
              <w:rPr>
                <w:szCs w:val="21"/>
              </w:rPr>
            </w:pPr>
            <w:r>
              <w:rPr>
                <w:rFonts w:hAnsi="宋体"/>
                <w:szCs w:val="21"/>
              </w:rPr>
              <w:t>无杂物</w:t>
            </w:r>
          </w:p>
        </w:tc>
      </w:tr>
      <w:tr>
        <w:tblPrEx>
          <w:tblLayout w:type="fixed"/>
        </w:tblPrEx>
        <w:trPr>
          <w:cantSplit/>
          <w:trHeight w:val="189" w:hRule="atLeast"/>
          <w:jc w:val="center"/>
        </w:trPr>
        <w:tc>
          <w:tcPr>
            <w:tcW w:w="816" w:type="dxa"/>
            <w:vMerge w:val="restart"/>
            <w:vAlign w:val="center"/>
          </w:tcPr>
          <w:p>
            <w:pPr>
              <w:spacing w:line="360" w:lineRule="exact"/>
              <w:jc w:val="center"/>
              <w:rPr>
                <w:szCs w:val="21"/>
              </w:rPr>
            </w:pPr>
            <w:r>
              <w:rPr>
                <w:szCs w:val="21"/>
              </w:rPr>
              <w:t>5</w:t>
            </w:r>
          </w:p>
        </w:tc>
        <w:tc>
          <w:tcPr>
            <w:tcW w:w="852" w:type="dxa"/>
            <w:vMerge w:val="restart"/>
            <w:vAlign w:val="center"/>
          </w:tcPr>
          <w:p>
            <w:pPr>
              <w:spacing w:line="360" w:lineRule="exact"/>
              <w:jc w:val="center"/>
              <w:rPr>
                <w:szCs w:val="21"/>
              </w:rPr>
            </w:pPr>
            <w:r>
              <w:rPr>
                <w:rFonts w:hAnsi="宋体"/>
                <w:szCs w:val="21"/>
              </w:rPr>
              <w:t>开水间</w:t>
            </w:r>
          </w:p>
        </w:tc>
        <w:tc>
          <w:tcPr>
            <w:tcW w:w="2562" w:type="dxa"/>
            <w:vAlign w:val="center"/>
          </w:tcPr>
          <w:p>
            <w:pPr>
              <w:spacing w:line="360" w:lineRule="exact"/>
              <w:jc w:val="center"/>
              <w:rPr>
                <w:szCs w:val="21"/>
              </w:rPr>
            </w:pPr>
            <w:r>
              <w:rPr>
                <w:rFonts w:hAnsi="宋体"/>
                <w:szCs w:val="21"/>
              </w:rPr>
              <w:t>墙身</w:t>
            </w:r>
          </w:p>
        </w:tc>
        <w:tc>
          <w:tcPr>
            <w:tcW w:w="3816" w:type="dxa"/>
            <w:vAlign w:val="center"/>
          </w:tcPr>
          <w:p>
            <w:pPr>
              <w:spacing w:line="360" w:lineRule="exact"/>
              <w:jc w:val="center"/>
              <w:rPr>
                <w:szCs w:val="21"/>
              </w:rPr>
            </w:pPr>
            <w:r>
              <w:rPr>
                <w:rFonts w:hAnsi="宋体"/>
                <w:szCs w:val="21"/>
              </w:rPr>
              <w:t>每天保洁；每两周清洗一次、除污渍</w:t>
            </w:r>
          </w:p>
        </w:tc>
        <w:tc>
          <w:tcPr>
            <w:tcW w:w="2636" w:type="dxa"/>
            <w:vAlign w:val="center"/>
          </w:tcPr>
          <w:p>
            <w:pPr>
              <w:spacing w:line="360" w:lineRule="exact"/>
              <w:jc w:val="center"/>
              <w:rPr>
                <w:szCs w:val="21"/>
              </w:rPr>
            </w:pPr>
            <w:r>
              <w:rPr>
                <w:rFonts w:hAnsi="宋体"/>
                <w:szCs w:val="21"/>
              </w:rPr>
              <w:t>无污渍</w:t>
            </w:r>
          </w:p>
        </w:tc>
      </w:tr>
      <w:tr>
        <w:tblPrEx>
          <w:tblLayout w:type="fixed"/>
        </w:tblPrEx>
        <w:trPr>
          <w:cantSplit/>
          <w:trHeight w:val="189"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地面</w:t>
            </w:r>
          </w:p>
        </w:tc>
        <w:tc>
          <w:tcPr>
            <w:tcW w:w="3816" w:type="dxa"/>
            <w:vAlign w:val="center"/>
          </w:tcPr>
          <w:p>
            <w:pPr>
              <w:spacing w:line="360" w:lineRule="exact"/>
              <w:jc w:val="center"/>
              <w:rPr>
                <w:szCs w:val="21"/>
              </w:rPr>
            </w:pPr>
            <w:r>
              <w:rPr>
                <w:rFonts w:hAnsi="宋体"/>
                <w:szCs w:val="21"/>
              </w:rPr>
              <w:t>每天随时拖抹、保洁；每两周用洁清剂清洗二次</w:t>
            </w:r>
          </w:p>
        </w:tc>
        <w:tc>
          <w:tcPr>
            <w:tcW w:w="2636" w:type="dxa"/>
            <w:vAlign w:val="center"/>
          </w:tcPr>
          <w:p>
            <w:pPr>
              <w:spacing w:line="360" w:lineRule="exact"/>
              <w:jc w:val="center"/>
              <w:rPr>
                <w:szCs w:val="21"/>
              </w:rPr>
            </w:pPr>
            <w:r>
              <w:rPr>
                <w:rFonts w:hAnsi="宋体"/>
                <w:szCs w:val="21"/>
              </w:rPr>
              <w:t>无污渍</w:t>
            </w:r>
          </w:p>
        </w:tc>
      </w:tr>
      <w:tr>
        <w:tblPrEx>
          <w:tblLayout w:type="fixed"/>
        </w:tblPrEx>
        <w:trPr>
          <w:cantSplit/>
          <w:trHeight w:val="422"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电源</w:t>
            </w:r>
          </w:p>
        </w:tc>
        <w:tc>
          <w:tcPr>
            <w:tcW w:w="3816" w:type="dxa"/>
            <w:vAlign w:val="center"/>
          </w:tcPr>
          <w:p>
            <w:pPr>
              <w:spacing w:line="360" w:lineRule="exact"/>
              <w:jc w:val="center"/>
              <w:rPr>
                <w:szCs w:val="21"/>
              </w:rPr>
            </w:pPr>
            <w:r>
              <w:rPr>
                <w:rFonts w:hAnsi="宋体"/>
                <w:szCs w:val="21"/>
              </w:rPr>
              <w:t>每天早上、下午开关</w:t>
            </w:r>
          </w:p>
        </w:tc>
        <w:tc>
          <w:tcPr>
            <w:tcW w:w="2636" w:type="dxa"/>
            <w:vAlign w:val="center"/>
          </w:tcPr>
          <w:p>
            <w:pPr>
              <w:spacing w:line="360" w:lineRule="exact"/>
              <w:jc w:val="center"/>
              <w:rPr>
                <w:szCs w:val="21"/>
              </w:rPr>
            </w:pPr>
          </w:p>
        </w:tc>
      </w:tr>
      <w:tr>
        <w:tblPrEx>
          <w:tblLayout w:type="fixed"/>
        </w:tblPrEx>
        <w:trPr>
          <w:cantSplit/>
          <w:trHeight w:val="455" w:hRule="atLeast"/>
          <w:jc w:val="center"/>
        </w:trPr>
        <w:tc>
          <w:tcPr>
            <w:tcW w:w="816" w:type="dxa"/>
            <w:vAlign w:val="center"/>
          </w:tcPr>
          <w:p>
            <w:pPr>
              <w:spacing w:line="360" w:lineRule="exact"/>
              <w:jc w:val="center"/>
              <w:rPr>
                <w:szCs w:val="21"/>
              </w:rPr>
            </w:pPr>
            <w:r>
              <w:rPr>
                <w:szCs w:val="21"/>
              </w:rPr>
              <w:t>6</w:t>
            </w:r>
          </w:p>
        </w:tc>
        <w:tc>
          <w:tcPr>
            <w:tcW w:w="852" w:type="dxa"/>
            <w:vAlign w:val="center"/>
          </w:tcPr>
          <w:p>
            <w:pPr>
              <w:spacing w:line="360" w:lineRule="exact"/>
              <w:jc w:val="center"/>
              <w:rPr>
                <w:szCs w:val="21"/>
              </w:rPr>
            </w:pPr>
            <w:r>
              <w:rPr>
                <w:rFonts w:hAnsi="宋体"/>
                <w:szCs w:val="21"/>
              </w:rPr>
              <w:t>其它</w:t>
            </w:r>
          </w:p>
        </w:tc>
        <w:tc>
          <w:tcPr>
            <w:tcW w:w="2562" w:type="dxa"/>
            <w:vAlign w:val="center"/>
          </w:tcPr>
          <w:p>
            <w:pPr>
              <w:spacing w:line="360" w:lineRule="exact"/>
              <w:jc w:val="center"/>
              <w:rPr>
                <w:szCs w:val="21"/>
              </w:rPr>
            </w:pPr>
            <w:r>
              <w:rPr>
                <w:rFonts w:hAnsi="宋体"/>
                <w:szCs w:val="21"/>
              </w:rPr>
              <w:t>监控房、保安、电工房</w:t>
            </w:r>
          </w:p>
        </w:tc>
        <w:tc>
          <w:tcPr>
            <w:tcW w:w="3816" w:type="dxa"/>
            <w:vAlign w:val="center"/>
          </w:tcPr>
          <w:p>
            <w:pPr>
              <w:spacing w:line="360" w:lineRule="exact"/>
              <w:jc w:val="center"/>
              <w:rPr>
                <w:szCs w:val="21"/>
              </w:rPr>
            </w:pPr>
            <w:r>
              <w:rPr>
                <w:rFonts w:hAnsi="宋体"/>
                <w:szCs w:val="21"/>
              </w:rPr>
              <w:t>每天保洁一次</w:t>
            </w:r>
          </w:p>
        </w:tc>
        <w:tc>
          <w:tcPr>
            <w:tcW w:w="2636" w:type="dxa"/>
            <w:vAlign w:val="center"/>
          </w:tcPr>
          <w:p>
            <w:pPr>
              <w:spacing w:line="360" w:lineRule="exact"/>
              <w:jc w:val="center"/>
              <w:rPr>
                <w:szCs w:val="21"/>
              </w:rPr>
            </w:pPr>
            <w:r>
              <w:rPr>
                <w:rFonts w:hAnsi="宋体"/>
                <w:szCs w:val="21"/>
              </w:rPr>
              <w:t>无杂物</w:t>
            </w:r>
          </w:p>
        </w:tc>
      </w:tr>
      <w:tr>
        <w:tblPrEx>
          <w:tblLayout w:type="fixed"/>
        </w:tblPrEx>
        <w:trPr>
          <w:cantSplit/>
          <w:trHeight w:val="189" w:hRule="atLeast"/>
          <w:jc w:val="center"/>
        </w:trPr>
        <w:tc>
          <w:tcPr>
            <w:tcW w:w="816" w:type="dxa"/>
            <w:vAlign w:val="center"/>
          </w:tcPr>
          <w:p>
            <w:pPr>
              <w:spacing w:line="360" w:lineRule="exact"/>
              <w:jc w:val="center"/>
              <w:rPr>
                <w:szCs w:val="21"/>
              </w:rPr>
            </w:pPr>
            <w:r>
              <w:rPr>
                <w:szCs w:val="21"/>
              </w:rPr>
              <w:t>7</w:t>
            </w:r>
          </w:p>
        </w:tc>
        <w:tc>
          <w:tcPr>
            <w:tcW w:w="3414" w:type="dxa"/>
            <w:gridSpan w:val="2"/>
            <w:vAlign w:val="center"/>
          </w:tcPr>
          <w:p>
            <w:pPr>
              <w:pStyle w:val="26"/>
              <w:spacing w:line="360" w:lineRule="exact"/>
              <w:ind w:left="480" w:firstLine="420"/>
              <w:jc w:val="center"/>
              <w:rPr>
                <w:b w:val="0"/>
                <w:bCs w:val="0"/>
                <w:sz w:val="21"/>
                <w:szCs w:val="21"/>
                <w:shd w:val="clear" w:color="auto" w:fill="auto"/>
              </w:rPr>
            </w:pPr>
            <w:r>
              <w:rPr>
                <w:rFonts w:hAnsi="宋体"/>
                <w:b w:val="0"/>
                <w:bCs w:val="0"/>
                <w:sz w:val="21"/>
                <w:szCs w:val="21"/>
                <w:shd w:val="clear" w:color="auto" w:fill="auto"/>
              </w:rPr>
              <w:t>各类设备用房</w:t>
            </w:r>
          </w:p>
        </w:tc>
        <w:tc>
          <w:tcPr>
            <w:tcW w:w="3816" w:type="dxa"/>
            <w:vAlign w:val="center"/>
          </w:tcPr>
          <w:p>
            <w:pPr>
              <w:pStyle w:val="26"/>
              <w:spacing w:line="360" w:lineRule="exact"/>
              <w:ind w:left="480" w:firstLine="420"/>
              <w:jc w:val="center"/>
              <w:rPr>
                <w:b w:val="0"/>
                <w:bCs w:val="0"/>
                <w:sz w:val="21"/>
                <w:szCs w:val="21"/>
                <w:shd w:val="clear" w:color="auto" w:fill="auto"/>
              </w:rPr>
            </w:pPr>
            <w:r>
              <w:rPr>
                <w:rFonts w:hAnsi="宋体"/>
                <w:b w:val="0"/>
                <w:bCs w:val="0"/>
                <w:sz w:val="21"/>
                <w:szCs w:val="21"/>
                <w:shd w:val="clear" w:color="auto" w:fill="auto"/>
              </w:rPr>
              <w:t>每两周清扫二次</w:t>
            </w:r>
          </w:p>
        </w:tc>
        <w:tc>
          <w:tcPr>
            <w:tcW w:w="2636" w:type="dxa"/>
            <w:vAlign w:val="center"/>
          </w:tcPr>
          <w:p>
            <w:pPr>
              <w:pStyle w:val="26"/>
              <w:spacing w:line="360" w:lineRule="exact"/>
              <w:ind w:left="480" w:firstLine="420"/>
              <w:jc w:val="center"/>
              <w:rPr>
                <w:b w:val="0"/>
                <w:bCs w:val="0"/>
                <w:sz w:val="21"/>
                <w:szCs w:val="21"/>
                <w:shd w:val="clear" w:color="auto" w:fill="auto"/>
              </w:rPr>
            </w:pPr>
          </w:p>
        </w:tc>
      </w:tr>
      <w:tr>
        <w:tblPrEx>
          <w:tblLayout w:type="fixed"/>
        </w:tblPrEx>
        <w:trPr>
          <w:cantSplit/>
          <w:trHeight w:val="70" w:hRule="atLeast"/>
          <w:jc w:val="center"/>
        </w:trPr>
        <w:tc>
          <w:tcPr>
            <w:tcW w:w="816" w:type="dxa"/>
            <w:vMerge w:val="restart"/>
            <w:vAlign w:val="center"/>
          </w:tcPr>
          <w:p>
            <w:pPr>
              <w:spacing w:line="360" w:lineRule="exact"/>
              <w:jc w:val="center"/>
              <w:rPr>
                <w:szCs w:val="21"/>
              </w:rPr>
            </w:pPr>
            <w:r>
              <w:rPr>
                <w:szCs w:val="21"/>
              </w:rPr>
              <w:t>8</w:t>
            </w:r>
          </w:p>
        </w:tc>
        <w:tc>
          <w:tcPr>
            <w:tcW w:w="852" w:type="dxa"/>
            <w:vMerge w:val="restart"/>
            <w:vAlign w:val="center"/>
          </w:tcPr>
          <w:p>
            <w:pPr>
              <w:spacing w:line="360" w:lineRule="exact"/>
              <w:jc w:val="center"/>
              <w:rPr>
                <w:szCs w:val="21"/>
              </w:rPr>
            </w:pPr>
            <w:r>
              <w:rPr>
                <w:rFonts w:hAnsi="宋体"/>
                <w:szCs w:val="21"/>
              </w:rPr>
              <w:t>道路公共设施</w:t>
            </w:r>
          </w:p>
        </w:tc>
        <w:tc>
          <w:tcPr>
            <w:tcW w:w="2562" w:type="dxa"/>
            <w:vAlign w:val="center"/>
          </w:tcPr>
          <w:p>
            <w:pPr>
              <w:spacing w:line="360" w:lineRule="exact"/>
              <w:jc w:val="center"/>
              <w:rPr>
                <w:szCs w:val="21"/>
              </w:rPr>
            </w:pPr>
            <w:r>
              <w:rPr>
                <w:rFonts w:hAnsi="宋体"/>
                <w:szCs w:val="21"/>
              </w:rPr>
              <w:t>垃圾桶</w:t>
            </w:r>
          </w:p>
        </w:tc>
        <w:tc>
          <w:tcPr>
            <w:tcW w:w="3816" w:type="dxa"/>
            <w:vAlign w:val="center"/>
          </w:tcPr>
          <w:p>
            <w:pPr>
              <w:spacing w:line="360" w:lineRule="exact"/>
              <w:jc w:val="center"/>
              <w:rPr>
                <w:szCs w:val="21"/>
              </w:rPr>
            </w:pPr>
            <w:r>
              <w:rPr>
                <w:rFonts w:hAnsi="宋体"/>
                <w:szCs w:val="21"/>
              </w:rPr>
              <w:t>每天清倒垃圾、清抹表面一次；每两周洗刷二次</w:t>
            </w:r>
          </w:p>
        </w:tc>
        <w:tc>
          <w:tcPr>
            <w:tcW w:w="2636" w:type="dxa"/>
            <w:vAlign w:val="center"/>
          </w:tcPr>
          <w:p>
            <w:pPr>
              <w:spacing w:line="360" w:lineRule="exact"/>
              <w:jc w:val="center"/>
              <w:rPr>
                <w:szCs w:val="21"/>
              </w:rPr>
            </w:pPr>
            <w:r>
              <w:rPr>
                <w:rFonts w:hAnsi="宋体"/>
                <w:szCs w:val="21"/>
              </w:rPr>
              <w:t>干净、无污渍、无异味</w:t>
            </w:r>
          </w:p>
        </w:tc>
      </w:tr>
      <w:tr>
        <w:tblPrEx>
          <w:tblLayout w:type="fixed"/>
        </w:tblPrEx>
        <w:trPr>
          <w:cantSplit/>
          <w:trHeight w:val="435"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路灯、园林灯等</w:t>
            </w:r>
          </w:p>
        </w:tc>
        <w:tc>
          <w:tcPr>
            <w:tcW w:w="3816" w:type="dxa"/>
            <w:vAlign w:val="center"/>
          </w:tcPr>
          <w:p>
            <w:pPr>
              <w:spacing w:line="360" w:lineRule="exact"/>
              <w:jc w:val="center"/>
              <w:rPr>
                <w:szCs w:val="21"/>
              </w:rPr>
            </w:pPr>
            <w:r>
              <w:rPr>
                <w:rFonts w:hAnsi="宋体"/>
                <w:szCs w:val="21"/>
              </w:rPr>
              <w:t>每两周清抹一次</w:t>
            </w:r>
          </w:p>
        </w:tc>
        <w:tc>
          <w:tcPr>
            <w:tcW w:w="2636" w:type="dxa"/>
            <w:vAlign w:val="center"/>
          </w:tcPr>
          <w:p>
            <w:pPr>
              <w:spacing w:line="360" w:lineRule="exact"/>
              <w:jc w:val="center"/>
              <w:rPr>
                <w:szCs w:val="21"/>
              </w:rPr>
            </w:pPr>
            <w:r>
              <w:rPr>
                <w:rFonts w:hAnsi="宋体"/>
                <w:szCs w:val="21"/>
              </w:rPr>
              <w:t>无灰尘、蛛丝</w:t>
            </w:r>
          </w:p>
        </w:tc>
      </w:tr>
      <w:tr>
        <w:tblPrEx>
          <w:tblLayout w:type="fixed"/>
        </w:tblPrEx>
        <w:trPr>
          <w:cantSplit/>
          <w:trHeight w:val="455" w:hRule="atLeast"/>
          <w:jc w:val="center"/>
        </w:trPr>
        <w:tc>
          <w:tcPr>
            <w:tcW w:w="816" w:type="dxa"/>
            <w:vMerge w:val="continue"/>
            <w:vAlign w:val="center"/>
          </w:tcPr>
          <w:p>
            <w:pPr>
              <w:spacing w:line="360" w:lineRule="exact"/>
              <w:jc w:val="center"/>
              <w:rPr>
                <w:szCs w:val="21"/>
              </w:rPr>
            </w:pPr>
          </w:p>
        </w:tc>
        <w:tc>
          <w:tcPr>
            <w:tcW w:w="852" w:type="dxa"/>
            <w:vMerge w:val="continue"/>
            <w:vAlign w:val="center"/>
          </w:tcPr>
          <w:p>
            <w:pPr>
              <w:spacing w:line="360" w:lineRule="exact"/>
              <w:jc w:val="center"/>
              <w:rPr>
                <w:szCs w:val="21"/>
              </w:rPr>
            </w:pPr>
          </w:p>
        </w:tc>
        <w:tc>
          <w:tcPr>
            <w:tcW w:w="2562" w:type="dxa"/>
            <w:vAlign w:val="center"/>
          </w:tcPr>
          <w:p>
            <w:pPr>
              <w:spacing w:line="360" w:lineRule="exact"/>
              <w:jc w:val="center"/>
              <w:rPr>
                <w:szCs w:val="21"/>
              </w:rPr>
            </w:pPr>
            <w:r>
              <w:rPr>
                <w:rFonts w:hAnsi="宋体"/>
                <w:szCs w:val="21"/>
              </w:rPr>
              <w:t>标识牌</w:t>
            </w:r>
          </w:p>
        </w:tc>
        <w:tc>
          <w:tcPr>
            <w:tcW w:w="3816" w:type="dxa"/>
            <w:vAlign w:val="center"/>
          </w:tcPr>
          <w:p>
            <w:pPr>
              <w:spacing w:line="360" w:lineRule="exact"/>
              <w:jc w:val="center"/>
              <w:rPr>
                <w:szCs w:val="21"/>
              </w:rPr>
            </w:pPr>
            <w:r>
              <w:rPr>
                <w:rFonts w:hAnsi="宋体"/>
                <w:szCs w:val="21"/>
              </w:rPr>
              <w:t>每天保洁；每周清抹二次</w:t>
            </w:r>
          </w:p>
        </w:tc>
        <w:tc>
          <w:tcPr>
            <w:tcW w:w="2636" w:type="dxa"/>
            <w:vAlign w:val="center"/>
          </w:tcPr>
          <w:p>
            <w:pPr>
              <w:spacing w:line="360" w:lineRule="exact"/>
              <w:jc w:val="center"/>
              <w:rPr>
                <w:szCs w:val="21"/>
              </w:rPr>
            </w:pPr>
            <w:r>
              <w:rPr>
                <w:rFonts w:hAnsi="宋体"/>
                <w:szCs w:val="21"/>
              </w:rPr>
              <w:t>无灰尘、蛛丝</w:t>
            </w:r>
          </w:p>
        </w:tc>
      </w:tr>
      <w:tr>
        <w:tblPrEx>
          <w:tblLayout w:type="fixed"/>
        </w:tblPrEx>
        <w:trPr>
          <w:cantSplit/>
          <w:trHeight w:val="462" w:hRule="atLeast"/>
          <w:jc w:val="center"/>
        </w:trPr>
        <w:tc>
          <w:tcPr>
            <w:tcW w:w="816" w:type="dxa"/>
            <w:vAlign w:val="center"/>
          </w:tcPr>
          <w:p>
            <w:pPr>
              <w:spacing w:line="360" w:lineRule="exact"/>
              <w:jc w:val="center"/>
              <w:rPr>
                <w:szCs w:val="21"/>
              </w:rPr>
            </w:pPr>
            <w:r>
              <w:rPr>
                <w:szCs w:val="21"/>
              </w:rPr>
              <w:t>9</w:t>
            </w:r>
          </w:p>
        </w:tc>
        <w:tc>
          <w:tcPr>
            <w:tcW w:w="3414" w:type="dxa"/>
            <w:gridSpan w:val="2"/>
            <w:vAlign w:val="center"/>
          </w:tcPr>
          <w:p>
            <w:pPr>
              <w:spacing w:line="360" w:lineRule="exact"/>
              <w:jc w:val="center"/>
              <w:rPr>
                <w:szCs w:val="21"/>
              </w:rPr>
            </w:pPr>
            <w:r>
              <w:rPr>
                <w:rFonts w:hAnsi="宋体"/>
                <w:szCs w:val="21"/>
              </w:rPr>
              <w:t>屋面、平台</w:t>
            </w:r>
          </w:p>
        </w:tc>
        <w:tc>
          <w:tcPr>
            <w:tcW w:w="3816" w:type="dxa"/>
            <w:vAlign w:val="center"/>
          </w:tcPr>
          <w:p>
            <w:pPr>
              <w:spacing w:line="360" w:lineRule="exact"/>
              <w:jc w:val="center"/>
              <w:rPr>
                <w:szCs w:val="21"/>
              </w:rPr>
            </w:pPr>
            <w:r>
              <w:rPr>
                <w:rFonts w:hAnsi="宋体"/>
                <w:szCs w:val="21"/>
              </w:rPr>
              <w:t>每两周清抹二次</w:t>
            </w:r>
          </w:p>
        </w:tc>
        <w:tc>
          <w:tcPr>
            <w:tcW w:w="2636" w:type="dxa"/>
            <w:vAlign w:val="center"/>
          </w:tcPr>
          <w:p>
            <w:pPr>
              <w:spacing w:line="360" w:lineRule="exact"/>
              <w:jc w:val="center"/>
              <w:rPr>
                <w:szCs w:val="21"/>
              </w:rPr>
            </w:pPr>
            <w:r>
              <w:rPr>
                <w:rFonts w:hAnsi="宋体"/>
                <w:szCs w:val="21"/>
              </w:rPr>
              <w:t>无杂物、无积水</w:t>
            </w:r>
          </w:p>
        </w:tc>
      </w:tr>
      <w:tr>
        <w:tblPrEx>
          <w:tblLayout w:type="fixed"/>
        </w:tblPrEx>
        <w:trPr>
          <w:cantSplit/>
          <w:trHeight w:val="468" w:hRule="atLeast"/>
          <w:jc w:val="center"/>
        </w:trPr>
        <w:tc>
          <w:tcPr>
            <w:tcW w:w="816" w:type="dxa"/>
            <w:vAlign w:val="center"/>
          </w:tcPr>
          <w:p>
            <w:pPr>
              <w:spacing w:line="360" w:lineRule="exact"/>
              <w:jc w:val="center"/>
              <w:rPr>
                <w:szCs w:val="21"/>
              </w:rPr>
            </w:pPr>
            <w:r>
              <w:rPr>
                <w:szCs w:val="21"/>
              </w:rPr>
              <w:t>10</w:t>
            </w:r>
          </w:p>
        </w:tc>
        <w:tc>
          <w:tcPr>
            <w:tcW w:w="3414" w:type="dxa"/>
            <w:gridSpan w:val="2"/>
            <w:vAlign w:val="center"/>
          </w:tcPr>
          <w:p>
            <w:pPr>
              <w:spacing w:line="360" w:lineRule="exact"/>
              <w:jc w:val="center"/>
              <w:rPr>
                <w:szCs w:val="21"/>
              </w:rPr>
            </w:pPr>
            <w:r>
              <w:rPr>
                <w:rFonts w:hAnsi="宋体"/>
                <w:szCs w:val="21"/>
              </w:rPr>
              <w:t>外墙、玻璃幕墙、玻璃屋顶</w:t>
            </w:r>
          </w:p>
        </w:tc>
        <w:tc>
          <w:tcPr>
            <w:tcW w:w="6452" w:type="dxa"/>
            <w:gridSpan w:val="2"/>
            <w:vAlign w:val="center"/>
          </w:tcPr>
          <w:p>
            <w:pPr>
              <w:spacing w:line="360" w:lineRule="exact"/>
              <w:jc w:val="center"/>
              <w:rPr>
                <w:szCs w:val="21"/>
              </w:rPr>
            </w:pPr>
            <w:r>
              <w:rPr>
                <w:rFonts w:hAnsi="宋体"/>
                <w:szCs w:val="21"/>
              </w:rPr>
              <w:t>每年全面清洗一次</w:t>
            </w:r>
          </w:p>
        </w:tc>
      </w:tr>
      <w:tr>
        <w:tblPrEx>
          <w:tblLayout w:type="fixed"/>
        </w:tblPrEx>
        <w:trPr>
          <w:cantSplit/>
          <w:trHeight w:val="189" w:hRule="atLeast"/>
          <w:jc w:val="center"/>
        </w:trPr>
        <w:tc>
          <w:tcPr>
            <w:tcW w:w="816" w:type="dxa"/>
            <w:vAlign w:val="center"/>
          </w:tcPr>
          <w:p>
            <w:pPr>
              <w:spacing w:line="360" w:lineRule="exact"/>
              <w:jc w:val="center"/>
              <w:rPr>
                <w:szCs w:val="21"/>
              </w:rPr>
            </w:pPr>
            <w:r>
              <w:rPr>
                <w:szCs w:val="21"/>
              </w:rPr>
              <w:t>11</w:t>
            </w:r>
          </w:p>
        </w:tc>
        <w:tc>
          <w:tcPr>
            <w:tcW w:w="3414" w:type="dxa"/>
            <w:gridSpan w:val="2"/>
            <w:vAlign w:val="center"/>
          </w:tcPr>
          <w:p>
            <w:pPr>
              <w:pStyle w:val="26"/>
              <w:spacing w:line="360" w:lineRule="exact"/>
              <w:ind w:firstLine="0" w:firstLineChars="0"/>
              <w:jc w:val="center"/>
              <w:rPr>
                <w:b w:val="0"/>
                <w:bCs w:val="0"/>
                <w:sz w:val="21"/>
                <w:szCs w:val="21"/>
                <w:shd w:val="clear" w:color="auto" w:fill="auto"/>
              </w:rPr>
            </w:pPr>
            <w:r>
              <w:rPr>
                <w:rFonts w:hAnsi="宋体"/>
                <w:b w:val="0"/>
                <w:bCs w:val="0"/>
                <w:sz w:val="21"/>
                <w:szCs w:val="21"/>
                <w:shd w:val="clear" w:color="auto" w:fill="auto"/>
              </w:rPr>
              <w:t>不定期项目</w:t>
            </w:r>
          </w:p>
        </w:tc>
        <w:tc>
          <w:tcPr>
            <w:tcW w:w="6452" w:type="dxa"/>
            <w:gridSpan w:val="2"/>
            <w:vAlign w:val="center"/>
          </w:tcPr>
          <w:p>
            <w:pPr>
              <w:spacing w:line="360" w:lineRule="exact"/>
              <w:jc w:val="center"/>
              <w:rPr>
                <w:szCs w:val="21"/>
              </w:rPr>
            </w:pPr>
            <w:r>
              <w:rPr>
                <w:rFonts w:hAnsi="宋体"/>
                <w:szCs w:val="21"/>
              </w:rPr>
              <w:t>清扫积水、积雪、清理乱堆放物品、乱张贴，清运装修垃圾</w:t>
            </w:r>
          </w:p>
        </w:tc>
      </w:tr>
    </w:tbl>
    <w:p>
      <w:pPr>
        <w:spacing w:line="300" w:lineRule="auto"/>
        <w:ind w:firstLine="420" w:firstLineChars="200"/>
        <w:rPr>
          <w:szCs w:val="21"/>
        </w:rPr>
      </w:pPr>
      <w:r>
        <w:rPr>
          <w:rFonts w:hAnsi="宋体"/>
          <w:szCs w:val="21"/>
        </w:rPr>
        <w:t>（三）房屋及公用设施维修养护工作标准</w:t>
      </w:r>
    </w:p>
    <w:p>
      <w:pPr>
        <w:spacing w:line="300" w:lineRule="auto"/>
        <w:ind w:firstLine="420" w:firstLineChars="200"/>
        <w:rPr>
          <w:szCs w:val="21"/>
        </w:rPr>
      </w:pPr>
      <w:r>
        <w:rPr>
          <w:szCs w:val="21"/>
        </w:rPr>
        <w:t>1.</w:t>
      </w:r>
      <w:r>
        <w:rPr>
          <w:rFonts w:hAnsi="宋体"/>
          <w:szCs w:val="21"/>
        </w:rPr>
        <w:t>每天巡视检查，公共设施出现损坏及时修复，保持房屋外观完好、整洁，外墙面无脱落，无污迹，公共楼梯间扶手完好，梯灯正常，消防门启闭正常，无杂物乱堆放。公共卫生间和茶水间的洁具和设施完好、使用功能正常。负责组织对房屋外墙、楼梯间通道、屋面、上下水管道等房屋本体公用设施的定期养护和维修，并编制维修计划。</w:t>
      </w:r>
    </w:p>
    <w:p>
      <w:pPr>
        <w:spacing w:line="300" w:lineRule="auto"/>
        <w:ind w:firstLine="420" w:firstLineChars="200"/>
        <w:rPr>
          <w:szCs w:val="21"/>
        </w:rPr>
      </w:pPr>
      <w:r>
        <w:rPr>
          <w:szCs w:val="21"/>
        </w:rPr>
        <w:t>2.</w:t>
      </w:r>
      <w:r>
        <w:rPr>
          <w:rFonts w:hAnsi="宋体"/>
          <w:szCs w:val="21"/>
        </w:rPr>
        <w:t>机关大楼公共设施维护管理工作是：</w:t>
      </w:r>
    </w:p>
    <w:p>
      <w:pPr>
        <w:spacing w:line="300" w:lineRule="auto"/>
        <w:ind w:firstLine="420" w:firstLineChars="200"/>
        <w:rPr>
          <w:szCs w:val="21"/>
        </w:rPr>
      </w:pPr>
      <w:r>
        <w:rPr>
          <w:szCs w:val="21"/>
        </w:rPr>
        <w:t>2.1.</w:t>
      </w:r>
      <w:r>
        <w:rPr>
          <w:rFonts w:hAnsi="宋体"/>
          <w:szCs w:val="21"/>
        </w:rPr>
        <w:t>供水设施的日常运作、维修养护和水箱一季度清洗一次；</w:t>
      </w:r>
    </w:p>
    <w:p>
      <w:pPr>
        <w:spacing w:line="300" w:lineRule="auto"/>
        <w:ind w:firstLine="420" w:firstLineChars="200"/>
        <w:rPr>
          <w:szCs w:val="21"/>
        </w:rPr>
      </w:pPr>
      <w:r>
        <w:rPr>
          <w:szCs w:val="21"/>
        </w:rPr>
        <w:t>2.2.</w:t>
      </w:r>
      <w:r>
        <w:rPr>
          <w:rFonts w:hAnsi="宋体"/>
          <w:szCs w:val="21"/>
        </w:rPr>
        <w:t>公共排水、排污系统及化粪池等的清疏、维护；</w:t>
      </w:r>
    </w:p>
    <w:p>
      <w:pPr>
        <w:spacing w:line="300" w:lineRule="auto"/>
        <w:ind w:firstLine="420" w:firstLineChars="200"/>
        <w:rPr>
          <w:szCs w:val="21"/>
        </w:rPr>
      </w:pPr>
      <w:r>
        <w:rPr>
          <w:szCs w:val="21"/>
        </w:rPr>
        <w:t>2.3.</w:t>
      </w:r>
      <w:r>
        <w:rPr>
          <w:rFonts w:hAnsi="宋体"/>
          <w:szCs w:val="21"/>
        </w:rPr>
        <w:t>公共场所地面、道路及其它设施的保养和维修；</w:t>
      </w:r>
    </w:p>
    <w:p>
      <w:pPr>
        <w:spacing w:line="300" w:lineRule="auto"/>
        <w:ind w:firstLine="420" w:firstLineChars="200"/>
        <w:rPr>
          <w:szCs w:val="21"/>
        </w:rPr>
      </w:pPr>
      <w:r>
        <w:rPr>
          <w:szCs w:val="21"/>
        </w:rPr>
        <w:t>2.4.</w:t>
      </w:r>
      <w:r>
        <w:rPr>
          <w:rFonts w:hAnsi="宋体"/>
          <w:szCs w:val="21"/>
        </w:rPr>
        <w:t>消防栓、喷淋、防排烟设备、灭火器等消防设施的定期检测和养护。</w:t>
      </w:r>
    </w:p>
    <w:p>
      <w:pPr>
        <w:spacing w:line="300" w:lineRule="auto"/>
        <w:ind w:firstLine="420" w:firstLineChars="200"/>
        <w:rPr>
          <w:szCs w:val="21"/>
        </w:rPr>
      </w:pPr>
      <w:r>
        <w:rPr>
          <w:szCs w:val="21"/>
        </w:rPr>
        <w:t>2.5.</w:t>
      </w:r>
      <w:r>
        <w:rPr>
          <w:rFonts w:hAnsi="宋体"/>
          <w:szCs w:val="21"/>
        </w:rPr>
        <w:t>公共楼道灯、路灯、庭院灯等公共照明的维护和保养。</w:t>
      </w:r>
    </w:p>
    <w:p>
      <w:pPr>
        <w:widowControl/>
        <w:spacing w:line="300" w:lineRule="auto"/>
        <w:ind w:firstLine="420"/>
        <w:rPr>
          <w:kern w:val="0"/>
          <w:szCs w:val="21"/>
        </w:rPr>
      </w:pPr>
      <w:r>
        <w:rPr>
          <w:kern w:val="0"/>
          <w:szCs w:val="21"/>
        </w:rPr>
        <w:t>3.</w:t>
      </w:r>
      <w:r>
        <w:rPr>
          <w:rFonts w:hAnsi="宋体"/>
          <w:kern w:val="0"/>
          <w:szCs w:val="21"/>
        </w:rPr>
        <w:t>工作标准</w:t>
      </w:r>
    </w:p>
    <w:tbl>
      <w:tblPr>
        <w:tblStyle w:val="61"/>
        <w:tblW w:w="96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411"/>
        <w:gridCol w:w="2551"/>
        <w:gridCol w:w="4893"/>
      </w:tblGrid>
      <w:tr>
        <w:tblPrEx>
          <w:tblLayout w:type="fixed"/>
        </w:tblPrEx>
        <w:trPr>
          <w:cantSplit/>
          <w:trHeight w:val="166" w:hRule="atLeast"/>
          <w:jc w:val="center"/>
        </w:trPr>
        <w:tc>
          <w:tcPr>
            <w:tcW w:w="823" w:type="dxa"/>
            <w:vAlign w:val="center"/>
          </w:tcPr>
          <w:p>
            <w:pPr>
              <w:spacing w:line="300" w:lineRule="auto"/>
              <w:jc w:val="center"/>
              <w:rPr>
                <w:b/>
                <w:szCs w:val="21"/>
              </w:rPr>
            </w:pPr>
            <w:r>
              <w:rPr>
                <w:rFonts w:hAnsi="宋体"/>
                <w:b/>
                <w:szCs w:val="21"/>
              </w:rPr>
              <w:t>序号</w:t>
            </w:r>
          </w:p>
        </w:tc>
        <w:tc>
          <w:tcPr>
            <w:tcW w:w="1411" w:type="dxa"/>
            <w:vAlign w:val="center"/>
          </w:tcPr>
          <w:p>
            <w:pPr>
              <w:spacing w:line="300" w:lineRule="auto"/>
              <w:jc w:val="center"/>
              <w:rPr>
                <w:b/>
                <w:szCs w:val="21"/>
              </w:rPr>
            </w:pPr>
            <w:r>
              <w:rPr>
                <w:rFonts w:hAnsi="宋体"/>
                <w:b/>
                <w:szCs w:val="21"/>
              </w:rPr>
              <w:t>项</w:t>
            </w:r>
            <w:r>
              <w:rPr>
                <w:b/>
                <w:szCs w:val="21"/>
              </w:rPr>
              <w:t xml:space="preserve">  </w:t>
            </w:r>
            <w:r>
              <w:rPr>
                <w:rFonts w:hAnsi="宋体"/>
                <w:b/>
                <w:szCs w:val="21"/>
              </w:rPr>
              <w:t>目</w:t>
            </w:r>
          </w:p>
        </w:tc>
        <w:tc>
          <w:tcPr>
            <w:tcW w:w="2551" w:type="dxa"/>
            <w:vAlign w:val="center"/>
          </w:tcPr>
          <w:p>
            <w:pPr>
              <w:spacing w:line="300" w:lineRule="auto"/>
              <w:jc w:val="center"/>
              <w:rPr>
                <w:b/>
                <w:szCs w:val="21"/>
              </w:rPr>
            </w:pPr>
            <w:r>
              <w:rPr>
                <w:rFonts w:hAnsi="宋体"/>
                <w:b/>
                <w:szCs w:val="21"/>
              </w:rPr>
              <w:t>方</w:t>
            </w:r>
            <w:r>
              <w:rPr>
                <w:b/>
                <w:szCs w:val="21"/>
              </w:rPr>
              <w:t xml:space="preserve">  </w:t>
            </w:r>
            <w:r>
              <w:rPr>
                <w:rFonts w:hAnsi="宋体"/>
                <w:b/>
                <w:szCs w:val="21"/>
              </w:rPr>
              <w:t>式</w:t>
            </w:r>
          </w:p>
        </w:tc>
        <w:tc>
          <w:tcPr>
            <w:tcW w:w="4893" w:type="dxa"/>
            <w:vAlign w:val="center"/>
          </w:tcPr>
          <w:p>
            <w:pPr>
              <w:spacing w:line="300" w:lineRule="auto"/>
              <w:jc w:val="center"/>
              <w:rPr>
                <w:b/>
                <w:szCs w:val="21"/>
              </w:rPr>
            </w:pPr>
            <w:r>
              <w:rPr>
                <w:rFonts w:hAnsi="宋体"/>
                <w:b/>
                <w:szCs w:val="21"/>
              </w:rPr>
              <w:t>标</w:t>
            </w:r>
            <w:r>
              <w:rPr>
                <w:b/>
                <w:szCs w:val="21"/>
              </w:rPr>
              <w:t xml:space="preserve">  </w:t>
            </w:r>
            <w:r>
              <w:rPr>
                <w:rFonts w:hAnsi="宋体"/>
                <w:b/>
                <w:szCs w:val="21"/>
              </w:rPr>
              <w:t>准</w:t>
            </w:r>
          </w:p>
        </w:tc>
      </w:tr>
      <w:tr>
        <w:tblPrEx>
          <w:tblLayout w:type="fixed"/>
        </w:tblPrEx>
        <w:trPr>
          <w:cantSplit/>
          <w:trHeight w:val="128" w:hRule="atLeast"/>
          <w:jc w:val="center"/>
        </w:trPr>
        <w:tc>
          <w:tcPr>
            <w:tcW w:w="823" w:type="dxa"/>
            <w:vAlign w:val="center"/>
          </w:tcPr>
          <w:p>
            <w:pPr>
              <w:spacing w:line="300" w:lineRule="auto"/>
              <w:jc w:val="center"/>
              <w:rPr>
                <w:szCs w:val="21"/>
              </w:rPr>
            </w:pPr>
            <w:r>
              <w:rPr>
                <w:szCs w:val="21"/>
              </w:rPr>
              <w:t>1</w:t>
            </w:r>
          </w:p>
        </w:tc>
        <w:tc>
          <w:tcPr>
            <w:tcW w:w="1411" w:type="dxa"/>
            <w:vAlign w:val="center"/>
          </w:tcPr>
          <w:p>
            <w:pPr>
              <w:spacing w:line="300" w:lineRule="auto"/>
              <w:jc w:val="center"/>
              <w:rPr>
                <w:szCs w:val="21"/>
              </w:rPr>
            </w:pPr>
            <w:r>
              <w:rPr>
                <w:rFonts w:hAnsi="宋体"/>
                <w:szCs w:val="21"/>
              </w:rPr>
              <w:t>室内装修</w:t>
            </w:r>
          </w:p>
        </w:tc>
        <w:tc>
          <w:tcPr>
            <w:tcW w:w="2551" w:type="dxa"/>
            <w:vAlign w:val="center"/>
          </w:tcPr>
          <w:p>
            <w:pPr>
              <w:spacing w:line="300" w:lineRule="auto"/>
              <w:jc w:val="center"/>
              <w:rPr>
                <w:szCs w:val="21"/>
              </w:rPr>
            </w:pPr>
            <w:r>
              <w:rPr>
                <w:rFonts w:hAnsi="宋体"/>
                <w:szCs w:val="21"/>
              </w:rPr>
              <w:t>用户报修</w:t>
            </w:r>
          </w:p>
        </w:tc>
        <w:tc>
          <w:tcPr>
            <w:tcW w:w="4893" w:type="dxa"/>
            <w:vAlign w:val="center"/>
          </w:tcPr>
          <w:p>
            <w:pPr>
              <w:spacing w:line="300" w:lineRule="auto"/>
              <w:jc w:val="center"/>
              <w:rPr>
                <w:szCs w:val="21"/>
              </w:rPr>
            </w:pPr>
            <w:r>
              <w:rPr>
                <w:rFonts w:hAnsi="宋体"/>
                <w:szCs w:val="21"/>
              </w:rPr>
              <w:t>接报修后</w:t>
            </w:r>
            <w:r>
              <w:rPr>
                <w:szCs w:val="21"/>
              </w:rPr>
              <w:t>20</w:t>
            </w:r>
            <w:r>
              <w:rPr>
                <w:rFonts w:hAnsi="宋体"/>
                <w:szCs w:val="21"/>
              </w:rPr>
              <w:t>分钟内到现场</w:t>
            </w:r>
          </w:p>
        </w:tc>
      </w:tr>
      <w:tr>
        <w:tblPrEx>
          <w:tblLayout w:type="fixed"/>
        </w:tblPrEx>
        <w:trPr>
          <w:cantSplit/>
          <w:trHeight w:val="345" w:hRule="atLeast"/>
          <w:jc w:val="center"/>
        </w:trPr>
        <w:tc>
          <w:tcPr>
            <w:tcW w:w="823" w:type="dxa"/>
            <w:vAlign w:val="center"/>
          </w:tcPr>
          <w:p>
            <w:pPr>
              <w:spacing w:line="300" w:lineRule="auto"/>
              <w:jc w:val="center"/>
              <w:rPr>
                <w:szCs w:val="21"/>
              </w:rPr>
            </w:pPr>
            <w:r>
              <w:rPr>
                <w:szCs w:val="21"/>
              </w:rPr>
              <w:t>2</w:t>
            </w:r>
          </w:p>
        </w:tc>
        <w:tc>
          <w:tcPr>
            <w:tcW w:w="1411" w:type="dxa"/>
            <w:vAlign w:val="center"/>
          </w:tcPr>
          <w:p>
            <w:pPr>
              <w:spacing w:line="300" w:lineRule="auto"/>
              <w:jc w:val="center"/>
              <w:rPr>
                <w:szCs w:val="21"/>
              </w:rPr>
            </w:pPr>
            <w:r>
              <w:rPr>
                <w:rFonts w:hAnsi="宋体"/>
                <w:szCs w:val="21"/>
              </w:rPr>
              <w:t>各层卫生间、开水间</w:t>
            </w:r>
          </w:p>
        </w:tc>
        <w:tc>
          <w:tcPr>
            <w:tcW w:w="2551" w:type="dxa"/>
            <w:vAlign w:val="center"/>
          </w:tcPr>
          <w:p>
            <w:pPr>
              <w:spacing w:line="300" w:lineRule="auto"/>
              <w:jc w:val="center"/>
              <w:rPr>
                <w:szCs w:val="21"/>
              </w:rPr>
            </w:pPr>
            <w:r>
              <w:rPr>
                <w:rFonts w:hAnsi="宋体"/>
                <w:szCs w:val="21"/>
              </w:rPr>
              <w:t>每天检查</w:t>
            </w:r>
            <w:r>
              <w:rPr>
                <w:szCs w:val="21"/>
              </w:rPr>
              <w:t>1</w:t>
            </w:r>
            <w:r>
              <w:rPr>
                <w:rFonts w:hAnsi="宋体"/>
                <w:szCs w:val="21"/>
              </w:rPr>
              <w:t>次、即坏即修</w:t>
            </w:r>
          </w:p>
        </w:tc>
        <w:tc>
          <w:tcPr>
            <w:tcW w:w="4893" w:type="dxa"/>
            <w:vAlign w:val="center"/>
          </w:tcPr>
          <w:p>
            <w:pPr>
              <w:spacing w:line="300" w:lineRule="auto"/>
              <w:jc w:val="center"/>
              <w:rPr>
                <w:szCs w:val="21"/>
              </w:rPr>
            </w:pPr>
            <w:r>
              <w:rPr>
                <w:rFonts w:hAnsi="宋体"/>
                <w:szCs w:val="21"/>
              </w:rPr>
              <w:t>洁具和设施完好，使用功能正常，无滴漏，无堵塞，无异味</w:t>
            </w:r>
          </w:p>
        </w:tc>
      </w:tr>
      <w:tr>
        <w:tblPrEx>
          <w:tblLayout w:type="fixed"/>
        </w:tblPrEx>
        <w:trPr>
          <w:cantSplit/>
          <w:trHeight w:val="602" w:hRule="atLeast"/>
          <w:jc w:val="center"/>
        </w:trPr>
        <w:tc>
          <w:tcPr>
            <w:tcW w:w="823" w:type="dxa"/>
            <w:vAlign w:val="center"/>
          </w:tcPr>
          <w:p>
            <w:pPr>
              <w:spacing w:line="300" w:lineRule="auto"/>
              <w:jc w:val="center"/>
              <w:rPr>
                <w:szCs w:val="21"/>
              </w:rPr>
            </w:pPr>
            <w:r>
              <w:rPr>
                <w:szCs w:val="21"/>
              </w:rPr>
              <w:t>3</w:t>
            </w:r>
          </w:p>
        </w:tc>
        <w:tc>
          <w:tcPr>
            <w:tcW w:w="1411" w:type="dxa"/>
            <w:vAlign w:val="center"/>
          </w:tcPr>
          <w:p>
            <w:pPr>
              <w:spacing w:line="300" w:lineRule="auto"/>
              <w:jc w:val="center"/>
              <w:rPr>
                <w:szCs w:val="21"/>
              </w:rPr>
            </w:pPr>
            <w:r>
              <w:rPr>
                <w:rFonts w:hAnsi="宋体"/>
                <w:szCs w:val="21"/>
              </w:rPr>
              <w:t>旗墩</w:t>
            </w:r>
          </w:p>
        </w:tc>
        <w:tc>
          <w:tcPr>
            <w:tcW w:w="2551" w:type="dxa"/>
            <w:vAlign w:val="center"/>
          </w:tcPr>
          <w:p>
            <w:pPr>
              <w:spacing w:line="300" w:lineRule="auto"/>
              <w:jc w:val="center"/>
              <w:rPr>
                <w:szCs w:val="21"/>
              </w:rPr>
            </w:pPr>
            <w:r>
              <w:rPr>
                <w:rFonts w:hAnsi="宋体"/>
                <w:szCs w:val="21"/>
              </w:rPr>
              <w:t>每天检查</w:t>
            </w:r>
            <w:r>
              <w:rPr>
                <w:szCs w:val="21"/>
              </w:rPr>
              <w:t>1</w:t>
            </w:r>
            <w:r>
              <w:rPr>
                <w:rFonts w:hAnsi="宋体"/>
                <w:szCs w:val="21"/>
              </w:rPr>
              <w:t>次、即坏即修</w:t>
            </w:r>
          </w:p>
        </w:tc>
        <w:tc>
          <w:tcPr>
            <w:tcW w:w="4893" w:type="dxa"/>
            <w:vAlign w:val="center"/>
          </w:tcPr>
          <w:p>
            <w:pPr>
              <w:spacing w:line="300" w:lineRule="auto"/>
              <w:jc w:val="center"/>
              <w:rPr>
                <w:szCs w:val="21"/>
              </w:rPr>
            </w:pPr>
            <w:r>
              <w:rPr>
                <w:rFonts w:hAnsi="宋体"/>
                <w:szCs w:val="21"/>
              </w:rPr>
              <w:t>干净、无缺损、完好率</w:t>
            </w:r>
            <w:r>
              <w:rPr>
                <w:szCs w:val="21"/>
              </w:rPr>
              <w:t>100%</w:t>
            </w:r>
            <w:r>
              <w:rPr>
                <w:rFonts w:hAnsi="宋体"/>
                <w:szCs w:val="21"/>
              </w:rPr>
              <w:t>以上</w:t>
            </w:r>
          </w:p>
        </w:tc>
      </w:tr>
      <w:tr>
        <w:tblPrEx>
          <w:tblLayout w:type="fixed"/>
        </w:tblPrEx>
        <w:trPr>
          <w:cantSplit/>
          <w:trHeight w:val="216" w:hRule="atLeast"/>
          <w:jc w:val="center"/>
        </w:trPr>
        <w:tc>
          <w:tcPr>
            <w:tcW w:w="823" w:type="dxa"/>
            <w:vAlign w:val="center"/>
          </w:tcPr>
          <w:p>
            <w:pPr>
              <w:spacing w:line="300" w:lineRule="auto"/>
              <w:jc w:val="center"/>
              <w:rPr>
                <w:szCs w:val="21"/>
              </w:rPr>
            </w:pPr>
            <w:r>
              <w:rPr>
                <w:szCs w:val="21"/>
              </w:rPr>
              <w:t>4</w:t>
            </w:r>
          </w:p>
        </w:tc>
        <w:tc>
          <w:tcPr>
            <w:tcW w:w="1411" w:type="dxa"/>
            <w:vAlign w:val="center"/>
          </w:tcPr>
          <w:p>
            <w:pPr>
              <w:spacing w:line="300" w:lineRule="auto"/>
              <w:jc w:val="center"/>
              <w:rPr>
                <w:szCs w:val="21"/>
              </w:rPr>
            </w:pPr>
            <w:r>
              <w:rPr>
                <w:rFonts w:hAnsi="宋体"/>
                <w:szCs w:val="21"/>
              </w:rPr>
              <w:t>楼梯及墙面</w:t>
            </w:r>
          </w:p>
        </w:tc>
        <w:tc>
          <w:tcPr>
            <w:tcW w:w="2551" w:type="dxa"/>
            <w:vAlign w:val="center"/>
          </w:tcPr>
          <w:p>
            <w:pPr>
              <w:spacing w:line="300" w:lineRule="auto"/>
              <w:jc w:val="center"/>
              <w:rPr>
                <w:szCs w:val="21"/>
              </w:rPr>
            </w:pPr>
            <w:r>
              <w:rPr>
                <w:rFonts w:hAnsi="宋体"/>
                <w:szCs w:val="21"/>
              </w:rPr>
              <w:t>每周检查</w:t>
            </w:r>
            <w:r>
              <w:rPr>
                <w:szCs w:val="21"/>
              </w:rPr>
              <w:t>1</w:t>
            </w:r>
            <w:r>
              <w:rPr>
                <w:rFonts w:hAnsi="宋体"/>
                <w:szCs w:val="21"/>
              </w:rPr>
              <w:t>次、即坏即修</w:t>
            </w:r>
          </w:p>
        </w:tc>
        <w:tc>
          <w:tcPr>
            <w:tcW w:w="4893" w:type="dxa"/>
            <w:vAlign w:val="center"/>
          </w:tcPr>
          <w:p>
            <w:pPr>
              <w:spacing w:line="300" w:lineRule="auto"/>
              <w:jc w:val="center"/>
              <w:rPr>
                <w:szCs w:val="21"/>
              </w:rPr>
            </w:pPr>
            <w:r>
              <w:rPr>
                <w:rFonts w:hAnsi="宋体"/>
                <w:szCs w:val="21"/>
              </w:rPr>
              <w:t>整洁、无缺损，扶手完好，楼灯正常，无张贴痕迹</w:t>
            </w:r>
          </w:p>
        </w:tc>
      </w:tr>
      <w:tr>
        <w:tblPrEx>
          <w:tblLayout w:type="fixed"/>
        </w:tblPrEx>
        <w:trPr>
          <w:cantSplit/>
          <w:trHeight w:val="315" w:hRule="atLeast"/>
          <w:jc w:val="center"/>
        </w:trPr>
        <w:tc>
          <w:tcPr>
            <w:tcW w:w="823" w:type="dxa"/>
            <w:vAlign w:val="center"/>
          </w:tcPr>
          <w:p>
            <w:pPr>
              <w:spacing w:line="300" w:lineRule="auto"/>
              <w:jc w:val="center"/>
              <w:rPr>
                <w:szCs w:val="21"/>
              </w:rPr>
            </w:pPr>
            <w:r>
              <w:rPr>
                <w:szCs w:val="21"/>
              </w:rPr>
              <w:t>5</w:t>
            </w:r>
          </w:p>
        </w:tc>
        <w:tc>
          <w:tcPr>
            <w:tcW w:w="1411" w:type="dxa"/>
            <w:vAlign w:val="center"/>
          </w:tcPr>
          <w:p>
            <w:pPr>
              <w:pStyle w:val="40"/>
              <w:pBdr>
                <w:bottom w:val="none" w:color="auto" w:sz="0" w:space="0"/>
              </w:pBdr>
              <w:tabs>
                <w:tab w:val="clear" w:pos="4153"/>
                <w:tab w:val="clear" w:pos="8306"/>
              </w:tabs>
              <w:snapToGrid/>
              <w:spacing w:line="300" w:lineRule="auto"/>
              <w:rPr>
                <w:sz w:val="21"/>
                <w:szCs w:val="21"/>
              </w:rPr>
            </w:pPr>
            <w:r>
              <w:rPr>
                <w:rFonts w:hAnsi="宋体"/>
                <w:sz w:val="21"/>
                <w:szCs w:val="21"/>
              </w:rPr>
              <w:t>明暗沟</w:t>
            </w:r>
          </w:p>
        </w:tc>
        <w:tc>
          <w:tcPr>
            <w:tcW w:w="2551" w:type="dxa"/>
            <w:vAlign w:val="center"/>
          </w:tcPr>
          <w:p>
            <w:pPr>
              <w:pStyle w:val="40"/>
              <w:pBdr>
                <w:bottom w:val="none" w:color="auto" w:sz="0" w:space="0"/>
              </w:pBdr>
              <w:tabs>
                <w:tab w:val="clear" w:pos="4153"/>
                <w:tab w:val="clear" w:pos="8306"/>
              </w:tabs>
              <w:snapToGrid/>
              <w:spacing w:line="300" w:lineRule="auto"/>
              <w:rPr>
                <w:sz w:val="21"/>
                <w:szCs w:val="21"/>
              </w:rPr>
            </w:pPr>
            <w:r>
              <w:rPr>
                <w:rFonts w:hAnsi="宋体"/>
                <w:sz w:val="21"/>
                <w:szCs w:val="21"/>
              </w:rPr>
              <w:t>每周检查</w:t>
            </w:r>
            <w:r>
              <w:rPr>
                <w:sz w:val="21"/>
                <w:szCs w:val="21"/>
              </w:rPr>
              <w:t>1</w:t>
            </w:r>
            <w:r>
              <w:rPr>
                <w:rFonts w:hAnsi="宋体"/>
                <w:sz w:val="21"/>
                <w:szCs w:val="21"/>
              </w:rPr>
              <w:t>次，即坏即修</w:t>
            </w:r>
          </w:p>
        </w:tc>
        <w:tc>
          <w:tcPr>
            <w:tcW w:w="4893" w:type="dxa"/>
            <w:vAlign w:val="center"/>
          </w:tcPr>
          <w:p>
            <w:pPr>
              <w:spacing w:line="300" w:lineRule="auto"/>
              <w:jc w:val="center"/>
              <w:rPr>
                <w:szCs w:val="21"/>
              </w:rPr>
            </w:pPr>
            <w:r>
              <w:rPr>
                <w:rFonts w:hAnsi="宋体"/>
                <w:szCs w:val="21"/>
              </w:rPr>
              <w:t>畅通、无积水、无尘土、无塌陷、无鼠洞</w:t>
            </w:r>
          </w:p>
        </w:tc>
      </w:tr>
      <w:tr>
        <w:tblPrEx>
          <w:tblLayout w:type="fixed"/>
        </w:tblPrEx>
        <w:trPr>
          <w:cantSplit/>
          <w:trHeight w:val="315" w:hRule="atLeast"/>
          <w:jc w:val="center"/>
        </w:trPr>
        <w:tc>
          <w:tcPr>
            <w:tcW w:w="823" w:type="dxa"/>
            <w:vAlign w:val="center"/>
          </w:tcPr>
          <w:p>
            <w:pPr>
              <w:spacing w:line="300" w:lineRule="auto"/>
              <w:jc w:val="center"/>
              <w:rPr>
                <w:szCs w:val="21"/>
              </w:rPr>
            </w:pPr>
            <w:r>
              <w:rPr>
                <w:szCs w:val="21"/>
              </w:rPr>
              <w:t>6</w:t>
            </w:r>
          </w:p>
        </w:tc>
        <w:tc>
          <w:tcPr>
            <w:tcW w:w="1411" w:type="dxa"/>
            <w:vAlign w:val="center"/>
          </w:tcPr>
          <w:p>
            <w:pPr>
              <w:spacing w:line="300" w:lineRule="auto"/>
              <w:jc w:val="center"/>
              <w:rPr>
                <w:szCs w:val="21"/>
              </w:rPr>
            </w:pPr>
            <w:r>
              <w:rPr>
                <w:rFonts w:hAnsi="宋体"/>
                <w:szCs w:val="21"/>
              </w:rPr>
              <w:t>污水管</w:t>
            </w:r>
          </w:p>
        </w:tc>
        <w:tc>
          <w:tcPr>
            <w:tcW w:w="2551" w:type="dxa"/>
            <w:vAlign w:val="center"/>
          </w:tcPr>
          <w:p>
            <w:pPr>
              <w:spacing w:line="300" w:lineRule="auto"/>
              <w:jc w:val="center"/>
              <w:rPr>
                <w:szCs w:val="21"/>
              </w:rPr>
            </w:pPr>
            <w:r>
              <w:rPr>
                <w:rFonts w:hAnsi="宋体"/>
                <w:szCs w:val="21"/>
              </w:rPr>
              <w:t>每月检查</w:t>
            </w:r>
            <w:r>
              <w:rPr>
                <w:szCs w:val="21"/>
              </w:rPr>
              <w:t>1</w:t>
            </w:r>
            <w:r>
              <w:rPr>
                <w:rFonts w:hAnsi="宋体"/>
                <w:szCs w:val="21"/>
              </w:rPr>
              <w:t>次</w:t>
            </w:r>
          </w:p>
        </w:tc>
        <w:tc>
          <w:tcPr>
            <w:tcW w:w="4893" w:type="dxa"/>
            <w:vAlign w:val="center"/>
          </w:tcPr>
          <w:p>
            <w:pPr>
              <w:spacing w:line="300" w:lineRule="auto"/>
              <w:jc w:val="center"/>
              <w:rPr>
                <w:szCs w:val="21"/>
              </w:rPr>
            </w:pPr>
            <w:r>
              <w:rPr>
                <w:rFonts w:hAnsi="宋体"/>
                <w:szCs w:val="21"/>
              </w:rPr>
              <w:t>无堵、少污积、无外溢</w:t>
            </w:r>
          </w:p>
        </w:tc>
      </w:tr>
    </w:tbl>
    <w:p>
      <w:pPr>
        <w:widowControl/>
        <w:spacing w:line="300" w:lineRule="auto"/>
        <w:ind w:firstLine="420"/>
        <w:rPr>
          <w:kern w:val="0"/>
          <w:szCs w:val="21"/>
        </w:rPr>
      </w:pPr>
      <w:r>
        <w:rPr>
          <w:rFonts w:hAnsi="宋体"/>
          <w:kern w:val="0"/>
          <w:szCs w:val="21"/>
        </w:rPr>
        <w:t>（四）机电设备的维修养护标准</w:t>
      </w:r>
    </w:p>
    <w:p>
      <w:pPr>
        <w:widowControl/>
        <w:spacing w:line="300" w:lineRule="auto"/>
        <w:ind w:firstLine="420"/>
        <w:rPr>
          <w:kern w:val="0"/>
          <w:szCs w:val="21"/>
          <w:highlight w:val="yellow"/>
        </w:rPr>
      </w:pPr>
      <w:r>
        <w:rPr>
          <w:rFonts w:hAnsi="宋体"/>
          <w:kern w:val="0"/>
          <w:szCs w:val="21"/>
          <w:highlight w:val="none"/>
        </w:rPr>
        <w:t>★</w:t>
      </w:r>
      <w:r>
        <w:rPr>
          <w:kern w:val="0"/>
          <w:szCs w:val="21"/>
          <w:highlight w:val="none"/>
        </w:rPr>
        <w:t>1.</w:t>
      </w:r>
      <w:r>
        <w:rPr>
          <w:rFonts w:hAnsi="宋体"/>
          <w:kern w:val="0"/>
          <w:szCs w:val="21"/>
          <w:highlight w:val="none"/>
        </w:rPr>
        <w:t>水电技术人员人数：不少于</w:t>
      </w:r>
      <w:r>
        <w:rPr>
          <w:kern w:val="0"/>
          <w:szCs w:val="21"/>
          <w:highlight w:val="none"/>
        </w:rPr>
        <w:t>1</w:t>
      </w:r>
      <w:r>
        <w:rPr>
          <w:rFonts w:hAnsi="宋体"/>
          <w:kern w:val="0"/>
          <w:szCs w:val="21"/>
          <w:highlight w:val="none"/>
        </w:rPr>
        <w:t>人。</w:t>
      </w:r>
    </w:p>
    <w:p>
      <w:pPr>
        <w:widowControl/>
        <w:spacing w:line="300" w:lineRule="auto"/>
        <w:ind w:firstLine="420"/>
        <w:rPr>
          <w:rFonts w:hAnsi="宋体"/>
          <w:kern w:val="0"/>
          <w:szCs w:val="21"/>
        </w:rPr>
      </w:pPr>
      <w:r>
        <w:rPr>
          <w:kern w:val="0"/>
          <w:szCs w:val="21"/>
        </w:rPr>
        <w:t>2.</w:t>
      </w:r>
      <w:r>
        <w:rPr>
          <w:rFonts w:hAnsi="宋体"/>
          <w:kern w:val="0"/>
          <w:szCs w:val="21"/>
        </w:rPr>
        <w:t>水电技术人员年龄不超过</w:t>
      </w:r>
      <w:r>
        <w:rPr>
          <w:kern w:val="0"/>
          <w:szCs w:val="21"/>
        </w:rPr>
        <w:t>45</w:t>
      </w:r>
      <w:r>
        <w:rPr>
          <w:rFonts w:hAnsi="宋体"/>
          <w:kern w:val="0"/>
          <w:szCs w:val="21"/>
        </w:rPr>
        <w:t>周岁。</w:t>
      </w:r>
    </w:p>
    <w:p>
      <w:pPr>
        <w:widowControl/>
        <w:spacing w:line="300" w:lineRule="auto"/>
        <w:ind w:firstLine="420"/>
        <w:rPr>
          <w:kern w:val="0"/>
          <w:szCs w:val="21"/>
        </w:rPr>
      </w:pPr>
      <w:r>
        <w:rPr>
          <w:rFonts w:hAnsi="宋体"/>
          <w:kern w:val="0"/>
          <w:szCs w:val="21"/>
        </w:rPr>
        <w:t>★</w:t>
      </w:r>
      <w:r>
        <w:rPr>
          <w:rFonts w:hint="eastAsia" w:hAnsi="宋体"/>
          <w:kern w:val="0"/>
          <w:szCs w:val="21"/>
        </w:rPr>
        <w:t>3.</w:t>
      </w:r>
      <w:r>
        <w:rPr>
          <w:rFonts w:hAnsi="宋体"/>
          <w:kern w:val="0"/>
          <w:szCs w:val="21"/>
        </w:rPr>
        <w:t>中标后，所有水电技术人员要求经相关培训后持特种作业操作证（作业类别：电工作业）上岗，其中至少</w:t>
      </w:r>
      <w:r>
        <w:rPr>
          <w:kern w:val="0"/>
          <w:szCs w:val="21"/>
        </w:rPr>
        <w:t>1</w:t>
      </w:r>
      <w:r>
        <w:rPr>
          <w:rFonts w:hAnsi="宋体"/>
          <w:kern w:val="0"/>
          <w:szCs w:val="21"/>
        </w:rPr>
        <w:t>人须同时持电工进网作业许可证（作业类别：高压）上岗。机电设备日常维护管理的内容有：供配电系统</w:t>
      </w:r>
      <w:r>
        <w:rPr>
          <w:kern w:val="0"/>
          <w:szCs w:val="21"/>
        </w:rPr>
        <w:t>24</w:t>
      </w:r>
      <w:r>
        <w:rPr>
          <w:rFonts w:hAnsi="宋体"/>
          <w:kern w:val="0"/>
          <w:szCs w:val="21"/>
        </w:rPr>
        <w:t>小时专人值班守护，运行记录、清除框内外灰尘、污垢，机房保洁，按维修保养计划定期保养，保持良好的备用状态。空调系统每天上班前半小时开机，按季节设定空调温度，定时做主机运行记录，定期清洗盘管风机和风柜。</w:t>
      </w:r>
    </w:p>
    <w:p>
      <w:pPr>
        <w:widowControl/>
        <w:spacing w:line="300" w:lineRule="auto"/>
        <w:ind w:firstLine="420"/>
        <w:rPr>
          <w:kern w:val="0"/>
          <w:szCs w:val="21"/>
        </w:rPr>
      </w:pPr>
      <w:r>
        <w:rPr>
          <w:rFonts w:hint="eastAsia"/>
          <w:kern w:val="0"/>
          <w:szCs w:val="21"/>
        </w:rPr>
        <w:t>4</w:t>
      </w:r>
      <w:r>
        <w:rPr>
          <w:kern w:val="0"/>
          <w:szCs w:val="21"/>
        </w:rPr>
        <w:t>.</w:t>
      </w:r>
      <w:r>
        <w:rPr>
          <w:rFonts w:hAnsi="宋体"/>
          <w:kern w:val="0"/>
          <w:szCs w:val="21"/>
        </w:rPr>
        <w:t>高低配电系统维修养护计划和标准：</w:t>
      </w:r>
    </w:p>
    <w:tbl>
      <w:tblPr>
        <w:tblStyle w:val="61"/>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4395"/>
        <w:gridCol w:w="4478"/>
      </w:tblGrid>
      <w:tr>
        <w:tblPrEx>
          <w:tblLayout w:type="fixed"/>
        </w:tblPrEx>
        <w:trPr>
          <w:trHeight w:val="362" w:hRule="atLeast"/>
          <w:jc w:val="center"/>
        </w:trPr>
        <w:tc>
          <w:tcPr>
            <w:tcW w:w="675" w:type="dxa"/>
            <w:vAlign w:val="center"/>
          </w:tcPr>
          <w:p>
            <w:pPr>
              <w:spacing w:line="300" w:lineRule="auto"/>
              <w:jc w:val="center"/>
              <w:rPr>
                <w:b/>
                <w:szCs w:val="21"/>
              </w:rPr>
            </w:pPr>
            <w:r>
              <w:rPr>
                <w:rFonts w:hAnsi="宋体"/>
                <w:b/>
                <w:szCs w:val="21"/>
              </w:rPr>
              <w:t>序号</w:t>
            </w:r>
          </w:p>
        </w:tc>
        <w:tc>
          <w:tcPr>
            <w:tcW w:w="1134" w:type="dxa"/>
            <w:vAlign w:val="center"/>
          </w:tcPr>
          <w:p>
            <w:pPr>
              <w:spacing w:line="300" w:lineRule="auto"/>
              <w:jc w:val="center"/>
              <w:rPr>
                <w:b/>
                <w:szCs w:val="21"/>
              </w:rPr>
            </w:pPr>
            <w:r>
              <w:rPr>
                <w:rFonts w:hAnsi="宋体"/>
                <w:b/>
                <w:szCs w:val="21"/>
              </w:rPr>
              <w:t>保养周期</w:t>
            </w:r>
          </w:p>
        </w:tc>
        <w:tc>
          <w:tcPr>
            <w:tcW w:w="4395" w:type="dxa"/>
            <w:vAlign w:val="center"/>
          </w:tcPr>
          <w:p>
            <w:pPr>
              <w:spacing w:line="300" w:lineRule="auto"/>
              <w:jc w:val="center"/>
              <w:rPr>
                <w:b/>
                <w:szCs w:val="21"/>
              </w:rPr>
            </w:pPr>
            <w:r>
              <w:rPr>
                <w:rFonts w:hAnsi="宋体"/>
                <w:b/>
                <w:szCs w:val="21"/>
              </w:rPr>
              <w:t>保养内容</w:t>
            </w:r>
          </w:p>
        </w:tc>
        <w:tc>
          <w:tcPr>
            <w:tcW w:w="4478" w:type="dxa"/>
            <w:vAlign w:val="center"/>
          </w:tcPr>
          <w:p>
            <w:pPr>
              <w:spacing w:line="300" w:lineRule="auto"/>
              <w:jc w:val="center"/>
              <w:rPr>
                <w:b/>
                <w:szCs w:val="21"/>
              </w:rPr>
            </w:pPr>
            <w:r>
              <w:rPr>
                <w:rFonts w:hAnsi="宋体"/>
                <w:b/>
                <w:szCs w:val="21"/>
              </w:rPr>
              <w:t>保养标准</w:t>
            </w:r>
          </w:p>
        </w:tc>
      </w:tr>
      <w:tr>
        <w:tblPrEx>
          <w:tblLayout w:type="fixed"/>
        </w:tblPrEx>
        <w:trPr>
          <w:trHeight w:val="345" w:hRule="atLeast"/>
          <w:jc w:val="center"/>
        </w:trPr>
        <w:tc>
          <w:tcPr>
            <w:tcW w:w="675" w:type="dxa"/>
            <w:vAlign w:val="center"/>
          </w:tcPr>
          <w:p>
            <w:pPr>
              <w:spacing w:line="300" w:lineRule="auto"/>
              <w:jc w:val="center"/>
              <w:rPr>
                <w:szCs w:val="21"/>
              </w:rPr>
            </w:pPr>
            <w:r>
              <w:rPr>
                <w:szCs w:val="21"/>
              </w:rPr>
              <w:t>1</w:t>
            </w:r>
          </w:p>
        </w:tc>
        <w:tc>
          <w:tcPr>
            <w:tcW w:w="1134" w:type="dxa"/>
            <w:vAlign w:val="center"/>
          </w:tcPr>
          <w:p>
            <w:pPr>
              <w:spacing w:line="300" w:lineRule="auto"/>
              <w:jc w:val="center"/>
              <w:rPr>
                <w:szCs w:val="21"/>
              </w:rPr>
            </w:pPr>
            <w:r>
              <w:rPr>
                <w:rFonts w:hAnsi="宋体"/>
                <w:szCs w:val="21"/>
              </w:rPr>
              <w:t>日常保养</w:t>
            </w:r>
          </w:p>
        </w:tc>
        <w:tc>
          <w:tcPr>
            <w:tcW w:w="4395" w:type="dxa"/>
            <w:vAlign w:val="center"/>
          </w:tcPr>
          <w:p>
            <w:pPr>
              <w:spacing w:line="300" w:lineRule="auto"/>
              <w:rPr>
                <w:szCs w:val="21"/>
              </w:rPr>
            </w:pPr>
            <w:r>
              <w:rPr>
                <w:rFonts w:hAnsi="宋体"/>
                <w:szCs w:val="21"/>
              </w:rPr>
              <w:t>高低压配电室清洁；检查仪表、指示灯是否正常；检查变压器外观、运行温度和噪音</w:t>
            </w:r>
          </w:p>
        </w:tc>
        <w:tc>
          <w:tcPr>
            <w:tcW w:w="4478" w:type="dxa"/>
            <w:vAlign w:val="center"/>
          </w:tcPr>
          <w:p>
            <w:pPr>
              <w:pStyle w:val="55"/>
              <w:spacing w:line="300" w:lineRule="auto"/>
              <w:rPr>
                <w:sz w:val="21"/>
                <w:szCs w:val="21"/>
              </w:rPr>
            </w:pPr>
            <w:r>
              <w:rPr>
                <w:rFonts w:hAnsi="宋体"/>
                <w:sz w:val="21"/>
                <w:szCs w:val="21"/>
              </w:rPr>
              <w:t>室内环境整洁；配电柜内外无杂物和污物；电缆沟线无积水；仪表指示灯显示正常。</w:t>
            </w:r>
          </w:p>
        </w:tc>
      </w:tr>
      <w:tr>
        <w:tblPrEx>
          <w:tblLayout w:type="fixed"/>
        </w:tblPrEx>
        <w:trPr>
          <w:trHeight w:val="306" w:hRule="atLeast"/>
          <w:jc w:val="center"/>
        </w:trPr>
        <w:tc>
          <w:tcPr>
            <w:tcW w:w="675" w:type="dxa"/>
            <w:vAlign w:val="center"/>
          </w:tcPr>
          <w:p>
            <w:pPr>
              <w:spacing w:line="300" w:lineRule="auto"/>
              <w:jc w:val="center"/>
              <w:rPr>
                <w:szCs w:val="21"/>
              </w:rPr>
            </w:pPr>
            <w:r>
              <w:rPr>
                <w:szCs w:val="21"/>
              </w:rPr>
              <w:t>2</w:t>
            </w:r>
          </w:p>
        </w:tc>
        <w:tc>
          <w:tcPr>
            <w:tcW w:w="1134" w:type="dxa"/>
            <w:vAlign w:val="center"/>
          </w:tcPr>
          <w:p>
            <w:pPr>
              <w:spacing w:line="300" w:lineRule="auto"/>
              <w:jc w:val="center"/>
              <w:rPr>
                <w:szCs w:val="21"/>
              </w:rPr>
            </w:pPr>
            <w:r>
              <w:rPr>
                <w:rFonts w:hAnsi="宋体"/>
                <w:szCs w:val="21"/>
              </w:rPr>
              <w:t>每周保养</w:t>
            </w:r>
          </w:p>
        </w:tc>
        <w:tc>
          <w:tcPr>
            <w:tcW w:w="4395" w:type="dxa"/>
            <w:vAlign w:val="center"/>
          </w:tcPr>
          <w:p>
            <w:pPr>
              <w:spacing w:line="300" w:lineRule="auto"/>
              <w:rPr>
                <w:szCs w:val="21"/>
              </w:rPr>
            </w:pPr>
            <w:r>
              <w:rPr>
                <w:rFonts w:hAnsi="宋体"/>
                <w:szCs w:val="21"/>
              </w:rPr>
              <w:t>检查配电元件和线路连接</w:t>
            </w:r>
          </w:p>
        </w:tc>
        <w:tc>
          <w:tcPr>
            <w:tcW w:w="4478" w:type="dxa"/>
            <w:vAlign w:val="center"/>
          </w:tcPr>
          <w:p>
            <w:pPr>
              <w:spacing w:line="300" w:lineRule="auto"/>
              <w:rPr>
                <w:szCs w:val="21"/>
              </w:rPr>
            </w:pPr>
            <w:r>
              <w:rPr>
                <w:rFonts w:hAnsi="宋体"/>
                <w:szCs w:val="21"/>
              </w:rPr>
              <w:t>元件和线路表面完好无损，压接良好。</w:t>
            </w:r>
          </w:p>
        </w:tc>
      </w:tr>
      <w:tr>
        <w:tblPrEx>
          <w:tblLayout w:type="fixed"/>
        </w:tblPrEx>
        <w:trPr>
          <w:trHeight w:val="312" w:hRule="atLeast"/>
          <w:jc w:val="center"/>
        </w:trPr>
        <w:tc>
          <w:tcPr>
            <w:tcW w:w="675" w:type="dxa"/>
            <w:vAlign w:val="center"/>
          </w:tcPr>
          <w:p>
            <w:pPr>
              <w:spacing w:line="300" w:lineRule="auto"/>
              <w:jc w:val="center"/>
              <w:rPr>
                <w:szCs w:val="21"/>
              </w:rPr>
            </w:pPr>
            <w:r>
              <w:rPr>
                <w:szCs w:val="21"/>
              </w:rPr>
              <w:t>3</w:t>
            </w:r>
          </w:p>
        </w:tc>
        <w:tc>
          <w:tcPr>
            <w:tcW w:w="1134" w:type="dxa"/>
            <w:vAlign w:val="center"/>
          </w:tcPr>
          <w:p>
            <w:pPr>
              <w:spacing w:line="300" w:lineRule="auto"/>
              <w:jc w:val="center"/>
              <w:rPr>
                <w:szCs w:val="21"/>
              </w:rPr>
            </w:pPr>
            <w:r>
              <w:rPr>
                <w:rFonts w:hAnsi="宋体"/>
                <w:szCs w:val="21"/>
              </w:rPr>
              <w:t>每月保养</w:t>
            </w:r>
          </w:p>
        </w:tc>
        <w:tc>
          <w:tcPr>
            <w:tcW w:w="4395" w:type="dxa"/>
            <w:vAlign w:val="center"/>
          </w:tcPr>
          <w:p>
            <w:pPr>
              <w:spacing w:line="300" w:lineRule="auto"/>
              <w:rPr>
                <w:szCs w:val="21"/>
              </w:rPr>
            </w:pPr>
            <w:r>
              <w:rPr>
                <w:rFonts w:hAnsi="宋体"/>
                <w:szCs w:val="21"/>
              </w:rPr>
              <w:t>检查井道内电缆、切换箱、</w:t>
            </w:r>
            <w:r>
              <w:rPr>
                <w:szCs w:val="21"/>
              </w:rPr>
              <w:t>T</w:t>
            </w:r>
            <w:r>
              <w:rPr>
                <w:rFonts w:hAnsi="宋体"/>
                <w:szCs w:val="21"/>
              </w:rPr>
              <w:t>接箱和控制箱；检查变压器测温报警系统及通风系统。</w:t>
            </w:r>
          </w:p>
        </w:tc>
        <w:tc>
          <w:tcPr>
            <w:tcW w:w="4478" w:type="dxa"/>
            <w:vAlign w:val="center"/>
          </w:tcPr>
          <w:p>
            <w:pPr>
              <w:spacing w:line="300" w:lineRule="auto"/>
              <w:rPr>
                <w:szCs w:val="21"/>
              </w:rPr>
            </w:pPr>
            <w:r>
              <w:rPr>
                <w:rFonts w:hAnsi="宋体"/>
                <w:szCs w:val="21"/>
              </w:rPr>
              <w:t>井道内清洁干燥；电缆表面完好，标号牌齐全，接地良好；各种控制箱应完好、清洁；操作良好</w:t>
            </w:r>
          </w:p>
        </w:tc>
      </w:tr>
      <w:tr>
        <w:tblPrEx>
          <w:tblLayout w:type="fixed"/>
        </w:tblPrEx>
        <w:trPr>
          <w:trHeight w:val="56" w:hRule="atLeast"/>
          <w:jc w:val="center"/>
        </w:trPr>
        <w:tc>
          <w:tcPr>
            <w:tcW w:w="675" w:type="dxa"/>
            <w:vAlign w:val="center"/>
          </w:tcPr>
          <w:p>
            <w:pPr>
              <w:spacing w:line="300" w:lineRule="auto"/>
              <w:jc w:val="center"/>
              <w:rPr>
                <w:szCs w:val="21"/>
              </w:rPr>
            </w:pPr>
            <w:r>
              <w:rPr>
                <w:szCs w:val="21"/>
              </w:rPr>
              <w:t>4</w:t>
            </w:r>
          </w:p>
        </w:tc>
        <w:tc>
          <w:tcPr>
            <w:tcW w:w="1134" w:type="dxa"/>
            <w:vAlign w:val="center"/>
          </w:tcPr>
          <w:p>
            <w:pPr>
              <w:spacing w:line="300" w:lineRule="auto"/>
              <w:jc w:val="center"/>
              <w:rPr>
                <w:szCs w:val="21"/>
              </w:rPr>
            </w:pPr>
            <w:r>
              <w:rPr>
                <w:rFonts w:hAnsi="宋体"/>
                <w:szCs w:val="21"/>
              </w:rPr>
              <w:t>每季保养</w:t>
            </w:r>
          </w:p>
        </w:tc>
        <w:tc>
          <w:tcPr>
            <w:tcW w:w="4395" w:type="dxa"/>
            <w:vAlign w:val="center"/>
          </w:tcPr>
          <w:p>
            <w:pPr>
              <w:spacing w:line="300" w:lineRule="auto"/>
              <w:rPr>
                <w:szCs w:val="21"/>
              </w:rPr>
            </w:pPr>
            <w:r>
              <w:rPr>
                <w:rFonts w:hAnsi="宋体"/>
                <w:szCs w:val="21"/>
              </w:rPr>
              <w:t>低压配电柜箱内元件检查、清洁（每二季一次）</w:t>
            </w:r>
          </w:p>
        </w:tc>
        <w:tc>
          <w:tcPr>
            <w:tcW w:w="4478" w:type="dxa"/>
            <w:vAlign w:val="center"/>
          </w:tcPr>
          <w:p>
            <w:pPr>
              <w:spacing w:line="300" w:lineRule="auto"/>
              <w:rPr>
                <w:szCs w:val="21"/>
              </w:rPr>
            </w:pPr>
            <w:r>
              <w:rPr>
                <w:rFonts w:hAnsi="宋体"/>
                <w:szCs w:val="21"/>
              </w:rPr>
              <w:t>柜内无灰尘污物，螺丝坚固</w:t>
            </w:r>
          </w:p>
        </w:tc>
      </w:tr>
      <w:tr>
        <w:tblPrEx>
          <w:tblLayout w:type="fixed"/>
        </w:tblPrEx>
        <w:trPr>
          <w:trHeight w:val="56" w:hRule="atLeast"/>
          <w:jc w:val="center"/>
        </w:trPr>
        <w:tc>
          <w:tcPr>
            <w:tcW w:w="675" w:type="dxa"/>
            <w:vAlign w:val="center"/>
          </w:tcPr>
          <w:p>
            <w:pPr>
              <w:spacing w:line="300" w:lineRule="auto"/>
              <w:jc w:val="center"/>
              <w:rPr>
                <w:szCs w:val="21"/>
              </w:rPr>
            </w:pPr>
            <w:r>
              <w:rPr>
                <w:szCs w:val="21"/>
              </w:rPr>
              <w:t>5</w:t>
            </w:r>
          </w:p>
        </w:tc>
        <w:tc>
          <w:tcPr>
            <w:tcW w:w="1134" w:type="dxa"/>
            <w:vAlign w:val="center"/>
          </w:tcPr>
          <w:p>
            <w:pPr>
              <w:spacing w:line="300" w:lineRule="auto"/>
              <w:jc w:val="center"/>
              <w:rPr>
                <w:szCs w:val="21"/>
              </w:rPr>
            </w:pPr>
            <w:r>
              <w:rPr>
                <w:rFonts w:hAnsi="宋体"/>
                <w:szCs w:val="21"/>
              </w:rPr>
              <w:t>每年保养</w:t>
            </w:r>
          </w:p>
        </w:tc>
        <w:tc>
          <w:tcPr>
            <w:tcW w:w="4395" w:type="dxa"/>
            <w:vAlign w:val="center"/>
          </w:tcPr>
          <w:p>
            <w:pPr>
              <w:spacing w:line="300" w:lineRule="auto"/>
              <w:rPr>
                <w:szCs w:val="21"/>
              </w:rPr>
            </w:pPr>
            <w:r>
              <w:rPr>
                <w:rFonts w:hAnsi="宋体"/>
                <w:szCs w:val="21"/>
              </w:rPr>
              <w:t>预防性试验（每二年一次）</w:t>
            </w:r>
          </w:p>
        </w:tc>
        <w:tc>
          <w:tcPr>
            <w:tcW w:w="4478" w:type="dxa"/>
            <w:vAlign w:val="center"/>
          </w:tcPr>
          <w:p>
            <w:pPr>
              <w:spacing w:line="300" w:lineRule="auto"/>
              <w:rPr>
                <w:szCs w:val="21"/>
              </w:rPr>
            </w:pPr>
            <w:r>
              <w:rPr>
                <w:rFonts w:hAnsi="宋体"/>
                <w:szCs w:val="21"/>
              </w:rPr>
              <w:t>参照</w:t>
            </w:r>
            <w:r>
              <w:rPr>
                <w:szCs w:val="21"/>
              </w:rPr>
              <w:t>GB50150-91</w:t>
            </w:r>
            <w:r>
              <w:rPr>
                <w:rFonts w:hAnsi="宋体"/>
                <w:szCs w:val="21"/>
              </w:rPr>
              <w:t>标准要求</w:t>
            </w:r>
          </w:p>
        </w:tc>
      </w:tr>
    </w:tbl>
    <w:p>
      <w:pPr>
        <w:widowControl/>
        <w:spacing w:line="300" w:lineRule="auto"/>
        <w:ind w:firstLine="420"/>
        <w:rPr>
          <w:kern w:val="0"/>
          <w:szCs w:val="21"/>
        </w:rPr>
      </w:pPr>
      <w:r>
        <w:rPr>
          <w:rFonts w:hint="eastAsia"/>
          <w:kern w:val="0"/>
          <w:szCs w:val="21"/>
        </w:rPr>
        <w:t>5</w:t>
      </w:r>
      <w:r>
        <w:rPr>
          <w:kern w:val="0"/>
          <w:szCs w:val="21"/>
        </w:rPr>
        <w:t>.</w:t>
      </w:r>
      <w:r>
        <w:rPr>
          <w:rFonts w:hAnsi="宋体"/>
          <w:kern w:val="0"/>
          <w:szCs w:val="21"/>
        </w:rPr>
        <w:t>给水系统（包括空调水系统、消防水系统等系统）维修养护计划和标准</w:t>
      </w:r>
    </w:p>
    <w:tbl>
      <w:tblPr>
        <w:tblStyle w:val="61"/>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447"/>
        <w:gridCol w:w="3936"/>
        <w:gridCol w:w="4533"/>
      </w:tblGrid>
      <w:tr>
        <w:tblPrEx>
          <w:tblLayout w:type="fixed"/>
        </w:tblPrEx>
        <w:trPr>
          <w:trHeight w:val="159" w:hRule="atLeast"/>
          <w:jc w:val="center"/>
        </w:trPr>
        <w:tc>
          <w:tcPr>
            <w:tcW w:w="766" w:type="dxa"/>
          </w:tcPr>
          <w:p>
            <w:pPr>
              <w:spacing w:line="300" w:lineRule="auto"/>
              <w:jc w:val="center"/>
              <w:rPr>
                <w:b/>
                <w:szCs w:val="21"/>
              </w:rPr>
            </w:pPr>
            <w:r>
              <w:rPr>
                <w:rFonts w:hAnsi="宋体"/>
                <w:b/>
                <w:szCs w:val="21"/>
              </w:rPr>
              <w:t>序号</w:t>
            </w:r>
          </w:p>
        </w:tc>
        <w:tc>
          <w:tcPr>
            <w:tcW w:w="1447" w:type="dxa"/>
            <w:vAlign w:val="center"/>
          </w:tcPr>
          <w:p>
            <w:pPr>
              <w:spacing w:line="300" w:lineRule="auto"/>
              <w:jc w:val="center"/>
              <w:rPr>
                <w:b/>
                <w:szCs w:val="21"/>
              </w:rPr>
            </w:pPr>
            <w:r>
              <w:rPr>
                <w:rFonts w:hAnsi="宋体"/>
                <w:b/>
                <w:szCs w:val="21"/>
              </w:rPr>
              <w:t>保养周期</w:t>
            </w:r>
          </w:p>
        </w:tc>
        <w:tc>
          <w:tcPr>
            <w:tcW w:w="3936" w:type="dxa"/>
            <w:vAlign w:val="center"/>
          </w:tcPr>
          <w:p>
            <w:pPr>
              <w:spacing w:line="300" w:lineRule="auto"/>
              <w:jc w:val="center"/>
              <w:rPr>
                <w:b/>
                <w:szCs w:val="21"/>
              </w:rPr>
            </w:pPr>
            <w:r>
              <w:rPr>
                <w:rFonts w:hAnsi="宋体"/>
                <w:b/>
                <w:szCs w:val="21"/>
              </w:rPr>
              <w:t>保养内容</w:t>
            </w:r>
          </w:p>
        </w:tc>
        <w:tc>
          <w:tcPr>
            <w:tcW w:w="4533" w:type="dxa"/>
            <w:vAlign w:val="center"/>
          </w:tcPr>
          <w:p>
            <w:pPr>
              <w:spacing w:line="300" w:lineRule="auto"/>
              <w:jc w:val="center"/>
              <w:rPr>
                <w:b/>
                <w:szCs w:val="21"/>
              </w:rPr>
            </w:pPr>
            <w:r>
              <w:rPr>
                <w:rFonts w:hAnsi="宋体"/>
                <w:b/>
                <w:szCs w:val="21"/>
              </w:rPr>
              <w:t>保养标准</w:t>
            </w:r>
          </w:p>
        </w:tc>
      </w:tr>
      <w:tr>
        <w:tblPrEx>
          <w:tblLayout w:type="fixed"/>
        </w:tblPrEx>
        <w:trPr>
          <w:jc w:val="center"/>
        </w:trPr>
        <w:tc>
          <w:tcPr>
            <w:tcW w:w="766" w:type="dxa"/>
            <w:vAlign w:val="center"/>
          </w:tcPr>
          <w:p>
            <w:pPr>
              <w:spacing w:line="300" w:lineRule="auto"/>
              <w:jc w:val="center"/>
              <w:rPr>
                <w:szCs w:val="21"/>
              </w:rPr>
            </w:pPr>
            <w:r>
              <w:rPr>
                <w:szCs w:val="21"/>
              </w:rPr>
              <w:t>1</w:t>
            </w:r>
          </w:p>
        </w:tc>
        <w:tc>
          <w:tcPr>
            <w:tcW w:w="1447" w:type="dxa"/>
            <w:vAlign w:val="center"/>
          </w:tcPr>
          <w:p>
            <w:pPr>
              <w:spacing w:line="300" w:lineRule="auto"/>
              <w:jc w:val="center"/>
              <w:rPr>
                <w:szCs w:val="21"/>
              </w:rPr>
            </w:pPr>
            <w:r>
              <w:rPr>
                <w:rFonts w:hAnsi="宋体"/>
                <w:szCs w:val="21"/>
              </w:rPr>
              <w:t>日常保养</w:t>
            </w:r>
          </w:p>
        </w:tc>
        <w:tc>
          <w:tcPr>
            <w:tcW w:w="3936" w:type="dxa"/>
            <w:vAlign w:val="center"/>
          </w:tcPr>
          <w:p>
            <w:pPr>
              <w:spacing w:line="300" w:lineRule="auto"/>
              <w:rPr>
                <w:szCs w:val="21"/>
              </w:rPr>
            </w:pPr>
            <w:r>
              <w:rPr>
                <w:rFonts w:hAnsi="宋体"/>
                <w:szCs w:val="21"/>
              </w:rPr>
              <w:t>检查水泵外观、运行温度压力和声音；水泵、阀门和管道有无锈蚀和渗漏。</w:t>
            </w:r>
          </w:p>
        </w:tc>
        <w:tc>
          <w:tcPr>
            <w:tcW w:w="4533" w:type="dxa"/>
            <w:vAlign w:val="center"/>
          </w:tcPr>
          <w:p>
            <w:pPr>
              <w:spacing w:line="300" w:lineRule="auto"/>
              <w:rPr>
                <w:szCs w:val="21"/>
              </w:rPr>
            </w:pPr>
            <w:r>
              <w:rPr>
                <w:rFonts w:hAnsi="宋体"/>
                <w:szCs w:val="21"/>
              </w:rPr>
              <w:t>水泵、阀门和管道表面无污物、无锈蚀和无渗漏；管道压力正常、水泵运行无异常噪声。</w:t>
            </w:r>
          </w:p>
        </w:tc>
      </w:tr>
      <w:tr>
        <w:tblPrEx>
          <w:tblLayout w:type="fixed"/>
        </w:tblPrEx>
        <w:trPr>
          <w:jc w:val="center"/>
        </w:trPr>
        <w:tc>
          <w:tcPr>
            <w:tcW w:w="766" w:type="dxa"/>
            <w:vAlign w:val="center"/>
          </w:tcPr>
          <w:p>
            <w:pPr>
              <w:spacing w:line="300" w:lineRule="auto"/>
              <w:jc w:val="center"/>
              <w:rPr>
                <w:szCs w:val="21"/>
              </w:rPr>
            </w:pPr>
            <w:r>
              <w:rPr>
                <w:szCs w:val="21"/>
              </w:rPr>
              <w:t>2</w:t>
            </w:r>
          </w:p>
        </w:tc>
        <w:tc>
          <w:tcPr>
            <w:tcW w:w="1447" w:type="dxa"/>
            <w:vAlign w:val="center"/>
          </w:tcPr>
          <w:p>
            <w:pPr>
              <w:spacing w:line="300" w:lineRule="auto"/>
              <w:jc w:val="center"/>
              <w:rPr>
                <w:szCs w:val="21"/>
              </w:rPr>
            </w:pPr>
            <w:r>
              <w:rPr>
                <w:rFonts w:hAnsi="宋体"/>
                <w:szCs w:val="21"/>
              </w:rPr>
              <w:t>每周保养</w:t>
            </w:r>
          </w:p>
        </w:tc>
        <w:tc>
          <w:tcPr>
            <w:tcW w:w="3936" w:type="dxa"/>
            <w:vAlign w:val="center"/>
          </w:tcPr>
          <w:p>
            <w:pPr>
              <w:spacing w:line="300" w:lineRule="auto"/>
              <w:rPr>
                <w:szCs w:val="21"/>
              </w:rPr>
            </w:pPr>
            <w:r>
              <w:rPr>
                <w:rFonts w:hAnsi="宋体"/>
                <w:szCs w:val="21"/>
              </w:rPr>
              <w:t>生活水泵轮换运行；消防栓、水泵接合器；喷淋管道的阀是否打开。</w:t>
            </w:r>
          </w:p>
        </w:tc>
        <w:tc>
          <w:tcPr>
            <w:tcW w:w="4533" w:type="dxa"/>
            <w:vAlign w:val="center"/>
          </w:tcPr>
          <w:p>
            <w:pPr>
              <w:spacing w:line="300" w:lineRule="auto"/>
              <w:rPr>
                <w:szCs w:val="21"/>
              </w:rPr>
            </w:pPr>
            <w:r>
              <w:rPr>
                <w:rFonts w:hAnsi="宋体"/>
                <w:szCs w:val="21"/>
              </w:rPr>
              <w:t>消防水系统阀门保持常开；水泵接合器无漏水</w:t>
            </w:r>
          </w:p>
        </w:tc>
      </w:tr>
      <w:tr>
        <w:tblPrEx>
          <w:tblLayout w:type="fixed"/>
        </w:tblPrEx>
        <w:trPr>
          <w:jc w:val="center"/>
        </w:trPr>
        <w:tc>
          <w:tcPr>
            <w:tcW w:w="766" w:type="dxa"/>
            <w:vAlign w:val="center"/>
          </w:tcPr>
          <w:p>
            <w:pPr>
              <w:spacing w:line="300" w:lineRule="auto"/>
              <w:jc w:val="center"/>
              <w:rPr>
                <w:szCs w:val="21"/>
              </w:rPr>
            </w:pPr>
            <w:r>
              <w:rPr>
                <w:szCs w:val="21"/>
              </w:rPr>
              <w:t>3</w:t>
            </w:r>
          </w:p>
        </w:tc>
        <w:tc>
          <w:tcPr>
            <w:tcW w:w="1447" w:type="dxa"/>
            <w:vAlign w:val="center"/>
          </w:tcPr>
          <w:p>
            <w:pPr>
              <w:spacing w:line="300" w:lineRule="auto"/>
              <w:jc w:val="center"/>
              <w:rPr>
                <w:szCs w:val="21"/>
              </w:rPr>
            </w:pPr>
            <w:r>
              <w:rPr>
                <w:rFonts w:hAnsi="宋体"/>
                <w:szCs w:val="21"/>
              </w:rPr>
              <w:t>每月保养</w:t>
            </w:r>
          </w:p>
        </w:tc>
        <w:tc>
          <w:tcPr>
            <w:tcW w:w="3936" w:type="dxa"/>
            <w:vAlign w:val="center"/>
          </w:tcPr>
          <w:p>
            <w:pPr>
              <w:spacing w:line="300" w:lineRule="auto"/>
              <w:rPr>
                <w:szCs w:val="21"/>
              </w:rPr>
            </w:pPr>
            <w:r>
              <w:rPr>
                <w:rFonts w:hAnsi="宋体"/>
                <w:szCs w:val="21"/>
              </w:rPr>
              <w:t>消防水泵、喷淋泵、稳压泵、补压泵进行试运行。</w:t>
            </w:r>
          </w:p>
        </w:tc>
        <w:tc>
          <w:tcPr>
            <w:tcW w:w="4533" w:type="dxa"/>
            <w:vAlign w:val="center"/>
          </w:tcPr>
          <w:p>
            <w:pPr>
              <w:spacing w:line="300" w:lineRule="auto"/>
              <w:rPr>
                <w:szCs w:val="21"/>
              </w:rPr>
            </w:pPr>
            <w:r>
              <w:rPr>
                <w:rFonts w:hAnsi="宋体"/>
                <w:szCs w:val="21"/>
              </w:rPr>
              <w:t>水泵运行正常，无异常噪声和振动，出口压力正常，电流正常。</w:t>
            </w:r>
          </w:p>
        </w:tc>
      </w:tr>
      <w:tr>
        <w:tblPrEx>
          <w:tblLayout w:type="fixed"/>
        </w:tblPrEx>
        <w:trPr>
          <w:jc w:val="center"/>
        </w:trPr>
        <w:tc>
          <w:tcPr>
            <w:tcW w:w="766" w:type="dxa"/>
            <w:vAlign w:val="center"/>
          </w:tcPr>
          <w:p>
            <w:pPr>
              <w:spacing w:line="300" w:lineRule="auto"/>
              <w:jc w:val="center"/>
              <w:rPr>
                <w:szCs w:val="21"/>
              </w:rPr>
            </w:pPr>
            <w:r>
              <w:rPr>
                <w:szCs w:val="21"/>
              </w:rPr>
              <w:t>4</w:t>
            </w:r>
          </w:p>
        </w:tc>
        <w:tc>
          <w:tcPr>
            <w:tcW w:w="1447" w:type="dxa"/>
            <w:vAlign w:val="center"/>
          </w:tcPr>
          <w:p>
            <w:pPr>
              <w:spacing w:line="300" w:lineRule="auto"/>
              <w:jc w:val="center"/>
              <w:rPr>
                <w:szCs w:val="21"/>
              </w:rPr>
            </w:pPr>
            <w:r>
              <w:rPr>
                <w:rFonts w:hAnsi="宋体"/>
                <w:szCs w:val="21"/>
              </w:rPr>
              <w:t>每季保养</w:t>
            </w:r>
          </w:p>
        </w:tc>
        <w:tc>
          <w:tcPr>
            <w:tcW w:w="3936" w:type="dxa"/>
            <w:vAlign w:val="center"/>
          </w:tcPr>
          <w:p>
            <w:pPr>
              <w:spacing w:line="300" w:lineRule="auto"/>
              <w:rPr>
                <w:szCs w:val="21"/>
              </w:rPr>
            </w:pPr>
            <w:r>
              <w:rPr>
                <w:rFonts w:hAnsi="宋体"/>
                <w:szCs w:val="21"/>
              </w:rPr>
              <w:t>生活水池和水箱的清洗（每年一次）</w:t>
            </w:r>
          </w:p>
        </w:tc>
        <w:tc>
          <w:tcPr>
            <w:tcW w:w="4533" w:type="dxa"/>
            <w:vAlign w:val="center"/>
          </w:tcPr>
          <w:p>
            <w:pPr>
              <w:spacing w:line="300" w:lineRule="auto"/>
              <w:rPr>
                <w:szCs w:val="21"/>
              </w:rPr>
            </w:pPr>
            <w:r>
              <w:rPr>
                <w:rFonts w:hAnsi="宋体"/>
                <w:szCs w:val="21"/>
              </w:rPr>
              <w:t>进行全面地清洗消毒。</w:t>
            </w:r>
          </w:p>
        </w:tc>
      </w:tr>
      <w:tr>
        <w:tblPrEx>
          <w:tblLayout w:type="fixed"/>
        </w:tblPrEx>
        <w:trPr>
          <w:jc w:val="center"/>
        </w:trPr>
        <w:tc>
          <w:tcPr>
            <w:tcW w:w="766" w:type="dxa"/>
            <w:vAlign w:val="center"/>
          </w:tcPr>
          <w:p>
            <w:pPr>
              <w:spacing w:line="300" w:lineRule="auto"/>
              <w:jc w:val="center"/>
              <w:rPr>
                <w:szCs w:val="21"/>
              </w:rPr>
            </w:pPr>
            <w:r>
              <w:rPr>
                <w:szCs w:val="21"/>
              </w:rPr>
              <w:t>5</w:t>
            </w:r>
          </w:p>
        </w:tc>
        <w:tc>
          <w:tcPr>
            <w:tcW w:w="1447" w:type="dxa"/>
            <w:vAlign w:val="center"/>
          </w:tcPr>
          <w:p>
            <w:pPr>
              <w:spacing w:line="300" w:lineRule="auto"/>
              <w:jc w:val="center"/>
              <w:rPr>
                <w:szCs w:val="21"/>
              </w:rPr>
            </w:pPr>
            <w:r>
              <w:rPr>
                <w:rFonts w:hAnsi="宋体"/>
                <w:szCs w:val="21"/>
              </w:rPr>
              <w:t>每年保养</w:t>
            </w:r>
          </w:p>
        </w:tc>
        <w:tc>
          <w:tcPr>
            <w:tcW w:w="3936" w:type="dxa"/>
            <w:vAlign w:val="center"/>
          </w:tcPr>
          <w:p>
            <w:pPr>
              <w:spacing w:line="300" w:lineRule="auto"/>
              <w:rPr>
                <w:szCs w:val="21"/>
              </w:rPr>
            </w:pPr>
            <w:r>
              <w:rPr>
                <w:rFonts w:hAnsi="宋体"/>
                <w:szCs w:val="21"/>
              </w:rPr>
              <w:t>清洗消防水管；测量水泵电机绕组的绝缘电阻；管道补漆。</w:t>
            </w:r>
          </w:p>
        </w:tc>
        <w:tc>
          <w:tcPr>
            <w:tcW w:w="4533" w:type="dxa"/>
            <w:vAlign w:val="center"/>
          </w:tcPr>
          <w:p>
            <w:pPr>
              <w:spacing w:line="300" w:lineRule="auto"/>
              <w:rPr>
                <w:szCs w:val="21"/>
              </w:rPr>
            </w:pPr>
            <w:r>
              <w:rPr>
                <w:rFonts w:hAnsi="宋体"/>
                <w:szCs w:val="21"/>
              </w:rPr>
              <w:t>排空消防水管中的水，重新注入消防水；管道无锈迹和脱漆。</w:t>
            </w:r>
          </w:p>
        </w:tc>
      </w:tr>
    </w:tbl>
    <w:p>
      <w:pPr>
        <w:widowControl/>
        <w:spacing w:line="300" w:lineRule="auto"/>
        <w:ind w:firstLine="420"/>
        <w:rPr>
          <w:kern w:val="0"/>
          <w:szCs w:val="21"/>
        </w:rPr>
      </w:pPr>
      <w:r>
        <w:rPr>
          <w:rFonts w:hint="eastAsia"/>
          <w:kern w:val="0"/>
          <w:szCs w:val="21"/>
        </w:rPr>
        <w:t>6</w:t>
      </w:r>
      <w:r>
        <w:rPr>
          <w:kern w:val="0"/>
          <w:szCs w:val="21"/>
        </w:rPr>
        <w:t>.</w:t>
      </w:r>
      <w:r>
        <w:rPr>
          <w:rFonts w:hAnsi="宋体"/>
          <w:kern w:val="0"/>
          <w:szCs w:val="21"/>
        </w:rPr>
        <w:t>空调通风系统维修养护计划和标准</w:t>
      </w:r>
    </w:p>
    <w:tbl>
      <w:tblPr>
        <w:tblStyle w:val="61"/>
        <w:tblW w:w="10720" w:type="dxa"/>
        <w:tblInd w:w="-5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83"/>
        <w:gridCol w:w="4065"/>
        <w:gridCol w:w="4557"/>
      </w:tblGrid>
      <w:tr>
        <w:tblPrEx>
          <w:tblLayout w:type="fixed"/>
        </w:tblPrEx>
        <w:trPr>
          <w:trHeight w:val="392" w:hRule="atLeast"/>
        </w:trPr>
        <w:tc>
          <w:tcPr>
            <w:tcW w:w="715" w:type="dxa"/>
            <w:vAlign w:val="center"/>
          </w:tcPr>
          <w:p>
            <w:pPr>
              <w:spacing w:line="300" w:lineRule="auto"/>
              <w:jc w:val="center"/>
              <w:rPr>
                <w:b/>
                <w:szCs w:val="21"/>
              </w:rPr>
            </w:pPr>
            <w:r>
              <w:rPr>
                <w:rFonts w:hAnsi="宋体"/>
                <w:b/>
                <w:szCs w:val="21"/>
              </w:rPr>
              <w:t>序号</w:t>
            </w:r>
          </w:p>
        </w:tc>
        <w:tc>
          <w:tcPr>
            <w:tcW w:w="1383" w:type="dxa"/>
            <w:vAlign w:val="center"/>
          </w:tcPr>
          <w:p>
            <w:pPr>
              <w:spacing w:line="300" w:lineRule="auto"/>
              <w:jc w:val="center"/>
              <w:rPr>
                <w:b/>
                <w:szCs w:val="21"/>
              </w:rPr>
            </w:pPr>
            <w:r>
              <w:rPr>
                <w:rFonts w:hAnsi="宋体"/>
                <w:b/>
                <w:szCs w:val="21"/>
              </w:rPr>
              <w:t>保养周期</w:t>
            </w:r>
          </w:p>
        </w:tc>
        <w:tc>
          <w:tcPr>
            <w:tcW w:w="4065" w:type="dxa"/>
            <w:vAlign w:val="center"/>
          </w:tcPr>
          <w:p>
            <w:pPr>
              <w:spacing w:line="300" w:lineRule="auto"/>
              <w:jc w:val="center"/>
              <w:rPr>
                <w:b/>
                <w:szCs w:val="21"/>
              </w:rPr>
            </w:pPr>
            <w:r>
              <w:rPr>
                <w:rFonts w:hAnsi="宋体"/>
                <w:b/>
                <w:szCs w:val="21"/>
              </w:rPr>
              <w:t>保养内容</w:t>
            </w:r>
          </w:p>
        </w:tc>
        <w:tc>
          <w:tcPr>
            <w:tcW w:w="4557" w:type="dxa"/>
            <w:vAlign w:val="center"/>
          </w:tcPr>
          <w:p>
            <w:pPr>
              <w:spacing w:line="300" w:lineRule="auto"/>
              <w:jc w:val="center"/>
              <w:rPr>
                <w:b/>
                <w:szCs w:val="21"/>
              </w:rPr>
            </w:pPr>
            <w:r>
              <w:rPr>
                <w:rFonts w:hAnsi="宋体"/>
                <w:b/>
                <w:szCs w:val="21"/>
              </w:rPr>
              <w:t>保养标准</w:t>
            </w:r>
          </w:p>
        </w:tc>
      </w:tr>
      <w:tr>
        <w:tblPrEx>
          <w:tblLayout w:type="fixed"/>
        </w:tblPrEx>
        <w:trPr>
          <w:trHeight w:val="774" w:hRule="atLeast"/>
        </w:trPr>
        <w:tc>
          <w:tcPr>
            <w:tcW w:w="715" w:type="dxa"/>
            <w:vAlign w:val="center"/>
          </w:tcPr>
          <w:p>
            <w:pPr>
              <w:spacing w:line="300" w:lineRule="auto"/>
              <w:jc w:val="center"/>
              <w:rPr>
                <w:szCs w:val="21"/>
              </w:rPr>
            </w:pPr>
            <w:r>
              <w:rPr>
                <w:szCs w:val="21"/>
              </w:rPr>
              <w:t>1</w:t>
            </w:r>
          </w:p>
        </w:tc>
        <w:tc>
          <w:tcPr>
            <w:tcW w:w="1383" w:type="dxa"/>
            <w:vAlign w:val="center"/>
          </w:tcPr>
          <w:p>
            <w:pPr>
              <w:spacing w:line="300" w:lineRule="auto"/>
              <w:jc w:val="center"/>
              <w:rPr>
                <w:szCs w:val="21"/>
              </w:rPr>
            </w:pPr>
            <w:r>
              <w:rPr>
                <w:rFonts w:hAnsi="宋体"/>
                <w:szCs w:val="21"/>
              </w:rPr>
              <w:t>日常保养</w:t>
            </w:r>
          </w:p>
        </w:tc>
        <w:tc>
          <w:tcPr>
            <w:tcW w:w="4065" w:type="dxa"/>
            <w:vAlign w:val="center"/>
          </w:tcPr>
          <w:p>
            <w:pPr>
              <w:spacing w:line="300" w:lineRule="auto"/>
              <w:rPr>
                <w:szCs w:val="21"/>
              </w:rPr>
            </w:pPr>
            <w:r>
              <w:rPr>
                <w:rFonts w:hAnsi="宋体"/>
                <w:szCs w:val="21"/>
              </w:rPr>
              <w:t>检查主机外观、压力和声音。</w:t>
            </w:r>
          </w:p>
        </w:tc>
        <w:tc>
          <w:tcPr>
            <w:tcW w:w="4557" w:type="dxa"/>
            <w:vAlign w:val="center"/>
          </w:tcPr>
          <w:p>
            <w:pPr>
              <w:spacing w:line="300" w:lineRule="auto"/>
              <w:rPr>
                <w:szCs w:val="21"/>
              </w:rPr>
            </w:pPr>
            <w:r>
              <w:rPr>
                <w:rFonts w:hAnsi="宋体"/>
                <w:szCs w:val="21"/>
              </w:rPr>
              <w:t>主机表面无污物、无锈蚀和无渗漏；冷媒压力正常；主机运行无异常噪声和振动</w:t>
            </w:r>
          </w:p>
        </w:tc>
      </w:tr>
      <w:tr>
        <w:tblPrEx>
          <w:tblLayout w:type="fixed"/>
        </w:tblPrEx>
        <w:trPr>
          <w:trHeight w:val="392" w:hRule="atLeast"/>
        </w:trPr>
        <w:tc>
          <w:tcPr>
            <w:tcW w:w="715" w:type="dxa"/>
            <w:vAlign w:val="center"/>
          </w:tcPr>
          <w:p>
            <w:pPr>
              <w:spacing w:line="300" w:lineRule="auto"/>
              <w:jc w:val="center"/>
              <w:rPr>
                <w:szCs w:val="21"/>
              </w:rPr>
            </w:pPr>
            <w:r>
              <w:rPr>
                <w:szCs w:val="21"/>
              </w:rPr>
              <w:t>2</w:t>
            </w:r>
          </w:p>
        </w:tc>
        <w:tc>
          <w:tcPr>
            <w:tcW w:w="1383" w:type="dxa"/>
            <w:vAlign w:val="center"/>
          </w:tcPr>
          <w:p>
            <w:pPr>
              <w:spacing w:line="300" w:lineRule="auto"/>
              <w:jc w:val="center"/>
              <w:rPr>
                <w:szCs w:val="21"/>
              </w:rPr>
            </w:pPr>
            <w:r>
              <w:rPr>
                <w:rFonts w:hAnsi="宋体"/>
                <w:szCs w:val="21"/>
              </w:rPr>
              <w:t>每周保养</w:t>
            </w:r>
          </w:p>
        </w:tc>
        <w:tc>
          <w:tcPr>
            <w:tcW w:w="4065" w:type="dxa"/>
            <w:vAlign w:val="center"/>
          </w:tcPr>
          <w:p>
            <w:pPr>
              <w:spacing w:line="300" w:lineRule="auto"/>
              <w:rPr>
                <w:szCs w:val="21"/>
              </w:rPr>
            </w:pPr>
            <w:r>
              <w:rPr>
                <w:rFonts w:hAnsi="宋体"/>
                <w:szCs w:val="21"/>
              </w:rPr>
              <w:t>检查空调主机润滑系统。</w:t>
            </w:r>
          </w:p>
        </w:tc>
        <w:tc>
          <w:tcPr>
            <w:tcW w:w="4557" w:type="dxa"/>
            <w:vAlign w:val="center"/>
          </w:tcPr>
          <w:p>
            <w:pPr>
              <w:spacing w:line="300" w:lineRule="auto"/>
              <w:rPr>
                <w:szCs w:val="21"/>
              </w:rPr>
            </w:pPr>
            <w:r>
              <w:rPr>
                <w:rFonts w:hAnsi="宋体"/>
                <w:szCs w:val="21"/>
              </w:rPr>
              <w:t>减少润滑油必须立即补充</w:t>
            </w:r>
          </w:p>
        </w:tc>
      </w:tr>
      <w:tr>
        <w:tblPrEx>
          <w:tblLayout w:type="fixed"/>
        </w:tblPrEx>
        <w:trPr>
          <w:trHeight w:val="392" w:hRule="atLeast"/>
        </w:trPr>
        <w:tc>
          <w:tcPr>
            <w:tcW w:w="715" w:type="dxa"/>
            <w:vAlign w:val="center"/>
          </w:tcPr>
          <w:p>
            <w:pPr>
              <w:spacing w:line="300" w:lineRule="auto"/>
              <w:jc w:val="center"/>
              <w:rPr>
                <w:szCs w:val="21"/>
              </w:rPr>
            </w:pPr>
            <w:r>
              <w:rPr>
                <w:szCs w:val="21"/>
              </w:rPr>
              <w:t>3</w:t>
            </w:r>
          </w:p>
        </w:tc>
        <w:tc>
          <w:tcPr>
            <w:tcW w:w="1383" w:type="dxa"/>
            <w:vAlign w:val="center"/>
          </w:tcPr>
          <w:p>
            <w:pPr>
              <w:spacing w:line="300" w:lineRule="auto"/>
              <w:jc w:val="center"/>
              <w:rPr>
                <w:szCs w:val="21"/>
              </w:rPr>
            </w:pPr>
            <w:r>
              <w:rPr>
                <w:rFonts w:hAnsi="宋体"/>
                <w:szCs w:val="21"/>
              </w:rPr>
              <w:t>每月保养</w:t>
            </w:r>
          </w:p>
        </w:tc>
        <w:tc>
          <w:tcPr>
            <w:tcW w:w="4065" w:type="dxa"/>
            <w:vAlign w:val="center"/>
          </w:tcPr>
          <w:p>
            <w:pPr>
              <w:spacing w:line="300" w:lineRule="auto"/>
              <w:rPr>
                <w:szCs w:val="21"/>
              </w:rPr>
            </w:pPr>
            <w:r>
              <w:rPr>
                <w:rFonts w:hAnsi="宋体"/>
                <w:szCs w:val="21"/>
              </w:rPr>
              <w:t>开机时清洗冷却塔和水过滤网。</w:t>
            </w:r>
          </w:p>
        </w:tc>
        <w:tc>
          <w:tcPr>
            <w:tcW w:w="4557" w:type="dxa"/>
            <w:vAlign w:val="center"/>
          </w:tcPr>
          <w:p>
            <w:pPr>
              <w:spacing w:line="300" w:lineRule="auto"/>
              <w:rPr>
                <w:szCs w:val="21"/>
              </w:rPr>
            </w:pPr>
            <w:r>
              <w:rPr>
                <w:rFonts w:hAnsi="宋体"/>
                <w:szCs w:val="21"/>
              </w:rPr>
              <w:t>冷却塔内处清洁；过滤网无堵塞</w:t>
            </w:r>
          </w:p>
        </w:tc>
      </w:tr>
      <w:tr>
        <w:tblPrEx>
          <w:tblLayout w:type="fixed"/>
        </w:tblPrEx>
        <w:trPr>
          <w:trHeight w:val="774" w:hRule="atLeast"/>
        </w:trPr>
        <w:tc>
          <w:tcPr>
            <w:tcW w:w="715" w:type="dxa"/>
            <w:vAlign w:val="center"/>
          </w:tcPr>
          <w:p>
            <w:pPr>
              <w:spacing w:line="300" w:lineRule="auto"/>
              <w:jc w:val="center"/>
              <w:rPr>
                <w:szCs w:val="21"/>
              </w:rPr>
            </w:pPr>
            <w:r>
              <w:rPr>
                <w:szCs w:val="21"/>
              </w:rPr>
              <w:t>4</w:t>
            </w:r>
          </w:p>
        </w:tc>
        <w:tc>
          <w:tcPr>
            <w:tcW w:w="1383" w:type="dxa"/>
            <w:vAlign w:val="center"/>
          </w:tcPr>
          <w:p>
            <w:pPr>
              <w:spacing w:line="300" w:lineRule="auto"/>
              <w:jc w:val="center"/>
              <w:rPr>
                <w:szCs w:val="21"/>
              </w:rPr>
            </w:pPr>
            <w:r>
              <w:rPr>
                <w:rFonts w:hAnsi="宋体"/>
                <w:szCs w:val="21"/>
              </w:rPr>
              <w:t>每季保养</w:t>
            </w:r>
          </w:p>
        </w:tc>
        <w:tc>
          <w:tcPr>
            <w:tcW w:w="4065" w:type="dxa"/>
            <w:vAlign w:val="center"/>
          </w:tcPr>
          <w:p>
            <w:pPr>
              <w:spacing w:line="300" w:lineRule="auto"/>
              <w:rPr>
                <w:szCs w:val="21"/>
              </w:rPr>
            </w:pPr>
            <w:r>
              <w:rPr>
                <w:rFonts w:hAnsi="宋体"/>
                <w:szCs w:val="21"/>
              </w:rPr>
              <w:t>清洗风柜过滤网；空调水泵轴承；清洗</w:t>
            </w:r>
            <w:r>
              <w:rPr>
                <w:szCs w:val="21"/>
              </w:rPr>
              <w:t>Y</w:t>
            </w:r>
            <w:r>
              <w:rPr>
                <w:rFonts w:hAnsi="宋体"/>
                <w:szCs w:val="21"/>
              </w:rPr>
              <w:t>型过滤器（每二季度一次）。</w:t>
            </w:r>
          </w:p>
        </w:tc>
        <w:tc>
          <w:tcPr>
            <w:tcW w:w="4557" w:type="dxa"/>
            <w:vAlign w:val="center"/>
          </w:tcPr>
          <w:p>
            <w:pPr>
              <w:spacing w:line="300" w:lineRule="auto"/>
              <w:rPr>
                <w:szCs w:val="21"/>
              </w:rPr>
            </w:pPr>
            <w:r>
              <w:rPr>
                <w:rFonts w:hAnsi="宋体"/>
                <w:szCs w:val="21"/>
              </w:rPr>
              <w:t>过滤网无灰尘无堵塞；水泵轴承和冷却塔变速箱动转灵活</w:t>
            </w:r>
          </w:p>
        </w:tc>
      </w:tr>
      <w:tr>
        <w:tblPrEx>
          <w:tblLayout w:type="fixed"/>
        </w:tblPrEx>
        <w:trPr>
          <w:trHeight w:val="784" w:hRule="atLeast"/>
        </w:trPr>
        <w:tc>
          <w:tcPr>
            <w:tcW w:w="715" w:type="dxa"/>
            <w:vAlign w:val="center"/>
          </w:tcPr>
          <w:p>
            <w:pPr>
              <w:spacing w:line="300" w:lineRule="auto"/>
              <w:jc w:val="center"/>
              <w:rPr>
                <w:szCs w:val="21"/>
              </w:rPr>
            </w:pPr>
            <w:r>
              <w:rPr>
                <w:szCs w:val="21"/>
              </w:rPr>
              <w:t>5</w:t>
            </w:r>
          </w:p>
        </w:tc>
        <w:tc>
          <w:tcPr>
            <w:tcW w:w="1383" w:type="dxa"/>
            <w:vAlign w:val="center"/>
          </w:tcPr>
          <w:p>
            <w:pPr>
              <w:spacing w:line="300" w:lineRule="auto"/>
              <w:jc w:val="center"/>
              <w:rPr>
                <w:szCs w:val="21"/>
              </w:rPr>
            </w:pPr>
            <w:r>
              <w:rPr>
                <w:rFonts w:hAnsi="宋体"/>
                <w:szCs w:val="21"/>
              </w:rPr>
              <w:t>每年保养</w:t>
            </w:r>
          </w:p>
        </w:tc>
        <w:tc>
          <w:tcPr>
            <w:tcW w:w="4065" w:type="dxa"/>
            <w:vAlign w:val="center"/>
          </w:tcPr>
          <w:p>
            <w:pPr>
              <w:spacing w:line="300" w:lineRule="auto"/>
              <w:rPr>
                <w:szCs w:val="21"/>
              </w:rPr>
            </w:pPr>
            <w:r>
              <w:rPr>
                <w:rFonts w:hAnsi="宋体"/>
                <w:szCs w:val="21"/>
              </w:rPr>
              <w:t>检查空调主机安全保护控制器；清洗风机盘管、检查电磁阀、清洗汽水交换器。</w:t>
            </w:r>
          </w:p>
        </w:tc>
        <w:tc>
          <w:tcPr>
            <w:tcW w:w="4557" w:type="dxa"/>
            <w:vAlign w:val="center"/>
          </w:tcPr>
          <w:p>
            <w:pPr>
              <w:spacing w:line="300" w:lineRule="auto"/>
              <w:rPr>
                <w:szCs w:val="21"/>
              </w:rPr>
            </w:pPr>
            <w:r>
              <w:rPr>
                <w:rFonts w:hAnsi="宋体"/>
                <w:szCs w:val="21"/>
              </w:rPr>
              <w:t>空调主机安全保护线路正常</w:t>
            </w:r>
          </w:p>
        </w:tc>
      </w:tr>
    </w:tbl>
    <w:p>
      <w:pPr>
        <w:widowControl/>
        <w:spacing w:line="300" w:lineRule="auto"/>
        <w:ind w:firstLine="420"/>
        <w:rPr>
          <w:kern w:val="0"/>
          <w:szCs w:val="21"/>
        </w:rPr>
      </w:pPr>
      <w:r>
        <w:rPr>
          <w:rFonts w:hAnsi="宋体"/>
          <w:kern w:val="0"/>
          <w:szCs w:val="21"/>
        </w:rPr>
        <w:t>（五）保安岗位额定人数、服务规范及职责</w:t>
      </w:r>
    </w:p>
    <w:p>
      <w:pPr>
        <w:widowControl/>
        <w:spacing w:line="300" w:lineRule="auto"/>
        <w:ind w:firstLine="420"/>
        <w:rPr>
          <w:kern w:val="0"/>
          <w:szCs w:val="21"/>
          <w:highlight w:val="none"/>
        </w:rPr>
      </w:pPr>
      <w:r>
        <w:rPr>
          <w:rFonts w:hAnsi="宋体"/>
          <w:kern w:val="0"/>
          <w:szCs w:val="21"/>
          <w:highlight w:val="none"/>
        </w:rPr>
        <w:t>★</w:t>
      </w:r>
      <w:r>
        <w:rPr>
          <w:kern w:val="0"/>
          <w:szCs w:val="21"/>
          <w:highlight w:val="none"/>
        </w:rPr>
        <w:t>1.</w:t>
      </w:r>
      <w:r>
        <w:rPr>
          <w:rFonts w:hAnsi="宋体"/>
          <w:kern w:val="0"/>
          <w:szCs w:val="21"/>
          <w:highlight w:val="none"/>
        </w:rPr>
        <w:t>保安岗位额定人数：不少于</w:t>
      </w:r>
      <w:r>
        <w:rPr>
          <w:rFonts w:hint="eastAsia"/>
          <w:kern w:val="0"/>
          <w:szCs w:val="21"/>
          <w:highlight w:val="none"/>
        </w:rPr>
        <w:t>9</w:t>
      </w:r>
      <w:r>
        <w:rPr>
          <w:rFonts w:hAnsi="宋体"/>
          <w:kern w:val="0"/>
          <w:szCs w:val="21"/>
          <w:highlight w:val="none"/>
        </w:rPr>
        <w:t>人</w:t>
      </w:r>
      <w:r>
        <w:rPr>
          <w:rFonts w:hint="eastAsia" w:hAnsi="宋体"/>
          <w:color w:val="auto"/>
          <w:szCs w:val="21"/>
        </w:rPr>
        <w:t>（含保安队长1名）</w:t>
      </w:r>
      <w:r>
        <w:rPr>
          <w:rFonts w:hAnsi="宋体"/>
          <w:kern w:val="0"/>
          <w:szCs w:val="21"/>
          <w:highlight w:val="none"/>
        </w:rPr>
        <w:t>。</w:t>
      </w:r>
      <w:r>
        <w:rPr>
          <w:rFonts w:hint="eastAsia" w:hAnsi="宋体"/>
          <w:kern w:val="0"/>
          <w:szCs w:val="21"/>
          <w:highlight w:val="none"/>
        </w:rPr>
        <w:t>本部7人（其中持</w:t>
      </w:r>
      <w:r>
        <w:rPr>
          <w:rFonts w:hAnsi="宋体"/>
          <w:kern w:val="0"/>
          <w:szCs w:val="21"/>
        </w:rPr>
        <w:t>消防职业资格证书</w:t>
      </w:r>
      <w:r>
        <w:rPr>
          <w:rFonts w:hint="eastAsia" w:hAnsi="宋体"/>
          <w:kern w:val="0"/>
          <w:szCs w:val="21"/>
          <w:highlight w:val="none"/>
        </w:rPr>
        <w:t>人员不得少于员3人</w:t>
      </w:r>
      <w:r>
        <w:rPr>
          <w:rFonts w:hint="eastAsia"/>
          <w:kern w:val="0"/>
          <w:szCs w:val="21"/>
          <w:highlight w:val="none"/>
        </w:rPr>
        <w:t>，</w:t>
      </w:r>
      <w:r>
        <w:rPr>
          <w:rFonts w:hint="eastAsia" w:hAnsi="宋体"/>
          <w:kern w:val="0"/>
          <w:szCs w:val="21"/>
          <w:highlight w:val="none"/>
        </w:rPr>
        <w:t>稠城分局保安2人。）</w:t>
      </w:r>
    </w:p>
    <w:p>
      <w:pPr>
        <w:widowControl/>
        <w:spacing w:line="300" w:lineRule="auto"/>
        <w:ind w:firstLine="420"/>
        <w:rPr>
          <w:kern w:val="0"/>
          <w:szCs w:val="21"/>
        </w:rPr>
      </w:pPr>
      <w:r>
        <w:rPr>
          <w:kern w:val="0"/>
          <w:szCs w:val="21"/>
        </w:rPr>
        <w:t>2.</w:t>
      </w:r>
      <w:r>
        <w:rPr>
          <w:rFonts w:hAnsi="宋体"/>
          <w:kern w:val="0"/>
          <w:szCs w:val="21"/>
        </w:rPr>
        <w:t>保安员年龄不超过</w:t>
      </w:r>
      <w:r>
        <w:rPr>
          <w:kern w:val="0"/>
          <w:szCs w:val="21"/>
        </w:rPr>
        <w:t>40</w:t>
      </w:r>
      <w:r>
        <w:rPr>
          <w:rFonts w:hAnsi="宋体"/>
          <w:kern w:val="0"/>
          <w:szCs w:val="21"/>
        </w:rPr>
        <w:t>周岁。中标后，保安人员应按有关规定持证上岗，在岗人员要求全部持有上岗证，新招聘人员要求</w:t>
      </w:r>
      <w:r>
        <w:rPr>
          <w:kern w:val="0"/>
          <w:szCs w:val="21"/>
        </w:rPr>
        <w:t>1</w:t>
      </w:r>
      <w:r>
        <w:rPr>
          <w:rFonts w:hAnsi="宋体"/>
          <w:kern w:val="0"/>
          <w:szCs w:val="21"/>
        </w:rPr>
        <w:t>个月内取得上岗证。其中含消防员至少</w:t>
      </w:r>
      <w:r>
        <w:rPr>
          <w:kern w:val="0"/>
          <w:szCs w:val="21"/>
        </w:rPr>
        <w:t>3</w:t>
      </w:r>
      <w:r>
        <w:rPr>
          <w:rFonts w:hAnsi="宋体"/>
          <w:kern w:val="0"/>
          <w:szCs w:val="21"/>
        </w:rPr>
        <w:t>人，</w:t>
      </w:r>
      <w:r>
        <w:rPr>
          <w:rFonts w:hAnsi="宋体"/>
          <w:b/>
          <w:szCs w:val="21"/>
        </w:rPr>
        <w:t>投标时</w:t>
      </w:r>
      <w:r>
        <w:rPr>
          <w:rFonts w:hint="eastAsia" w:hAnsi="宋体"/>
          <w:b/>
          <w:szCs w:val="21"/>
        </w:rPr>
        <w:t>投标文件技术标中</w:t>
      </w:r>
      <w:r>
        <w:rPr>
          <w:rFonts w:hAnsi="宋体"/>
          <w:b/>
          <w:szCs w:val="21"/>
        </w:rPr>
        <w:t>须提供拟派</w:t>
      </w:r>
      <w:r>
        <w:rPr>
          <w:rFonts w:hint="eastAsia" w:hAnsi="宋体"/>
          <w:b/>
          <w:szCs w:val="21"/>
        </w:rPr>
        <w:t>消防员的</w:t>
      </w:r>
      <w:r>
        <w:rPr>
          <w:rFonts w:hAnsi="宋体"/>
          <w:kern w:val="0"/>
          <w:szCs w:val="21"/>
        </w:rPr>
        <w:t>消防职业资格证书（工种：建（构）筑物消防员）</w:t>
      </w:r>
      <w:r>
        <w:rPr>
          <w:rFonts w:hint="eastAsia" w:hAnsi="宋体"/>
          <w:kern w:val="0"/>
          <w:szCs w:val="21"/>
        </w:rPr>
        <w:t>复印件</w:t>
      </w:r>
      <w:r>
        <w:rPr>
          <w:rFonts w:hAnsi="宋体"/>
          <w:kern w:val="0"/>
          <w:szCs w:val="21"/>
        </w:rPr>
        <w:t>。相应培训费用由中标单位负责。</w:t>
      </w:r>
    </w:p>
    <w:p>
      <w:pPr>
        <w:widowControl/>
        <w:spacing w:line="300" w:lineRule="auto"/>
        <w:ind w:firstLine="420"/>
        <w:rPr>
          <w:kern w:val="0"/>
          <w:szCs w:val="21"/>
        </w:rPr>
      </w:pPr>
      <w:r>
        <w:rPr>
          <w:kern w:val="0"/>
          <w:szCs w:val="21"/>
        </w:rPr>
        <w:t>3.</w:t>
      </w:r>
      <w:r>
        <w:rPr>
          <w:rFonts w:hAnsi="宋体"/>
          <w:kern w:val="0"/>
          <w:szCs w:val="21"/>
        </w:rPr>
        <w:t>保安岗位服务规范及职责</w:t>
      </w:r>
    </w:p>
    <w:p>
      <w:pPr>
        <w:widowControl/>
        <w:spacing w:line="300" w:lineRule="auto"/>
        <w:ind w:firstLine="420"/>
        <w:rPr>
          <w:kern w:val="0"/>
          <w:szCs w:val="21"/>
        </w:rPr>
      </w:pPr>
      <w:r>
        <w:rPr>
          <w:kern w:val="0"/>
          <w:szCs w:val="21"/>
        </w:rPr>
        <w:t>3.1.</w:t>
      </w:r>
      <w:r>
        <w:rPr>
          <w:rFonts w:hAnsi="宋体"/>
          <w:kern w:val="0"/>
          <w:szCs w:val="21"/>
        </w:rPr>
        <w:t>大楼实行</w:t>
      </w:r>
      <w:r>
        <w:rPr>
          <w:kern w:val="0"/>
          <w:szCs w:val="21"/>
        </w:rPr>
        <w:t>24</w:t>
      </w:r>
      <w:r>
        <w:rPr>
          <w:rFonts w:hAnsi="宋体"/>
          <w:kern w:val="0"/>
          <w:szCs w:val="21"/>
        </w:rPr>
        <w:t>小时值班、巡逻服务。</w:t>
      </w:r>
    </w:p>
    <w:p>
      <w:pPr>
        <w:widowControl/>
        <w:spacing w:line="300" w:lineRule="auto"/>
        <w:ind w:firstLine="420"/>
        <w:rPr>
          <w:kern w:val="0"/>
          <w:szCs w:val="21"/>
        </w:rPr>
      </w:pPr>
      <w:r>
        <w:rPr>
          <w:kern w:val="0"/>
          <w:szCs w:val="21"/>
        </w:rPr>
        <w:t>3.2.</w:t>
      </w:r>
      <w:r>
        <w:rPr>
          <w:rFonts w:hAnsi="宋体"/>
          <w:kern w:val="0"/>
          <w:szCs w:val="21"/>
        </w:rPr>
        <w:t>认真做好大楼进出人员登记工作，关做好交接工作。</w:t>
      </w:r>
    </w:p>
    <w:p>
      <w:pPr>
        <w:widowControl/>
        <w:spacing w:line="300" w:lineRule="auto"/>
        <w:ind w:firstLine="420"/>
        <w:rPr>
          <w:kern w:val="0"/>
          <w:szCs w:val="21"/>
        </w:rPr>
      </w:pPr>
      <w:r>
        <w:rPr>
          <w:kern w:val="0"/>
          <w:szCs w:val="21"/>
        </w:rPr>
        <w:t>3.3.</w:t>
      </w:r>
      <w:r>
        <w:rPr>
          <w:rFonts w:hAnsi="宋体"/>
          <w:kern w:val="0"/>
          <w:szCs w:val="21"/>
        </w:rPr>
        <w:t>注意可疑人员所携带物品，仔细询问，发现情况及时汇报。</w:t>
      </w:r>
    </w:p>
    <w:p>
      <w:pPr>
        <w:widowControl/>
        <w:spacing w:line="300" w:lineRule="auto"/>
        <w:ind w:firstLine="420"/>
        <w:rPr>
          <w:kern w:val="0"/>
          <w:szCs w:val="21"/>
        </w:rPr>
      </w:pPr>
      <w:r>
        <w:rPr>
          <w:kern w:val="0"/>
          <w:szCs w:val="21"/>
        </w:rPr>
        <w:t>3.4.</w:t>
      </w:r>
      <w:r>
        <w:rPr>
          <w:rFonts w:hAnsi="宋体"/>
          <w:kern w:val="0"/>
          <w:szCs w:val="21"/>
        </w:rPr>
        <w:t>来车时主动上前，引导车辆有序停放，保持道路畅通。</w:t>
      </w:r>
    </w:p>
    <w:p>
      <w:pPr>
        <w:widowControl/>
        <w:spacing w:line="300" w:lineRule="auto"/>
        <w:ind w:firstLine="420"/>
        <w:rPr>
          <w:kern w:val="0"/>
          <w:szCs w:val="21"/>
        </w:rPr>
      </w:pPr>
      <w:r>
        <w:rPr>
          <w:kern w:val="0"/>
          <w:szCs w:val="21"/>
        </w:rPr>
        <w:t>3.5.</w:t>
      </w:r>
      <w:r>
        <w:rPr>
          <w:rFonts w:hAnsi="宋体"/>
          <w:kern w:val="0"/>
          <w:szCs w:val="21"/>
        </w:rPr>
        <w:t>巡逻人员要定时定点查看，对重要部门、要害部位要勤查看，做好巡更记录。节假日、夜间巡逻时，增加巡逻次数。</w:t>
      </w:r>
    </w:p>
    <w:p>
      <w:pPr>
        <w:widowControl/>
        <w:spacing w:line="300" w:lineRule="auto"/>
        <w:ind w:firstLine="420"/>
        <w:rPr>
          <w:kern w:val="0"/>
          <w:szCs w:val="21"/>
        </w:rPr>
      </w:pPr>
      <w:r>
        <w:rPr>
          <w:kern w:val="0"/>
          <w:szCs w:val="21"/>
        </w:rPr>
        <w:t>3.6.</w:t>
      </w:r>
      <w:r>
        <w:rPr>
          <w:rFonts w:hAnsi="宋体"/>
          <w:kern w:val="0"/>
          <w:szCs w:val="21"/>
        </w:rPr>
        <w:t>巡逻时要注意发现可疑人员及可疑情况，发现反常或意外情况，除及时向领导报告外，要采取必要措施以防止火灾事故及破坏行为的发生。发现偷盗、闹事、斗殴、凶杀、放火、投毒、爆炸等犯罪分子，要坚决果断地采取措施，力争抓获犯罪分子。</w:t>
      </w:r>
    </w:p>
    <w:p>
      <w:pPr>
        <w:widowControl/>
        <w:spacing w:line="300" w:lineRule="auto"/>
        <w:ind w:firstLine="420"/>
        <w:rPr>
          <w:kern w:val="0"/>
          <w:szCs w:val="21"/>
        </w:rPr>
      </w:pPr>
      <w:r>
        <w:rPr>
          <w:kern w:val="0"/>
          <w:szCs w:val="21"/>
        </w:rPr>
        <w:t>3.7.</w:t>
      </w:r>
      <w:r>
        <w:rPr>
          <w:rFonts w:hAnsi="宋体"/>
          <w:kern w:val="0"/>
          <w:szCs w:val="21"/>
        </w:rPr>
        <w:t>若发现盗窃、凶案、火灾、投毒、损毁财物，以及一切有现场的案件或事件，要妥善保护好现场，迅速上报并积极协助调查。</w:t>
      </w:r>
    </w:p>
    <w:p>
      <w:pPr>
        <w:widowControl/>
        <w:spacing w:line="300" w:lineRule="auto"/>
        <w:ind w:firstLine="420"/>
        <w:rPr>
          <w:kern w:val="0"/>
          <w:szCs w:val="21"/>
        </w:rPr>
      </w:pPr>
      <w:r>
        <w:rPr>
          <w:kern w:val="0"/>
          <w:szCs w:val="21"/>
        </w:rPr>
        <w:t>3.8.</w:t>
      </w:r>
      <w:r>
        <w:rPr>
          <w:rFonts w:hAnsi="宋体"/>
          <w:kern w:val="0"/>
          <w:szCs w:val="21"/>
        </w:rPr>
        <w:t>巡逻人员应熟练掌握灭火常识，会使用消防器材，对初起火灾能及时扑灭。</w:t>
      </w:r>
    </w:p>
    <w:p>
      <w:pPr>
        <w:widowControl/>
        <w:spacing w:line="300" w:lineRule="auto"/>
        <w:ind w:firstLine="420"/>
        <w:rPr>
          <w:kern w:val="0"/>
          <w:szCs w:val="21"/>
        </w:rPr>
      </w:pPr>
      <w:r>
        <w:rPr>
          <w:rFonts w:hAnsi="宋体"/>
          <w:kern w:val="0"/>
          <w:szCs w:val="21"/>
        </w:rPr>
        <w:t>（六）总体要求：</w:t>
      </w:r>
    </w:p>
    <w:p>
      <w:pPr>
        <w:widowControl/>
        <w:spacing w:line="300" w:lineRule="auto"/>
        <w:ind w:firstLine="420"/>
        <w:rPr>
          <w:kern w:val="0"/>
          <w:szCs w:val="21"/>
        </w:rPr>
      </w:pPr>
      <w:r>
        <w:rPr>
          <w:kern w:val="0"/>
          <w:szCs w:val="21"/>
        </w:rPr>
        <w:t>1.</w:t>
      </w:r>
      <w:r>
        <w:rPr>
          <w:rFonts w:hAnsi="宋体"/>
          <w:kern w:val="0"/>
          <w:szCs w:val="21"/>
        </w:rPr>
        <w:t>房屋及公共配套设施完好率</w:t>
      </w:r>
      <w:r>
        <w:rPr>
          <w:kern w:val="0"/>
          <w:szCs w:val="21"/>
        </w:rPr>
        <w:t>100%</w:t>
      </w:r>
      <w:r>
        <w:rPr>
          <w:rFonts w:hAnsi="宋体"/>
          <w:kern w:val="0"/>
          <w:szCs w:val="21"/>
        </w:rPr>
        <w:t>。</w:t>
      </w:r>
    </w:p>
    <w:p>
      <w:pPr>
        <w:widowControl/>
        <w:spacing w:line="300" w:lineRule="auto"/>
        <w:ind w:firstLine="420"/>
        <w:rPr>
          <w:kern w:val="0"/>
          <w:szCs w:val="21"/>
        </w:rPr>
      </w:pPr>
      <w:r>
        <w:rPr>
          <w:kern w:val="0"/>
          <w:szCs w:val="21"/>
        </w:rPr>
        <w:t>2.</w:t>
      </w:r>
      <w:r>
        <w:rPr>
          <w:rFonts w:hAnsi="宋体"/>
          <w:kern w:val="0"/>
          <w:szCs w:val="21"/>
        </w:rPr>
        <w:t>管理区域内无重大火灾、刑事和交通事故。</w:t>
      </w:r>
    </w:p>
    <w:p>
      <w:pPr>
        <w:widowControl/>
        <w:spacing w:line="300" w:lineRule="auto"/>
        <w:ind w:firstLine="420"/>
        <w:rPr>
          <w:kern w:val="0"/>
          <w:szCs w:val="21"/>
        </w:rPr>
      </w:pPr>
      <w:r>
        <w:rPr>
          <w:kern w:val="0"/>
          <w:szCs w:val="21"/>
        </w:rPr>
        <w:t>3.</w:t>
      </w:r>
      <w:r>
        <w:rPr>
          <w:rFonts w:hAnsi="宋体"/>
          <w:kern w:val="0"/>
          <w:szCs w:val="21"/>
        </w:rPr>
        <w:t>管理区域内卫生、消毒满意率达</w:t>
      </w:r>
      <w:r>
        <w:rPr>
          <w:kern w:val="0"/>
          <w:szCs w:val="21"/>
        </w:rPr>
        <w:t>100%</w:t>
      </w:r>
      <w:r>
        <w:rPr>
          <w:rFonts w:hAnsi="宋体"/>
          <w:kern w:val="0"/>
          <w:szCs w:val="21"/>
        </w:rPr>
        <w:t>。</w:t>
      </w:r>
    </w:p>
    <w:p>
      <w:pPr>
        <w:widowControl/>
        <w:spacing w:line="300" w:lineRule="auto"/>
        <w:ind w:firstLine="420"/>
        <w:rPr>
          <w:kern w:val="0"/>
          <w:szCs w:val="21"/>
        </w:rPr>
      </w:pPr>
      <w:r>
        <w:rPr>
          <w:kern w:val="0"/>
          <w:szCs w:val="21"/>
        </w:rPr>
        <w:t>4.</w:t>
      </w:r>
      <w:r>
        <w:rPr>
          <w:rFonts w:hAnsi="宋体"/>
          <w:kern w:val="0"/>
          <w:szCs w:val="21"/>
        </w:rPr>
        <w:t>房屋及日常设备零修、急修及时率达</w:t>
      </w:r>
      <w:r>
        <w:rPr>
          <w:kern w:val="0"/>
          <w:szCs w:val="21"/>
        </w:rPr>
        <w:t>100%</w:t>
      </w:r>
      <w:r>
        <w:rPr>
          <w:rFonts w:hAnsi="宋体"/>
          <w:kern w:val="0"/>
          <w:szCs w:val="21"/>
        </w:rPr>
        <w:t>。</w:t>
      </w:r>
    </w:p>
    <w:p>
      <w:pPr>
        <w:widowControl/>
        <w:spacing w:line="300" w:lineRule="auto"/>
        <w:ind w:firstLine="420"/>
        <w:rPr>
          <w:kern w:val="0"/>
          <w:szCs w:val="21"/>
        </w:rPr>
      </w:pPr>
      <w:r>
        <w:rPr>
          <w:kern w:val="0"/>
          <w:szCs w:val="21"/>
        </w:rPr>
        <w:t>5.</w:t>
      </w:r>
      <w:r>
        <w:rPr>
          <w:rFonts w:hAnsi="宋体"/>
          <w:kern w:val="0"/>
          <w:szCs w:val="21"/>
        </w:rPr>
        <w:t>进出人员登记制度落实到位。</w:t>
      </w:r>
    </w:p>
    <w:p>
      <w:pPr>
        <w:widowControl/>
        <w:spacing w:line="300" w:lineRule="auto"/>
        <w:ind w:firstLine="420"/>
        <w:rPr>
          <w:rFonts w:hAnsi="宋体"/>
          <w:kern w:val="0"/>
          <w:szCs w:val="21"/>
        </w:rPr>
      </w:pPr>
      <w:r>
        <w:rPr>
          <w:kern w:val="0"/>
          <w:szCs w:val="21"/>
        </w:rPr>
        <w:t>6.</w:t>
      </w:r>
      <w:r>
        <w:rPr>
          <w:rFonts w:hAnsi="宋体"/>
          <w:kern w:val="0"/>
          <w:szCs w:val="21"/>
        </w:rPr>
        <w:t>车辆管理有序，保证行车和车辆安全。</w:t>
      </w:r>
    </w:p>
    <w:p>
      <w:pPr>
        <w:spacing w:line="300" w:lineRule="auto"/>
        <w:rPr>
          <w:rFonts w:hAnsi="宋体"/>
          <w:b/>
          <w:szCs w:val="21"/>
        </w:rPr>
      </w:pPr>
      <w:bookmarkStart w:id="34" w:name="_Toc393379878"/>
      <w:r>
        <w:rPr>
          <w:rFonts w:hint="eastAsia" w:hAnsi="宋体"/>
          <w:b/>
          <w:szCs w:val="21"/>
        </w:rPr>
        <w:t>二、</w:t>
      </w:r>
      <w:r>
        <w:rPr>
          <w:rFonts w:hAnsi="宋体"/>
          <w:b/>
          <w:szCs w:val="21"/>
        </w:rPr>
        <w:t>服务期限要求及服务地点</w:t>
      </w:r>
      <w:bookmarkEnd w:id="34"/>
    </w:p>
    <w:p>
      <w:pPr>
        <w:spacing w:line="300" w:lineRule="auto"/>
        <w:ind w:firstLine="420" w:firstLineChars="200"/>
        <w:rPr>
          <w:color w:val="000000"/>
          <w:szCs w:val="21"/>
        </w:rPr>
      </w:pPr>
      <w:r>
        <w:rPr>
          <w:color w:val="000000"/>
          <w:szCs w:val="21"/>
        </w:rPr>
        <w:t>1</w:t>
      </w:r>
      <w:r>
        <w:rPr>
          <w:rFonts w:hAnsi="宋体"/>
          <w:color w:val="000000"/>
          <w:szCs w:val="21"/>
        </w:rPr>
        <w:t>、服务期限：</w:t>
      </w:r>
      <w:r>
        <w:rPr>
          <w:rFonts w:hint="eastAsia" w:hAnsi="宋体"/>
          <w:color w:val="000000"/>
          <w:szCs w:val="21"/>
        </w:rPr>
        <w:t>合同按年度签订，</w:t>
      </w:r>
      <w:r>
        <w:rPr>
          <w:rFonts w:hint="eastAsia"/>
          <w:szCs w:val="21"/>
        </w:rPr>
        <w:t>全部合同累计时间最长3年</w:t>
      </w:r>
      <w:r>
        <w:rPr>
          <w:rFonts w:hAnsi="宋体"/>
          <w:color w:val="000000"/>
          <w:szCs w:val="21"/>
          <w:highlight w:val="none"/>
        </w:rPr>
        <w:t>，</w:t>
      </w:r>
      <w:r>
        <w:rPr>
          <w:rFonts w:hAnsi="宋体"/>
          <w:color w:val="000000"/>
          <w:szCs w:val="21"/>
        </w:rPr>
        <w:t>具体时间甲乙双方在签订合同时确定。</w:t>
      </w:r>
    </w:p>
    <w:p>
      <w:pPr>
        <w:spacing w:line="460" w:lineRule="exact"/>
        <w:ind w:firstLine="420" w:firstLineChars="200"/>
        <w:rPr>
          <w:rFonts w:ascii="宋体" w:hAnsi="宋体" w:cs="Courier New"/>
          <w:szCs w:val="21"/>
          <w:highlight w:val="none"/>
        </w:rPr>
      </w:pPr>
      <w:r>
        <w:rPr>
          <w:color w:val="auto"/>
          <w:szCs w:val="21"/>
        </w:rPr>
        <w:t>2、合同期执行期间，采购人对中标方进行年度考核，考核评分在</w:t>
      </w:r>
      <w:r>
        <w:rPr>
          <w:rFonts w:hint="eastAsia"/>
          <w:color w:val="auto"/>
          <w:szCs w:val="21"/>
        </w:rPr>
        <w:t>85</w:t>
      </w:r>
      <w:r>
        <w:rPr>
          <w:color w:val="auto"/>
          <w:szCs w:val="21"/>
        </w:rPr>
        <w:t>分以上，并经双方协商一致，合同结束后可签订</w:t>
      </w:r>
      <w:r>
        <w:rPr>
          <w:rFonts w:hint="eastAsia"/>
          <w:szCs w:val="21"/>
        </w:rPr>
        <w:t>下一个年度</w:t>
      </w:r>
      <w:r>
        <w:rPr>
          <w:color w:val="auto"/>
          <w:szCs w:val="21"/>
        </w:rPr>
        <w:t>物业管理</w:t>
      </w:r>
      <w:r>
        <w:rPr>
          <w:rFonts w:hint="eastAsia"/>
          <w:color w:val="auto"/>
          <w:szCs w:val="21"/>
        </w:rPr>
        <w:t>服务</w:t>
      </w:r>
      <w:r>
        <w:rPr>
          <w:color w:val="auto"/>
          <w:szCs w:val="21"/>
        </w:rPr>
        <w:t>年度合同，</w:t>
      </w:r>
      <w:r>
        <w:rPr>
          <w:color w:val="auto"/>
          <w:szCs w:val="21"/>
          <w:highlight w:val="none"/>
        </w:rPr>
        <w:t>考核参照国家税务总局义乌市税务局物业考核标准及奖惩办法（见</w:t>
      </w:r>
      <w:r>
        <w:rPr>
          <w:rFonts w:hint="eastAsia"/>
          <w:color w:val="auto"/>
          <w:szCs w:val="21"/>
          <w:highlight w:val="none"/>
        </w:rPr>
        <w:t>本招标文件第三章</w:t>
      </w:r>
      <w:r>
        <w:rPr>
          <w:color w:val="auto"/>
          <w:szCs w:val="21"/>
          <w:highlight w:val="none"/>
        </w:rPr>
        <w:t>）执行</w:t>
      </w:r>
      <w:r>
        <w:rPr>
          <w:rFonts w:hint="eastAsia"/>
          <w:color w:val="auto"/>
          <w:szCs w:val="21"/>
          <w:highlight w:val="none"/>
        </w:rPr>
        <w:t>。</w:t>
      </w:r>
    </w:p>
    <w:p>
      <w:pPr>
        <w:spacing w:line="300" w:lineRule="auto"/>
        <w:ind w:firstLine="420" w:firstLineChars="200"/>
        <w:rPr>
          <w:rFonts w:hint="eastAsia"/>
          <w:b w:val="0"/>
          <w:color w:val="000000"/>
          <w:szCs w:val="21"/>
        </w:rPr>
      </w:pPr>
      <w:r>
        <w:rPr>
          <w:color w:val="000000"/>
          <w:szCs w:val="21"/>
        </w:rPr>
        <w:t>3</w:t>
      </w:r>
      <w:r>
        <w:rPr>
          <w:rFonts w:hAnsi="宋体"/>
          <w:color w:val="000000"/>
          <w:szCs w:val="21"/>
        </w:rPr>
        <w:t>、服务地点：采购人指定地点。</w:t>
      </w:r>
    </w:p>
    <w:p>
      <w:pPr>
        <w:spacing w:line="312" w:lineRule="auto"/>
        <w:ind w:firstLine="0" w:firstLineChars="0"/>
        <w:rPr>
          <w:b/>
          <w:szCs w:val="21"/>
        </w:rPr>
      </w:pPr>
      <w:r>
        <w:rPr>
          <w:rFonts w:hint="eastAsia"/>
          <w:b/>
          <w:szCs w:val="21"/>
        </w:rPr>
        <w:t>三</w:t>
      </w:r>
      <w:r>
        <w:rPr>
          <w:b/>
          <w:szCs w:val="21"/>
        </w:rPr>
        <w:t>、付款方式</w:t>
      </w:r>
    </w:p>
    <w:p>
      <w:pPr>
        <w:spacing w:line="312" w:lineRule="auto"/>
        <w:ind w:firstLine="420" w:firstLineChars="200"/>
        <w:rPr>
          <w:rFonts w:hint="eastAsia"/>
          <w:szCs w:val="21"/>
        </w:rPr>
      </w:pPr>
      <w:r>
        <w:rPr>
          <w:szCs w:val="21"/>
        </w:rPr>
        <w:t>1.在合同生效以及具备实施条件后15日内,采购人向中标人支付合同总价的10%作为预付款，在签订合同时，中标方明确表示无需预付款或者主动要求降低预付款比例的，采购单位可不支付或减少预付款支付比例。</w:t>
      </w:r>
    </w:p>
    <w:p>
      <w:pPr>
        <w:spacing w:line="312" w:lineRule="auto"/>
        <w:ind w:firstLine="420" w:firstLineChars="200"/>
        <w:rPr>
          <w:b/>
          <w:color w:val="FF0000"/>
          <w:szCs w:val="21"/>
        </w:rPr>
      </w:pPr>
      <w:r>
        <w:rPr>
          <w:rFonts w:hint="eastAsia" w:ascii="新宋体" w:hAnsi="新宋体" w:eastAsia="新宋体"/>
          <w:kern w:val="0"/>
          <w:szCs w:val="21"/>
        </w:rPr>
        <w:t>合同款项按季度平均支付，</w:t>
      </w:r>
      <w:r>
        <w:rPr>
          <w:rFonts w:ascii="新宋体" w:hAnsi="新宋体" w:eastAsia="新宋体"/>
          <w:kern w:val="0"/>
          <w:szCs w:val="21"/>
        </w:rPr>
        <w:t>甲方每</w:t>
      </w:r>
      <w:r>
        <w:rPr>
          <w:rFonts w:hint="eastAsia" w:ascii="新宋体" w:hAnsi="新宋体" w:eastAsia="新宋体"/>
          <w:kern w:val="0"/>
          <w:szCs w:val="21"/>
        </w:rPr>
        <w:t>季度</w:t>
      </w:r>
      <w:r>
        <w:rPr>
          <w:rFonts w:ascii="新宋体" w:hAnsi="新宋体" w:eastAsia="新宋体"/>
          <w:kern w:val="0"/>
          <w:szCs w:val="21"/>
        </w:rPr>
        <w:t>对乙方进行考核，考核后对乙方实施的奖、罚金额纳入当</w:t>
      </w:r>
      <w:r>
        <w:rPr>
          <w:rFonts w:hint="eastAsia" w:ascii="新宋体" w:hAnsi="新宋体" w:eastAsia="新宋体"/>
          <w:kern w:val="0"/>
          <w:szCs w:val="21"/>
        </w:rPr>
        <w:t>季度</w:t>
      </w:r>
      <w:r>
        <w:rPr>
          <w:rFonts w:ascii="新宋体" w:hAnsi="新宋体" w:eastAsia="新宋体"/>
          <w:kern w:val="0"/>
          <w:szCs w:val="21"/>
        </w:rPr>
        <w:t>服务费结算。</w:t>
      </w:r>
      <w:r>
        <w:rPr>
          <w:rFonts w:hint="eastAsia" w:ascii="新宋体" w:hAnsi="新宋体" w:eastAsia="新宋体"/>
          <w:kern w:val="0"/>
          <w:szCs w:val="21"/>
        </w:rPr>
        <w:t>甲方</w:t>
      </w:r>
      <w:r>
        <w:rPr>
          <w:rFonts w:ascii="新宋体" w:hAnsi="新宋体" w:eastAsia="新宋体"/>
          <w:kern w:val="0"/>
          <w:szCs w:val="21"/>
        </w:rPr>
        <w:t>根据合同按</w:t>
      </w:r>
      <w:r>
        <w:rPr>
          <w:rFonts w:hint="eastAsia" w:ascii="新宋体" w:hAnsi="新宋体" w:eastAsia="新宋体"/>
          <w:kern w:val="0"/>
          <w:szCs w:val="21"/>
        </w:rPr>
        <w:t>季度</w:t>
      </w:r>
      <w:r>
        <w:rPr>
          <w:rFonts w:ascii="新宋体" w:hAnsi="新宋体" w:eastAsia="新宋体"/>
          <w:kern w:val="0"/>
          <w:szCs w:val="21"/>
        </w:rPr>
        <w:t>支付服务费，在</w:t>
      </w:r>
      <w:r>
        <w:rPr>
          <w:rFonts w:hint="eastAsia" w:ascii="新宋体" w:hAnsi="新宋体" w:eastAsia="新宋体"/>
          <w:kern w:val="0"/>
          <w:szCs w:val="21"/>
        </w:rPr>
        <w:t>每季度末月的20号前</w:t>
      </w:r>
      <w:r>
        <w:rPr>
          <w:rFonts w:ascii="新宋体" w:hAnsi="新宋体" w:eastAsia="新宋体"/>
          <w:kern w:val="0"/>
          <w:szCs w:val="21"/>
        </w:rPr>
        <w:t>凭乙方开具的正规发票支付。</w:t>
      </w:r>
    </w:p>
    <w:p>
      <w:pPr>
        <w:spacing w:line="312" w:lineRule="auto"/>
        <w:ind w:firstLine="0" w:firstLineChars="0"/>
        <w:rPr>
          <w:b/>
          <w:szCs w:val="21"/>
        </w:rPr>
      </w:pPr>
      <w:r>
        <w:rPr>
          <w:rFonts w:hint="eastAsia"/>
          <w:b/>
          <w:szCs w:val="21"/>
        </w:rPr>
        <w:t>四</w:t>
      </w:r>
      <w:r>
        <w:rPr>
          <w:b/>
          <w:szCs w:val="21"/>
        </w:rPr>
        <w:t>、其他</w:t>
      </w:r>
    </w:p>
    <w:p>
      <w:pPr>
        <w:spacing w:line="312" w:lineRule="auto"/>
        <w:ind w:firstLine="420" w:firstLineChars="200"/>
        <w:rPr>
          <w:szCs w:val="21"/>
        </w:rPr>
      </w:pPr>
      <w:r>
        <w:rPr>
          <w:szCs w:val="21"/>
        </w:rPr>
        <w:t>1.中标单位须按《中华人民共和国劳动法》规定，为职工足额缴纳养老、工伤、失业、医疗等保险费用。</w:t>
      </w:r>
    </w:p>
    <w:p>
      <w:pPr>
        <w:spacing w:line="312" w:lineRule="auto"/>
        <w:ind w:firstLine="420" w:firstLineChars="200"/>
        <w:rPr>
          <w:szCs w:val="21"/>
        </w:rPr>
      </w:pPr>
      <w:r>
        <w:rPr>
          <w:szCs w:val="21"/>
        </w:rPr>
        <w:t>2.职工工资标准(含加班费)、职工夏季高温津贴不得低于法定标准和义乌市最低工资标准。</w:t>
      </w:r>
    </w:p>
    <w:p>
      <w:pPr>
        <w:spacing w:line="312" w:lineRule="auto"/>
        <w:ind w:firstLine="422" w:firstLineChars="200"/>
        <w:rPr>
          <w:b/>
          <w:szCs w:val="21"/>
        </w:rPr>
      </w:pPr>
    </w:p>
    <w:p>
      <w:pPr>
        <w:spacing w:line="312" w:lineRule="auto"/>
        <w:ind w:firstLine="0" w:firstLineChars="0"/>
        <w:rPr>
          <w:b/>
          <w:szCs w:val="21"/>
        </w:rPr>
      </w:pPr>
      <w:r>
        <w:rPr>
          <w:rFonts w:hint="eastAsia"/>
          <w:b/>
          <w:szCs w:val="21"/>
        </w:rPr>
        <w:t>五</w:t>
      </w:r>
      <w:r>
        <w:rPr>
          <w:b/>
          <w:szCs w:val="21"/>
        </w:rPr>
        <w:t>、对投标方的要求</w:t>
      </w:r>
    </w:p>
    <w:p>
      <w:pPr>
        <w:spacing w:line="312" w:lineRule="auto"/>
        <w:ind w:firstLine="480"/>
        <w:rPr>
          <w:szCs w:val="21"/>
        </w:rPr>
      </w:pPr>
      <w:r>
        <w:rPr>
          <w:szCs w:val="21"/>
        </w:rPr>
        <w:t>投标方须根据《国务院物业管理条例》和省、市物业管理方面的法律法规，充分考虑实际服务内容，制订出详细的投标方案，包括保洁服务、机电维护、</w:t>
      </w:r>
      <w:r>
        <w:rPr>
          <w:rFonts w:hint="eastAsia"/>
          <w:szCs w:val="21"/>
        </w:rPr>
        <w:t>消控</w:t>
      </w:r>
      <w:r>
        <w:rPr>
          <w:szCs w:val="21"/>
        </w:rPr>
        <w:t>服务等所有物业管理服务内容的详细服务方案。</w:t>
      </w:r>
    </w:p>
    <w:p>
      <w:pPr>
        <w:spacing w:line="312" w:lineRule="auto"/>
        <w:rPr>
          <w:b/>
          <w:szCs w:val="21"/>
        </w:rPr>
      </w:pPr>
    </w:p>
    <w:p>
      <w:pPr>
        <w:spacing w:line="312" w:lineRule="auto"/>
        <w:ind w:firstLine="0" w:firstLineChars="0"/>
        <w:rPr>
          <w:b/>
          <w:szCs w:val="21"/>
        </w:rPr>
      </w:pPr>
      <w:r>
        <w:rPr>
          <w:rFonts w:hint="eastAsia"/>
          <w:b/>
          <w:szCs w:val="21"/>
        </w:rPr>
        <w:t>六</w:t>
      </w:r>
      <w:r>
        <w:rPr>
          <w:b/>
          <w:szCs w:val="21"/>
        </w:rPr>
        <w:t>、验收办法及其标准</w:t>
      </w:r>
    </w:p>
    <w:p>
      <w:pPr>
        <w:pStyle w:val="2"/>
        <w:autoSpaceDE w:val="0"/>
        <w:autoSpaceDN w:val="0"/>
        <w:adjustRightInd w:val="0"/>
        <w:spacing w:line="312" w:lineRule="auto"/>
        <w:ind w:firstLine="420" w:firstLineChars="200"/>
        <w:jc w:val="both"/>
        <w:rPr>
          <w:rFonts w:hint="eastAsia" w:ascii="Times New Roman" w:hAnsi="Times New Roman"/>
          <w:b w:val="0"/>
          <w:bCs w:val="0"/>
          <w:color w:val="auto"/>
          <w:kern w:val="0"/>
          <w:sz w:val="21"/>
          <w:szCs w:val="21"/>
        </w:rPr>
      </w:pPr>
      <w:r>
        <w:rPr>
          <w:rFonts w:ascii="Times New Roman" w:hAnsi="Times New Roman"/>
          <w:b w:val="0"/>
          <w:bCs w:val="0"/>
          <w:color w:val="auto"/>
          <w:kern w:val="0"/>
          <w:sz w:val="21"/>
          <w:szCs w:val="21"/>
        </w:rPr>
        <w:t>采购人将根据中华人民共和国现行技术标准，按招标文件以及合同规定的验收评定标准等规范，由采购人根据《政府采购合同履约和验收管理办法（暂行）》（义招管办【2008】32号文件）及《义乌市人民政府办公室关于印发规范政府采购管理若干意见的通知》（义政办发〔2017〕102号）文件要求，组织验收。</w:t>
      </w:r>
    </w:p>
    <w:p>
      <w:pPr>
        <w:pStyle w:val="2"/>
        <w:autoSpaceDE w:val="0"/>
        <w:autoSpaceDN w:val="0"/>
        <w:adjustRightInd w:val="0"/>
        <w:spacing w:line="312" w:lineRule="auto"/>
        <w:ind w:firstLine="422" w:firstLineChars="200"/>
        <w:jc w:val="both"/>
        <w:rPr>
          <w:rFonts w:ascii="Times New Roman" w:hAnsi="Times New Roman"/>
          <w:sz w:val="21"/>
          <w:szCs w:val="21"/>
        </w:rPr>
      </w:pPr>
    </w:p>
    <w:p>
      <w:pPr>
        <w:spacing w:line="300" w:lineRule="auto"/>
        <w:rPr>
          <w:szCs w:val="21"/>
        </w:rPr>
      </w:pPr>
      <w:bookmarkStart w:id="35" w:name="_Toc528315401"/>
      <w:r>
        <w:rPr>
          <w:rFonts w:hAnsi="宋体"/>
          <w:b/>
          <w:szCs w:val="21"/>
        </w:rPr>
        <w:t>★</w:t>
      </w:r>
      <w:r>
        <w:rPr>
          <w:rFonts w:hint="eastAsia" w:hAnsi="宋体"/>
          <w:b/>
          <w:szCs w:val="21"/>
        </w:rPr>
        <w:t>七</w:t>
      </w:r>
      <w:r>
        <w:rPr>
          <w:rFonts w:hAnsi="宋体"/>
          <w:b/>
          <w:szCs w:val="21"/>
        </w:rPr>
        <w:t>、国家税务总局义乌市税务局物业考核</w:t>
      </w:r>
      <w:bookmarkEnd w:id="35"/>
      <w:r>
        <w:rPr>
          <w:rFonts w:hint="eastAsia" w:hAnsi="宋体"/>
          <w:b/>
          <w:szCs w:val="21"/>
        </w:rPr>
        <w:t>办法</w:t>
      </w:r>
    </w:p>
    <w:p>
      <w:pPr>
        <w:spacing w:line="300" w:lineRule="auto"/>
        <w:jc w:val="center"/>
        <w:rPr>
          <w:szCs w:val="21"/>
        </w:rPr>
      </w:pPr>
      <w:r>
        <w:rPr>
          <w:szCs w:val="21"/>
        </w:rPr>
        <w:t>物业服务质量考核办法</w:t>
      </w:r>
    </w:p>
    <w:p>
      <w:pPr>
        <w:spacing w:line="300" w:lineRule="auto"/>
        <w:ind w:firstLine="420" w:firstLineChars="200"/>
        <w:rPr>
          <w:szCs w:val="21"/>
        </w:rPr>
      </w:pPr>
      <w:r>
        <w:rPr>
          <w:szCs w:val="21"/>
        </w:rPr>
        <w:t>为了加强对物业管理合同所要求的各项服务内容和服务标准的监督和检查,全面提高我单位物业管理水平和服务质量。物业公司负责我单位节能减排工作，积极落实各项节能管理制度，协助甲方做好节能技改工作。如果完成了年度节能目标，绩效加5分，没有完成不得分。十</w:t>
      </w:r>
      <w:r>
        <w:rPr>
          <w:rFonts w:hint="eastAsia"/>
          <w:szCs w:val="21"/>
        </w:rPr>
        <w:t>四</w:t>
      </w:r>
      <w:r>
        <w:rPr>
          <w:szCs w:val="21"/>
        </w:rPr>
        <w:t xml:space="preserve">五期间，每年在上年度基础上，实现人均综合能耗下降2.1%，单位面积综合能耗下降2.3%，人均水耗下降3.5%。根据《物业管理服务合同》的相关精神，参照其他单位的成功经验，结合我单位的实际情况，特制定本考核办法。 </w:t>
      </w:r>
    </w:p>
    <w:p>
      <w:pPr>
        <w:spacing w:line="300" w:lineRule="auto"/>
        <w:ind w:firstLine="420" w:firstLineChars="200"/>
        <w:rPr>
          <w:szCs w:val="21"/>
        </w:rPr>
      </w:pPr>
      <w:r>
        <w:rPr>
          <w:rFonts w:hint="eastAsia"/>
          <w:szCs w:val="21"/>
        </w:rPr>
        <w:t>（</w:t>
      </w:r>
      <w:r>
        <w:rPr>
          <w:szCs w:val="21"/>
        </w:rPr>
        <w:t>一</w:t>
      </w:r>
      <w:r>
        <w:rPr>
          <w:rFonts w:hint="eastAsia"/>
          <w:szCs w:val="21"/>
        </w:rPr>
        <w:t>）</w:t>
      </w:r>
      <w:r>
        <w:rPr>
          <w:szCs w:val="21"/>
        </w:rPr>
        <w:t xml:space="preserve">、考核组织 </w:t>
      </w:r>
      <w:r>
        <w:rPr>
          <w:szCs w:val="21"/>
        </w:rPr>
        <w:tab/>
      </w:r>
    </w:p>
    <w:p>
      <w:pPr>
        <w:spacing w:line="300" w:lineRule="auto"/>
        <w:ind w:firstLine="420" w:firstLineChars="200"/>
        <w:rPr>
          <w:szCs w:val="21"/>
        </w:rPr>
      </w:pPr>
      <w:r>
        <w:rPr>
          <w:szCs w:val="21"/>
        </w:rPr>
        <w:t>由</w:t>
      </w:r>
      <w:r>
        <w:rPr>
          <w:rFonts w:hint="eastAsia"/>
          <w:szCs w:val="21"/>
        </w:rPr>
        <w:t>机关</w:t>
      </w:r>
      <w:r>
        <w:rPr>
          <w:szCs w:val="21"/>
        </w:rPr>
        <w:t xml:space="preserve">单位领导及其他相关部门责任人组成的考核领导小组，负责对物业管理项目服务质量的考核。 </w:t>
      </w:r>
    </w:p>
    <w:p>
      <w:pPr>
        <w:spacing w:line="300" w:lineRule="auto"/>
        <w:ind w:firstLine="420" w:firstLineChars="200"/>
        <w:rPr>
          <w:szCs w:val="21"/>
        </w:rPr>
      </w:pPr>
      <w:r>
        <w:rPr>
          <w:rFonts w:hint="eastAsia"/>
          <w:szCs w:val="21"/>
        </w:rPr>
        <w:t>（</w:t>
      </w:r>
      <w:r>
        <w:rPr>
          <w:szCs w:val="21"/>
        </w:rPr>
        <w:t>二</w:t>
      </w:r>
      <w:r>
        <w:rPr>
          <w:rFonts w:hint="eastAsia"/>
          <w:szCs w:val="21"/>
        </w:rPr>
        <w:t>）</w:t>
      </w:r>
      <w:r>
        <w:rPr>
          <w:szCs w:val="21"/>
        </w:rPr>
        <w:t xml:space="preserve">、考核办法 </w:t>
      </w:r>
    </w:p>
    <w:p>
      <w:pPr>
        <w:spacing w:line="300" w:lineRule="auto"/>
        <w:ind w:firstLine="420" w:firstLineChars="200"/>
        <w:rPr>
          <w:szCs w:val="21"/>
        </w:rPr>
      </w:pPr>
      <w:r>
        <w:rPr>
          <w:szCs w:val="21"/>
        </w:rPr>
        <w:t>1 、采用每年合同期终结考核的方式，由考核督察小组根据日常物业巡查、督促，工作记录和投诉情况，进行综合评议打分。</w:t>
      </w:r>
    </w:p>
    <w:p>
      <w:pPr>
        <w:spacing w:line="300" w:lineRule="auto"/>
        <w:ind w:firstLine="420" w:firstLineChars="200"/>
        <w:rPr>
          <w:szCs w:val="21"/>
        </w:rPr>
      </w:pPr>
      <w:r>
        <w:rPr>
          <w:szCs w:val="21"/>
        </w:rPr>
        <w:t>2、考核等级：综合得分≥85分为优质；71分--84分为良好；70分以下为不合格。</w:t>
      </w:r>
    </w:p>
    <w:p>
      <w:pPr>
        <w:spacing w:line="300" w:lineRule="auto"/>
        <w:ind w:firstLine="420" w:firstLineChars="200"/>
        <w:rPr>
          <w:szCs w:val="21"/>
        </w:rPr>
      </w:pPr>
      <w:r>
        <w:rPr>
          <w:szCs w:val="21"/>
        </w:rPr>
        <w:t>3、投诉</w:t>
      </w:r>
      <w:r>
        <w:rPr>
          <w:rFonts w:hint="eastAsia"/>
          <w:szCs w:val="21"/>
        </w:rPr>
        <w:t>扣</w:t>
      </w:r>
      <w:r>
        <w:rPr>
          <w:szCs w:val="21"/>
        </w:rPr>
        <w:t>分：每一次干部职工投诉一经调查</w:t>
      </w:r>
      <w:r>
        <w:rPr>
          <w:rFonts w:hint="eastAsia"/>
          <w:szCs w:val="21"/>
        </w:rPr>
        <w:t>核实在考核结果分中扣1分。</w:t>
      </w:r>
    </w:p>
    <w:p>
      <w:pPr>
        <w:spacing w:line="300" w:lineRule="auto"/>
        <w:ind w:firstLine="420" w:firstLineChars="200"/>
        <w:rPr>
          <w:szCs w:val="21"/>
        </w:rPr>
      </w:pPr>
      <w:r>
        <w:rPr>
          <w:szCs w:val="21"/>
        </w:rPr>
        <w:t>4、为保证管理服务的最优实现，考核小组可根据各自不同的工作实际，不定期巡查、督促物业公司的服务工作，做好记录作为合同期终结的考核依据。对在检查中发现的问题以书面形式向物业公司签发整改通知；物业公司根据整改通知落实整改责任人、改正时间，整改项目完成后，具体整改人签署姓名后交还签发人，并由相关督察小组存档备查。</w:t>
      </w:r>
    </w:p>
    <w:p>
      <w:pPr>
        <w:spacing w:line="300" w:lineRule="auto"/>
        <w:ind w:firstLine="420" w:firstLineChars="200"/>
        <w:rPr>
          <w:szCs w:val="21"/>
        </w:rPr>
      </w:pPr>
      <w:r>
        <w:rPr>
          <w:szCs w:val="21"/>
        </w:rPr>
        <w:t>考核项目及标准</w:t>
      </w:r>
    </w:p>
    <w:tbl>
      <w:tblPr>
        <w:tblStyle w:val="61"/>
        <w:tblW w:w="10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0"/>
        <w:gridCol w:w="992"/>
        <w:gridCol w:w="3944"/>
        <w:gridCol w:w="582"/>
        <w:gridCol w:w="1851"/>
        <w:gridCol w:w="764"/>
        <w:gridCol w:w="860"/>
        <w:gridCol w:w="477"/>
      </w:tblGrid>
      <w:tr>
        <w:tblPrEx>
          <w:tblLayout w:type="fixed"/>
        </w:tblPrEx>
        <w:trPr>
          <w:trHeight w:val="528" w:hRule="atLeast"/>
          <w:jc w:val="center"/>
        </w:trPr>
        <w:tc>
          <w:tcPr>
            <w:tcW w:w="990" w:type="dxa"/>
            <w:vAlign w:val="center"/>
          </w:tcPr>
          <w:p>
            <w:pPr>
              <w:widowControl/>
              <w:spacing w:line="300" w:lineRule="auto"/>
              <w:jc w:val="center"/>
              <w:textAlignment w:val="center"/>
              <w:rPr>
                <w:szCs w:val="21"/>
              </w:rPr>
            </w:pPr>
            <w:r>
              <w:rPr>
                <w:rFonts w:hAnsi="宋体"/>
                <w:szCs w:val="21"/>
              </w:rPr>
              <w:t>考核类别</w:t>
            </w:r>
          </w:p>
        </w:tc>
        <w:tc>
          <w:tcPr>
            <w:tcW w:w="992" w:type="dxa"/>
            <w:vAlign w:val="center"/>
          </w:tcPr>
          <w:p>
            <w:pPr>
              <w:widowControl/>
              <w:spacing w:line="300" w:lineRule="auto"/>
              <w:jc w:val="center"/>
              <w:textAlignment w:val="center"/>
              <w:rPr>
                <w:szCs w:val="21"/>
              </w:rPr>
            </w:pPr>
            <w:r>
              <w:rPr>
                <w:rFonts w:hAnsi="宋体"/>
                <w:szCs w:val="21"/>
              </w:rPr>
              <w:t>考核内容</w:t>
            </w:r>
          </w:p>
        </w:tc>
        <w:tc>
          <w:tcPr>
            <w:tcW w:w="3944" w:type="dxa"/>
            <w:vAlign w:val="center"/>
          </w:tcPr>
          <w:p>
            <w:pPr>
              <w:widowControl/>
              <w:spacing w:line="300" w:lineRule="auto"/>
              <w:jc w:val="center"/>
              <w:textAlignment w:val="center"/>
              <w:rPr>
                <w:szCs w:val="21"/>
              </w:rPr>
            </w:pPr>
            <w:r>
              <w:rPr>
                <w:rFonts w:hAnsi="宋体"/>
                <w:szCs w:val="21"/>
              </w:rPr>
              <w:t>考核标准</w:t>
            </w:r>
          </w:p>
        </w:tc>
        <w:tc>
          <w:tcPr>
            <w:tcW w:w="582" w:type="dxa"/>
            <w:vAlign w:val="center"/>
          </w:tcPr>
          <w:p>
            <w:pPr>
              <w:widowControl/>
              <w:spacing w:line="300" w:lineRule="auto"/>
              <w:jc w:val="center"/>
              <w:textAlignment w:val="center"/>
              <w:rPr>
                <w:szCs w:val="21"/>
              </w:rPr>
            </w:pPr>
            <w:r>
              <w:rPr>
                <w:rFonts w:hAnsi="宋体"/>
                <w:szCs w:val="21"/>
              </w:rPr>
              <w:t>总分</w:t>
            </w:r>
          </w:p>
        </w:tc>
        <w:tc>
          <w:tcPr>
            <w:tcW w:w="1851" w:type="dxa"/>
            <w:vAlign w:val="center"/>
          </w:tcPr>
          <w:p>
            <w:pPr>
              <w:widowControl/>
              <w:spacing w:line="300" w:lineRule="auto"/>
              <w:jc w:val="center"/>
              <w:textAlignment w:val="center"/>
              <w:rPr>
                <w:szCs w:val="21"/>
              </w:rPr>
            </w:pPr>
            <w:r>
              <w:rPr>
                <w:rFonts w:hAnsi="宋体"/>
                <w:szCs w:val="21"/>
              </w:rPr>
              <w:t>评分标准</w:t>
            </w:r>
          </w:p>
        </w:tc>
        <w:tc>
          <w:tcPr>
            <w:tcW w:w="764" w:type="dxa"/>
            <w:vAlign w:val="center"/>
          </w:tcPr>
          <w:p>
            <w:pPr>
              <w:widowControl/>
              <w:spacing w:line="300" w:lineRule="auto"/>
              <w:jc w:val="center"/>
              <w:textAlignment w:val="center"/>
              <w:rPr>
                <w:szCs w:val="21"/>
              </w:rPr>
            </w:pPr>
            <w:r>
              <w:rPr>
                <w:rFonts w:hAnsi="宋体"/>
                <w:szCs w:val="21"/>
              </w:rPr>
              <w:t>应扣</w:t>
            </w:r>
            <w:r>
              <w:rPr>
                <w:szCs w:val="21"/>
              </w:rPr>
              <w:t>/</w:t>
            </w:r>
            <w:r>
              <w:rPr>
                <w:rFonts w:hAnsi="宋体"/>
                <w:szCs w:val="21"/>
              </w:rPr>
              <w:t>加分值</w:t>
            </w:r>
          </w:p>
        </w:tc>
        <w:tc>
          <w:tcPr>
            <w:tcW w:w="860" w:type="dxa"/>
            <w:vAlign w:val="center"/>
          </w:tcPr>
          <w:p>
            <w:pPr>
              <w:widowControl/>
              <w:spacing w:line="300" w:lineRule="auto"/>
              <w:jc w:val="center"/>
              <w:textAlignment w:val="center"/>
              <w:rPr>
                <w:szCs w:val="21"/>
              </w:rPr>
            </w:pPr>
            <w:r>
              <w:rPr>
                <w:rFonts w:hAnsi="宋体"/>
                <w:szCs w:val="21"/>
              </w:rPr>
              <w:t>扣分说明</w:t>
            </w:r>
          </w:p>
        </w:tc>
        <w:tc>
          <w:tcPr>
            <w:tcW w:w="477" w:type="dxa"/>
            <w:vAlign w:val="center"/>
          </w:tcPr>
          <w:p>
            <w:pPr>
              <w:widowControl/>
              <w:spacing w:line="300" w:lineRule="auto"/>
              <w:jc w:val="center"/>
              <w:textAlignment w:val="center"/>
              <w:rPr>
                <w:szCs w:val="21"/>
              </w:rPr>
            </w:pPr>
            <w:r>
              <w:rPr>
                <w:rFonts w:hAnsi="宋体"/>
                <w:szCs w:val="21"/>
              </w:rPr>
              <w:t>备注</w:t>
            </w:r>
          </w:p>
        </w:tc>
      </w:tr>
      <w:tr>
        <w:tblPrEx>
          <w:tblLayout w:type="fixed"/>
        </w:tblPrEx>
        <w:trPr>
          <w:trHeight w:val="528" w:hRule="atLeast"/>
          <w:jc w:val="center"/>
        </w:trPr>
        <w:tc>
          <w:tcPr>
            <w:tcW w:w="990" w:type="dxa"/>
            <w:vMerge w:val="restart"/>
            <w:vAlign w:val="center"/>
          </w:tcPr>
          <w:p>
            <w:pPr>
              <w:widowControl/>
              <w:spacing w:line="300" w:lineRule="auto"/>
              <w:jc w:val="center"/>
              <w:textAlignment w:val="center"/>
              <w:rPr>
                <w:szCs w:val="21"/>
              </w:rPr>
            </w:pPr>
            <w:r>
              <w:rPr>
                <w:rFonts w:hAnsi="宋体"/>
                <w:szCs w:val="21"/>
              </w:rPr>
              <w:t>安全秩序（</w:t>
            </w:r>
            <w:r>
              <w:rPr>
                <w:szCs w:val="21"/>
              </w:rPr>
              <w:t>21</w:t>
            </w:r>
            <w:r>
              <w:rPr>
                <w:rFonts w:hAnsi="宋体"/>
                <w:szCs w:val="21"/>
              </w:rPr>
              <w:t>分）</w:t>
            </w:r>
          </w:p>
        </w:tc>
        <w:tc>
          <w:tcPr>
            <w:tcW w:w="992" w:type="dxa"/>
            <w:vMerge w:val="restart"/>
            <w:vAlign w:val="center"/>
          </w:tcPr>
          <w:p>
            <w:pPr>
              <w:widowControl/>
              <w:spacing w:line="300" w:lineRule="auto"/>
              <w:jc w:val="center"/>
              <w:textAlignment w:val="center"/>
              <w:rPr>
                <w:szCs w:val="21"/>
              </w:rPr>
            </w:pPr>
            <w:r>
              <w:rPr>
                <w:rFonts w:hAnsi="宋体"/>
                <w:szCs w:val="21"/>
              </w:rPr>
              <w:t>门岗</w:t>
            </w:r>
            <w:r>
              <w:rPr>
                <w:szCs w:val="21"/>
              </w:rPr>
              <w:t xml:space="preserve">              </w:t>
            </w:r>
            <w:r>
              <w:rPr>
                <w:rFonts w:hAnsi="宋体"/>
                <w:szCs w:val="21"/>
              </w:rPr>
              <w:t>（</w:t>
            </w:r>
            <w:r>
              <w:rPr>
                <w:szCs w:val="21"/>
              </w:rPr>
              <w:t>8</w:t>
            </w:r>
            <w:r>
              <w:rPr>
                <w:rFonts w:hAnsi="宋体"/>
                <w:szCs w:val="21"/>
              </w:rPr>
              <w:t>分）</w:t>
            </w:r>
          </w:p>
        </w:tc>
        <w:tc>
          <w:tcPr>
            <w:tcW w:w="3944" w:type="dxa"/>
            <w:vAlign w:val="center"/>
          </w:tcPr>
          <w:p>
            <w:pPr>
              <w:widowControl/>
              <w:spacing w:line="300" w:lineRule="auto"/>
              <w:jc w:val="left"/>
              <w:textAlignment w:val="center"/>
              <w:rPr>
                <w:szCs w:val="21"/>
              </w:rPr>
            </w:pPr>
            <w:r>
              <w:rPr>
                <w:rFonts w:hAnsi="宋体"/>
                <w:szCs w:val="21"/>
              </w:rPr>
              <w:t>来访人员管理：登记来访人员身份信息、车辆信息，与单位对接人员确认后允许上楼</w:t>
            </w:r>
          </w:p>
        </w:tc>
        <w:tc>
          <w:tcPr>
            <w:tcW w:w="582" w:type="dxa"/>
            <w:vAlign w:val="center"/>
          </w:tcPr>
          <w:p>
            <w:pPr>
              <w:widowControl/>
              <w:spacing w:line="300" w:lineRule="auto"/>
              <w:jc w:val="center"/>
              <w:textAlignment w:val="center"/>
              <w:rPr>
                <w:szCs w:val="21"/>
              </w:rPr>
            </w:pPr>
            <w:r>
              <w:rPr>
                <w:szCs w:val="21"/>
              </w:rPr>
              <w:t>3</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形象岗：保持良好形象、着装规整、站姿标准、规范用语、按时立岗</w:t>
            </w:r>
          </w:p>
        </w:tc>
        <w:tc>
          <w:tcPr>
            <w:tcW w:w="582" w:type="dxa"/>
            <w:vAlign w:val="center"/>
          </w:tcPr>
          <w:p>
            <w:pPr>
              <w:widowControl/>
              <w:spacing w:line="300" w:lineRule="auto"/>
              <w:jc w:val="center"/>
              <w:textAlignment w:val="center"/>
              <w:rPr>
                <w:szCs w:val="21"/>
              </w:rPr>
            </w:pPr>
            <w:r>
              <w:rPr>
                <w:szCs w:val="21"/>
              </w:rPr>
              <w:t>1</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环境卫生：保持岗位区域内卫生环境，物品整齐摆放</w:t>
            </w:r>
          </w:p>
        </w:tc>
        <w:tc>
          <w:tcPr>
            <w:tcW w:w="582" w:type="dxa"/>
            <w:vAlign w:val="center"/>
          </w:tcPr>
          <w:p>
            <w:pPr>
              <w:widowControl/>
              <w:spacing w:line="300" w:lineRule="auto"/>
              <w:jc w:val="center"/>
              <w:textAlignment w:val="center"/>
              <w:rPr>
                <w:szCs w:val="21"/>
              </w:rPr>
            </w:pPr>
            <w:r>
              <w:rPr>
                <w:szCs w:val="21"/>
              </w:rPr>
              <w:t>1</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456"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设施设备：保持岗位区域内的所有设备正常使用，损坏及时报修并跟进结果</w:t>
            </w:r>
          </w:p>
        </w:tc>
        <w:tc>
          <w:tcPr>
            <w:tcW w:w="582" w:type="dxa"/>
            <w:vAlign w:val="center"/>
          </w:tcPr>
          <w:p>
            <w:pPr>
              <w:widowControl/>
              <w:spacing w:line="300" w:lineRule="auto"/>
              <w:jc w:val="center"/>
              <w:textAlignment w:val="center"/>
              <w:rPr>
                <w:szCs w:val="21"/>
              </w:rPr>
            </w:pPr>
            <w:r>
              <w:rPr>
                <w:szCs w:val="21"/>
              </w:rPr>
              <w:t>1</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763"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工作记录：填写详细、完整</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未及时填写、明显错误、内容不完整，每项扣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restart"/>
            <w:vAlign w:val="center"/>
          </w:tcPr>
          <w:p>
            <w:pPr>
              <w:widowControl/>
              <w:spacing w:line="300" w:lineRule="auto"/>
              <w:jc w:val="center"/>
              <w:textAlignment w:val="center"/>
              <w:rPr>
                <w:szCs w:val="21"/>
              </w:rPr>
            </w:pPr>
            <w:r>
              <w:rPr>
                <w:rFonts w:hAnsi="宋体"/>
                <w:szCs w:val="21"/>
              </w:rPr>
              <w:t>巡逻岗</w:t>
            </w:r>
            <w:r>
              <w:rPr>
                <w:szCs w:val="21"/>
              </w:rPr>
              <w:t xml:space="preserve">                 </w:t>
            </w:r>
            <w:r>
              <w:rPr>
                <w:rFonts w:hAnsi="宋体"/>
                <w:szCs w:val="21"/>
              </w:rPr>
              <w:t>（</w:t>
            </w:r>
            <w:r>
              <w:rPr>
                <w:szCs w:val="21"/>
              </w:rPr>
              <w:t>4</w:t>
            </w:r>
            <w:r>
              <w:rPr>
                <w:rFonts w:hAnsi="宋体"/>
                <w:szCs w:val="21"/>
              </w:rPr>
              <w:t>分）</w:t>
            </w:r>
          </w:p>
        </w:tc>
        <w:tc>
          <w:tcPr>
            <w:tcW w:w="3944" w:type="dxa"/>
            <w:vAlign w:val="center"/>
          </w:tcPr>
          <w:p>
            <w:pPr>
              <w:widowControl/>
              <w:spacing w:line="300" w:lineRule="auto"/>
              <w:jc w:val="left"/>
              <w:textAlignment w:val="center"/>
              <w:rPr>
                <w:szCs w:val="21"/>
              </w:rPr>
            </w:pPr>
            <w:r>
              <w:rPr>
                <w:rFonts w:hAnsi="宋体"/>
                <w:szCs w:val="21"/>
              </w:rPr>
              <w:t>车辆管理：保持停车场、车棚车辆停放有序，上下班高峰期现场引导</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巡逻：白班每</w:t>
            </w:r>
            <w:r>
              <w:rPr>
                <w:szCs w:val="21"/>
              </w:rPr>
              <w:t>3</w:t>
            </w:r>
            <w:r>
              <w:rPr>
                <w:rFonts w:hAnsi="宋体"/>
                <w:szCs w:val="21"/>
              </w:rPr>
              <w:t>小时巡逻一次，夜班每</w:t>
            </w:r>
            <w:r>
              <w:rPr>
                <w:szCs w:val="21"/>
              </w:rPr>
              <w:t>2</w:t>
            </w:r>
            <w:r>
              <w:rPr>
                <w:rFonts w:hAnsi="宋体"/>
                <w:szCs w:val="21"/>
              </w:rPr>
              <w:t>小时巡逻一次，并详细填写记录</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763" w:hRule="atLeast"/>
          <w:jc w:val="center"/>
        </w:trPr>
        <w:tc>
          <w:tcPr>
            <w:tcW w:w="990" w:type="dxa"/>
            <w:vMerge w:val="continue"/>
            <w:vAlign w:val="center"/>
          </w:tcPr>
          <w:p>
            <w:pPr>
              <w:spacing w:line="300" w:lineRule="auto"/>
              <w:jc w:val="center"/>
              <w:rPr>
                <w:szCs w:val="21"/>
              </w:rPr>
            </w:pPr>
          </w:p>
        </w:tc>
        <w:tc>
          <w:tcPr>
            <w:tcW w:w="992" w:type="dxa"/>
            <w:vMerge w:val="restart"/>
            <w:vAlign w:val="center"/>
          </w:tcPr>
          <w:p>
            <w:pPr>
              <w:widowControl/>
              <w:spacing w:line="300" w:lineRule="auto"/>
              <w:jc w:val="center"/>
              <w:textAlignment w:val="center"/>
              <w:rPr>
                <w:szCs w:val="21"/>
              </w:rPr>
            </w:pPr>
            <w:r>
              <w:rPr>
                <w:rFonts w:hAnsi="宋体"/>
                <w:szCs w:val="21"/>
              </w:rPr>
              <w:t>监控室</w:t>
            </w:r>
            <w:r>
              <w:rPr>
                <w:szCs w:val="21"/>
              </w:rPr>
              <w:t xml:space="preserve">                </w:t>
            </w:r>
            <w:r>
              <w:rPr>
                <w:rFonts w:hAnsi="宋体"/>
                <w:szCs w:val="21"/>
              </w:rPr>
              <w:t>（</w:t>
            </w:r>
            <w:r>
              <w:rPr>
                <w:szCs w:val="21"/>
              </w:rPr>
              <w:t>6</w:t>
            </w:r>
            <w:r>
              <w:rPr>
                <w:rFonts w:hAnsi="宋体"/>
                <w:szCs w:val="21"/>
              </w:rPr>
              <w:t>分）</w:t>
            </w:r>
          </w:p>
        </w:tc>
        <w:tc>
          <w:tcPr>
            <w:tcW w:w="3944" w:type="dxa"/>
            <w:vAlign w:val="center"/>
          </w:tcPr>
          <w:p>
            <w:pPr>
              <w:widowControl/>
              <w:spacing w:line="300" w:lineRule="auto"/>
              <w:jc w:val="left"/>
              <w:textAlignment w:val="center"/>
              <w:rPr>
                <w:szCs w:val="21"/>
              </w:rPr>
            </w:pPr>
            <w:r>
              <w:rPr>
                <w:rFonts w:hAnsi="宋体"/>
                <w:szCs w:val="21"/>
              </w:rPr>
              <w:t>保密制度：禁止非相关人员入内，特别人员来访有详细登记；按制度流程调取监控视频，禁止私自调阅</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环境卫生：保持室内卫生环境，物品整齐摆放，禁止携带食品入内</w:t>
            </w:r>
          </w:p>
        </w:tc>
        <w:tc>
          <w:tcPr>
            <w:tcW w:w="582" w:type="dxa"/>
            <w:vAlign w:val="center"/>
          </w:tcPr>
          <w:p>
            <w:pPr>
              <w:widowControl/>
              <w:spacing w:line="300" w:lineRule="auto"/>
              <w:jc w:val="center"/>
              <w:textAlignment w:val="center"/>
              <w:rPr>
                <w:szCs w:val="21"/>
              </w:rPr>
            </w:pPr>
            <w:r>
              <w:rPr>
                <w:szCs w:val="21"/>
              </w:rPr>
              <w:t>1</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449"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设施设备：保持监控室内的所有设备正常使用，损坏及时报修并跟进结果</w:t>
            </w:r>
          </w:p>
        </w:tc>
        <w:tc>
          <w:tcPr>
            <w:tcW w:w="582" w:type="dxa"/>
            <w:vAlign w:val="center"/>
          </w:tcPr>
          <w:p>
            <w:pPr>
              <w:widowControl/>
              <w:spacing w:line="300" w:lineRule="auto"/>
              <w:jc w:val="center"/>
              <w:textAlignment w:val="center"/>
              <w:rPr>
                <w:szCs w:val="21"/>
              </w:rPr>
            </w:pPr>
            <w:r>
              <w:rPr>
                <w:szCs w:val="21"/>
              </w:rPr>
              <w:t>1</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工作记录：填写详细、完整；每周盘查监控系统运行状况并详细填写记录</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restart"/>
            <w:vAlign w:val="center"/>
          </w:tcPr>
          <w:p>
            <w:pPr>
              <w:widowControl/>
              <w:spacing w:line="300" w:lineRule="auto"/>
              <w:jc w:val="center"/>
              <w:textAlignment w:val="center"/>
              <w:rPr>
                <w:szCs w:val="21"/>
              </w:rPr>
            </w:pPr>
            <w:r>
              <w:rPr>
                <w:rFonts w:hAnsi="宋体"/>
                <w:szCs w:val="21"/>
              </w:rPr>
              <w:t>消防安全</w:t>
            </w:r>
            <w:r>
              <w:rPr>
                <w:szCs w:val="21"/>
              </w:rPr>
              <w:t xml:space="preserve">          </w:t>
            </w:r>
            <w:r>
              <w:rPr>
                <w:rFonts w:hAnsi="宋体"/>
                <w:szCs w:val="21"/>
              </w:rPr>
              <w:t>（</w:t>
            </w:r>
            <w:r>
              <w:rPr>
                <w:szCs w:val="21"/>
              </w:rPr>
              <w:t>3</w:t>
            </w:r>
            <w:r>
              <w:rPr>
                <w:rFonts w:hAnsi="宋体"/>
                <w:szCs w:val="21"/>
              </w:rPr>
              <w:t>分）</w:t>
            </w:r>
          </w:p>
        </w:tc>
        <w:tc>
          <w:tcPr>
            <w:tcW w:w="3944" w:type="dxa"/>
            <w:vAlign w:val="center"/>
          </w:tcPr>
          <w:p>
            <w:pPr>
              <w:widowControl/>
              <w:spacing w:line="300" w:lineRule="auto"/>
              <w:jc w:val="left"/>
              <w:textAlignment w:val="center"/>
              <w:rPr>
                <w:szCs w:val="21"/>
              </w:rPr>
            </w:pPr>
            <w:r>
              <w:rPr>
                <w:rFonts w:hAnsi="宋体"/>
                <w:szCs w:val="21"/>
              </w:rPr>
              <w:t>设施巡查：每周对消防设施设备进行巡检并详细填写记录，及时反馈安全隐患信息</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消防通道：保持消防通道畅通</w:t>
            </w:r>
          </w:p>
        </w:tc>
        <w:tc>
          <w:tcPr>
            <w:tcW w:w="582" w:type="dxa"/>
            <w:vAlign w:val="center"/>
          </w:tcPr>
          <w:p>
            <w:pPr>
              <w:widowControl/>
              <w:spacing w:line="300" w:lineRule="auto"/>
              <w:jc w:val="center"/>
              <w:textAlignment w:val="center"/>
              <w:rPr>
                <w:szCs w:val="21"/>
              </w:rPr>
            </w:pPr>
            <w:r>
              <w:rPr>
                <w:szCs w:val="21"/>
              </w:rPr>
              <w:t>1</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restart"/>
            <w:vAlign w:val="center"/>
          </w:tcPr>
          <w:p>
            <w:pPr>
              <w:widowControl/>
              <w:spacing w:line="300" w:lineRule="auto"/>
              <w:jc w:val="center"/>
              <w:textAlignment w:val="center"/>
              <w:rPr>
                <w:szCs w:val="21"/>
              </w:rPr>
            </w:pPr>
            <w:r>
              <w:rPr>
                <w:rFonts w:hAnsi="宋体"/>
                <w:szCs w:val="21"/>
              </w:rPr>
              <w:t>环境卫生（</w:t>
            </w:r>
            <w:r>
              <w:rPr>
                <w:szCs w:val="21"/>
              </w:rPr>
              <w:t>18</w:t>
            </w:r>
            <w:r>
              <w:rPr>
                <w:rFonts w:hAnsi="宋体"/>
                <w:szCs w:val="21"/>
              </w:rPr>
              <w:t>分）</w:t>
            </w:r>
          </w:p>
        </w:tc>
        <w:tc>
          <w:tcPr>
            <w:tcW w:w="992" w:type="dxa"/>
            <w:vMerge w:val="restart"/>
            <w:vAlign w:val="center"/>
          </w:tcPr>
          <w:p>
            <w:pPr>
              <w:widowControl/>
              <w:spacing w:line="300" w:lineRule="auto"/>
              <w:jc w:val="center"/>
              <w:textAlignment w:val="center"/>
              <w:rPr>
                <w:szCs w:val="21"/>
              </w:rPr>
            </w:pPr>
            <w:r>
              <w:rPr>
                <w:rFonts w:hAnsi="宋体"/>
                <w:szCs w:val="21"/>
              </w:rPr>
              <w:t>公共区域</w:t>
            </w:r>
            <w:r>
              <w:rPr>
                <w:szCs w:val="21"/>
              </w:rPr>
              <w:t xml:space="preserve">                         </w:t>
            </w:r>
            <w:r>
              <w:rPr>
                <w:rFonts w:hAnsi="宋体"/>
                <w:szCs w:val="21"/>
              </w:rPr>
              <w:t>（</w:t>
            </w:r>
            <w:r>
              <w:rPr>
                <w:szCs w:val="21"/>
              </w:rPr>
              <w:t>8</w:t>
            </w:r>
            <w:r>
              <w:rPr>
                <w:rFonts w:hAnsi="宋体"/>
                <w:szCs w:val="21"/>
              </w:rPr>
              <w:t>分）</w:t>
            </w:r>
            <w:r>
              <w:rPr>
                <w:szCs w:val="21"/>
              </w:rPr>
              <w:t xml:space="preserve">                            </w:t>
            </w:r>
          </w:p>
        </w:tc>
        <w:tc>
          <w:tcPr>
            <w:tcW w:w="3944" w:type="dxa"/>
            <w:vAlign w:val="center"/>
          </w:tcPr>
          <w:p>
            <w:pPr>
              <w:widowControl/>
              <w:spacing w:line="300" w:lineRule="auto"/>
              <w:jc w:val="left"/>
              <w:textAlignment w:val="center"/>
              <w:rPr>
                <w:szCs w:val="21"/>
              </w:rPr>
            </w:pPr>
            <w:r>
              <w:rPr>
                <w:rFonts w:hAnsi="宋体"/>
                <w:szCs w:val="21"/>
              </w:rPr>
              <w:t>地面</w:t>
            </w:r>
            <w:r>
              <w:rPr>
                <w:szCs w:val="21"/>
              </w:rPr>
              <w:t>:</w:t>
            </w:r>
            <w:r>
              <w:rPr>
                <w:rFonts w:hAnsi="宋体"/>
                <w:szCs w:val="21"/>
              </w:rPr>
              <w:t>无灰尘、纸屑等杂物，无积水、无堆积垃圾</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墙面、门窗：无明显灰尘、污迹、小广告，天花板无蛛网</w:t>
            </w:r>
          </w:p>
        </w:tc>
        <w:tc>
          <w:tcPr>
            <w:tcW w:w="582" w:type="dxa"/>
            <w:vAlign w:val="center"/>
          </w:tcPr>
          <w:p>
            <w:pPr>
              <w:widowControl/>
              <w:spacing w:line="300" w:lineRule="auto"/>
              <w:jc w:val="center"/>
              <w:textAlignment w:val="center"/>
              <w:rPr>
                <w:szCs w:val="21"/>
              </w:rPr>
            </w:pPr>
            <w:r>
              <w:rPr>
                <w:szCs w:val="21"/>
              </w:rPr>
              <w:t>1</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垃圾桶、纸篓</w:t>
            </w:r>
            <w:r>
              <w:rPr>
                <w:szCs w:val="21"/>
              </w:rPr>
              <w:t>:</w:t>
            </w:r>
            <w:r>
              <w:rPr>
                <w:rFonts w:hAnsi="宋体"/>
                <w:szCs w:val="21"/>
              </w:rPr>
              <w:t>垃圾日产日清，不超过容量的三分之二</w:t>
            </w:r>
          </w:p>
        </w:tc>
        <w:tc>
          <w:tcPr>
            <w:tcW w:w="582" w:type="dxa"/>
            <w:vAlign w:val="center"/>
          </w:tcPr>
          <w:p>
            <w:pPr>
              <w:widowControl/>
              <w:spacing w:line="300" w:lineRule="auto"/>
              <w:jc w:val="center"/>
              <w:textAlignment w:val="center"/>
              <w:rPr>
                <w:szCs w:val="21"/>
              </w:rPr>
            </w:pPr>
            <w:r>
              <w:rPr>
                <w:szCs w:val="21"/>
              </w:rPr>
              <w:t>1</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阳台、天台：无泥沙尘土、纸屑、杂草杂物等</w:t>
            </w:r>
          </w:p>
        </w:tc>
        <w:tc>
          <w:tcPr>
            <w:tcW w:w="582" w:type="dxa"/>
            <w:vAlign w:val="center"/>
          </w:tcPr>
          <w:p>
            <w:pPr>
              <w:widowControl/>
              <w:spacing w:line="300" w:lineRule="auto"/>
              <w:jc w:val="center"/>
              <w:textAlignment w:val="center"/>
              <w:rPr>
                <w:szCs w:val="21"/>
              </w:rPr>
            </w:pPr>
            <w:r>
              <w:rPr>
                <w:szCs w:val="21"/>
              </w:rPr>
              <w:t>1</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763"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室外环境卫生：地面无尘土、纸屑、塑料瓶、口香糖、青苔、积水等，无堆积垃圾、小广告，无过多落叶及杂草</w:t>
            </w:r>
          </w:p>
        </w:tc>
        <w:tc>
          <w:tcPr>
            <w:tcW w:w="582" w:type="dxa"/>
            <w:vAlign w:val="center"/>
          </w:tcPr>
          <w:p>
            <w:pPr>
              <w:widowControl/>
              <w:spacing w:line="300" w:lineRule="auto"/>
              <w:jc w:val="center"/>
              <w:textAlignment w:val="center"/>
              <w:rPr>
                <w:szCs w:val="21"/>
              </w:rPr>
            </w:pPr>
            <w:r>
              <w:rPr>
                <w:szCs w:val="21"/>
              </w:rPr>
              <w:t>3</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restart"/>
            <w:vAlign w:val="center"/>
          </w:tcPr>
          <w:p>
            <w:pPr>
              <w:widowControl/>
              <w:spacing w:line="300" w:lineRule="auto"/>
              <w:jc w:val="center"/>
              <w:textAlignment w:val="center"/>
              <w:rPr>
                <w:szCs w:val="21"/>
              </w:rPr>
            </w:pPr>
            <w:r>
              <w:rPr>
                <w:rFonts w:hAnsi="宋体"/>
                <w:szCs w:val="21"/>
              </w:rPr>
              <w:t>卫生间</w:t>
            </w:r>
            <w:r>
              <w:rPr>
                <w:szCs w:val="21"/>
              </w:rPr>
              <w:t xml:space="preserve">                          </w:t>
            </w:r>
            <w:r>
              <w:rPr>
                <w:rFonts w:hAnsi="宋体"/>
                <w:szCs w:val="21"/>
              </w:rPr>
              <w:t>（</w:t>
            </w:r>
            <w:r>
              <w:rPr>
                <w:szCs w:val="21"/>
              </w:rPr>
              <w:t>5</w:t>
            </w:r>
            <w:r>
              <w:rPr>
                <w:rFonts w:hAnsi="宋体"/>
                <w:szCs w:val="21"/>
              </w:rPr>
              <w:t>分）</w:t>
            </w:r>
          </w:p>
        </w:tc>
        <w:tc>
          <w:tcPr>
            <w:tcW w:w="3944" w:type="dxa"/>
            <w:vAlign w:val="center"/>
          </w:tcPr>
          <w:p>
            <w:pPr>
              <w:widowControl/>
              <w:spacing w:line="300" w:lineRule="auto"/>
              <w:jc w:val="left"/>
              <w:textAlignment w:val="center"/>
              <w:rPr>
                <w:szCs w:val="21"/>
              </w:rPr>
            </w:pPr>
            <w:r>
              <w:rPr>
                <w:rFonts w:hAnsi="宋体"/>
                <w:szCs w:val="21"/>
              </w:rPr>
              <w:t>地面、墙面、门窗：无污渍、积水、小广告、蛛网，保持通风无异味</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763"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便池、尿斗、面盆、镜面：干净、无污迹、无污垢、无异味；洗手液、手纸、卫生间按时摆放及补充</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纸篓、垃圾桶：垃圾日产日清，不超过容量的三分之二</w:t>
            </w:r>
          </w:p>
        </w:tc>
        <w:tc>
          <w:tcPr>
            <w:tcW w:w="582" w:type="dxa"/>
            <w:vAlign w:val="center"/>
          </w:tcPr>
          <w:p>
            <w:pPr>
              <w:widowControl/>
              <w:spacing w:line="300" w:lineRule="auto"/>
              <w:jc w:val="center"/>
              <w:textAlignment w:val="center"/>
              <w:rPr>
                <w:szCs w:val="21"/>
              </w:rPr>
            </w:pPr>
            <w:r>
              <w:rPr>
                <w:szCs w:val="21"/>
              </w:rPr>
              <w:t>1</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restart"/>
            <w:vAlign w:val="center"/>
          </w:tcPr>
          <w:p>
            <w:pPr>
              <w:widowControl/>
              <w:spacing w:line="300" w:lineRule="auto"/>
              <w:jc w:val="center"/>
              <w:textAlignment w:val="center"/>
              <w:rPr>
                <w:szCs w:val="21"/>
              </w:rPr>
            </w:pPr>
            <w:r>
              <w:rPr>
                <w:rFonts w:hAnsi="宋体"/>
                <w:szCs w:val="21"/>
              </w:rPr>
              <w:t>会议室、会客室、培训室</w:t>
            </w:r>
            <w:r>
              <w:rPr>
                <w:szCs w:val="21"/>
              </w:rPr>
              <w:t xml:space="preserve">     </w:t>
            </w:r>
            <w:r>
              <w:rPr>
                <w:rFonts w:hAnsi="宋体"/>
                <w:szCs w:val="21"/>
              </w:rPr>
              <w:t>（</w:t>
            </w:r>
            <w:r>
              <w:rPr>
                <w:szCs w:val="21"/>
              </w:rPr>
              <w:t>4</w:t>
            </w:r>
            <w:r>
              <w:rPr>
                <w:rFonts w:hAnsi="宋体"/>
                <w:szCs w:val="21"/>
              </w:rPr>
              <w:t>分）</w:t>
            </w:r>
          </w:p>
        </w:tc>
        <w:tc>
          <w:tcPr>
            <w:tcW w:w="3944" w:type="dxa"/>
            <w:vAlign w:val="center"/>
          </w:tcPr>
          <w:p>
            <w:pPr>
              <w:widowControl/>
              <w:spacing w:line="300" w:lineRule="auto"/>
              <w:jc w:val="left"/>
              <w:textAlignment w:val="center"/>
              <w:rPr>
                <w:szCs w:val="21"/>
              </w:rPr>
            </w:pPr>
            <w:r>
              <w:rPr>
                <w:rFonts w:hAnsi="宋体"/>
                <w:szCs w:val="21"/>
              </w:rPr>
              <w:t>地面、墙面、门窗：无灰尘、纸屑等杂物，无积水、蛛网</w:t>
            </w:r>
          </w:p>
        </w:tc>
        <w:tc>
          <w:tcPr>
            <w:tcW w:w="582" w:type="dxa"/>
            <w:vAlign w:val="center"/>
          </w:tcPr>
          <w:p>
            <w:pPr>
              <w:widowControl/>
              <w:spacing w:line="300" w:lineRule="auto"/>
              <w:jc w:val="center"/>
              <w:textAlignment w:val="center"/>
              <w:rPr>
                <w:szCs w:val="21"/>
              </w:rPr>
            </w:pPr>
            <w:r>
              <w:rPr>
                <w:szCs w:val="21"/>
              </w:rPr>
              <w:t>1</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桌椅、沙发、柜子等家具：无灰尘、杂物、垃圾</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纸篓、垃圾桶：保持整洁，垃圾及时清理，不超过容量的二分之一</w:t>
            </w:r>
          </w:p>
        </w:tc>
        <w:tc>
          <w:tcPr>
            <w:tcW w:w="582" w:type="dxa"/>
            <w:vAlign w:val="center"/>
          </w:tcPr>
          <w:p>
            <w:pPr>
              <w:widowControl/>
              <w:spacing w:line="300" w:lineRule="auto"/>
              <w:jc w:val="center"/>
              <w:textAlignment w:val="center"/>
              <w:rPr>
                <w:szCs w:val="21"/>
              </w:rPr>
            </w:pPr>
            <w:r>
              <w:rPr>
                <w:szCs w:val="21"/>
              </w:rPr>
              <w:t>1</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763" w:hRule="atLeast"/>
          <w:jc w:val="center"/>
        </w:trPr>
        <w:tc>
          <w:tcPr>
            <w:tcW w:w="990" w:type="dxa"/>
            <w:vMerge w:val="continue"/>
            <w:vAlign w:val="center"/>
          </w:tcPr>
          <w:p>
            <w:pPr>
              <w:spacing w:line="300" w:lineRule="auto"/>
              <w:jc w:val="center"/>
              <w:rPr>
                <w:szCs w:val="21"/>
              </w:rPr>
            </w:pPr>
          </w:p>
        </w:tc>
        <w:tc>
          <w:tcPr>
            <w:tcW w:w="992" w:type="dxa"/>
            <w:vAlign w:val="center"/>
          </w:tcPr>
          <w:p>
            <w:pPr>
              <w:widowControl/>
              <w:spacing w:line="300" w:lineRule="auto"/>
              <w:jc w:val="center"/>
              <w:textAlignment w:val="center"/>
              <w:rPr>
                <w:szCs w:val="21"/>
              </w:rPr>
            </w:pPr>
            <w:r>
              <w:rPr>
                <w:rFonts w:hAnsi="宋体"/>
                <w:szCs w:val="21"/>
              </w:rPr>
              <w:t>开水间</w:t>
            </w:r>
            <w:r>
              <w:rPr>
                <w:szCs w:val="21"/>
              </w:rPr>
              <w:t xml:space="preserve">                              </w:t>
            </w:r>
            <w:r>
              <w:rPr>
                <w:rFonts w:hAnsi="宋体"/>
                <w:szCs w:val="21"/>
              </w:rPr>
              <w:t>（</w:t>
            </w:r>
            <w:r>
              <w:rPr>
                <w:szCs w:val="21"/>
              </w:rPr>
              <w:t>1</w:t>
            </w:r>
            <w:r>
              <w:rPr>
                <w:rFonts w:hAnsi="宋体"/>
                <w:szCs w:val="21"/>
              </w:rPr>
              <w:t>分）</w:t>
            </w:r>
          </w:p>
        </w:tc>
        <w:tc>
          <w:tcPr>
            <w:tcW w:w="3944" w:type="dxa"/>
            <w:vAlign w:val="center"/>
          </w:tcPr>
          <w:p>
            <w:pPr>
              <w:widowControl/>
              <w:spacing w:line="300" w:lineRule="auto"/>
              <w:jc w:val="left"/>
              <w:textAlignment w:val="center"/>
              <w:rPr>
                <w:szCs w:val="21"/>
              </w:rPr>
            </w:pPr>
            <w:r>
              <w:rPr>
                <w:rFonts w:hAnsi="宋体"/>
                <w:szCs w:val="21"/>
              </w:rPr>
              <w:t>地面、墙面、门窗、垃圾桶：无污渍、积水、小广告、蛛网；垃圾日产日清，不超过容量的三分之二</w:t>
            </w:r>
          </w:p>
        </w:tc>
        <w:tc>
          <w:tcPr>
            <w:tcW w:w="582" w:type="dxa"/>
            <w:vAlign w:val="center"/>
          </w:tcPr>
          <w:p>
            <w:pPr>
              <w:widowControl/>
              <w:spacing w:line="300" w:lineRule="auto"/>
              <w:jc w:val="center"/>
              <w:textAlignment w:val="center"/>
              <w:rPr>
                <w:szCs w:val="21"/>
              </w:rPr>
            </w:pPr>
            <w:r>
              <w:rPr>
                <w:szCs w:val="21"/>
              </w:rPr>
              <w:t>1</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restart"/>
            <w:vAlign w:val="center"/>
          </w:tcPr>
          <w:p>
            <w:pPr>
              <w:widowControl/>
              <w:spacing w:line="300" w:lineRule="auto"/>
              <w:jc w:val="center"/>
              <w:textAlignment w:val="center"/>
              <w:rPr>
                <w:szCs w:val="21"/>
              </w:rPr>
            </w:pPr>
            <w:r>
              <w:rPr>
                <w:rFonts w:hAnsi="宋体"/>
                <w:szCs w:val="21"/>
              </w:rPr>
              <w:t>设备设施管理、工程维修、用能管理等方面（</w:t>
            </w:r>
            <w:r>
              <w:rPr>
                <w:szCs w:val="21"/>
              </w:rPr>
              <w:t>20</w:t>
            </w:r>
            <w:r>
              <w:rPr>
                <w:rFonts w:hAnsi="宋体"/>
                <w:szCs w:val="21"/>
              </w:rPr>
              <w:t>分）</w:t>
            </w:r>
          </w:p>
        </w:tc>
        <w:tc>
          <w:tcPr>
            <w:tcW w:w="992" w:type="dxa"/>
            <w:vMerge w:val="restart"/>
            <w:vAlign w:val="center"/>
          </w:tcPr>
          <w:p>
            <w:pPr>
              <w:widowControl/>
              <w:spacing w:line="300" w:lineRule="auto"/>
              <w:jc w:val="center"/>
              <w:textAlignment w:val="center"/>
              <w:rPr>
                <w:szCs w:val="21"/>
              </w:rPr>
            </w:pPr>
            <w:r>
              <w:rPr>
                <w:rFonts w:hAnsi="宋体"/>
                <w:szCs w:val="21"/>
              </w:rPr>
              <w:t>日常维修</w:t>
            </w:r>
            <w:r>
              <w:rPr>
                <w:szCs w:val="21"/>
              </w:rPr>
              <w:t xml:space="preserve">                          </w:t>
            </w:r>
            <w:r>
              <w:rPr>
                <w:rFonts w:hAnsi="宋体"/>
                <w:szCs w:val="21"/>
              </w:rPr>
              <w:t>（</w:t>
            </w:r>
            <w:r>
              <w:rPr>
                <w:szCs w:val="21"/>
              </w:rPr>
              <w:t>14</w:t>
            </w:r>
            <w:r>
              <w:rPr>
                <w:rFonts w:hAnsi="宋体"/>
                <w:szCs w:val="21"/>
              </w:rPr>
              <w:t>分）</w:t>
            </w:r>
          </w:p>
        </w:tc>
        <w:tc>
          <w:tcPr>
            <w:tcW w:w="3944" w:type="dxa"/>
            <w:vAlign w:val="center"/>
          </w:tcPr>
          <w:p>
            <w:pPr>
              <w:widowControl/>
              <w:spacing w:line="300" w:lineRule="auto"/>
              <w:jc w:val="left"/>
              <w:textAlignment w:val="center"/>
              <w:rPr>
                <w:szCs w:val="21"/>
              </w:rPr>
            </w:pPr>
            <w:r>
              <w:rPr>
                <w:rFonts w:hAnsi="宋体"/>
                <w:szCs w:val="21"/>
              </w:rPr>
              <w:t>响应度：单位内报修</w:t>
            </w:r>
            <w:r>
              <w:rPr>
                <w:szCs w:val="21"/>
              </w:rPr>
              <w:t>20</w:t>
            </w:r>
            <w:r>
              <w:rPr>
                <w:rFonts w:hAnsi="宋体"/>
                <w:szCs w:val="21"/>
              </w:rPr>
              <w:t>分钟内到现场，外部维修当天内到现场</w:t>
            </w:r>
          </w:p>
        </w:tc>
        <w:tc>
          <w:tcPr>
            <w:tcW w:w="582" w:type="dxa"/>
            <w:vAlign w:val="center"/>
          </w:tcPr>
          <w:p>
            <w:pPr>
              <w:widowControl/>
              <w:spacing w:line="300" w:lineRule="auto"/>
              <w:jc w:val="center"/>
              <w:textAlignment w:val="center"/>
              <w:rPr>
                <w:szCs w:val="21"/>
              </w:rPr>
            </w:pPr>
            <w:r>
              <w:rPr>
                <w:szCs w:val="21"/>
              </w:rPr>
              <w:t>3</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293"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结单率：无特殊原因，当月结单率</w:t>
            </w:r>
            <w:r>
              <w:rPr>
                <w:szCs w:val="21"/>
              </w:rPr>
              <w:t>100%</w:t>
            </w:r>
          </w:p>
        </w:tc>
        <w:tc>
          <w:tcPr>
            <w:tcW w:w="582" w:type="dxa"/>
            <w:vAlign w:val="center"/>
          </w:tcPr>
          <w:p>
            <w:pPr>
              <w:widowControl/>
              <w:spacing w:line="300" w:lineRule="auto"/>
              <w:jc w:val="center"/>
              <w:textAlignment w:val="center"/>
              <w:rPr>
                <w:szCs w:val="21"/>
              </w:rPr>
            </w:pPr>
            <w:r>
              <w:rPr>
                <w:szCs w:val="21"/>
              </w:rPr>
              <w:t>3</w:t>
            </w:r>
          </w:p>
        </w:tc>
        <w:tc>
          <w:tcPr>
            <w:tcW w:w="1851" w:type="dxa"/>
            <w:vAlign w:val="center"/>
          </w:tcPr>
          <w:p>
            <w:pPr>
              <w:widowControl/>
              <w:spacing w:line="300" w:lineRule="auto"/>
              <w:jc w:val="left"/>
              <w:textAlignment w:val="center"/>
              <w:rPr>
                <w:szCs w:val="21"/>
              </w:rPr>
            </w:pPr>
            <w:r>
              <w:rPr>
                <w:rFonts w:hAnsi="宋体"/>
                <w:szCs w:val="21"/>
              </w:rPr>
              <w:t>每单扣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回访率：回访率不低于</w:t>
            </w:r>
            <w:r>
              <w:rPr>
                <w:szCs w:val="21"/>
              </w:rPr>
              <w:t>10%</w:t>
            </w:r>
            <w:r>
              <w:rPr>
                <w:rFonts w:hAnsi="宋体"/>
                <w:szCs w:val="21"/>
              </w:rPr>
              <w:t>，并有详细记录</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无完整记录或低于</w:t>
            </w:r>
            <w:r>
              <w:rPr>
                <w:szCs w:val="21"/>
              </w:rPr>
              <w:t>10%</w:t>
            </w:r>
            <w:r>
              <w:rPr>
                <w:rFonts w:hAnsi="宋体"/>
                <w:szCs w:val="21"/>
              </w:rPr>
              <w:t>均扣</w:t>
            </w:r>
            <w:r>
              <w:rPr>
                <w:szCs w:val="21"/>
              </w:rPr>
              <w:t>1</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763"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及时率：内、外部普通维修当日完成；特殊情况未能完成需要及时上报维修期限至需求部门和监管部门</w:t>
            </w:r>
          </w:p>
        </w:tc>
        <w:tc>
          <w:tcPr>
            <w:tcW w:w="582" w:type="dxa"/>
            <w:vAlign w:val="center"/>
          </w:tcPr>
          <w:p>
            <w:pPr>
              <w:widowControl/>
              <w:spacing w:line="300" w:lineRule="auto"/>
              <w:jc w:val="center"/>
              <w:textAlignment w:val="center"/>
              <w:rPr>
                <w:szCs w:val="21"/>
              </w:rPr>
            </w:pPr>
            <w:r>
              <w:rPr>
                <w:szCs w:val="21"/>
              </w:rPr>
              <w:t>6</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1</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restart"/>
            <w:vAlign w:val="center"/>
          </w:tcPr>
          <w:p>
            <w:pPr>
              <w:widowControl/>
              <w:spacing w:line="300" w:lineRule="auto"/>
              <w:jc w:val="center"/>
              <w:textAlignment w:val="center"/>
              <w:rPr>
                <w:szCs w:val="21"/>
              </w:rPr>
            </w:pPr>
            <w:r>
              <w:rPr>
                <w:rFonts w:hAnsi="宋体"/>
                <w:szCs w:val="21"/>
              </w:rPr>
              <w:t>设施设备管理</w:t>
            </w:r>
            <w:r>
              <w:rPr>
                <w:szCs w:val="21"/>
              </w:rPr>
              <w:t xml:space="preserve">                      </w:t>
            </w:r>
            <w:r>
              <w:rPr>
                <w:rFonts w:hAnsi="宋体"/>
                <w:szCs w:val="21"/>
              </w:rPr>
              <w:t>（</w:t>
            </w:r>
            <w:r>
              <w:rPr>
                <w:szCs w:val="21"/>
              </w:rPr>
              <w:t>4</w:t>
            </w:r>
            <w:r>
              <w:rPr>
                <w:rFonts w:hAnsi="宋体"/>
                <w:szCs w:val="21"/>
              </w:rPr>
              <w:t>分）</w:t>
            </w:r>
          </w:p>
        </w:tc>
        <w:tc>
          <w:tcPr>
            <w:tcW w:w="3944" w:type="dxa"/>
            <w:vAlign w:val="center"/>
          </w:tcPr>
          <w:p>
            <w:pPr>
              <w:widowControl/>
              <w:spacing w:line="300" w:lineRule="auto"/>
              <w:jc w:val="left"/>
              <w:textAlignment w:val="center"/>
              <w:rPr>
                <w:szCs w:val="21"/>
              </w:rPr>
            </w:pPr>
            <w:r>
              <w:rPr>
                <w:rFonts w:hAnsi="宋体"/>
                <w:szCs w:val="21"/>
              </w:rPr>
              <w:t>电梯：每日巡查并记录，监督跟进维保工作，每月提供电梯巡查表及电梯维保记录</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763"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配电房、箱变、水泵、强电井等水电设施：定期巡检并记录；持证上岗，按专业制度流程操作</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763" w:hRule="atLeast"/>
          <w:jc w:val="center"/>
        </w:trPr>
        <w:tc>
          <w:tcPr>
            <w:tcW w:w="990" w:type="dxa"/>
            <w:vMerge w:val="continue"/>
            <w:vAlign w:val="center"/>
          </w:tcPr>
          <w:p>
            <w:pPr>
              <w:spacing w:line="300" w:lineRule="auto"/>
              <w:jc w:val="center"/>
              <w:rPr>
                <w:szCs w:val="21"/>
              </w:rPr>
            </w:pPr>
          </w:p>
        </w:tc>
        <w:tc>
          <w:tcPr>
            <w:tcW w:w="992" w:type="dxa"/>
            <w:vAlign w:val="center"/>
          </w:tcPr>
          <w:p>
            <w:pPr>
              <w:widowControl/>
              <w:spacing w:line="300" w:lineRule="auto"/>
              <w:jc w:val="center"/>
              <w:textAlignment w:val="center"/>
              <w:rPr>
                <w:szCs w:val="21"/>
              </w:rPr>
            </w:pPr>
            <w:r>
              <w:rPr>
                <w:rFonts w:hAnsi="宋体"/>
                <w:szCs w:val="21"/>
              </w:rPr>
              <w:t>维修材料管理</w:t>
            </w:r>
            <w:r>
              <w:rPr>
                <w:szCs w:val="21"/>
              </w:rPr>
              <w:t xml:space="preserve">                    </w:t>
            </w:r>
            <w:r>
              <w:rPr>
                <w:rFonts w:hAnsi="宋体"/>
                <w:szCs w:val="21"/>
              </w:rPr>
              <w:t>（</w:t>
            </w:r>
            <w:r>
              <w:rPr>
                <w:szCs w:val="21"/>
              </w:rPr>
              <w:t>2</w:t>
            </w:r>
            <w:r>
              <w:rPr>
                <w:rFonts w:hAnsi="宋体"/>
                <w:szCs w:val="21"/>
              </w:rPr>
              <w:t>分）</w:t>
            </w:r>
          </w:p>
        </w:tc>
        <w:tc>
          <w:tcPr>
            <w:tcW w:w="3944" w:type="dxa"/>
            <w:vAlign w:val="center"/>
          </w:tcPr>
          <w:p>
            <w:pPr>
              <w:widowControl/>
              <w:spacing w:line="300" w:lineRule="auto"/>
              <w:jc w:val="left"/>
              <w:textAlignment w:val="center"/>
              <w:rPr>
                <w:szCs w:val="21"/>
              </w:rPr>
            </w:pPr>
            <w:r>
              <w:rPr>
                <w:rFonts w:hAnsi="宋体"/>
                <w:szCs w:val="21"/>
              </w:rPr>
              <w:t>各类维修材料分类摆放，整齐有序；建立维修材料管理台帐，领用有记录，及时备货；材料报废按制度严格执行</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restart"/>
            <w:vAlign w:val="center"/>
          </w:tcPr>
          <w:p>
            <w:pPr>
              <w:widowControl/>
              <w:spacing w:line="300" w:lineRule="auto"/>
              <w:jc w:val="center"/>
              <w:textAlignment w:val="center"/>
              <w:rPr>
                <w:szCs w:val="21"/>
              </w:rPr>
            </w:pPr>
            <w:r>
              <w:rPr>
                <w:rFonts w:hAnsi="宋体"/>
                <w:szCs w:val="21"/>
              </w:rPr>
              <w:t>客服服务（</w:t>
            </w:r>
            <w:r>
              <w:rPr>
                <w:szCs w:val="21"/>
              </w:rPr>
              <w:t>15</w:t>
            </w:r>
            <w:r>
              <w:rPr>
                <w:rFonts w:hAnsi="宋体"/>
                <w:szCs w:val="21"/>
              </w:rPr>
              <w:t>分）</w:t>
            </w:r>
          </w:p>
        </w:tc>
        <w:tc>
          <w:tcPr>
            <w:tcW w:w="992" w:type="dxa"/>
            <w:vMerge w:val="restart"/>
            <w:vAlign w:val="center"/>
          </w:tcPr>
          <w:p>
            <w:pPr>
              <w:widowControl/>
              <w:spacing w:line="300" w:lineRule="auto"/>
              <w:jc w:val="center"/>
              <w:textAlignment w:val="center"/>
              <w:rPr>
                <w:szCs w:val="21"/>
              </w:rPr>
            </w:pPr>
            <w:r>
              <w:rPr>
                <w:rFonts w:hAnsi="宋体"/>
                <w:szCs w:val="21"/>
              </w:rPr>
              <w:t>会务服务</w:t>
            </w:r>
            <w:r>
              <w:rPr>
                <w:szCs w:val="21"/>
              </w:rPr>
              <w:t xml:space="preserve">         </w:t>
            </w:r>
            <w:r>
              <w:rPr>
                <w:rFonts w:hAnsi="宋体"/>
                <w:szCs w:val="21"/>
              </w:rPr>
              <w:t>（</w:t>
            </w:r>
            <w:r>
              <w:rPr>
                <w:szCs w:val="21"/>
              </w:rPr>
              <w:t>10</w:t>
            </w:r>
            <w:r>
              <w:rPr>
                <w:rFonts w:hAnsi="宋体"/>
                <w:szCs w:val="21"/>
              </w:rPr>
              <w:t>分）</w:t>
            </w:r>
          </w:p>
        </w:tc>
        <w:tc>
          <w:tcPr>
            <w:tcW w:w="3944" w:type="dxa"/>
            <w:vAlign w:val="center"/>
          </w:tcPr>
          <w:p>
            <w:pPr>
              <w:widowControl/>
              <w:spacing w:line="300" w:lineRule="auto"/>
              <w:jc w:val="left"/>
              <w:textAlignment w:val="center"/>
              <w:rPr>
                <w:szCs w:val="21"/>
              </w:rPr>
            </w:pPr>
            <w:r>
              <w:rPr>
                <w:rFonts w:hAnsi="宋体"/>
                <w:szCs w:val="21"/>
              </w:rPr>
              <w:t>会场环境：保持会场卫生环境，桌椅摆放整齐，设施设备完整、正常使用</w:t>
            </w:r>
          </w:p>
        </w:tc>
        <w:tc>
          <w:tcPr>
            <w:tcW w:w="582" w:type="dxa"/>
            <w:vAlign w:val="center"/>
          </w:tcPr>
          <w:p>
            <w:pPr>
              <w:widowControl/>
              <w:spacing w:line="300" w:lineRule="auto"/>
              <w:jc w:val="center"/>
              <w:textAlignment w:val="center"/>
              <w:rPr>
                <w:szCs w:val="21"/>
              </w:rPr>
            </w:pPr>
            <w:r>
              <w:rPr>
                <w:szCs w:val="21"/>
              </w:rPr>
              <w:t>4</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现场服务：按制度流程进行服务，禁止做与工作无关的事情；特殊情况能够临时应变</w:t>
            </w:r>
          </w:p>
        </w:tc>
        <w:tc>
          <w:tcPr>
            <w:tcW w:w="582" w:type="dxa"/>
            <w:vAlign w:val="center"/>
          </w:tcPr>
          <w:p>
            <w:pPr>
              <w:widowControl/>
              <w:spacing w:line="300" w:lineRule="auto"/>
              <w:jc w:val="center"/>
              <w:textAlignment w:val="center"/>
              <w:rPr>
                <w:szCs w:val="21"/>
              </w:rPr>
            </w:pPr>
            <w:r>
              <w:rPr>
                <w:szCs w:val="21"/>
              </w:rPr>
              <w:t>4</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1</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763"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工作记录：认真填写会议接待服务记录；每日巡查各会议室、会客室，并详细填写巡查记录</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未及时填写、明显错误、内容不完整，每项扣</w:t>
            </w:r>
            <w:r>
              <w:rPr>
                <w:szCs w:val="21"/>
              </w:rPr>
              <w:t>0.5</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restart"/>
            <w:vAlign w:val="center"/>
          </w:tcPr>
          <w:p>
            <w:pPr>
              <w:widowControl/>
              <w:spacing w:line="300" w:lineRule="auto"/>
              <w:jc w:val="center"/>
              <w:textAlignment w:val="center"/>
              <w:rPr>
                <w:szCs w:val="21"/>
              </w:rPr>
            </w:pPr>
            <w:r>
              <w:rPr>
                <w:rFonts w:hAnsi="宋体"/>
                <w:szCs w:val="21"/>
              </w:rPr>
              <w:t>前台接待</w:t>
            </w:r>
            <w:r>
              <w:rPr>
                <w:szCs w:val="21"/>
              </w:rPr>
              <w:t xml:space="preserve">                </w:t>
            </w:r>
            <w:r>
              <w:rPr>
                <w:rFonts w:hAnsi="宋体"/>
                <w:szCs w:val="21"/>
              </w:rPr>
              <w:t>（</w:t>
            </w:r>
            <w:r>
              <w:rPr>
                <w:szCs w:val="21"/>
              </w:rPr>
              <w:t>5</w:t>
            </w:r>
            <w:r>
              <w:rPr>
                <w:rFonts w:hAnsi="宋体"/>
                <w:szCs w:val="21"/>
              </w:rPr>
              <w:t>分）</w:t>
            </w:r>
          </w:p>
        </w:tc>
        <w:tc>
          <w:tcPr>
            <w:tcW w:w="3944" w:type="dxa"/>
            <w:vAlign w:val="center"/>
          </w:tcPr>
          <w:p>
            <w:pPr>
              <w:widowControl/>
              <w:spacing w:line="300" w:lineRule="auto"/>
              <w:jc w:val="left"/>
              <w:textAlignment w:val="center"/>
              <w:rPr>
                <w:szCs w:val="21"/>
              </w:rPr>
            </w:pPr>
            <w:r>
              <w:rPr>
                <w:rFonts w:hAnsi="宋体"/>
                <w:szCs w:val="21"/>
              </w:rPr>
              <w:t>素质要求：保持良好形象、热情接待、规范用语、认真填写工作表单</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1</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环境卫生：保持岗位区域内卫生环境，物品整齐摆放</w:t>
            </w:r>
          </w:p>
        </w:tc>
        <w:tc>
          <w:tcPr>
            <w:tcW w:w="582" w:type="dxa"/>
            <w:vAlign w:val="center"/>
          </w:tcPr>
          <w:p>
            <w:pPr>
              <w:widowControl/>
              <w:spacing w:line="300" w:lineRule="auto"/>
              <w:jc w:val="center"/>
              <w:textAlignment w:val="center"/>
              <w:rPr>
                <w:szCs w:val="21"/>
              </w:rPr>
            </w:pPr>
            <w:r>
              <w:rPr>
                <w:szCs w:val="21"/>
              </w:rPr>
              <w:t>3</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1</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763" w:hRule="atLeast"/>
          <w:jc w:val="center"/>
        </w:trPr>
        <w:tc>
          <w:tcPr>
            <w:tcW w:w="990" w:type="dxa"/>
            <w:vMerge w:val="restart"/>
            <w:vAlign w:val="center"/>
          </w:tcPr>
          <w:p>
            <w:pPr>
              <w:widowControl/>
              <w:spacing w:line="300" w:lineRule="auto"/>
              <w:jc w:val="center"/>
              <w:textAlignment w:val="center"/>
              <w:rPr>
                <w:szCs w:val="21"/>
              </w:rPr>
            </w:pPr>
            <w:r>
              <w:rPr>
                <w:rFonts w:hAnsi="宋体"/>
                <w:szCs w:val="21"/>
              </w:rPr>
              <w:t>综合管理（</w:t>
            </w:r>
            <w:r>
              <w:rPr>
                <w:szCs w:val="21"/>
              </w:rPr>
              <w:t>26</w:t>
            </w:r>
            <w:r>
              <w:rPr>
                <w:rFonts w:hAnsi="宋体"/>
                <w:szCs w:val="21"/>
              </w:rPr>
              <w:t>分）</w:t>
            </w:r>
          </w:p>
        </w:tc>
        <w:tc>
          <w:tcPr>
            <w:tcW w:w="992" w:type="dxa"/>
            <w:vMerge w:val="restart"/>
            <w:vAlign w:val="center"/>
          </w:tcPr>
          <w:p>
            <w:pPr>
              <w:widowControl/>
              <w:spacing w:line="300" w:lineRule="auto"/>
              <w:jc w:val="center"/>
              <w:textAlignment w:val="center"/>
              <w:rPr>
                <w:szCs w:val="21"/>
              </w:rPr>
            </w:pPr>
            <w:r>
              <w:rPr>
                <w:rFonts w:hAnsi="宋体"/>
                <w:szCs w:val="21"/>
              </w:rPr>
              <w:t>职业素养</w:t>
            </w:r>
            <w:r>
              <w:rPr>
                <w:szCs w:val="21"/>
              </w:rPr>
              <w:t xml:space="preserve">            </w:t>
            </w:r>
            <w:r>
              <w:rPr>
                <w:rFonts w:hAnsi="宋体"/>
                <w:szCs w:val="21"/>
              </w:rPr>
              <w:t>（</w:t>
            </w:r>
            <w:r>
              <w:rPr>
                <w:szCs w:val="21"/>
              </w:rPr>
              <w:t>8</w:t>
            </w:r>
            <w:r>
              <w:rPr>
                <w:rFonts w:hAnsi="宋体"/>
                <w:szCs w:val="21"/>
              </w:rPr>
              <w:t>分）</w:t>
            </w:r>
          </w:p>
        </w:tc>
        <w:tc>
          <w:tcPr>
            <w:tcW w:w="3944" w:type="dxa"/>
            <w:vAlign w:val="center"/>
          </w:tcPr>
          <w:p>
            <w:pPr>
              <w:widowControl/>
              <w:spacing w:line="300" w:lineRule="auto"/>
              <w:jc w:val="left"/>
              <w:textAlignment w:val="center"/>
              <w:rPr>
                <w:szCs w:val="21"/>
              </w:rPr>
            </w:pPr>
            <w:r>
              <w:rPr>
                <w:rFonts w:hAnsi="宋体"/>
                <w:szCs w:val="21"/>
              </w:rPr>
              <w:t>遵守单位相关规章制度，上班时间段统一穿戴制服并保持良好个人形象，不做与本职工作无关的事项</w:t>
            </w:r>
          </w:p>
        </w:tc>
        <w:tc>
          <w:tcPr>
            <w:tcW w:w="582" w:type="dxa"/>
            <w:vAlign w:val="center"/>
          </w:tcPr>
          <w:p>
            <w:pPr>
              <w:widowControl/>
              <w:spacing w:line="300" w:lineRule="auto"/>
              <w:jc w:val="center"/>
              <w:textAlignment w:val="center"/>
              <w:rPr>
                <w:szCs w:val="21"/>
              </w:rPr>
            </w:pPr>
            <w:r>
              <w:rPr>
                <w:szCs w:val="21"/>
              </w:rPr>
              <w:t>4</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1</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无迟到早退、擅自离岗、脱岗情况</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1</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用能设备管理、餐饮等特殊岗位需要持证上岗</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每发现一项不合格，扣</w:t>
            </w:r>
            <w:r>
              <w:rPr>
                <w:szCs w:val="21"/>
              </w:rPr>
              <w:t>2</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763" w:hRule="atLeast"/>
          <w:jc w:val="center"/>
        </w:trPr>
        <w:tc>
          <w:tcPr>
            <w:tcW w:w="990" w:type="dxa"/>
            <w:vMerge w:val="continue"/>
            <w:vAlign w:val="center"/>
          </w:tcPr>
          <w:p>
            <w:pPr>
              <w:spacing w:line="300" w:lineRule="auto"/>
              <w:jc w:val="center"/>
              <w:rPr>
                <w:szCs w:val="21"/>
              </w:rPr>
            </w:pPr>
          </w:p>
        </w:tc>
        <w:tc>
          <w:tcPr>
            <w:tcW w:w="992" w:type="dxa"/>
            <w:vMerge w:val="restart"/>
            <w:vAlign w:val="center"/>
          </w:tcPr>
          <w:p>
            <w:pPr>
              <w:widowControl/>
              <w:spacing w:line="300" w:lineRule="auto"/>
              <w:jc w:val="center"/>
              <w:textAlignment w:val="center"/>
              <w:rPr>
                <w:szCs w:val="21"/>
              </w:rPr>
            </w:pPr>
            <w:r>
              <w:rPr>
                <w:rFonts w:hAnsi="宋体"/>
                <w:szCs w:val="21"/>
              </w:rPr>
              <w:t>工作数据</w:t>
            </w:r>
            <w:r>
              <w:rPr>
                <w:szCs w:val="21"/>
              </w:rPr>
              <w:t xml:space="preserve">          </w:t>
            </w:r>
            <w:r>
              <w:rPr>
                <w:rFonts w:hAnsi="宋体"/>
                <w:szCs w:val="21"/>
              </w:rPr>
              <w:t>（</w:t>
            </w:r>
            <w:r>
              <w:rPr>
                <w:szCs w:val="21"/>
              </w:rPr>
              <w:t>8</w:t>
            </w:r>
            <w:r>
              <w:rPr>
                <w:rFonts w:hAnsi="宋体"/>
                <w:szCs w:val="21"/>
              </w:rPr>
              <w:t>分）</w:t>
            </w:r>
          </w:p>
        </w:tc>
        <w:tc>
          <w:tcPr>
            <w:tcW w:w="3944" w:type="dxa"/>
            <w:vAlign w:val="center"/>
          </w:tcPr>
          <w:p>
            <w:pPr>
              <w:widowControl/>
              <w:spacing w:line="300" w:lineRule="auto"/>
              <w:jc w:val="left"/>
              <w:textAlignment w:val="center"/>
              <w:rPr>
                <w:szCs w:val="21"/>
              </w:rPr>
            </w:pPr>
            <w:r>
              <w:rPr>
                <w:rFonts w:hAnsi="宋体"/>
                <w:szCs w:val="21"/>
              </w:rPr>
              <w:t>日常表单：每月汇总提供节能用能、安全管理、环境卫生等各项日常工作表单，供监管部门检查</w:t>
            </w:r>
          </w:p>
        </w:tc>
        <w:tc>
          <w:tcPr>
            <w:tcW w:w="582" w:type="dxa"/>
            <w:vAlign w:val="center"/>
          </w:tcPr>
          <w:p>
            <w:pPr>
              <w:widowControl/>
              <w:spacing w:line="300" w:lineRule="auto"/>
              <w:jc w:val="center"/>
              <w:textAlignment w:val="center"/>
              <w:rPr>
                <w:szCs w:val="21"/>
              </w:rPr>
            </w:pPr>
            <w:r>
              <w:rPr>
                <w:szCs w:val="21"/>
              </w:rPr>
              <w:t>4</w:t>
            </w:r>
          </w:p>
        </w:tc>
        <w:tc>
          <w:tcPr>
            <w:tcW w:w="1851" w:type="dxa"/>
            <w:vAlign w:val="center"/>
          </w:tcPr>
          <w:p>
            <w:pPr>
              <w:widowControl/>
              <w:spacing w:line="300" w:lineRule="auto"/>
              <w:jc w:val="left"/>
              <w:textAlignment w:val="center"/>
              <w:rPr>
                <w:szCs w:val="21"/>
              </w:rPr>
            </w:pPr>
            <w:r>
              <w:rPr>
                <w:rFonts w:hAnsi="宋体"/>
                <w:szCs w:val="21"/>
              </w:rPr>
              <w:t>不能提供的扣</w:t>
            </w:r>
            <w:r>
              <w:rPr>
                <w:szCs w:val="21"/>
              </w:rPr>
              <w:t>4</w:t>
            </w:r>
            <w:r>
              <w:rPr>
                <w:rFonts w:hAnsi="宋体"/>
                <w:szCs w:val="21"/>
              </w:rPr>
              <w:t>分，数据明显错或缺失的每项扣</w:t>
            </w:r>
            <w:r>
              <w:rPr>
                <w:szCs w:val="21"/>
              </w:rPr>
              <w:t>1</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763" w:hRule="atLeast"/>
          <w:jc w:val="center"/>
        </w:trPr>
        <w:tc>
          <w:tcPr>
            <w:tcW w:w="990" w:type="dxa"/>
            <w:vMerge w:val="continue"/>
            <w:vAlign w:val="center"/>
          </w:tcPr>
          <w:p>
            <w:pPr>
              <w:spacing w:line="300" w:lineRule="auto"/>
              <w:jc w:val="center"/>
              <w:rPr>
                <w:szCs w:val="21"/>
              </w:rPr>
            </w:pPr>
          </w:p>
        </w:tc>
        <w:tc>
          <w:tcPr>
            <w:tcW w:w="992" w:type="dxa"/>
            <w:vMerge w:val="continue"/>
            <w:vAlign w:val="center"/>
          </w:tcPr>
          <w:p>
            <w:pPr>
              <w:spacing w:line="300" w:lineRule="auto"/>
              <w:jc w:val="center"/>
              <w:rPr>
                <w:szCs w:val="21"/>
              </w:rPr>
            </w:pPr>
          </w:p>
        </w:tc>
        <w:tc>
          <w:tcPr>
            <w:tcW w:w="3944" w:type="dxa"/>
            <w:vAlign w:val="center"/>
          </w:tcPr>
          <w:p>
            <w:pPr>
              <w:widowControl/>
              <w:spacing w:line="300" w:lineRule="auto"/>
              <w:jc w:val="left"/>
              <w:textAlignment w:val="center"/>
              <w:rPr>
                <w:szCs w:val="21"/>
              </w:rPr>
            </w:pPr>
            <w:r>
              <w:rPr>
                <w:rFonts w:hAnsi="宋体"/>
                <w:szCs w:val="21"/>
              </w:rPr>
              <w:t>数据分析：每季度根据各项日常卫生、安全、能耗等数据进行汇总分析，以项目月报形式提交</w:t>
            </w:r>
          </w:p>
        </w:tc>
        <w:tc>
          <w:tcPr>
            <w:tcW w:w="582" w:type="dxa"/>
            <w:vAlign w:val="center"/>
          </w:tcPr>
          <w:p>
            <w:pPr>
              <w:widowControl/>
              <w:spacing w:line="300" w:lineRule="auto"/>
              <w:jc w:val="center"/>
              <w:textAlignment w:val="center"/>
              <w:rPr>
                <w:szCs w:val="21"/>
              </w:rPr>
            </w:pPr>
            <w:r>
              <w:rPr>
                <w:szCs w:val="21"/>
              </w:rPr>
              <w:t>4</w:t>
            </w:r>
          </w:p>
        </w:tc>
        <w:tc>
          <w:tcPr>
            <w:tcW w:w="1851" w:type="dxa"/>
            <w:vAlign w:val="center"/>
          </w:tcPr>
          <w:p>
            <w:pPr>
              <w:widowControl/>
              <w:spacing w:line="300" w:lineRule="auto"/>
              <w:jc w:val="left"/>
              <w:textAlignment w:val="center"/>
              <w:rPr>
                <w:szCs w:val="21"/>
              </w:rPr>
            </w:pPr>
            <w:r>
              <w:rPr>
                <w:rFonts w:hAnsi="宋体"/>
                <w:szCs w:val="21"/>
              </w:rPr>
              <w:t>不能提供的扣</w:t>
            </w:r>
            <w:r>
              <w:rPr>
                <w:szCs w:val="21"/>
              </w:rPr>
              <w:t>4</w:t>
            </w:r>
            <w:r>
              <w:rPr>
                <w:rFonts w:hAnsi="宋体"/>
                <w:szCs w:val="21"/>
              </w:rPr>
              <w:t>分，数据明显错或缺失的每项扣</w:t>
            </w:r>
            <w:r>
              <w:rPr>
                <w:szCs w:val="21"/>
              </w:rPr>
              <w:t>2</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1234" w:hRule="atLeast"/>
          <w:jc w:val="center"/>
        </w:trPr>
        <w:tc>
          <w:tcPr>
            <w:tcW w:w="990" w:type="dxa"/>
            <w:vMerge w:val="continue"/>
            <w:vAlign w:val="center"/>
          </w:tcPr>
          <w:p>
            <w:pPr>
              <w:spacing w:line="300" w:lineRule="auto"/>
              <w:jc w:val="center"/>
              <w:rPr>
                <w:szCs w:val="21"/>
              </w:rPr>
            </w:pPr>
          </w:p>
        </w:tc>
        <w:tc>
          <w:tcPr>
            <w:tcW w:w="992" w:type="dxa"/>
            <w:vAlign w:val="center"/>
          </w:tcPr>
          <w:p>
            <w:pPr>
              <w:widowControl/>
              <w:spacing w:line="300" w:lineRule="auto"/>
              <w:jc w:val="center"/>
              <w:textAlignment w:val="center"/>
              <w:rPr>
                <w:szCs w:val="21"/>
              </w:rPr>
            </w:pPr>
            <w:r>
              <w:rPr>
                <w:rFonts w:hAnsi="宋体"/>
                <w:szCs w:val="21"/>
              </w:rPr>
              <w:t>主动巡查巡检</w:t>
            </w:r>
            <w:r>
              <w:rPr>
                <w:szCs w:val="21"/>
              </w:rPr>
              <w:t xml:space="preserve">             </w:t>
            </w:r>
            <w:r>
              <w:rPr>
                <w:rFonts w:hAnsi="宋体"/>
                <w:szCs w:val="21"/>
              </w:rPr>
              <w:t>（</w:t>
            </w:r>
            <w:r>
              <w:rPr>
                <w:szCs w:val="21"/>
              </w:rPr>
              <w:t>8</w:t>
            </w:r>
            <w:r>
              <w:rPr>
                <w:rFonts w:hAnsi="宋体"/>
                <w:szCs w:val="21"/>
              </w:rPr>
              <w:t>分）</w:t>
            </w:r>
          </w:p>
        </w:tc>
        <w:tc>
          <w:tcPr>
            <w:tcW w:w="3944" w:type="dxa"/>
            <w:vAlign w:val="center"/>
          </w:tcPr>
          <w:p>
            <w:pPr>
              <w:widowControl/>
              <w:spacing w:line="300" w:lineRule="auto"/>
              <w:jc w:val="left"/>
              <w:textAlignment w:val="center"/>
              <w:rPr>
                <w:szCs w:val="21"/>
              </w:rPr>
            </w:pPr>
            <w:r>
              <w:rPr>
                <w:rFonts w:hAnsi="宋体"/>
                <w:szCs w:val="21"/>
              </w:rPr>
              <w:t>每日对单位办公楼和外部进行巡查不低于两次，主要检查日常使用的设施设备用能管理及卫生情况（包括但不限于空调、灯具、插座、空开、办公桌椅、门窗、卫生设施等），建立每日检查记录表。</w:t>
            </w:r>
          </w:p>
        </w:tc>
        <w:tc>
          <w:tcPr>
            <w:tcW w:w="582" w:type="dxa"/>
            <w:vAlign w:val="center"/>
          </w:tcPr>
          <w:p>
            <w:pPr>
              <w:widowControl/>
              <w:spacing w:line="300" w:lineRule="auto"/>
              <w:jc w:val="center"/>
              <w:textAlignment w:val="center"/>
              <w:rPr>
                <w:szCs w:val="21"/>
              </w:rPr>
            </w:pPr>
            <w:r>
              <w:rPr>
                <w:szCs w:val="21"/>
              </w:rPr>
              <w:t>8</w:t>
            </w:r>
          </w:p>
        </w:tc>
        <w:tc>
          <w:tcPr>
            <w:tcW w:w="1851" w:type="dxa"/>
            <w:vAlign w:val="center"/>
          </w:tcPr>
          <w:p>
            <w:pPr>
              <w:widowControl/>
              <w:spacing w:line="300" w:lineRule="auto"/>
              <w:jc w:val="left"/>
              <w:textAlignment w:val="center"/>
              <w:rPr>
                <w:szCs w:val="21"/>
              </w:rPr>
            </w:pPr>
            <w:r>
              <w:rPr>
                <w:rFonts w:hAnsi="宋体"/>
                <w:szCs w:val="21"/>
              </w:rPr>
              <w:t>未及时填写、明显错误、内容不完整，每项扣</w:t>
            </w:r>
            <w:r>
              <w:rPr>
                <w:szCs w:val="21"/>
              </w:rPr>
              <w:t>1</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763" w:hRule="atLeast"/>
          <w:jc w:val="center"/>
        </w:trPr>
        <w:tc>
          <w:tcPr>
            <w:tcW w:w="990" w:type="dxa"/>
            <w:vMerge w:val="continue"/>
            <w:vAlign w:val="center"/>
          </w:tcPr>
          <w:p>
            <w:pPr>
              <w:spacing w:line="300" w:lineRule="auto"/>
              <w:jc w:val="center"/>
              <w:rPr>
                <w:szCs w:val="21"/>
              </w:rPr>
            </w:pPr>
          </w:p>
        </w:tc>
        <w:tc>
          <w:tcPr>
            <w:tcW w:w="992" w:type="dxa"/>
            <w:vAlign w:val="center"/>
          </w:tcPr>
          <w:p>
            <w:pPr>
              <w:widowControl/>
              <w:spacing w:line="300" w:lineRule="auto"/>
              <w:jc w:val="center"/>
              <w:textAlignment w:val="center"/>
              <w:rPr>
                <w:szCs w:val="21"/>
              </w:rPr>
            </w:pPr>
            <w:r>
              <w:rPr>
                <w:rFonts w:hAnsi="宋体"/>
                <w:szCs w:val="21"/>
              </w:rPr>
              <w:t>服务人数</w:t>
            </w:r>
            <w:r>
              <w:rPr>
                <w:szCs w:val="21"/>
              </w:rPr>
              <w:t xml:space="preserve">              </w:t>
            </w:r>
            <w:r>
              <w:rPr>
                <w:rFonts w:hAnsi="宋体"/>
                <w:szCs w:val="21"/>
              </w:rPr>
              <w:t>（</w:t>
            </w:r>
            <w:r>
              <w:rPr>
                <w:szCs w:val="21"/>
              </w:rPr>
              <w:t>2</w:t>
            </w:r>
            <w:r>
              <w:rPr>
                <w:rFonts w:hAnsi="宋体"/>
                <w:szCs w:val="21"/>
              </w:rPr>
              <w:t>分）</w:t>
            </w:r>
          </w:p>
        </w:tc>
        <w:tc>
          <w:tcPr>
            <w:tcW w:w="3944" w:type="dxa"/>
            <w:vAlign w:val="center"/>
          </w:tcPr>
          <w:p>
            <w:pPr>
              <w:widowControl/>
              <w:spacing w:line="300" w:lineRule="auto"/>
              <w:jc w:val="left"/>
              <w:textAlignment w:val="center"/>
              <w:rPr>
                <w:szCs w:val="21"/>
              </w:rPr>
            </w:pPr>
            <w:r>
              <w:rPr>
                <w:rFonts w:hAnsi="宋体"/>
                <w:szCs w:val="21"/>
              </w:rPr>
              <w:t>每月提供物业项目人员花名册，供监管部门核查</w:t>
            </w:r>
          </w:p>
        </w:tc>
        <w:tc>
          <w:tcPr>
            <w:tcW w:w="582" w:type="dxa"/>
            <w:vAlign w:val="center"/>
          </w:tcPr>
          <w:p>
            <w:pPr>
              <w:widowControl/>
              <w:spacing w:line="300" w:lineRule="auto"/>
              <w:jc w:val="center"/>
              <w:textAlignment w:val="center"/>
              <w:rPr>
                <w:szCs w:val="21"/>
              </w:rPr>
            </w:pPr>
            <w:r>
              <w:rPr>
                <w:szCs w:val="21"/>
              </w:rPr>
              <w:t>2</w:t>
            </w:r>
          </w:p>
        </w:tc>
        <w:tc>
          <w:tcPr>
            <w:tcW w:w="1851" w:type="dxa"/>
            <w:vAlign w:val="center"/>
          </w:tcPr>
          <w:p>
            <w:pPr>
              <w:widowControl/>
              <w:spacing w:line="300" w:lineRule="auto"/>
              <w:jc w:val="left"/>
              <w:textAlignment w:val="center"/>
              <w:rPr>
                <w:szCs w:val="21"/>
              </w:rPr>
            </w:pPr>
            <w:r>
              <w:rPr>
                <w:rFonts w:hAnsi="宋体"/>
                <w:szCs w:val="21"/>
              </w:rPr>
              <w:t>无特殊原因，未达到合同要求人数，每少一人扣</w:t>
            </w:r>
            <w:r>
              <w:rPr>
                <w:szCs w:val="21"/>
              </w:rPr>
              <w:t>2</w:t>
            </w:r>
            <w:r>
              <w:rPr>
                <w:rFonts w:hAnsi="宋体"/>
                <w:szCs w:val="21"/>
              </w:rPr>
              <w:t>分</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left"/>
              <w:rPr>
                <w:szCs w:val="21"/>
              </w:rPr>
            </w:pPr>
          </w:p>
        </w:tc>
      </w:tr>
      <w:tr>
        <w:tblPrEx>
          <w:tblLayout w:type="fixed"/>
        </w:tblPrEx>
        <w:trPr>
          <w:trHeight w:val="293" w:hRule="atLeast"/>
          <w:jc w:val="center"/>
        </w:trPr>
        <w:tc>
          <w:tcPr>
            <w:tcW w:w="5926" w:type="dxa"/>
            <w:gridSpan w:val="3"/>
            <w:vAlign w:val="center"/>
          </w:tcPr>
          <w:p>
            <w:pPr>
              <w:widowControl/>
              <w:spacing w:line="300" w:lineRule="auto"/>
              <w:jc w:val="center"/>
              <w:textAlignment w:val="center"/>
              <w:rPr>
                <w:szCs w:val="21"/>
              </w:rPr>
            </w:pPr>
            <w:r>
              <w:rPr>
                <w:rFonts w:hAnsi="宋体"/>
                <w:szCs w:val="21"/>
              </w:rPr>
              <w:t>扣分项合计</w:t>
            </w:r>
          </w:p>
        </w:tc>
        <w:tc>
          <w:tcPr>
            <w:tcW w:w="582" w:type="dxa"/>
            <w:vAlign w:val="center"/>
          </w:tcPr>
          <w:p>
            <w:pPr>
              <w:widowControl/>
              <w:spacing w:line="300" w:lineRule="auto"/>
              <w:jc w:val="center"/>
              <w:textAlignment w:val="center"/>
              <w:rPr>
                <w:szCs w:val="21"/>
              </w:rPr>
            </w:pPr>
            <w:r>
              <w:rPr>
                <w:szCs w:val="21"/>
              </w:rPr>
              <w:t>100</w:t>
            </w:r>
          </w:p>
        </w:tc>
        <w:tc>
          <w:tcPr>
            <w:tcW w:w="1851" w:type="dxa"/>
            <w:vAlign w:val="center"/>
          </w:tcPr>
          <w:p>
            <w:pPr>
              <w:spacing w:line="300" w:lineRule="auto"/>
              <w:jc w:val="center"/>
              <w:rPr>
                <w:szCs w:val="21"/>
              </w:rPr>
            </w:pPr>
          </w:p>
        </w:tc>
        <w:tc>
          <w:tcPr>
            <w:tcW w:w="764" w:type="dxa"/>
            <w:vAlign w:val="center"/>
          </w:tcPr>
          <w:p>
            <w:pPr>
              <w:spacing w:line="300" w:lineRule="auto"/>
              <w:jc w:val="center"/>
              <w:rPr>
                <w:szCs w:val="21"/>
              </w:rPr>
            </w:pPr>
          </w:p>
        </w:tc>
        <w:tc>
          <w:tcPr>
            <w:tcW w:w="860" w:type="dxa"/>
            <w:vAlign w:val="center"/>
          </w:tcPr>
          <w:p>
            <w:pPr>
              <w:spacing w:line="300" w:lineRule="auto"/>
              <w:rPr>
                <w:szCs w:val="21"/>
              </w:rPr>
            </w:pPr>
          </w:p>
        </w:tc>
        <w:tc>
          <w:tcPr>
            <w:tcW w:w="477" w:type="dxa"/>
            <w:vAlign w:val="center"/>
          </w:tcPr>
          <w:p>
            <w:pPr>
              <w:spacing w:line="300" w:lineRule="auto"/>
              <w:rPr>
                <w:szCs w:val="21"/>
              </w:rPr>
            </w:pPr>
          </w:p>
        </w:tc>
      </w:tr>
      <w:tr>
        <w:tblPrEx>
          <w:tblLayout w:type="fixed"/>
        </w:tblPrEx>
        <w:trPr>
          <w:trHeight w:val="449" w:hRule="atLeast"/>
          <w:jc w:val="center"/>
        </w:trPr>
        <w:tc>
          <w:tcPr>
            <w:tcW w:w="990" w:type="dxa"/>
            <w:vMerge w:val="restart"/>
            <w:vAlign w:val="center"/>
          </w:tcPr>
          <w:p>
            <w:pPr>
              <w:widowControl/>
              <w:spacing w:line="300" w:lineRule="auto"/>
              <w:jc w:val="center"/>
              <w:textAlignment w:val="center"/>
              <w:rPr>
                <w:szCs w:val="21"/>
              </w:rPr>
            </w:pPr>
            <w:r>
              <w:rPr>
                <w:rFonts w:hAnsi="宋体"/>
                <w:szCs w:val="21"/>
              </w:rPr>
              <w:t>加分项</w:t>
            </w:r>
          </w:p>
        </w:tc>
        <w:tc>
          <w:tcPr>
            <w:tcW w:w="992" w:type="dxa"/>
            <w:vAlign w:val="center"/>
          </w:tcPr>
          <w:p>
            <w:pPr>
              <w:widowControl/>
              <w:spacing w:line="300" w:lineRule="auto"/>
              <w:jc w:val="center"/>
              <w:textAlignment w:val="center"/>
              <w:rPr>
                <w:szCs w:val="21"/>
              </w:rPr>
            </w:pPr>
            <w:r>
              <w:rPr>
                <w:rFonts w:hAnsi="宋体"/>
                <w:szCs w:val="21"/>
              </w:rPr>
              <w:t>领导表扬</w:t>
            </w:r>
          </w:p>
        </w:tc>
        <w:tc>
          <w:tcPr>
            <w:tcW w:w="3944" w:type="dxa"/>
            <w:vAlign w:val="center"/>
          </w:tcPr>
          <w:p>
            <w:pPr>
              <w:widowControl/>
              <w:spacing w:line="300" w:lineRule="auto"/>
              <w:jc w:val="left"/>
              <w:textAlignment w:val="center"/>
              <w:rPr>
                <w:szCs w:val="21"/>
              </w:rPr>
            </w:pPr>
            <w:r>
              <w:rPr>
                <w:rFonts w:hAnsi="宋体"/>
                <w:szCs w:val="21"/>
              </w:rPr>
              <w:t>单位领导对物业进行的口头或书面表扬</w:t>
            </w:r>
          </w:p>
        </w:tc>
        <w:tc>
          <w:tcPr>
            <w:tcW w:w="582" w:type="dxa"/>
            <w:vAlign w:val="center"/>
          </w:tcPr>
          <w:p>
            <w:pPr>
              <w:spacing w:line="300" w:lineRule="auto"/>
              <w:jc w:val="center"/>
              <w:rPr>
                <w:szCs w:val="21"/>
              </w:rPr>
            </w:pPr>
          </w:p>
        </w:tc>
        <w:tc>
          <w:tcPr>
            <w:tcW w:w="1851" w:type="dxa"/>
            <w:vAlign w:val="center"/>
          </w:tcPr>
          <w:p>
            <w:pPr>
              <w:widowControl/>
              <w:spacing w:line="300" w:lineRule="auto"/>
              <w:jc w:val="center"/>
              <w:textAlignment w:val="center"/>
              <w:rPr>
                <w:szCs w:val="21"/>
              </w:rPr>
            </w:pPr>
            <w:r>
              <w:rPr>
                <w:rFonts w:hAnsi="宋体"/>
                <w:szCs w:val="21"/>
              </w:rPr>
              <w:t>每项</w:t>
            </w:r>
            <w:r>
              <w:rPr>
                <w:szCs w:val="21"/>
              </w:rPr>
              <w:t>2</w:t>
            </w:r>
            <w:r>
              <w:rPr>
                <w:rFonts w:hAnsi="宋体"/>
                <w:szCs w:val="21"/>
              </w:rPr>
              <w:t>分，无上限</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Align w:val="center"/>
          </w:tcPr>
          <w:p>
            <w:pPr>
              <w:widowControl/>
              <w:spacing w:line="300" w:lineRule="auto"/>
              <w:jc w:val="center"/>
              <w:textAlignment w:val="center"/>
              <w:rPr>
                <w:szCs w:val="21"/>
              </w:rPr>
            </w:pPr>
            <w:r>
              <w:rPr>
                <w:rFonts w:hAnsi="宋体"/>
                <w:szCs w:val="21"/>
              </w:rPr>
              <w:t>优秀事迹</w:t>
            </w:r>
          </w:p>
        </w:tc>
        <w:tc>
          <w:tcPr>
            <w:tcW w:w="3944" w:type="dxa"/>
            <w:vAlign w:val="center"/>
          </w:tcPr>
          <w:p>
            <w:pPr>
              <w:widowControl/>
              <w:spacing w:line="300" w:lineRule="auto"/>
              <w:jc w:val="left"/>
              <w:textAlignment w:val="center"/>
              <w:rPr>
                <w:szCs w:val="21"/>
              </w:rPr>
            </w:pPr>
            <w:r>
              <w:rPr>
                <w:rFonts w:hAnsi="宋体"/>
                <w:szCs w:val="21"/>
              </w:rPr>
              <w:t>经物业监管部门讨论，决定对物业的某项优秀事迹进行表彰</w:t>
            </w:r>
          </w:p>
        </w:tc>
        <w:tc>
          <w:tcPr>
            <w:tcW w:w="582" w:type="dxa"/>
            <w:vAlign w:val="center"/>
          </w:tcPr>
          <w:p>
            <w:pPr>
              <w:spacing w:line="300" w:lineRule="auto"/>
              <w:jc w:val="center"/>
              <w:rPr>
                <w:szCs w:val="21"/>
              </w:rPr>
            </w:pPr>
          </w:p>
        </w:tc>
        <w:tc>
          <w:tcPr>
            <w:tcW w:w="1851" w:type="dxa"/>
            <w:vAlign w:val="center"/>
          </w:tcPr>
          <w:p>
            <w:pPr>
              <w:widowControl/>
              <w:spacing w:line="300" w:lineRule="auto"/>
              <w:jc w:val="center"/>
              <w:textAlignment w:val="center"/>
              <w:rPr>
                <w:szCs w:val="21"/>
              </w:rPr>
            </w:pPr>
            <w:r>
              <w:rPr>
                <w:rFonts w:hAnsi="宋体"/>
                <w:szCs w:val="21"/>
              </w:rPr>
              <w:t>每项</w:t>
            </w:r>
            <w:r>
              <w:rPr>
                <w:szCs w:val="21"/>
              </w:rPr>
              <w:t>2</w:t>
            </w:r>
            <w:r>
              <w:rPr>
                <w:rFonts w:hAnsi="宋体"/>
                <w:szCs w:val="21"/>
              </w:rPr>
              <w:t>分，无上限</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528" w:hRule="atLeast"/>
          <w:jc w:val="center"/>
        </w:trPr>
        <w:tc>
          <w:tcPr>
            <w:tcW w:w="990" w:type="dxa"/>
            <w:vMerge w:val="continue"/>
            <w:vAlign w:val="center"/>
          </w:tcPr>
          <w:p>
            <w:pPr>
              <w:spacing w:line="300" w:lineRule="auto"/>
              <w:jc w:val="center"/>
              <w:rPr>
                <w:szCs w:val="21"/>
              </w:rPr>
            </w:pPr>
          </w:p>
        </w:tc>
        <w:tc>
          <w:tcPr>
            <w:tcW w:w="992" w:type="dxa"/>
            <w:vAlign w:val="center"/>
          </w:tcPr>
          <w:p>
            <w:pPr>
              <w:widowControl/>
              <w:spacing w:line="300" w:lineRule="auto"/>
              <w:jc w:val="center"/>
              <w:textAlignment w:val="center"/>
              <w:rPr>
                <w:szCs w:val="21"/>
              </w:rPr>
            </w:pPr>
            <w:r>
              <w:rPr>
                <w:rFonts w:hAnsi="宋体"/>
                <w:szCs w:val="21"/>
              </w:rPr>
              <w:t>节约能源</w:t>
            </w:r>
          </w:p>
        </w:tc>
        <w:tc>
          <w:tcPr>
            <w:tcW w:w="3944" w:type="dxa"/>
            <w:vAlign w:val="center"/>
          </w:tcPr>
          <w:p>
            <w:pPr>
              <w:widowControl/>
              <w:spacing w:line="300" w:lineRule="auto"/>
              <w:jc w:val="left"/>
              <w:textAlignment w:val="center"/>
              <w:rPr>
                <w:szCs w:val="21"/>
              </w:rPr>
            </w:pPr>
            <w:r>
              <w:rPr>
                <w:rFonts w:hAnsi="宋体"/>
                <w:szCs w:val="21"/>
              </w:rPr>
              <w:t>单位完成了本年度的节能工作目标，开展节能改造或管理项目，取得了较好的节能效果</w:t>
            </w:r>
          </w:p>
        </w:tc>
        <w:tc>
          <w:tcPr>
            <w:tcW w:w="582" w:type="dxa"/>
            <w:vAlign w:val="center"/>
          </w:tcPr>
          <w:p>
            <w:pPr>
              <w:spacing w:line="300" w:lineRule="auto"/>
              <w:jc w:val="center"/>
              <w:rPr>
                <w:szCs w:val="21"/>
              </w:rPr>
            </w:pPr>
          </w:p>
        </w:tc>
        <w:tc>
          <w:tcPr>
            <w:tcW w:w="1851" w:type="dxa"/>
            <w:vAlign w:val="center"/>
          </w:tcPr>
          <w:p>
            <w:pPr>
              <w:widowControl/>
              <w:spacing w:line="300" w:lineRule="auto"/>
              <w:jc w:val="center"/>
              <w:textAlignment w:val="center"/>
              <w:rPr>
                <w:szCs w:val="21"/>
              </w:rPr>
            </w:pPr>
            <w:r>
              <w:rPr>
                <w:rFonts w:hAnsi="宋体"/>
                <w:szCs w:val="21"/>
              </w:rPr>
              <w:t>每项</w:t>
            </w:r>
            <w:r>
              <w:rPr>
                <w:szCs w:val="21"/>
              </w:rPr>
              <w:t>2</w:t>
            </w:r>
            <w:r>
              <w:rPr>
                <w:rFonts w:hAnsi="宋体"/>
                <w:szCs w:val="21"/>
              </w:rPr>
              <w:t>分，无上限</w:t>
            </w:r>
          </w:p>
        </w:tc>
        <w:tc>
          <w:tcPr>
            <w:tcW w:w="764" w:type="dxa"/>
            <w:vAlign w:val="center"/>
          </w:tcPr>
          <w:p>
            <w:pPr>
              <w:spacing w:line="300" w:lineRule="auto"/>
              <w:jc w:val="center"/>
              <w:rPr>
                <w:szCs w:val="21"/>
              </w:rPr>
            </w:pPr>
          </w:p>
        </w:tc>
        <w:tc>
          <w:tcPr>
            <w:tcW w:w="860" w:type="dxa"/>
            <w:vAlign w:val="center"/>
          </w:tcPr>
          <w:p>
            <w:pPr>
              <w:spacing w:line="300" w:lineRule="auto"/>
              <w:jc w:val="center"/>
              <w:rPr>
                <w:szCs w:val="21"/>
              </w:rPr>
            </w:pPr>
          </w:p>
        </w:tc>
        <w:tc>
          <w:tcPr>
            <w:tcW w:w="477" w:type="dxa"/>
            <w:vAlign w:val="center"/>
          </w:tcPr>
          <w:p>
            <w:pPr>
              <w:spacing w:line="300" w:lineRule="auto"/>
              <w:jc w:val="center"/>
              <w:rPr>
                <w:szCs w:val="21"/>
              </w:rPr>
            </w:pPr>
          </w:p>
        </w:tc>
      </w:tr>
      <w:tr>
        <w:tblPrEx>
          <w:tblLayout w:type="fixed"/>
        </w:tblPrEx>
        <w:trPr>
          <w:trHeight w:val="307" w:hRule="atLeast"/>
          <w:jc w:val="center"/>
        </w:trPr>
        <w:tc>
          <w:tcPr>
            <w:tcW w:w="5926" w:type="dxa"/>
            <w:gridSpan w:val="3"/>
            <w:vAlign w:val="center"/>
          </w:tcPr>
          <w:p>
            <w:pPr>
              <w:widowControl/>
              <w:spacing w:line="300" w:lineRule="auto"/>
              <w:jc w:val="center"/>
              <w:textAlignment w:val="center"/>
              <w:rPr>
                <w:szCs w:val="21"/>
              </w:rPr>
            </w:pPr>
            <w:r>
              <w:rPr>
                <w:rFonts w:hAnsi="宋体"/>
                <w:szCs w:val="21"/>
              </w:rPr>
              <w:t>最终考核得分</w:t>
            </w:r>
          </w:p>
        </w:tc>
        <w:tc>
          <w:tcPr>
            <w:tcW w:w="582" w:type="dxa"/>
            <w:vAlign w:val="center"/>
          </w:tcPr>
          <w:p>
            <w:pPr>
              <w:spacing w:line="300" w:lineRule="auto"/>
              <w:jc w:val="center"/>
              <w:rPr>
                <w:szCs w:val="21"/>
              </w:rPr>
            </w:pPr>
          </w:p>
        </w:tc>
        <w:tc>
          <w:tcPr>
            <w:tcW w:w="1851" w:type="dxa"/>
            <w:vAlign w:val="center"/>
          </w:tcPr>
          <w:p>
            <w:pPr>
              <w:spacing w:line="300" w:lineRule="auto"/>
              <w:jc w:val="center"/>
              <w:rPr>
                <w:szCs w:val="21"/>
              </w:rPr>
            </w:pPr>
          </w:p>
        </w:tc>
        <w:tc>
          <w:tcPr>
            <w:tcW w:w="764" w:type="dxa"/>
            <w:vAlign w:val="center"/>
          </w:tcPr>
          <w:p>
            <w:pPr>
              <w:spacing w:line="300" w:lineRule="auto"/>
              <w:jc w:val="center"/>
              <w:rPr>
                <w:szCs w:val="21"/>
              </w:rPr>
            </w:pPr>
          </w:p>
        </w:tc>
        <w:tc>
          <w:tcPr>
            <w:tcW w:w="860" w:type="dxa"/>
            <w:vAlign w:val="center"/>
          </w:tcPr>
          <w:p>
            <w:pPr>
              <w:spacing w:line="300" w:lineRule="auto"/>
              <w:rPr>
                <w:szCs w:val="21"/>
              </w:rPr>
            </w:pPr>
          </w:p>
        </w:tc>
        <w:tc>
          <w:tcPr>
            <w:tcW w:w="477" w:type="dxa"/>
            <w:vAlign w:val="center"/>
          </w:tcPr>
          <w:p>
            <w:pPr>
              <w:spacing w:line="300" w:lineRule="auto"/>
              <w:rPr>
                <w:szCs w:val="21"/>
              </w:rPr>
            </w:pPr>
          </w:p>
        </w:tc>
      </w:tr>
      <w:bookmarkEnd w:id="27"/>
      <w:bookmarkEnd w:id="29"/>
      <w:bookmarkEnd w:id="30"/>
      <w:bookmarkEnd w:id="31"/>
      <w:bookmarkEnd w:id="32"/>
    </w:tbl>
    <w:p>
      <w:pPr>
        <w:pStyle w:val="3"/>
        <w:numPr>
          <w:ilvl w:val="0"/>
          <w:numId w:val="0"/>
        </w:numPr>
        <w:spacing w:before="0" w:after="0" w:line="400" w:lineRule="exact"/>
        <w:rPr>
          <w:rFonts w:hint="eastAsia"/>
          <w:b w:val="0"/>
          <w:bCs w:val="0"/>
          <w:kern w:val="2"/>
          <w:sz w:val="21"/>
          <w:szCs w:val="24"/>
        </w:rPr>
      </w:pPr>
      <w:bookmarkStart w:id="36" w:name="_Toc476731375"/>
      <w:bookmarkStart w:id="37" w:name="_Toc13839"/>
    </w:p>
    <w:p>
      <w:pPr>
        <w:pStyle w:val="251"/>
        <w:rPr>
          <w:ins w:id="0" w:author="lenovo" w:date="2020-12-23T10:51:05Z"/>
          <w:rFonts w:ascii="新宋体" w:hAnsi="新宋体" w:eastAsia="新宋体"/>
          <w:sz w:val="36"/>
        </w:rPr>
      </w:pPr>
    </w:p>
    <w:p>
      <w:pPr>
        <w:pStyle w:val="251"/>
        <w:rPr>
          <w:rFonts w:ascii="新宋体" w:hAnsi="新宋体" w:eastAsia="新宋体"/>
          <w:sz w:val="36"/>
        </w:rPr>
      </w:pPr>
      <w:bookmarkStart w:id="77" w:name="_GoBack"/>
      <w:bookmarkEnd w:id="77"/>
    </w:p>
    <w:p>
      <w:pPr>
        <w:jc w:val="center"/>
        <w:rPr>
          <w:rFonts w:hint="eastAsia"/>
          <w:b/>
          <w:bCs/>
          <w:sz w:val="32"/>
          <w:szCs w:val="32"/>
        </w:rPr>
      </w:pPr>
      <w:r>
        <w:rPr>
          <w:rFonts w:hint="eastAsia"/>
          <w:b/>
          <w:bCs/>
          <w:sz w:val="32"/>
          <w:szCs w:val="32"/>
        </w:rPr>
        <w:t>第四章 开标、评标和定标须知</w:t>
      </w:r>
      <w:bookmarkEnd w:id="36"/>
      <w:bookmarkEnd w:id="37"/>
    </w:p>
    <w:p>
      <w:pPr>
        <w:pStyle w:val="4"/>
        <w:spacing w:before="120" w:after="120" w:line="400" w:lineRule="exact"/>
        <w:rPr>
          <w:rFonts w:hint="eastAsia" w:ascii="新宋体" w:hAnsi="新宋体" w:eastAsia="新宋体"/>
          <w:sz w:val="28"/>
          <w:szCs w:val="28"/>
        </w:rPr>
      </w:pPr>
      <w:bookmarkStart w:id="38" w:name="_Toc362250704"/>
      <w:bookmarkStart w:id="39" w:name="_Toc688"/>
      <w:bookmarkStart w:id="40" w:name="_Toc274303252"/>
      <w:r>
        <w:rPr>
          <w:rFonts w:hint="eastAsia" w:ascii="新宋体" w:hAnsi="新宋体" w:eastAsia="新宋体"/>
          <w:sz w:val="28"/>
          <w:szCs w:val="28"/>
        </w:rPr>
        <w:t>一、开标</w:t>
      </w:r>
      <w:bookmarkEnd w:id="38"/>
      <w:bookmarkEnd w:id="39"/>
      <w:bookmarkEnd w:id="40"/>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1.本项目实行电子开评标，投标方无需前往开评标现场，只需在规定时间内在“政采云”平台上上传电子投标文件。</w:t>
      </w:r>
    </w:p>
    <w:p>
      <w:pPr>
        <w:spacing w:line="440" w:lineRule="exact"/>
        <w:ind w:firstLine="480" w:firstLineChars="200"/>
        <w:rPr>
          <w:rFonts w:hint="eastAsia" w:ascii="新宋体" w:hAnsi="新宋体" w:eastAsia="新宋体"/>
          <w:sz w:val="24"/>
        </w:rPr>
      </w:pPr>
      <w:r>
        <w:rPr>
          <w:rFonts w:ascii="新宋体" w:hAnsi="新宋体" w:eastAsia="新宋体"/>
          <w:sz w:val="24"/>
        </w:rPr>
        <w:t>2</w:t>
      </w:r>
      <w:r>
        <w:rPr>
          <w:rFonts w:hint="eastAsia" w:ascii="新宋体" w:hAnsi="新宋体" w:eastAsia="新宋体"/>
          <w:sz w:val="24"/>
        </w:rPr>
        <w:t>.电子开评标及评审程序</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2.1</w:t>
      </w:r>
      <w:r>
        <w:rPr>
          <w:rFonts w:ascii="新宋体" w:hAnsi="新宋体" w:eastAsia="新宋体"/>
          <w:sz w:val="24"/>
        </w:rPr>
        <w:t>投标截止时间后</w:t>
      </w:r>
      <w:r>
        <w:rPr>
          <w:rFonts w:hint="eastAsia" w:ascii="新宋体" w:hAnsi="新宋体" w:eastAsia="新宋体"/>
          <w:sz w:val="24"/>
        </w:rPr>
        <w:t>的1小时内（开标当日上午9:30-10:30时）</w:t>
      </w:r>
      <w:r>
        <w:rPr>
          <w:rFonts w:ascii="新宋体" w:hAnsi="新宋体" w:eastAsia="新宋体"/>
          <w:sz w:val="24"/>
        </w:rPr>
        <w:t>，</w:t>
      </w:r>
      <w:r>
        <w:rPr>
          <w:rFonts w:hint="eastAsia" w:ascii="新宋体" w:hAnsi="新宋体" w:eastAsia="新宋体"/>
          <w:sz w:val="24"/>
        </w:rPr>
        <w:t>由各投标人自行</w:t>
      </w:r>
      <w:r>
        <w:rPr>
          <w:rFonts w:ascii="新宋体" w:hAnsi="新宋体" w:eastAsia="新宋体"/>
          <w:sz w:val="24"/>
        </w:rPr>
        <w:t>对</w:t>
      </w:r>
      <w:r>
        <w:rPr>
          <w:rFonts w:hint="eastAsia" w:ascii="新宋体" w:hAnsi="新宋体" w:eastAsia="新宋体"/>
          <w:sz w:val="24"/>
        </w:rPr>
        <w:t>电子</w:t>
      </w:r>
      <w:r>
        <w:rPr>
          <w:rFonts w:ascii="新宋体" w:hAnsi="新宋体" w:eastAsia="新宋体"/>
          <w:sz w:val="24"/>
        </w:rPr>
        <w:t>投标文件进行解密</w:t>
      </w:r>
      <w:r>
        <w:rPr>
          <w:rFonts w:hint="eastAsia" w:ascii="新宋体" w:hAnsi="新宋体" w:eastAsia="新宋体"/>
          <w:sz w:val="24"/>
        </w:rPr>
        <w:t xml:space="preserve">（请各投标人务必在规定时间内完成电子投标文件的解密工作，在电子开评标期间，投标方（授权代表）需确保在各自所在的区域具备上网的技术条件并保持网络及联系方式畅通），同时为避免出现意外，建议全程由一台电脑进行操作（包括标书制作、上传、解密等），中途不要更换电脑； </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2.2评标委员会对投标方的资格和商务技术响应文件进行评审；</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2.3评标委员会对报价情况进行评审；</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2.4在系统上公布评审结果。</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特别说明：政采云公司如对电子化开标及评审程序有调整的，按调整后的程序操作。</w:t>
      </w:r>
    </w:p>
    <w:p>
      <w:pPr>
        <w:pStyle w:val="4"/>
        <w:spacing w:before="120" w:after="120" w:line="400" w:lineRule="exact"/>
        <w:rPr>
          <w:rFonts w:hint="eastAsia" w:ascii="新宋体" w:hAnsi="新宋体" w:eastAsia="新宋体"/>
          <w:sz w:val="28"/>
          <w:szCs w:val="28"/>
        </w:rPr>
      </w:pPr>
      <w:bookmarkStart w:id="41" w:name="_Toc263090375"/>
      <w:bookmarkStart w:id="42" w:name="_Toc261519847"/>
      <w:bookmarkStart w:id="43" w:name="_Toc226973002"/>
      <w:bookmarkStart w:id="44" w:name="_Toc18181"/>
      <w:bookmarkStart w:id="45" w:name="_Toc362250705"/>
      <w:bookmarkStart w:id="46" w:name="_Toc274303253"/>
      <w:r>
        <w:rPr>
          <w:rFonts w:hint="eastAsia" w:ascii="新宋体" w:hAnsi="新宋体" w:eastAsia="新宋体"/>
        </w:rPr>
        <w:t>二</w:t>
      </w:r>
      <w:r>
        <w:rPr>
          <w:rFonts w:hint="eastAsia" w:ascii="新宋体" w:hAnsi="新宋体" w:eastAsia="新宋体"/>
          <w:sz w:val="28"/>
          <w:szCs w:val="28"/>
        </w:rPr>
        <w:t>、</w:t>
      </w:r>
      <w:r>
        <w:rPr>
          <w:rFonts w:hint="eastAsia" w:ascii="新宋体" w:hAnsi="新宋体" w:eastAsia="新宋体"/>
        </w:rPr>
        <w:t>评标</w:t>
      </w:r>
      <w:bookmarkEnd w:id="41"/>
      <w:bookmarkEnd w:id="42"/>
      <w:bookmarkEnd w:id="43"/>
      <w:bookmarkEnd w:id="44"/>
      <w:bookmarkEnd w:id="45"/>
      <w:bookmarkEnd w:id="46"/>
    </w:p>
    <w:p>
      <w:pPr>
        <w:spacing w:line="400" w:lineRule="exact"/>
        <w:ind w:firstLine="480"/>
        <w:rPr>
          <w:rFonts w:ascii="新宋体" w:hAnsi="新宋体" w:eastAsia="新宋体"/>
          <w:b/>
          <w:kern w:val="0"/>
          <w:sz w:val="24"/>
        </w:rPr>
      </w:pPr>
      <w:r>
        <w:rPr>
          <w:rFonts w:hint="eastAsia" w:ascii="新宋体" w:hAnsi="新宋体" w:eastAsia="新宋体"/>
          <w:b/>
          <w:kern w:val="0"/>
          <w:sz w:val="24"/>
        </w:rPr>
        <w:t>3.评标委员会</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招标方将根据招标采购项目的特点确定评标委员会。其成员由专家和采购人代表5人组成。评标委员会对投标文件进行审查、质疑、评估和比较。</w:t>
      </w:r>
    </w:p>
    <w:p>
      <w:pPr>
        <w:spacing w:line="400" w:lineRule="exact"/>
        <w:ind w:firstLine="480"/>
        <w:rPr>
          <w:rFonts w:hint="eastAsia" w:ascii="新宋体" w:hAnsi="新宋体" w:eastAsia="新宋体"/>
          <w:b/>
          <w:sz w:val="24"/>
        </w:rPr>
      </w:pPr>
      <w:r>
        <w:rPr>
          <w:rFonts w:hint="eastAsia" w:ascii="新宋体" w:hAnsi="新宋体" w:eastAsia="新宋体"/>
          <w:b/>
          <w:sz w:val="24"/>
        </w:rPr>
        <w:t>4.评标原则</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4.1评标委员会将遵循公开、公平、公正的原则，严格遵守评标工作纪律。</w:t>
      </w:r>
    </w:p>
    <w:p>
      <w:pPr>
        <w:spacing w:line="400" w:lineRule="exact"/>
        <w:ind w:firstLine="480"/>
        <w:rPr>
          <w:rFonts w:hint="eastAsia" w:ascii="新宋体" w:hAnsi="新宋体" w:eastAsia="新宋体"/>
          <w:bCs/>
          <w:sz w:val="24"/>
        </w:rPr>
      </w:pPr>
      <w:r>
        <w:rPr>
          <w:rFonts w:hint="eastAsia" w:ascii="新宋体" w:hAnsi="新宋体" w:eastAsia="新宋体"/>
          <w:bCs/>
          <w:sz w:val="24"/>
        </w:rPr>
        <w:t>4.2先评资格及商务技术标，再评报价标。</w:t>
      </w:r>
    </w:p>
    <w:p>
      <w:pPr>
        <w:spacing w:line="400" w:lineRule="exact"/>
        <w:ind w:firstLine="480"/>
        <w:rPr>
          <w:rFonts w:hint="eastAsia" w:ascii="新宋体" w:hAnsi="新宋体" w:eastAsia="新宋体"/>
          <w:sz w:val="24"/>
        </w:rPr>
      </w:pPr>
      <w:r>
        <w:rPr>
          <w:rFonts w:hint="eastAsia" w:ascii="新宋体" w:hAnsi="新宋体" w:eastAsia="新宋体"/>
          <w:bCs/>
          <w:sz w:val="24"/>
        </w:rPr>
        <w:t>4.3</w:t>
      </w:r>
      <w:r>
        <w:rPr>
          <w:rFonts w:hint="eastAsia" w:ascii="新宋体" w:hAnsi="新宋体" w:eastAsia="新宋体"/>
          <w:sz w:val="24"/>
        </w:rPr>
        <w:t>客观公正对待所有投标人，对所有投标评审均采用相同的程序和标准。评标的依据为招标文件和投标文件。</w:t>
      </w:r>
    </w:p>
    <w:p>
      <w:pPr>
        <w:pStyle w:val="32"/>
        <w:spacing w:line="400" w:lineRule="exact"/>
        <w:ind w:firstLine="482"/>
        <w:rPr>
          <w:rFonts w:hint="eastAsia" w:ascii="新宋体" w:hAnsi="新宋体" w:eastAsia="新宋体"/>
          <w:sz w:val="24"/>
        </w:rPr>
      </w:pPr>
      <w:r>
        <w:rPr>
          <w:rFonts w:hint="eastAsia" w:ascii="新宋体" w:hAnsi="新宋体" w:eastAsia="新宋体"/>
          <w:sz w:val="24"/>
        </w:rPr>
        <w:t>4.4异常或特殊情况处理：</w:t>
      </w:r>
    </w:p>
    <w:p>
      <w:pPr>
        <w:spacing w:line="400" w:lineRule="exact"/>
        <w:ind w:firstLine="480" w:firstLineChars="200"/>
        <w:rPr>
          <w:rFonts w:hint="eastAsia" w:ascii="新宋体" w:hAnsi="新宋体" w:eastAsia="新宋体"/>
          <w:b/>
          <w:spacing w:val="-4"/>
          <w:sz w:val="24"/>
        </w:rPr>
      </w:pPr>
      <w:r>
        <w:rPr>
          <w:rFonts w:hint="eastAsia" w:ascii="新宋体" w:hAnsi="新宋体" w:eastAsia="新宋体"/>
          <w:sz w:val="24"/>
        </w:rPr>
        <w:t>4.4.1在评标过程中，出现以下情况的，经评标委员讨论作出处理意见，并在征得所有供应商同意后可以继续进行招标活动，如有供应商不同意，则本项目招标作废标处理。招标文件中的实质性内容或评审标准有不一致的（招标文件中其它地方规定有处理方法的除外）。</w:t>
      </w:r>
    </w:p>
    <w:p>
      <w:pPr>
        <w:spacing w:line="400" w:lineRule="exact"/>
        <w:ind w:firstLine="466" w:firstLineChars="200"/>
        <w:rPr>
          <w:rFonts w:hint="eastAsia" w:ascii="新宋体" w:hAnsi="新宋体" w:eastAsia="新宋体"/>
          <w:sz w:val="24"/>
        </w:rPr>
      </w:pPr>
      <w:r>
        <w:rPr>
          <w:rFonts w:hint="eastAsia" w:ascii="新宋体" w:hAnsi="新宋体" w:eastAsia="新宋体"/>
          <w:b/>
          <w:spacing w:val="-4"/>
          <w:sz w:val="24"/>
        </w:rPr>
        <w:t>4.4.2</w:t>
      </w:r>
      <w:r>
        <w:rPr>
          <w:rFonts w:hint="eastAsia" w:ascii="新宋体" w:hAnsi="新宋体" w:eastAsia="新宋体"/>
          <w:sz w:val="24"/>
        </w:rPr>
        <w:t>在评标过程中，出现其它异常或特殊情况时，由评标委员会集体讨论决定。</w:t>
      </w:r>
    </w:p>
    <w:p>
      <w:pPr>
        <w:adjustRightInd w:val="0"/>
        <w:snapToGrid w:val="0"/>
        <w:spacing w:line="400" w:lineRule="exact"/>
        <w:ind w:firstLine="470" w:firstLineChars="196"/>
        <w:rPr>
          <w:rFonts w:hint="eastAsia" w:ascii="新宋体" w:hAnsi="新宋体" w:eastAsia="新宋体"/>
          <w:b/>
          <w:sz w:val="24"/>
        </w:rPr>
      </w:pPr>
      <w:r>
        <w:rPr>
          <w:rFonts w:hint="eastAsia" w:ascii="新宋体" w:hAnsi="新宋体" w:eastAsia="新宋体"/>
          <w:sz w:val="24"/>
        </w:rPr>
        <w:t>4.5</w:t>
      </w:r>
      <w:r>
        <w:rPr>
          <w:rFonts w:hint="eastAsia" w:ascii="新宋体" w:hAnsi="新宋体" w:eastAsia="新宋体"/>
          <w:b/>
          <w:sz w:val="24"/>
        </w:rPr>
        <w:t>供应商的认定</w:t>
      </w:r>
    </w:p>
    <w:p>
      <w:pPr>
        <w:spacing w:line="360" w:lineRule="atLeast"/>
        <w:ind w:firstLine="480" w:firstLineChars="200"/>
        <w:rPr>
          <w:rFonts w:hint="eastAsia" w:ascii="新宋体" w:hAnsi="新宋体" w:eastAsia="新宋体"/>
        </w:rPr>
      </w:pPr>
      <w:r>
        <w:rPr>
          <w:rFonts w:hint="eastAsia" w:ascii="新宋体" w:hAnsi="新宋体" w:eastAsia="新宋体"/>
          <w:sz w:val="24"/>
        </w:rPr>
        <w:t>单位负责人为同一人或者存在直接控股、管理关系的不同供应商，不得参加同一合同项下的政府采购活动。</w:t>
      </w:r>
    </w:p>
    <w:p>
      <w:pPr>
        <w:pStyle w:val="32"/>
        <w:spacing w:line="400" w:lineRule="exact"/>
        <w:ind w:firstLine="482" w:firstLineChars="200"/>
        <w:rPr>
          <w:rFonts w:hint="eastAsia" w:ascii="新宋体" w:hAnsi="新宋体" w:eastAsia="新宋体"/>
          <w:sz w:val="28"/>
        </w:rPr>
      </w:pPr>
      <w:r>
        <w:rPr>
          <w:rFonts w:hint="eastAsia" w:ascii="新宋体" w:hAnsi="新宋体" w:eastAsia="新宋体"/>
          <w:b/>
          <w:sz w:val="24"/>
        </w:rPr>
        <w:t>5.评标过程的保密</w:t>
      </w:r>
    </w:p>
    <w:p>
      <w:pPr>
        <w:adjustRightInd w:val="0"/>
        <w:snapToGrid w:val="0"/>
        <w:spacing w:line="400" w:lineRule="exact"/>
        <w:ind w:firstLine="480" w:firstLineChars="200"/>
        <w:rPr>
          <w:rFonts w:hint="eastAsia" w:ascii="新宋体" w:hAnsi="新宋体" w:eastAsia="新宋体"/>
          <w:sz w:val="24"/>
        </w:rPr>
      </w:pPr>
      <w:r>
        <w:rPr>
          <w:rFonts w:hint="eastAsia" w:ascii="新宋体" w:hAnsi="新宋体" w:eastAsia="新宋体"/>
          <w:sz w:val="24"/>
          <w:szCs w:val="20"/>
        </w:rPr>
        <w:t>5.1</w:t>
      </w:r>
      <w:r>
        <w:rPr>
          <w:rFonts w:hint="eastAsia" w:ascii="新宋体" w:hAnsi="新宋体" w:eastAsia="新宋体"/>
          <w:sz w:val="24"/>
        </w:rPr>
        <w:t>开标后，直至授予中标人合同为止，凡属于对投标文件的审查、澄清、评价和比较等有关的资料以及中标候选人的推荐情况等与评标有关的任何情况均严格保密。</w:t>
      </w:r>
    </w:p>
    <w:p>
      <w:pPr>
        <w:adjustRightInd w:val="0"/>
        <w:snapToGrid w:val="0"/>
        <w:spacing w:line="400" w:lineRule="exact"/>
        <w:ind w:firstLine="480" w:firstLineChars="200"/>
        <w:rPr>
          <w:rFonts w:hint="eastAsia" w:ascii="新宋体" w:hAnsi="新宋体" w:eastAsia="新宋体"/>
          <w:sz w:val="24"/>
        </w:rPr>
      </w:pPr>
      <w:r>
        <w:rPr>
          <w:rFonts w:hint="eastAsia" w:ascii="新宋体" w:hAnsi="新宋体" w:eastAsia="新宋体"/>
          <w:sz w:val="24"/>
          <w:szCs w:val="20"/>
        </w:rPr>
        <w:t>5.2</w:t>
      </w:r>
      <w:r>
        <w:rPr>
          <w:rFonts w:hint="eastAsia" w:ascii="新宋体" w:hAnsi="新宋体" w:eastAsia="新宋体"/>
          <w:sz w:val="24"/>
        </w:rPr>
        <w:t>在投标文件的评审和比较、中标候选人推荐以及授予合同的过程中，投标人向采购人和评标委员会施加影响的任何行为，都将会导致其投标被拒绝。</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szCs w:val="20"/>
        </w:rPr>
        <w:t>5.3</w:t>
      </w:r>
      <w:r>
        <w:rPr>
          <w:rFonts w:hint="eastAsia" w:ascii="新宋体" w:hAnsi="新宋体" w:eastAsia="新宋体"/>
          <w:sz w:val="24"/>
        </w:rPr>
        <w:t>中标人确认后，采购人不对未中标人就评标过程以及未能中标原因作出任何解释。未中标人不得向评标委员会人员或其他有关人员索问评标过程的有关情况。</w:t>
      </w:r>
    </w:p>
    <w:p>
      <w:pPr>
        <w:spacing w:line="400" w:lineRule="exact"/>
        <w:ind w:firstLine="480" w:firstLineChars="200"/>
        <w:rPr>
          <w:rFonts w:hint="eastAsia" w:ascii="新宋体" w:hAnsi="新宋体" w:eastAsia="新宋体"/>
          <w:spacing w:val="-4"/>
          <w:sz w:val="24"/>
        </w:rPr>
      </w:pPr>
      <w:r>
        <w:rPr>
          <w:rFonts w:hint="eastAsia" w:ascii="新宋体" w:hAnsi="新宋体" w:eastAsia="新宋体"/>
          <w:sz w:val="24"/>
        </w:rPr>
        <w:t>5.4</w:t>
      </w:r>
      <w:r>
        <w:rPr>
          <w:rFonts w:hint="eastAsia" w:ascii="新宋体" w:hAnsi="新宋体" w:eastAsia="新宋体"/>
          <w:spacing w:val="-4"/>
          <w:sz w:val="24"/>
        </w:rPr>
        <w:t>为保证定标的公正性，在评标过程中，评标成员不得与投标人私下交换意见。在招标工作结束后，凡与评标情况有接触的任何人不得将评标情况扩散出评标成员之外。</w:t>
      </w:r>
    </w:p>
    <w:p>
      <w:pPr>
        <w:pStyle w:val="32"/>
        <w:tabs>
          <w:tab w:val="left" w:pos="0"/>
        </w:tabs>
        <w:spacing w:line="400" w:lineRule="exact"/>
        <w:ind w:firstLine="464" w:firstLineChars="200"/>
        <w:rPr>
          <w:rFonts w:hint="eastAsia" w:ascii="新宋体" w:hAnsi="新宋体" w:eastAsia="新宋体"/>
          <w:sz w:val="24"/>
          <w:szCs w:val="24"/>
        </w:rPr>
      </w:pPr>
      <w:r>
        <w:rPr>
          <w:rFonts w:hint="eastAsia" w:ascii="新宋体" w:hAnsi="新宋体" w:eastAsia="新宋体"/>
          <w:spacing w:val="-4"/>
          <w:sz w:val="24"/>
        </w:rPr>
        <w:t>5.5评标小组不向落标方解释落标原因，不退还投标文件。</w:t>
      </w:r>
    </w:p>
    <w:p>
      <w:pPr>
        <w:adjustRightInd w:val="0"/>
        <w:snapToGrid w:val="0"/>
        <w:spacing w:line="400" w:lineRule="exact"/>
        <w:ind w:firstLine="472" w:firstLineChars="196"/>
        <w:rPr>
          <w:rFonts w:hint="eastAsia" w:ascii="新宋体" w:hAnsi="新宋体" w:eastAsia="新宋体"/>
          <w:b/>
          <w:sz w:val="24"/>
        </w:rPr>
      </w:pPr>
      <w:r>
        <w:rPr>
          <w:rFonts w:hint="eastAsia" w:ascii="新宋体" w:hAnsi="新宋体" w:eastAsia="新宋体"/>
          <w:b/>
          <w:sz w:val="24"/>
        </w:rPr>
        <w:t>6.投标文件中内容不一致的处理</w:t>
      </w:r>
    </w:p>
    <w:p>
      <w:pPr>
        <w:spacing w:line="400" w:lineRule="exact"/>
        <w:ind w:firstLine="482" w:firstLineChars="200"/>
        <w:rPr>
          <w:rFonts w:hint="eastAsia" w:ascii="新宋体" w:hAnsi="新宋体" w:eastAsia="新宋体"/>
          <w:b/>
          <w:sz w:val="24"/>
        </w:rPr>
      </w:pPr>
      <w:r>
        <w:rPr>
          <w:rFonts w:hint="eastAsia" w:ascii="新宋体" w:hAnsi="新宋体" w:eastAsia="新宋体"/>
          <w:b/>
          <w:sz w:val="24"/>
        </w:rPr>
        <w:t>6.1同一份投标文件中同类内容表述不一致的处理：彩页、官网下载资料、检测报告等证明性资料中描写的技术性能指标与投标文件中其它地方内容描述不一致的，应以上述证明性资料为准；规范偏离表等偏离表的内容与投标文件中其它地方内容有描述不一致的，应以投标文件中其它地方内容的描述为准；其它情形的，评标委员会可以以书面形式要求投标人作必要的澄清或说明</w:t>
      </w:r>
    </w:p>
    <w:p>
      <w:pPr>
        <w:spacing w:line="400" w:lineRule="exact"/>
        <w:ind w:firstLine="482" w:firstLineChars="200"/>
        <w:rPr>
          <w:rFonts w:hint="eastAsia" w:ascii="新宋体" w:hAnsi="新宋体" w:eastAsia="新宋体"/>
          <w:b/>
          <w:sz w:val="24"/>
        </w:rPr>
      </w:pPr>
      <w:r>
        <w:rPr>
          <w:rFonts w:hint="eastAsia" w:ascii="新宋体" w:hAnsi="新宋体" w:eastAsia="新宋体"/>
          <w:b/>
          <w:sz w:val="24"/>
        </w:rPr>
        <w:t>7.投标文件的澄清</w:t>
      </w:r>
    </w:p>
    <w:p>
      <w:pPr>
        <w:adjustRightInd w:val="0"/>
        <w:snapToGrid w:val="0"/>
        <w:spacing w:line="440" w:lineRule="exact"/>
        <w:ind w:firstLine="480" w:firstLineChars="200"/>
        <w:rPr>
          <w:rFonts w:hint="eastAsia" w:ascii="新宋体" w:hAnsi="新宋体" w:eastAsia="新宋体"/>
          <w:sz w:val="24"/>
        </w:rPr>
      </w:pPr>
      <w:r>
        <w:rPr>
          <w:rFonts w:hint="eastAsia" w:ascii="新宋体" w:hAnsi="新宋体" w:eastAsia="新宋体"/>
          <w:sz w:val="24"/>
        </w:rPr>
        <w:t>7.1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9条规定，凡属于评标小组在评标中发现的计算错误并进行核实的修改不在此列。</w:t>
      </w:r>
    </w:p>
    <w:p>
      <w:pPr>
        <w:pStyle w:val="32"/>
        <w:tabs>
          <w:tab w:val="left" w:pos="0"/>
        </w:tabs>
        <w:spacing w:line="400" w:lineRule="exact"/>
        <w:ind w:firstLine="480" w:firstLineChars="200"/>
        <w:rPr>
          <w:rFonts w:hint="eastAsia" w:ascii="新宋体" w:hAnsi="新宋体" w:eastAsia="新宋体"/>
          <w:sz w:val="24"/>
        </w:rPr>
      </w:pPr>
      <w:r>
        <w:rPr>
          <w:rFonts w:hint="eastAsia" w:ascii="新宋体" w:hAnsi="新宋体" w:eastAsia="新宋体"/>
          <w:sz w:val="24"/>
        </w:rPr>
        <w:t>7.2如果投标方代表拒绝按评标委员会要求在“政采云”平台作出在线回复且无其他有效回复方式的，评标委员会可以对其作出无效标处理。</w:t>
      </w:r>
    </w:p>
    <w:p>
      <w:pPr>
        <w:adjustRightInd w:val="0"/>
        <w:snapToGrid w:val="0"/>
        <w:spacing w:line="400" w:lineRule="exact"/>
        <w:ind w:firstLine="480" w:firstLineChars="200"/>
        <w:rPr>
          <w:rFonts w:hint="eastAsia" w:ascii="新宋体" w:hAnsi="新宋体" w:eastAsia="新宋体"/>
          <w:sz w:val="24"/>
        </w:rPr>
      </w:pPr>
      <w:r>
        <w:rPr>
          <w:rFonts w:hint="eastAsia" w:ascii="新宋体" w:hAnsi="新宋体" w:eastAsia="新宋体"/>
          <w:sz w:val="24"/>
        </w:rPr>
        <w:t>8.</w:t>
      </w:r>
      <w:r>
        <w:rPr>
          <w:rFonts w:hint="eastAsia" w:ascii="新宋体" w:hAnsi="新宋体" w:eastAsia="新宋体"/>
          <w:b/>
          <w:sz w:val="24"/>
        </w:rPr>
        <w:t>投标文件的资格性和符合性评审</w:t>
      </w:r>
    </w:p>
    <w:p>
      <w:pPr>
        <w:adjustRightInd w:val="0"/>
        <w:snapToGrid w:val="0"/>
        <w:spacing w:line="400" w:lineRule="exact"/>
        <w:ind w:firstLine="480" w:firstLineChars="200"/>
        <w:rPr>
          <w:rFonts w:hint="eastAsia" w:ascii="新宋体" w:hAnsi="新宋体" w:eastAsia="新宋体"/>
          <w:sz w:val="24"/>
        </w:rPr>
      </w:pPr>
      <w:r>
        <w:rPr>
          <w:rFonts w:hint="eastAsia" w:ascii="新宋体" w:hAnsi="新宋体" w:eastAsia="新宋体"/>
          <w:sz w:val="24"/>
        </w:rPr>
        <w:t>8.1评标时，评标委员会将首先评定每份投标文件是否在实质上响应了招标文件的要求。所谓实质上响应，是指投标文件应与招标文件的所有实质性条款、条件和要求相符，无显著差异或保留，</w:t>
      </w:r>
    </w:p>
    <w:p>
      <w:pPr>
        <w:adjustRightInd w:val="0"/>
        <w:snapToGrid w:val="0"/>
        <w:spacing w:line="400" w:lineRule="exact"/>
        <w:ind w:firstLine="480" w:firstLineChars="200"/>
        <w:rPr>
          <w:rFonts w:hint="eastAsia" w:ascii="新宋体" w:hAnsi="新宋体" w:eastAsia="新宋体"/>
          <w:sz w:val="24"/>
        </w:rPr>
      </w:pPr>
      <w:r>
        <w:rPr>
          <w:rFonts w:hint="eastAsia" w:ascii="新宋体" w:hAnsi="新宋体" w:eastAsia="新宋体"/>
          <w:sz w:val="24"/>
        </w:rPr>
        <w:t>8.2如果投标文件出现第五章规定的内容，即为实质上不响应招标文件的各项要求，评标委员会将予以拒绝（或认定为无效标），并且不允许投标人通过修改或撤销其不符合要求的差异或保留，使之成为具有实质性响应的投标。</w:t>
      </w:r>
    </w:p>
    <w:p>
      <w:pPr>
        <w:adjustRightInd w:val="0"/>
        <w:snapToGrid w:val="0"/>
        <w:spacing w:line="400" w:lineRule="exact"/>
        <w:ind w:firstLine="482" w:firstLineChars="200"/>
        <w:rPr>
          <w:rFonts w:hint="eastAsia" w:ascii="新宋体" w:hAnsi="新宋体" w:eastAsia="新宋体"/>
          <w:b/>
          <w:sz w:val="24"/>
        </w:rPr>
      </w:pPr>
      <w:r>
        <w:rPr>
          <w:rFonts w:hint="eastAsia" w:ascii="新宋体" w:hAnsi="新宋体" w:eastAsia="新宋体"/>
          <w:b/>
          <w:sz w:val="24"/>
        </w:rPr>
        <w:t>8.3评标委员会在作出任何一项无效标决定前，都应当严格遵循以下程序：</w:t>
      </w:r>
    </w:p>
    <w:p>
      <w:pPr>
        <w:adjustRightInd w:val="0"/>
        <w:snapToGrid w:val="0"/>
        <w:spacing w:line="440" w:lineRule="exact"/>
        <w:ind w:firstLine="480" w:firstLineChars="200"/>
        <w:rPr>
          <w:rFonts w:hint="eastAsia" w:ascii="新宋体" w:hAnsi="新宋体" w:eastAsia="新宋体"/>
          <w:sz w:val="24"/>
        </w:rPr>
      </w:pPr>
      <w:r>
        <w:rPr>
          <w:rFonts w:hint="eastAsia" w:ascii="新宋体" w:hAnsi="新宋体" w:eastAsia="新宋体"/>
          <w:sz w:val="24"/>
        </w:rPr>
        <w:t>8.3.1要求当事投标人作相应的答辩</w:t>
      </w:r>
    </w:p>
    <w:p>
      <w:pPr>
        <w:adjustRightInd w:val="0"/>
        <w:snapToGrid w:val="0"/>
        <w:spacing w:line="400" w:lineRule="exact"/>
        <w:ind w:firstLine="470" w:firstLineChars="196"/>
        <w:rPr>
          <w:rFonts w:hint="eastAsia" w:ascii="新宋体" w:hAnsi="新宋体" w:eastAsia="新宋体"/>
          <w:b/>
          <w:sz w:val="24"/>
        </w:rPr>
      </w:pPr>
      <w:r>
        <w:rPr>
          <w:rFonts w:hint="eastAsia" w:ascii="新宋体" w:hAnsi="新宋体" w:eastAsia="新宋体"/>
          <w:sz w:val="24"/>
        </w:rPr>
        <w:t>8.3.2在充分讨论的基础上集体表决</w:t>
      </w:r>
    </w:p>
    <w:p>
      <w:pPr>
        <w:pStyle w:val="32"/>
        <w:spacing w:line="400" w:lineRule="exact"/>
        <w:ind w:firstLine="482"/>
        <w:rPr>
          <w:rFonts w:hint="eastAsia" w:ascii="新宋体" w:hAnsi="新宋体" w:eastAsia="新宋体"/>
          <w:b/>
          <w:sz w:val="24"/>
        </w:rPr>
      </w:pPr>
      <w:r>
        <w:rPr>
          <w:rFonts w:hint="eastAsia" w:ascii="新宋体" w:hAnsi="新宋体" w:eastAsia="新宋体"/>
          <w:b/>
          <w:sz w:val="24"/>
        </w:rPr>
        <w:t>9.投标文件中</w:t>
      </w:r>
      <w:r>
        <w:rPr>
          <w:rFonts w:hint="eastAsia" w:ascii="新宋体" w:hAnsi="新宋体" w:eastAsia="新宋体"/>
          <w:b/>
          <w:sz w:val="24"/>
          <w:u w:val="single"/>
        </w:rPr>
        <w:t>计算错误和不同文字文本</w:t>
      </w:r>
      <w:r>
        <w:rPr>
          <w:rFonts w:hint="eastAsia" w:ascii="新宋体" w:hAnsi="新宋体" w:eastAsia="新宋体"/>
          <w:b/>
          <w:sz w:val="24"/>
        </w:rPr>
        <w:t>的修正</w:t>
      </w:r>
    </w:p>
    <w:p>
      <w:pPr>
        <w:pStyle w:val="32"/>
        <w:spacing w:line="440" w:lineRule="exact"/>
        <w:ind w:firstLine="482"/>
        <w:rPr>
          <w:rFonts w:hint="eastAsia" w:ascii="新宋体" w:hAnsi="新宋体" w:eastAsia="新宋体"/>
          <w:sz w:val="24"/>
        </w:rPr>
      </w:pPr>
      <w:r>
        <w:rPr>
          <w:rFonts w:hint="eastAsia" w:ascii="新宋体" w:hAnsi="新宋体" w:eastAsia="新宋体"/>
          <w:sz w:val="24"/>
        </w:rPr>
        <w:t>9.1修正顺序及原则如下：</w:t>
      </w:r>
    </w:p>
    <w:p>
      <w:pPr>
        <w:pStyle w:val="32"/>
        <w:spacing w:line="440" w:lineRule="exact"/>
        <w:ind w:firstLine="482"/>
        <w:rPr>
          <w:rFonts w:hint="eastAsia" w:ascii="新宋体" w:hAnsi="新宋体" w:eastAsia="新宋体"/>
          <w:sz w:val="24"/>
        </w:rPr>
      </w:pPr>
      <w:r>
        <w:rPr>
          <w:rFonts w:hint="eastAsia" w:ascii="新宋体" w:hAnsi="新宋体" w:eastAsia="新宋体"/>
          <w:sz w:val="24"/>
        </w:rPr>
        <w:t>9.1.1政采云客户端填写的报价与以pdf格式上传文件中的报价不一致的，以pdf格式上传文件中的报价为准（适用于电子开评标项目）。</w:t>
      </w:r>
    </w:p>
    <w:p>
      <w:pPr>
        <w:pStyle w:val="32"/>
        <w:spacing w:line="440" w:lineRule="exact"/>
        <w:ind w:firstLine="482"/>
        <w:rPr>
          <w:rFonts w:hint="eastAsia" w:ascii="新宋体" w:hAnsi="新宋体" w:eastAsia="新宋体"/>
          <w:sz w:val="24"/>
        </w:rPr>
      </w:pPr>
      <w:r>
        <w:rPr>
          <w:rFonts w:hint="eastAsia" w:ascii="新宋体" w:hAnsi="新宋体" w:eastAsia="新宋体"/>
          <w:sz w:val="24"/>
        </w:rPr>
        <w:t>9.1.2《报价（开标）一览表》内容与投标文件中内容不一致的，以《报价（开标）一览表》为准</w:t>
      </w:r>
    </w:p>
    <w:p>
      <w:pPr>
        <w:pStyle w:val="32"/>
        <w:spacing w:line="440" w:lineRule="exact"/>
        <w:ind w:firstLine="482"/>
        <w:rPr>
          <w:rFonts w:hint="eastAsia" w:ascii="新宋体" w:hAnsi="新宋体" w:eastAsia="新宋体"/>
          <w:sz w:val="24"/>
        </w:rPr>
      </w:pPr>
      <w:r>
        <w:rPr>
          <w:rFonts w:hint="eastAsia" w:ascii="新宋体" w:hAnsi="新宋体" w:eastAsia="新宋体"/>
          <w:sz w:val="24"/>
        </w:rPr>
        <w:t>9.1.3投标文件的大写金额和小写金额不一致的，以大写金额为准</w:t>
      </w:r>
    </w:p>
    <w:p>
      <w:pPr>
        <w:pStyle w:val="32"/>
        <w:spacing w:line="440" w:lineRule="exact"/>
        <w:ind w:firstLine="482"/>
        <w:rPr>
          <w:rFonts w:hint="eastAsia" w:ascii="新宋体" w:hAnsi="新宋体" w:eastAsia="新宋体"/>
          <w:sz w:val="24"/>
        </w:rPr>
      </w:pPr>
      <w:r>
        <w:rPr>
          <w:rFonts w:hint="eastAsia" w:ascii="新宋体" w:hAnsi="新宋体" w:eastAsia="新宋体"/>
          <w:sz w:val="24"/>
        </w:rPr>
        <w:t>9.1.4</w:t>
      </w:r>
      <w:r>
        <w:rPr>
          <w:rFonts w:hint="eastAsia" w:ascii="新宋体" w:hAnsi="新宋体" w:eastAsia="新宋体"/>
          <w:i/>
          <w:iCs/>
          <w:sz w:val="24"/>
        </w:rPr>
        <w:t>单价金额小数点或者百分比有明显错位的，以开标一览表的总价为准，并修改单价</w:t>
      </w:r>
    </w:p>
    <w:p>
      <w:pPr>
        <w:pStyle w:val="32"/>
        <w:spacing w:line="440" w:lineRule="exact"/>
        <w:ind w:firstLine="482"/>
        <w:rPr>
          <w:rFonts w:hint="eastAsia" w:ascii="新宋体" w:hAnsi="新宋体" w:eastAsia="新宋体"/>
          <w:sz w:val="24"/>
        </w:rPr>
      </w:pPr>
      <w:r>
        <w:rPr>
          <w:rFonts w:hint="eastAsia" w:ascii="新宋体" w:hAnsi="新宋体" w:eastAsia="新宋体"/>
          <w:sz w:val="24"/>
        </w:rPr>
        <w:t>9.1.5总价金额与按单价汇总金额不一致的，以单价汇总金额计算结果为准</w:t>
      </w:r>
    </w:p>
    <w:p>
      <w:pPr>
        <w:pStyle w:val="32"/>
        <w:spacing w:line="440" w:lineRule="exact"/>
        <w:ind w:firstLine="482"/>
        <w:rPr>
          <w:rFonts w:hint="eastAsia" w:ascii="新宋体" w:hAnsi="新宋体" w:eastAsia="新宋体"/>
          <w:sz w:val="24"/>
        </w:rPr>
      </w:pPr>
      <w:r>
        <w:rPr>
          <w:rFonts w:hint="eastAsia" w:ascii="新宋体" w:hAnsi="新宋体" w:eastAsia="新宋体"/>
          <w:sz w:val="24"/>
        </w:rPr>
        <w:t>9.1.6对不同文字文本投标文件的解释发生异义的，以中文文本为准。评标委员会可以拒绝接受不是中文版的投标文件以及与投标相关的资料。</w:t>
      </w:r>
    </w:p>
    <w:p>
      <w:pPr>
        <w:pStyle w:val="32"/>
        <w:spacing w:line="400" w:lineRule="exact"/>
        <w:ind w:firstLine="482"/>
        <w:rPr>
          <w:rFonts w:hint="eastAsia" w:ascii="新宋体" w:hAnsi="新宋体" w:eastAsia="新宋体"/>
          <w:sz w:val="24"/>
        </w:rPr>
      </w:pPr>
      <w:r>
        <w:rPr>
          <w:rFonts w:hint="eastAsia" w:ascii="新宋体" w:hAnsi="新宋体" w:eastAsia="新宋体"/>
          <w:sz w:val="24"/>
        </w:rPr>
        <w:t>9.2同时出现两种以上不一致的，按照前款规定的顺序修正，修正后的报价按照规定经投标人确认后产生约束力。如果投标人不接受修正后的报价，则其投标将被拒绝，并不影响评标工作。</w:t>
      </w:r>
    </w:p>
    <w:p>
      <w:pPr>
        <w:pStyle w:val="32"/>
        <w:spacing w:line="400" w:lineRule="exact"/>
        <w:ind w:firstLine="482"/>
        <w:rPr>
          <w:rFonts w:hint="eastAsia" w:ascii="新宋体" w:hAnsi="新宋体" w:eastAsia="新宋体"/>
          <w:b/>
          <w:spacing w:val="-4"/>
          <w:sz w:val="24"/>
        </w:rPr>
      </w:pPr>
      <w:r>
        <w:rPr>
          <w:rFonts w:hint="eastAsia" w:ascii="新宋体" w:hAnsi="新宋体" w:eastAsia="新宋体"/>
          <w:b/>
          <w:spacing w:val="-4"/>
          <w:sz w:val="24"/>
        </w:rPr>
        <w:t>10.评标办法</w:t>
      </w:r>
    </w:p>
    <w:p>
      <w:pPr>
        <w:adjustRightInd w:val="0"/>
        <w:snapToGrid w:val="0"/>
        <w:spacing w:line="400" w:lineRule="exact"/>
        <w:ind w:firstLine="482" w:firstLineChars="200"/>
        <w:rPr>
          <w:rFonts w:hint="eastAsia" w:ascii="新宋体" w:hAnsi="新宋体" w:eastAsia="新宋体"/>
          <w:b/>
          <w:sz w:val="24"/>
        </w:rPr>
      </w:pPr>
      <w:r>
        <w:rPr>
          <w:rFonts w:hint="eastAsia" w:ascii="新宋体" w:hAnsi="新宋体" w:eastAsia="新宋体"/>
          <w:b/>
          <w:sz w:val="24"/>
        </w:rPr>
        <w:t>10.1本项目采用综合评分法。</w:t>
      </w:r>
    </w:p>
    <w:p>
      <w:pPr>
        <w:pStyle w:val="32"/>
        <w:spacing w:line="400" w:lineRule="exact"/>
        <w:ind w:firstLine="482"/>
        <w:rPr>
          <w:rFonts w:hint="eastAsia" w:ascii="新宋体" w:hAnsi="新宋体" w:eastAsia="新宋体"/>
          <w:b/>
          <w:spacing w:val="-4"/>
          <w:sz w:val="24"/>
        </w:rPr>
      </w:pPr>
      <w:r>
        <w:rPr>
          <w:rFonts w:hint="eastAsia" w:ascii="新宋体" w:hAnsi="新宋体" w:eastAsia="新宋体"/>
          <w:b/>
          <w:spacing w:val="-4"/>
          <w:sz w:val="24"/>
        </w:rPr>
        <w:t>11.决标</w:t>
      </w:r>
    </w:p>
    <w:p>
      <w:pPr>
        <w:pStyle w:val="32"/>
        <w:spacing w:line="400" w:lineRule="exact"/>
        <w:ind w:firstLine="482"/>
        <w:rPr>
          <w:rFonts w:hint="eastAsia" w:ascii="新宋体" w:hAnsi="新宋体" w:eastAsia="新宋体"/>
          <w:sz w:val="24"/>
        </w:rPr>
      </w:pPr>
      <w:r>
        <w:rPr>
          <w:rFonts w:hint="eastAsia" w:ascii="新宋体" w:hAnsi="新宋体" w:eastAsia="新宋体"/>
          <w:sz w:val="24"/>
        </w:rPr>
        <w:t>评标委员会依据本招标文件规定的评标标准和方法，对投标文件进行评审和比较，向招标方提出书面评标报告，并直接确定中标人。</w:t>
      </w:r>
    </w:p>
    <w:p>
      <w:pPr>
        <w:pStyle w:val="4"/>
        <w:spacing w:before="120" w:after="120" w:line="400" w:lineRule="exact"/>
        <w:rPr>
          <w:rFonts w:hint="eastAsia" w:ascii="新宋体" w:hAnsi="新宋体" w:eastAsia="新宋体"/>
          <w:sz w:val="28"/>
          <w:szCs w:val="28"/>
        </w:rPr>
      </w:pPr>
      <w:bookmarkStart w:id="47" w:name="_Toc274303254"/>
      <w:bookmarkStart w:id="48" w:name="_Toc261519848"/>
      <w:bookmarkStart w:id="49" w:name="_Toc27405"/>
      <w:bookmarkStart w:id="50" w:name="_Toc226973003"/>
      <w:bookmarkStart w:id="51" w:name="_Toc362250706"/>
      <w:bookmarkStart w:id="52" w:name="_Toc263090376"/>
      <w:r>
        <w:rPr>
          <w:rFonts w:hint="eastAsia" w:ascii="新宋体" w:hAnsi="新宋体" w:eastAsia="新宋体"/>
          <w:sz w:val="28"/>
          <w:szCs w:val="28"/>
        </w:rPr>
        <w:t>三、定标</w:t>
      </w:r>
      <w:bookmarkEnd w:id="47"/>
      <w:bookmarkEnd w:id="48"/>
      <w:bookmarkEnd w:id="49"/>
      <w:bookmarkEnd w:id="50"/>
      <w:bookmarkEnd w:id="51"/>
      <w:bookmarkEnd w:id="52"/>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12.中标通知</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12.1投标人自2017年1月1日起到中标公告期结束前无行贿犯罪记录（评标结束后，发放中标通知书前,由采购人通过中国裁判文书网（http://wenshu.court.gov.cn/）按照招标文件约定对拟中标（成交）单位的行贿犯罪记录进行查询，查询结果以网站页面显示内容为准）,经查实，中标人有前述行贿犯罪记录的，取消其中标资格，采购人依法重新组织采购。</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12.2评标结束后，评标结果公告期限为自本公告发布之日起至第2日24小时止，发布评标结果公告的媒体为：浙江政府采购网站、义乌市公共资源交易平台。</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12.3公告期内，如无有效异议，由采购中心通过“政采云”平台确认并签发《中标通知书》，《中标通知书》一经发出即发生法律效力。</w:t>
      </w:r>
    </w:p>
    <w:p>
      <w:pPr>
        <w:pStyle w:val="32"/>
        <w:tabs>
          <w:tab w:val="left" w:pos="900"/>
        </w:tabs>
        <w:spacing w:line="400" w:lineRule="exact"/>
        <w:ind w:firstLine="482" w:firstLineChars="200"/>
        <w:rPr>
          <w:rFonts w:hint="eastAsia" w:ascii="新宋体" w:hAnsi="新宋体" w:eastAsia="新宋体"/>
          <w:b/>
          <w:sz w:val="24"/>
        </w:rPr>
      </w:pPr>
      <w:r>
        <w:rPr>
          <w:rFonts w:hint="eastAsia" w:ascii="新宋体" w:hAnsi="新宋体" w:eastAsia="新宋体"/>
          <w:b/>
          <w:sz w:val="24"/>
        </w:rPr>
        <w:t>13.合同签订</w:t>
      </w:r>
    </w:p>
    <w:p>
      <w:pPr>
        <w:widowControl/>
        <w:spacing w:line="400" w:lineRule="exact"/>
        <w:ind w:firstLine="480"/>
        <w:jc w:val="left"/>
        <w:rPr>
          <w:rFonts w:ascii="新宋体" w:hAnsi="新宋体" w:eastAsia="新宋体"/>
          <w:kern w:val="0"/>
          <w:sz w:val="24"/>
        </w:rPr>
      </w:pPr>
      <w:r>
        <w:rPr>
          <w:rFonts w:hint="eastAsia" w:ascii="新宋体" w:hAnsi="新宋体" w:eastAsia="新宋体"/>
          <w:sz w:val="24"/>
        </w:rPr>
        <w:t>13.1中标人自接到《中标通知书》后应在三十天内到采购人处与采购人签订合同</w:t>
      </w:r>
      <w:r>
        <w:rPr>
          <w:rFonts w:hint="eastAsia" w:ascii="新宋体" w:hAnsi="新宋体" w:eastAsia="新宋体" w:cs="Arial"/>
          <w:b/>
          <w:kern w:val="0"/>
          <w:sz w:val="24"/>
        </w:rPr>
        <w:t>；采购人在合同签订之后将合同报送义乌市财政局备案。</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13.2招标文件、中标人的投标文件、评标过程中投标人在询标时作出的承诺及其澄清文件等，均为签订合同的依据。</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13.3中标人不遵守招标文件和投标文件的要约及承诺而擅自修改报价，或在接到《中标通知书》后借故拖延、拒签合同而造成超过规定时间的，取消该投标人的中标资格。在此情况下，对受影响的投标人不承担任何责任。</w:t>
      </w:r>
    </w:p>
    <w:p>
      <w:pPr>
        <w:spacing w:line="400" w:lineRule="exact"/>
        <w:ind w:firstLine="480" w:firstLineChars="200"/>
        <w:rPr>
          <w:rFonts w:ascii="新宋体" w:hAnsi="新宋体" w:eastAsia="新宋体"/>
          <w:sz w:val="24"/>
        </w:rPr>
      </w:pPr>
      <w:r>
        <w:rPr>
          <w:rFonts w:hint="eastAsia" w:ascii="新宋体" w:hAnsi="新宋体" w:eastAsia="新宋体"/>
          <w:sz w:val="24"/>
        </w:rPr>
        <w:t>13.4采购人变更数量的权利</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采购人在授予合同时有权对“招标项目要求”中规定的服务予以增加或减少，但必须符合《中华人民共和国政府采购法》及义乌市政府采购的相关规定。</w:t>
      </w:r>
    </w:p>
    <w:p>
      <w:pPr>
        <w:pStyle w:val="4"/>
        <w:spacing w:before="120" w:after="120" w:line="400" w:lineRule="exact"/>
        <w:rPr>
          <w:rFonts w:hint="eastAsia" w:ascii="新宋体" w:hAnsi="新宋体" w:eastAsia="新宋体"/>
          <w:sz w:val="28"/>
          <w:szCs w:val="28"/>
        </w:rPr>
      </w:pPr>
      <w:bookmarkStart w:id="53" w:name="_Toc7375"/>
      <w:r>
        <w:rPr>
          <w:rFonts w:hint="eastAsia" w:ascii="新宋体" w:hAnsi="新宋体" w:eastAsia="新宋体"/>
          <w:sz w:val="28"/>
          <w:szCs w:val="28"/>
        </w:rPr>
        <w:t>四.质疑和投诉</w:t>
      </w:r>
      <w:bookmarkEnd w:id="53"/>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14.1开标过程中，投标人对开标有异议的，应当在“政采云”平台上及时提出，评审委员应对异常情况制作相关记录。</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14.2开评标结束后，投标人或者其他利害关系人对依法必须进行招标的项目的评标结果有异议的，应在采购结果公告期限结束之日（公告发布之日起1个工作日）起7个工作日内依据招投标相关法律法规向采购人、招标代理机构提出质疑。采购人或招标代理机构将在收到书面质疑后7个工作日内对质疑内容作出答复。若投标人对采购人或招标代理机构的答复、处理结果不满意，应在收到采购人或招标代理机构的书面答复后十五个工作日内到招标投标管理部门投诉。</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14.3质疑投诉的相关规定</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（一）质疑投诉递交的资料需为书面材料。质疑投诉书面材料需法人代表人（或负责人）或授权代表签字并加盖公章。</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（二）质疑投诉属于以下情况之一的，将不予受理：</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(1).质疑投诉人不是所投诉项目的参与者，或者与质疑投诉项目无任何利害关系。</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(2).质疑投诉事项不具体，且未提供有效线索，难以查证。</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(3).未提供书面质疑或者质疑未加盖公章的；投诉人为法人或者其他组织，其投诉书未经法定代表人或者主要负责人签字并加盖公章的。</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(4).已超过招标文件规定质疑投诉提出期限的事项。</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(5).投诉事项已作出处理决定，并且投诉人没有提出新的证据</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(6).质疑投诉的事项已经进入行政复议或者行政诉讼程序的；投诉事项应先提出质疑而没有提出质疑的。</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(7).不符合《政府采购质疑和投诉办法》（财政部令第94号）等有关规定的投诉。</w:t>
      </w:r>
    </w:p>
    <w:p>
      <w:pPr>
        <w:pStyle w:val="3"/>
        <w:numPr>
          <w:ilvl w:val="0"/>
          <w:numId w:val="0"/>
        </w:numPr>
        <w:spacing w:before="0" w:after="0" w:line="400" w:lineRule="exact"/>
        <w:jc w:val="center"/>
        <w:rPr>
          <w:rFonts w:hint="eastAsia" w:ascii="新宋体" w:hAnsi="新宋体" w:eastAsia="新宋体"/>
          <w:sz w:val="36"/>
        </w:rPr>
      </w:pPr>
      <w:bookmarkStart w:id="54" w:name="_Toc6955"/>
      <w:bookmarkStart w:id="55" w:name="_Toc362268017"/>
      <w:r>
        <w:rPr>
          <w:rFonts w:hint="eastAsia" w:ascii="新宋体" w:hAnsi="新宋体" w:eastAsia="新宋体"/>
          <w:sz w:val="36"/>
        </w:rPr>
        <w:t>第五章  投标文件的有效性</w:t>
      </w:r>
      <w:bookmarkEnd w:id="54"/>
      <w:bookmarkEnd w:id="55"/>
    </w:p>
    <w:p>
      <w:pPr>
        <w:pStyle w:val="32"/>
        <w:spacing w:line="400" w:lineRule="exact"/>
        <w:ind w:firstLine="472" w:firstLineChars="196"/>
        <w:rPr>
          <w:rFonts w:hint="eastAsia" w:ascii="新宋体" w:hAnsi="新宋体" w:eastAsia="新宋体"/>
          <w:b/>
          <w:sz w:val="24"/>
        </w:rPr>
      </w:pPr>
    </w:p>
    <w:p>
      <w:pPr>
        <w:pStyle w:val="32"/>
        <w:spacing w:line="400" w:lineRule="exact"/>
        <w:ind w:firstLine="472" w:firstLineChars="196"/>
        <w:rPr>
          <w:rFonts w:ascii="新宋体" w:hAnsi="新宋体" w:eastAsia="新宋体"/>
          <w:b/>
          <w:sz w:val="24"/>
        </w:rPr>
      </w:pPr>
      <w:r>
        <w:rPr>
          <w:rFonts w:hint="eastAsia" w:ascii="新宋体" w:hAnsi="新宋体" w:eastAsia="新宋体"/>
          <w:b/>
          <w:sz w:val="24"/>
        </w:rPr>
        <w:t>1.</w:t>
      </w:r>
      <w:r>
        <w:rPr>
          <w:rFonts w:ascii="新宋体" w:hAnsi="新宋体" w:eastAsia="新宋体"/>
          <w:b/>
          <w:sz w:val="24"/>
        </w:rPr>
        <w:t>有下列情形之一的，</w:t>
      </w:r>
      <w:r>
        <w:rPr>
          <w:rFonts w:hint="eastAsia" w:ascii="新宋体" w:hAnsi="新宋体" w:eastAsia="新宋体"/>
          <w:b/>
          <w:sz w:val="24"/>
        </w:rPr>
        <w:t>招标方</w:t>
      </w:r>
      <w:r>
        <w:rPr>
          <w:rFonts w:ascii="新宋体" w:hAnsi="新宋体" w:eastAsia="新宋体"/>
          <w:b/>
          <w:sz w:val="24"/>
        </w:rPr>
        <w:t>将不予受理投标文件：</w:t>
      </w:r>
    </w:p>
    <w:p>
      <w:pPr>
        <w:tabs>
          <w:tab w:val="left" w:pos="5325"/>
        </w:tabs>
        <w:adjustRightInd w:val="0"/>
        <w:snapToGrid w:val="0"/>
        <w:spacing w:line="440" w:lineRule="exact"/>
        <w:ind w:firstLine="480" w:firstLineChars="200"/>
        <w:rPr>
          <w:rFonts w:hint="eastAsia" w:ascii="新宋体" w:hAnsi="新宋体" w:eastAsia="新宋体"/>
          <w:sz w:val="24"/>
        </w:rPr>
      </w:pPr>
      <w:r>
        <w:rPr>
          <w:rFonts w:hint="eastAsia" w:ascii="新宋体" w:hAnsi="新宋体" w:eastAsia="新宋体"/>
          <w:sz w:val="24"/>
        </w:rPr>
        <w:t>1.1逾期上传电子档投标文件至“政采云”平台的。</w:t>
      </w:r>
    </w:p>
    <w:p>
      <w:pPr>
        <w:tabs>
          <w:tab w:val="left" w:pos="5325"/>
        </w:tabs>
        <w:adjustRightInd w:val="0"/>
        <w:snapToGrid w:val="0"/>
        <w:spacing w:line="440" w:lineRule="exact"/>
        <w:ind w:firstLine="480" w:firstLineChars="200"/>
        <w:rPr>
          <w:rFonts w:hint="eastAsia" w:ascii="新宋体" w:hAnsi="新宋体" w:eastAsia="新宋体"/>
          <w:sz w:val="24"/>
        </w:rPr>
      </w:pPr>
      <w:r>
        <w:rPr>
          <w:rFonts w:hint="eastAsia" w:ascii="新宋体" w:hAnsi="新宋体" w:eastAsia="新宋体"/>
          <w:sz w:val="24"/>
        </w:rPr>
        <w:t>1.2电子投标文件在规定时间内解密未成功的，且未提供备份投标文件或提供的备份投标文件无法上传打开的。</w:t>
      </w:r>
    </w:p>
    <w:p>
      <w:pPr>
        <w:adjustRightInd w:val="0"/>
        <w:snapToGrid w:val="0"/>
        <w:spacing w:line="440" w:lineRule="exact"/>
        <w:ind w:firstLine="482" w:firstLineChars="200"/>
        <w:rPr>
          <w:rFonts w:hint="eastAsia" w:ascii="新宋体" w:hAnsi="新宋体" w:eastAsia="新宋体"/>
          <w:b/>
          <w:sz w:val="24"/>
        </w:rPr>
      </w:pPr>
      <w:r>
        <w:rPr>
          <w:rFonts w:hint="eastAsia" w:ascii="新宋体" w:hAnsi="新宋体" w:eastAsia="新宋体"/>
          <w:b/>
          <w:sz w:val="24"/>
          <w:shd w:val="pct10" w:color="auto" w:fill="FFFFFF"/>
        </w:rPr>
        <w:t>2.投标文件在资格或商务技术评审中出现下列情形之一的，由评标委员会审核后按无效投标文件处理：</w:t>
      </w:r>
    </w:p>
    <w:p>
      <w:pPr>
        <w:tabs>
          <w:tab w:val="left" w:pos="5325"/>
        </w:tabs>
        <w:adjustRightInd w:val="0"/>
        <w:snapToGrid w:val="0"/>
        <w:spacing w:line="440" w:lineRule="exact"/>
        <w:ind w:firstLine="480" w:firstLineChars="200"/>
        <w:rPr>
          <w:rFonts w:hint="eastAsia" w:ascii="新宋体" w:hAnsi="新宋体" w:eastAsia="新宋体"/>
          <w:sz w:val="24"/>
        </w:rPr>
      </w:pPr>
      <w:r>
        <w:rPr>
          <w:rFonts w:hint="eastAsia" w:ascii="新宋体" w:hAnsi="新宋体" w:eastAsia="新宋体"/>
          <w:sz w:val="24"/>
        </w:rPr>
        <w:t>2.1资格或商务技术标中包含投标报价的。</w:t>
      </w:r>
      <w:r>
        <w:rPr>
          <w:rFonts w:ascii="新宋体" w:hAnsi="新宋体" w:eastAsia="新宋体"/>
          <w:sz w:val="24"/>
        </w:rPr>
        <w:tab/>
      </w:r>
    </w:p>
    <w:p>
      <w:pPr>
        <w:tabs>
          <w:tab w:val="left" w:pos="5325"/>
        </w:tabs>
        <w:adjustRightInd w:val="0"/>
        <w:snapToGrid w:val="0"/>
        <w:spacing w:line="440" w:lineRule="exact"/>
        <w:ind w:firstLine="480" w:firstLineChars="200"/>
        <w:rPr>
          <w:rFonts w:hint="eastAsia" w:ascii="新宋体" w:hAnsi="新宋体" w:eastAsia="新宋体"/>
          <w:sz w:val="24"/>
        </w:rPr>
      </w:pPr>
      <w:r>
        <w:rPr>
          <w:rFonts w:hint="eastAsia" w:ascii="新宋体" w:hAnsi="新宋体" w:eastAsia="新宋体"/>
          <w:sz w:val="24"/>
        </w:rPr>
        <w:t>2.2招标文件关于投标文件组成内容商务技术标要求中打“</w:t>
      </w:r>
      <w:r>
        <w:rPr>
          <w:rFonts w:ascii="新宋体" w:hAnsi="新宋体" w:eastAsia="新宋体"/>
          <w:sz w:val="24"/>
        </w:rPr>
        <w:t>★</w:t>
      </w:r>
      <w:r>
        <w:rPr>
          <w:rFonts w:hint="eastAsia" w:ascii="新宋体" w:hAnsi="新宋体" w:eastAsia="新宋体"/>
          <w:sz w:val="24"/>
        </w:rPr>
        <w:t>”的内容，投标人的投标文件内容未提供完整的，或关键字迹模糊、无法辨认的，或未按其规定的格式及要求填写、签字、盖章，或提供的投标文件内容不符合招标文件中有关打★号的条款的规定。</w:t>
      </w:r>
    </w:p>
    <w:p>
      <w:pPr>
        <w:tabs>
          <w:tab w:val="left" w:pos="5325"/>
        </w:tabs>
        <w:adjustRightInd w:val="0"/>
        <w:snapToGrid w:val="0"/>
        <w:spacing w:line="440" w:lineRule="exact"/>
        <w:ind w:firstLine="480" w:firstLineChars="200"/>
        <w:rPr>
          <w:rFonts w:hint="eastAsia" w:ascii="新宋体" w:hAnsi="新宋体" w:eastAsia="新宋体"/>
          <w:sz w:val="24"/>
        </w:rPr>
      </w:pPr>
      <w:r>
        <w:rPr>
          <w:rFonts w:hint="eastAsia" w:ascii="新宋体" w:hAnsi="新宋体" w:eastAsia="新宋体"/>
          <w:sz w:val="24"/>
        </w:rPr>
        <w:t>2.3投标人的投标资格不符合招标文件的资格要求规定。</w:t>
      </w:r>
    </w:p>
    <w:p>
      <w:pPr>
        <w:tabs>
          <w:tab w:val="left" w:pos="5325"/>
        </w:tabs>
        <w:adjustRightInd w:val="0"/>
        <w:snapToGrid w:val="0"/>
        <w:spacing w:line="440" w:lineRule="exact"/>
        <w:ind w:firstLine="480" w:firstLineChars="200"/>
        <w:rPr>
          <w:rFonts w:hint="eastAsia" w:ascii="新宋体" w:hAnsi="新宋体" w:eastAsia="新宋体"/>
          <w:sz w:val="24"/>
        </w:rPr>
      </w:pPr>
      <w:r>
        <w:rPr>
          <w:rFonts w:hint="eastAsia" w:ascii="新宋体" w:hAnsi="新宋体" w:eastAsia="新宋体"/>
          <w:sz w:val="24"/>
        </w:rPr>
        <w:t>2.4投标人递交两份或多份内容不同的投标文件，且未声明哪一个有效，但按招标文件规定提交备选方案的除外。</w:t>
      </w:r>
    </w:p>
    <w:p>
      <w:pPr>
        <w:adjustRightInd w:val="0"/>
        <w:snapToGrid w:val="0"/>
        <w:spacing w:line="440" w:lineRule="exact"/>
        <w:ind w:firstLine="480" w:firstLineChars="200"/>
        <w:rPr>
          <w:rFonts w:hint="eastAsia" w:ascii="新宋体" w:hAnsi="新宋体" w:eastAsia="新宋体"/>
          <w:szCs w:val="21"/>
        </w:rPr>
      </w:pPr>
      <w:r>
        <w:rPr>
          <w:rFonts w:hint="eastAsia" w:ascii="新宋体" w:hAnsi="新宋体" w:eastAsia="新宋体"/>
          <w:sz w:val="24"/>
        </w:rPr>
        <w:t>2.5投标人所投产品的数量不符合招标文件规定的。</w:t>
      </w:r>
      <w:r>
        <w:rPr>
          <w:rFonts w:hint="eastAsia" w:ascii="新宋体" w:hAnsi="新宋体" w:eastAsia="新宋体"/>
          <w:i/>
          <w:sz w:val="24"/>
        </w:rPr>
        <w:t>招标需求中要求提供的产品属于</w:t>
      </w:r>
      <w:r>
        <w:rPr>
          <w:rFonts w:ascii="新宋体" w:hAnsi="新宋体" w:eastAsia="新宋体"/>
          <w:i/>
          <w:sz w:val="24"/>
        </w:rPr>
        <w:t>节能产品政府采购品目清单</w:t>
      </w:r>
      <w:r>
        <w:rPr>
          <w:rFonts w:hint="eastAsia" w:ascii="新宋体" w:hAnsi="新宋体" w:eastAsia="新宋体"/>
          <w:i/>
          <w:sz w:val="24"/>
        </w:rPr>
        <w:t>中政府强制采购的，投标人未提供该清单内产品的。</w:t>
      </w:r>
    </w:p>
    <w:p>
      <w:pPr>
        <w:spacing w:line="460" w:lineRule="exact"/>
        <w:ind w:firstLine="480" w:firstLineChars="200"/>
        <w:rPr>
          <w:rFonts w:hint="eastAsia" w:ascii="新宋体" w:hAnsi="新宋体" w:eastAsia="新宋体"/>
          <w:kern w:val="0"/>
          <w:sz w:val="24"/>
        </w:rPr>
      </w:pPr>
      <w:r>
        <w:rPr>
          <w:rFonts w:hint="eastAsia" w:ascii="新宋体" w:hAnsi="新宋体" w:eastAsia="新宋体"/>
          <w:kern w:val="0"/>
          <w:sz w:val="24"/>
        </w:rPr>
        <w:t>2.6投标人借用或冒用他人名义或证件，或投标人涂改证件，或投标人伪造或编造投标资料的。</w:t>
      </w:r>
    </w:p>
    <w:p>
      <w:pPr>
        <w:spacing w:line="460" w:lineRule="exact"/>
        <w:ind w:firstLine="480" w:firstLineChars="200"/>
        <w:rPr>
          <w:rFonts w:hint="eastAsia" w:ascii="新宋体" w:hAnsi="新宋体" w:eastAsia="新宋体"/>
          <w:kern w:val="0"/>
          <w:sz w:val="24"/>
        </w:rPr>
      </w:pPr>
      <w:r>
        <w:rPr>
          <w:rFonts w:hint="eastAsia" w:ascii="新宋体" w:hAnsi="新宋体" w:eastAsia="新宋体"/>
          <w:kern w:val="0"/>
          <w:sz w:val="24"/>
        </w:rPr>
        <w:t>2.7投标中不同投标人的投标文件出现雷同或相似（包括部分雷同或相似），对所有雷同或相似投标人按无效标处理，招标方将保留进一步追究责任的权利；或投标人串标的。</w:t>
      </w:r>
    </w:p>
    <w:p>
      <w:pPr>
        <w:spacing w:line="460" w:lineRule="exact"/>
        <w:ind w:firstLine="480" w:firstLineChars="200"/>
        <w:rPr>
          <w:rFonts w:hint="eastAsia" w:ascii="新宋体" w:hAnsi="新宋体" w:eastAsia="新宋体"/>
          <w:kern w:val="0"/>
          <w:sz w:val="24"/>
        </w:rPr>
      </w:pPr>
      <w:r>
        <w:rPr>
          <w:rFonts w:hint="eastAsia" w:ascii="新宋体" w:hAnsi="新宋体" w:eastAsia="新宋体"/>
          <w:kern w:val="0"/>
          <w:sz w:val="24"/>
        </w:rPr>
        <w:t>2.8其</w:t>
      </w:r>
      <w:r>
        <w:rPr>
          <w:rFonts w:hint="eastAsia" w:ascii="新宋体" w:hAnsi="新宋体" w:eastAsia="新宋体"/>
          <w:sz w:val="24"/>
        </w:rPr>
        <w:t>它对本招标文件中打★号的条款未完全响应的。</w:t>
      </w:r>
    </w:p>
    <w:p>
      <w:pPr>
        <w:spacing w:line="460" w:lineRule="exact"/>
        <w:ind w:firstLine="480" w:firstLineChars="200"/>
        <w:rPr>
          <w:rFonts w:hint="eastAsia" w:ascii="新宋体" w:hAnsi="新宋体" w:eastAsia="新宋体"/>
          <w:sz w:val="24"/>
        </w:rPr>
      </w:pPr>
      <w:r>
        <w:rPr>
          <w:rFonts w:hint="eastAsia" w:ascii="新宋体" w:hAnsi="新宋体" w:eastAsia="新宋体"/>
          <w:kern w:val="0"/>
          <w:sz w:val="24"/>
        </w:rPr>
        <w:t>2.9经评标委员会认定，</w:t>
      </w:r>
      <w:r>
        <w:rPr>
          <w:rFonts w:hint="eastAsia" w:ascii="新宋体" w:hAnsi="新宋体" w:eastAsia="新宋体"/>
          <w:sz w:val="24"/>
        </w:rPr>
        <w:t>投标文件附有采购人不能接受的条件。</w:t>
      </w:r>
    </w:p>
    <w:p>
      <w:pPr>
        <w:spacing w:line="460" w:lineRule="exact"/>
        <w:ind w:firstLine="480" w:firstLineChars="200"/>
        <w:rPr>
          <w:rFonts w:hint="eastAsia" w:ascii="新宋体" w:hAnsi="新宋体" w:eastAsia="新宋体"/>
          <w:sz w:val="24"/>
        </w:rPr>
      </w:pPr>
      <w:r>
        <w:rPr>
          <w:rFonts w:hint="eastAsia" w:ascii="新宋体" w:hAnsi="新宋体" w:eastAsia="新宋体"/>
          <w:sz w:val="24"/>
        </w:rPr>
        <w:t>2.10评标委员会要求投标人对其投标文件作出</w:t>
      </w:r>
      <w:r>
        <w:rPr>
          <w:rFonts w:hint="eastAsia" w:ascii="新宋体" w:hAnsi="新宋体" w:eastAsia="新宋体"/>
          <w:b/>
          <w:sz w:val="24"/>
        </w:rPr>
        <w:t>澄清或说明，</w:t>
      </w:r>
      <w:r>
        <w:rPr>
          <w:rFonts w:hint="eastAsia" w:ascii="新宋体" w:hAnsi="新宋体" w:eastAsia="新宋体"/>
          <w:sz w:val="24"/>
        </w:rPr>
        <w:t>如果投标人代表拒绝</w:t>
      </w:r>
      <w:r>
        <w:rPr>
          <w:rFonts w:hint="eastAsia" w:ascii="新宋体" w:hAnsi="新宋体" w:eastAsia="新宋体"/>
          <w:b/>
          <w:sz w:val="24"/>
        </w:rPr>
        <w:t>澄清或说明的，或者拒绝签字的</w:t>
      </w:r>
      <w:r>
        <w:rPr>
          <w:rFonts w:hint="eastAsia" w:ascii="新宋体" w:hAnsi="新宋体" w:eastAsia="新宋体"/>
          <w:sz w:val="24"/>
        </w:rPr>
        <w:t>。</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2.11单位负责人为同一人或者存在直接控股、管理关系的不同供应商</w:t>
      </w:r>
      <w:r>
        <w:rPr>
          <w:rFonts w:hint="eastAsia" w:ascii="新宋体" w:hAnsi="新宋体" w:eastAsia="新宋体"/>
          <w:kern w:val="0"/>
          <w:sz w:val="24"/>
        </w:rPr>
        <w:t>。</w:t>
      </w:r>
    </w:p>
    <w:p>
      <w:pPr>
        <w:adjustRightInd w:val="0"/>
        <w:snapToGrid w:val="0"/>
        <w:spacing w:line="400" w:lineRule="exact"/>
        <w:ind w:firstLine="482" w:firstLineChars="200"/>
        <w:rPr>
          <w:rFonts w:hint="eastAsia" w:ascii="新宋体" w:hAnsi="新宋体" w:eastAsia="新宋体"/>
          <w:b/>
          <w:sz w:val="24"/>
        </w:rPr>
      </w:pPr>
      <w:r>
        <w:rPr>
          <w:rFonts w:hint="eastAsia" w:ascii="新宋体" w:hAnsi="新宋体" w:eastAsia="新宋体"/>
          <w:b/>
          <w:sz w:val="24"/>
          <w:shd w:val="pct10" w:color="auto" w:fill="FFFFFF"/>
        </w:rPr>
        <w:t>3.投标文件在投标报价评审中出现下列情形之一的，由评标委员会审核后按无效投标文件处理</w:t>
      </w:r>
      <w:r>
        <w:rPr>
          <w:rFonts w:hint="eastAsia" w:ascii="新宋体" w:hAnsi="新宋体" w:eastAsia="新宋体"/>
          <w:kern w:val="0"/>
          <w:sz w:val="24"/>
        </w:rPr>
        <w:t>。</w:t>
      </w:r>
    </w:p>
    <w:p>
      <w:pPr>
        <w:adjustRightInd w:val="0"/>
        <w:snapToGrid w:val="0"/>
        <w:spacing w:line="400" w:lineRule="exact"/>
        <w:ind w:firstLine="480" w:firstLineChars="200"/>
        <w:rPr>
          <w:rFonts w:hint="eastAsia" w:ascii="新宋体" w:hAnsi="新宋体" w:eastAsia="新宋体"/>
          <w:kern w:val="0"/>
          <w:sz w:val="24"/>
        </w:rPr>
      </w:pPr>
      <w:r>
        <w:rPr>
          <w:rFonts w:hint="eastAsia" w:ascii="新宋体" w:hAnsi="新宋体" w:eastAsia="新宋体"/>
          <w:sz w:val="24"/>
        </w:rPr>
        <w:t>3.1招标文件关于投标文件组成内容报价响应要求中打“</w:t>
      </w:r>
      <w:r>
        <w:rPr>
          <w:rFonts w:ascii="新宋体" w:hAnsi="新宋体" w:eastAsia="新宋体"/>
        </w:rPr>
        <w:t>★</w:t>
      </w:r>
      <w:r>
        <w:rPr>
          <w:rFonts w:hint="eastAsia" w:ascii="新宋体" w:hAnsi="新宋体" w:eastAsia="新宋体"/>
        </w:rPr>
        <w:t>”的</w:t>
      </w:r>
      <w:r>
        <w:rPr>
          <w:rFonts w:hint="eastAsia" w:ascii="新宋体" w:hAnsi="新宋体" w:eastAsia="新宋体"/>
          <w:kern w:val="0"/>
          <w:sz w:val="24"/>
        </w:rPr>
        <w:t>内容，投标人的投标文件内容未提提供完整，或关键字迹模糊、无法辨认的，或未按其规定的格式及要求填写、签字、盖章，或提供的投标文件内容不符合招标文件的中有关打★号的条款的规定。</w:t>
      </w:r>
    </w:p>
    <w:p>
      <w:pPr>
        <w:adjustRightInd w:val="0"/>
        <w:snapToGrid w:val="0"/>
        <w:spacing w:line="400" w:lineRule="exact"/>
        <w:ind w:firstLine="480" w:firstLineChars="200"/>
        <w:rPr>
          <w:rFonts w:hint="eastAsia" w:ascii="新宋体" w:hAnsi="新宋体" w:eastAsia="新宋体"/>
          <w:sz w:val="24"/>
        </w:rPr>
      </w:pPr>
      <w:r>
        <w:rPr>
          <w:rFonts w:hint="eastAsia" w:ascii="新宋体" w:hAnsi="新宋体" w:eastAsia="新宋体"/>
          <w:sz w:val="24"/>
        </w:rPr>
        <w:t>3.2投标报价高于预算价（或最高限价），或投标总价低于投标人的企业成本总价者。</w:t>
      </w:r>
    </w:p>
    <w:p>
      <w:pPr>
        <w:adjustRightInd w:val="0"/>
        <w:snapToGrid w:val="0"/>
        <w:spacing w:line="400" w:lineRule="exact"/>
        <w:ind w:firstLine="480" w:firstLineChars="200"/>
        <w:rPr>
          <w:rFonts w:hint="eastAsia" w:ascii="新宋体" w:hAnsi="新宋体" w:eastAsia="新宋体"/>
          <w:sz w:val="24"/>
        </w:rPr>
      </w:pPr>
      <w:r>
        <w:rPr>
          <w:rFonts w:hint="eastAsia" w:ascii="新宋体" w:hAnsi="新宋体" w:eastAsia="新宋体"/>
          <w:sz w:val="24"/>
        </w:rPr>
        <w:t>3.3投标人的所投产品的数量不符合招标文件规定的。</w:t>
      </w:r>
    </w:p>
    <w:p>
      <w:pPr>
        <w:adjustRightInd w:val="0"/>
        <w:snapToGrid w:val="0"/>
        <w:spacing w:line="400" w:lineRule="exact"/>
        <w:ind w:firstLine="480" w:firstLineChars="200"/>
        <w:rPr>
          <w:rFonts w:hint="eastAsia" w:ascii="新宋体" w:hAnsi="新宋体" w:eastAsia="新宋体"/>
          <w:sz w:val="24"/>
        </w:rPr>
      </w:pPr>
      <w:r>
        <w:rPr>
          <w:rFonts w:hint="eastAsia" w:ascii="新宋体" w:hAnsi="新宋体" w:eastAsia="新宋体"/>
          <w:sz w:val="24"/>
        </w:rPr>
        <w:t>3.4投标人对同一采购项目有两个及以上（两种及以上方案）报价的或两个及以上（两种及以上方案）成本价的，且未声明哪一个有效。</w:t>
      </w:r>
    </w:p>
    <w:p>
      <w:pPr>
        <w:adjustRightInd w:val="0"/>
        <w:snapToGrid w:val="0"/>
        <w:spacing w:line="400" w:lineRule="exact"/>
        <w:ind w:firstLine="480" w:firstLineChars="200"/>
        <w:rPr>
          <w:rFonts w:hint="eastAsia" w:ascii="新宋体" w:hAnsi="新宋体" w:eastAsia="新宋体"/>
          <w:sz w:val="24"/>
        </w:rPr>
      </w:pPr>
      <w:r>
        <w:rPr>
          <w:rFonts w:hint="eastAsia" w:ascii="新宋体" w:hAnsi="新宋体" w:eastAsia="新宋体"/>
          <w:sz w:val="24"/>
        </w:rPr>
        <w:t>3.5经评标委员会审议认为投标文件附有采购人不能接受的条件。</w:t>
      </w:r>
      <w:r>
        <w:rPr>
          <w:rFonts w:hint="eastAsia" w:ascii="新宋体" w:hAnsi="新宋体" w:eastAsia="新宋体"/>
          <w:i/>
          <w:sz w:val="24"/>
        </w:rPr>
        <w:t>评标委员会认为投标人的报价明显低于其他通过符合性审查投标人的报价，有可能影响服务质量或者不能诚信履约的，要求其在评标系统合理的时间内提供书面说明，必要时提交相关证明材料；投标人不能证明其报价合理性的。</w:t>
      </w:r>
    </w:p>
    <w:p>
      <w:pPr>
        <w:adjustRightInd w:val="0"/>
        <w:snapToGrid w:val="0"/>
        <w:spacing w:line="400" w:lineRule="exact"/>
        <w:ind w:firstLine="480" w:firstLineChars="200"/>
        <w:rPr>
          <w:rFonts w:hint="eastAsia" w:ascii="新宋体" w:hAnsi="新宋体" w:eastAsia="新宋体"/>
          <w:sz w:val="24"/>
        </w:rPr>
      </w:pPr>
      <w:r>
        <w:rPr>
          <w:rFonts w:hint="eastAsia" w:ascii="新宋体" w:hAnsi="新宋体" w:eastAsia="新宋体"/>
          <w:sz w:val="24"/>
        </w:rPr>
        <w:t>3.6其它对本招标文件中打★号的条款未完全响应的。</w:t>
      </w:r>
    </w:p>
    <w:p>
      <w:pPr>
        <w:adjustRightInd w:val="0"/>
        <w:snapToGrid w:val="0"/>
        <w:spacing w:line="460" w:lineRule="exact"/>
        <w:ind w:firstLine="480" w:firstLineChars="200"/>
        <w:rPr>
          <w:rFonts w:hint="eastAsia" w:ascii="新宋体" w:hAnsi="新宋体" w:eastAsia="新宋体"/>
          <w:sz w:val="24"/>
        </w:rPr>
      </w:pPr>
      <w:r>
        <w:rPr>
          <w:rFonts w:hint="eastAsia" w:ascii="新宋体" w:hAnsi="新宋体" w:eastAsia="新宋体"/>
          <w:sz w:val="24"/>
        </w:rPr>
        <w:t>3.7当投标人由于报价计算错误，投标人拒绝接受按招标文件的规定进行的修正处理。</w:t>
      </w:r>
    </w:p>
    <w:p>
      <w:pPr>
        <w:spacing w:line="460" w:lineRule="exact"/>
        <w:ind w:firstLine="482" w:firstLineChars="200"/>
        <w:rPr>
          <w:rFonts w:hint="eastAsia" w:ascii="新宋体" w:hAnsi="新宋体" w:eastAsia="新宋体"/>
          <w:b/>
          <w:kern w:val="0"/>
          <w:sz w:val="24"/>
        </w:rPr>
      </w:pPr>
      <w:r>
        <w:rPr>
          <w:rFonts w:hint="eastAsia" w:ascii="新宋体" w:hAnsi="新宋体" w:eastAsia="新宋体"/>
          <w:b/>
          <w:kern w:val="0"/>
          <w:sz w:val="24"/>
        </w:rPr>
        <w:t>4其他违反法律法规的的情况。</w:t>
      </w:r>
    </w:p>
    <w:p>
      <w:pPr>
        <w:spacing w:line="400" w:lineRule="exact"/>
        <w:ind w:firstLine="482" w:firstLineChars="200"/>
        <w:rPr>
          <w:rFonts w:hint="eastAsia" w:ascii="新宋体" w:hAnsi="新宋体" w:eastAsia="新宋体"/>
          <w:b/>
          <w:kern w:val="0"/>
          <w:sz w:val="24"/>
        </w:rPr>
      </w:pPr>
      <w:r>
        <w:rPr>
          <w:rFonts w:hint="eastAsia" w:ascii="新宋体" w:hAnsi="新宋体" w:eastAsia="新宋体"/>
          <w:b/>
          <w:kern w:val="0"/>
          <w:sz w:val="24"/>
        </w:rPr>
        <w:t>5评标过程中，非上述所罗列的情况，不得以无效标处理。</w:t>
      </w:r>
    </w:p>
    <w:p>
      <w:pPr>
        <w:spacing w:line="400" w:lineRule="exact"/>
        <w:ind w:firstLine="480" w:firstLineChars="200"/>
        <w:rPr>
          <w:rFonts w:hint="eastAsia" w:ascii="新宋体" w:hAnsi="新宋体" w:eastAsia="新宋体"/>
          <w:kern w:val="0"/>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bookmarkStart w:id="56" w:name="_Toc238878128"/>
      <w:bookmarkStart w:id="57" w:name="_Toc274303258"/>
      <w:bookmarkStart w:id="58" w:name="_Toc213038697"/>
    </w:p>
    <w:p>
      <w:pPr>
        <w:pStyle w:val="3"/>
        <w:numPr>
          <w:ilvl w:val="0"/>
          <w:numId w:val="0"/>
        </w:numPr>
        <w:spacing w:before="0" w:after="0" w:line="400" w:lineRule="exact"/>
        <w:jc w:val="center"/>
        <w:rPr>
          <w:rFonts w:hint="eastAsia" w:ascii="新宋体" w:hAnsi="新宋体" w:eastAsia="新宋体"/>
          <w:sz w:val="36"/>
        </w:rPr>
      </w:pPr>
      <w:r>
        <w:rPr>
          <w:rFonts w:ascii="新宋体" w:hAnsi="新宋体" w:eastAsia="新宋体"/>
          <w:sz w:val="24"/>
        </w:rPr>
        <w:br w:type="page"/>
      </w:r>
      <w:bookmarkStart w:id="59" w:name="_Toc23965"/>
      <w:bookmarkStart w:id="60" w:name="_Toc226973004"/>
      <w:bookmarkStart w:id="61" w:name="_Toc274303255"/>
      <w:bookmarkStart w:id="62" w:name="_Toc145992551"/>
      <w:r>
        <w:rPr>
          <w:rFonts w:hint="eastAsia" w:ascii="新宋体" w:hAnsi="新宋体" w:eastAsia="新宋体"/>
          <w:sz w:val="36"/>
        </w:rPr>
        <w:t>第六章  评标办法</w:t>
      </w:r>
      <w:bookmarkEnd w:id="59"/>
      <w:bookmarkEnd w:id="60"/>
      <w:bookmarkEnd w:id="61"/>
      <w:bookmarkEnd w:id="62"/>
    </w:p>
    <w:p>
      <w:pPr>
        <w:spacing w:line="400" w:lineRule="exact"/>
        <w:rPr>
          <w:rFonts w:hint="eastAsia" w:ascii="新宋体" w:hAnsi="新宋体" w:eastAsia="新宋体"/>
        </w:rPr>
      </w:pPr>
    </w:p>
    <w:p>
      <w:pPr>
        <w:pStyle w:val="32"/>
        <w:spacing w:line="420" w:lineRule="exact"/>
        <w:ind w:firstLine="480" w:firstLineChars="200"/>
        <w:rPr>
          <w:rFonts w:hint="eastAsia" w:ascii="新宋体" w:hAnsi="新宋体" w:eastAsia="新宋体"/>
          <w:sz w:val="24"/>
        </w:rPr>
      </w:pPr>
      <w:bookmarkStart w:id="63" w:name="_Toc274303257"/>
      <w:r>
        <w:rPr>
          <w:rFonts w:hint="eastAsia" w:ascii="新宋体" w:hAnsi="新宋体" w:eastAsia="新宋体"/>
          <w:sz w:val="24"/>
        </w:rPr>
        <w:t>根据《中华人民共和国政府采购法》及相关法律的有关规定，为更好地做到公开、公平、公正，结合本次招标的特点，特制定本评标办法，本项目的评标办法为综合评分法。</w:t>
      </w:r>
    </w:p>
    <w:p>
      <w:pPr>
        <w:pStyle w:val="32"/>
        <w:spacing w:line="440" w:lineRule="exact"/>
        <w:ind w:firstLine="482" w:firstLineChars="200"/>
        <w:rPr>
          <w:rFonts w:hint="eastAsia" w:ascii="新宋体" w:hAnsi="新宋体" w:eastAsia="新宋体"/>
          <w:b/>
          <w:sz w:val="24"/>
        </w:rPr>
      </w:pPr>
      <w:r>
        <w:rPr>
          <w:rFonts w:hint="eastAsia" w:ascii="新宋体" w:hAnsi="新宋体" w:eastAsia="新宋体"/>
          <w:b/>
          <w:sz w:val="24"/>
        </w:rPr>
        <w:t>一、评审程序</w:t>
      </w:r>
    </w:p>
    <w:bookmarkEnd w:id="63"/>
    <w:p>
      <w:pPr>
        <w:pStyle w:val="32"/>
        <w:spacing w:line="440" w:lineRule="exact"/>
        <w:ind w:firstLine="480" w:firstLineChars="200"/>
        <w:rPr>
          <w:rFonts w:hint="eastAsia" w:ascii="新宋体" w:hAnsi="新宋体" w:eastAsia="新宋体"/>
          <w:b/>
          <w:bCs/>
          <w:sz w:val="24"/>
        </w:rPr>
      </w:pPr>
      <w:bookmarkStart w:id="64" w:name="_Toc358884475"/>
      <w:bookmarkStart w:id="65" w:name="_Toc323024194"/>
      <w:bookmarkStart w:id="66" w:name="_Toc362250710"/>
      <w:bookmarkStart w:id="67" w:name="_Toc295815145"/>
      <w:bookmarkStart w:id="68" w:name="_Toc269969080"/>
      <w:bookmarkStart w:id="69" w:name="_Toc330474791"/>
      <w:r>
        <w:rPr>
          <w:rFonts w:hint="eastAsia" w:ascii="新宋体" w:hAnsi="新宋体" w:eastAsia="新宋体"/>
          <w:sz w:val="24"/>
        </w:rPr>
        <w:t>评标委员会以开标、评标、询标情况为基本依据，按照招标文件的规定，</w:t>
      </w:r>
      <w:r>
        <w:rPr>
          <w:rFonts w:hint="eastAsia" w:ascii="新宋体" w:hAnsi="新宋体" w:eastAsia="新宋体"/>
          <w:spacing w:val="-4"/>
          <w:sz w:val="24"/>
        </w:rPr>
        <w:t>对各投标人的投标文件分资格部分、商务技术部分、投标报价三个部分按以下程序进行分析、评议：</w:t>
      </w:r>
      <w:r>
        <w:rPr>
          <w:rFonts w:hint="eastAsia" w:ascii="新宋体" w:hAnsi="新宋体" w:eastAsia="新宋体"/>
          <w:b/>
          <w:bCs/>
          <w:sz w:val="24"/>
        </w:rPr>
        <w:t xml:space="preserve"> </w:t>
      </w:r>
    </w:p>
    <w:p>
      <w:pPr>
        <w:pStyle w:val="32"/>
        <w:spacing w:line="440" w:lineRule="exact"/>
        <w:ind w:firstLine="480" w:firstLineChars="200"/>
        <w:rPr>
          <w:rFonts w:hint="eastAsia" w:ascii="新宋体" w:hAnsi="新宋体" w:eastAsia="新宋体"/>
          <w:sz w:val="24"/>
        </w:rPr>
      </w:pPr>
      <w:r>
        <w:rPr>
          <w:rFonts w:hint="eastAsia" w:ascii="新宋体" w:hAnsi="新宋体" w:eastAsia="新宋体"/>
          <w:sz w:val="24"/>
        </w:rPr>
        <w:t>（一）对符合招标文件要求的资格部分、商务技术文件进行符合性审查，确定资格和商务技术标有效单位；</w:t>
      </w:r>
    </w:p>
    <w:p>
      <w:pPr>
        <w:pStyle w:val="32"/>
        <w:spacing w:line="440" w:lineRule="exact"/>
        <w:ind w:firstLine="480" w:firstLineChars="200"/>
        <w:rPr>
          <w:rFonts w:hint="eastAsia" w:ascii="新宋体" w:hAnsi="新宋体" w:eastAsia="新宋体"/>
          <w:sz w:val="24"/>
        </w:rPr>
      </w:pPr>
      <w:r>
        <w:rPr>
          <w:rFonts w:hint="eastAsia" w:ascii="新宋体" w:hAnsi="新宋体" w:eastAsia="新宋体"/>
          <w:sz w:val="24"/>
        </w:rPr>
        <w:t>（二）对资格和商务技术标有效的投标人的商务技术标进行评分，计算出各资格和商务技术标有效的投标人的技术得分（详见三、评分细则）；</w:t>
      </w:r>
    </w:p>
    <w:p>
      <w:pPr>
        <w:pStyle w:val="32"/>
        <w:spacing w:line="440" w:lineRule="exact"/>
        <w:ind w:firstLine="480" w:firstLineChars="200"/>
        <w:rPr>
          <w:rFonts w:hint="eastAsia" w:ascii="新宋体" w:hAnsi="新宋体" w:eastAsia="新宋体"/>
          <w:sz w:val="24"/>
        </w:rPr>
      </w:pPr>
      <w:r>
        <w:rPr>
          <w:rFonts w:hint="eastAsia" w:ascii="新宋体" w:hAnsi="新宋体" w:eastAsia="新宋体"/>
          <w:sz w:val="24"/>
        </w:rPr>
        <w:t xml:space="preserve">（三）对资格和商务技术标有效的投标人的投标报价进行公开唱标； </w:t>
      </w:r>
    </w:p>
    <w:p>
      <w:pPr>
        <w:pStyle w:val="32"/>
        <w:spacing w:line="440" w:lineRule="exact"/>
        <w:ind w:firstLine="480" w:firstLineChars="200"/>
        <w:rPr>
          <w:rFonts w:hint="eastAsia" w:ascii="新宋体" w:hAnsi="新宋体" w:eastAsia="新宋体"/>
          <w:sz w:val="24"/>
        </w:rPr>
      </w:pPr>
      <w:r>
        <w:rPr>
          <w:rFonts w:hint="eastAsia" w:ascii="新宋体" w:hAnsi="新宋体" w:eastAsia="新宋体"/>
          <w:sz w:val="24"/>
        </w:rPr>
        <w:t>（四）评标委员会对资格和商务技术标有效投标人进行投标报价评审，确定投标报价评审有效投标人。</w:t>
      </w:r>
    </w:p>
    <w:p>
      <w:pPr>
        <w:pStyle w:val="32"/>
        <w:spacing w:line="440" w:lineRule="exact"/>
        <w:ind w:firstLine="480" w:firstLineChars="200"/>
        <w:rPr>
          <w:rFonts w:hint="eastAsia" w:ascii="新宋体" w:hAnsi="新宋体" w:eastAsia="新宋体"/>
          <w:sz w:val="24"/>
        </w:rPr>
      </w:pPr>
      <w:r>
        <w:rPr>
          <w:rFonts w:hint="eastAsia" w:ascii="新宋体" w:hAnsi="新宋体" w:eastAsia="新宋体"/>
          <w:sz w:val="24"/>
        </w:rPr>
        <w:t>（五）对投标报价评审后有效的投标人计算商务报价分和综合得分（详见三、评分细则）</w:t>
      </w:r>
    </w:p>
    <w:p>
      <w:pPr>
        <w:pStyle w:val="32"/>
        <w:spacing w:line="440" w:lineRule="exact"/>
        <w:ind w:firstLine="480" w:firstLineChars="200"/>
        <w:rPr>
          <w:rFonts w:hint="eastAsia" w:ascii="新宋体" w:hAnsi="新宋体" w:eastAsia="新宋体"/>
          <w:sz w:val="24"/>
        </w:rPr>
      </w:pPr>
      <w:r>
        <w:rPr>
          <w:rFonts w:hint="eastAsia" w:ascii="新宋体" w:hAnsi="新宋体" w:eastAsia="新宋体"/>
          <w:sz w:val="24"/>
        </w:rPr>
        <w:t>（六）确定中标人</w:t>
      </w:r>
    </w:p>
    <w:p>
      <w:pPr>
        <w:spacing w:line="400" w:lineRule="exact"/>
        <w:ind w:firstLine="480" w:firstLineChars="200"/>
        <w:rPr>
          <w:rFonts w:hint="eastAsia" w:ascii="新宋体" w:hAnsi="新宋体" w:eastAsia="新宋体"/>
          <w:kern w:val="0"/>
          <w:sz w:val="24"/>
        </w:rPr>
      </w:pPr>
      <w:r>
        <w:rPr>
          <w:rFonts w:hint="eastAsia" w:ascii="新宋体" w:hAnsi="新宋体" w:eastAsia="新宋体"/>
          <w:kern w:val="0"/>
          <w:sz w:val="24"/>
        </w:rPr>
        <w:t>1.首先，评标委员会按综合得分从高到低顺序进行排列；得分相同的，按投标报价由低到高顺序排列；得分且投标报价相同的，按技术分从高到低顺序排列；技术分也相同的，投标报价相同的由采购人代表采用公共资源交易中心抽取程序随机确定。</w:t>
      </w:r>
    </w:p>
    <w:p>
      <w:pPr>
        <w:spacing w:line="400" w:lineRule="exact"/>
        <w:ind w:firstLine="480" w:firstLineChars="200"/>
        <w:rPr>
          <w:rFonts w:hint="eastAsia" w:ascii="新宋体" w:hAnsi="新宋体" w:eastAsia="新宋体"/>
          <w:kern w:val="0"/>
          <w:sz w:val="24"/>
        </w:rPr>
      </w:pPr>
      <w:r>
        <w:rPr>
          <w:rFonts w:hint="eastAsia" w:ascii="新宋体" w:hAnsi="新宋体" w:eastAsia="新宋体"/>
          <w:kern w:val="0"/>
          <w:sz w:val="24"/>
        </w:rPr>
        <w:t>2.其次，评标委员会直接确定排名第一的投标人为中标单位。</w:t>
      </w: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（七）完成评标报告</w:t>
      </w:r>
    </w:p>
    <w:p>
      <w:pPr>
        <w:spacing w:line="400" w:lineRule="exact"/>
        <w:ind w:firstLine="480" w:firstLineChars="200"/>
        <w:rPr>
          <w:rFonts w:hint="eastAsia" w:ascii="新宋体" w:hAnsi="新宋体" w:eastAsia="新宋体"/>
          <w:sz w:val="24"/>
        </w:rPr>
      </w:pPr>
      <w:r>
        <w:rPr>
          <w:rFonts w:hint="eastAsia" w:ascii="新宋体" w:hAnsi="新宋体" w:eastAsia="新宋体"/>
          <w:kern w:val="0"/>
          <w:sz w:val="24"/>
        </w:rPr>
        <w:t>评标委员会根据评审相关情况作出评标报告</w:t>
      </w:r>
      <w:r>
        <w:rPr>
          <w:rFonts w:hint="eastAsia" w:ascii="新宋体" w:hAnsi="新宋体" w:eastAsia="新宋体"/>
          <w:sz w:val="24"/>
        </w:rPr>
        <w:t>。</w:t>
      </w:r>
    </w:p>
    <w:p>
      <w:pPr>
        <w:spacing w:line="400" w:lineRule="exact"/>
        <w:rPr>
          <w:rFonts w:hint="eastAsia" w:ascii="新宋体" w:hAnsi="新宋体" w:eastAsia="新宋体"/>
          <w:b/>
          <w:sz w:val="24"/>
        </w:rPr>
      </w:pPr>
      <w:r>
        <w:rPr>
          <w:rFonts w:hint="eastAsia" w:ascii="新宋体" w:hAnsi="新宋体" w:eastAsia="新宋体"/>
          <w:b/>
          <w:sz w:val="24"/>
        </w:rPr>
        <w:t>二、确定的中标人放弃中标等情况的处理</w:t>
      </w:r>
    </w:p>
    <w:bookmarkEnd w:id="64"/>
    <w:bookmarkEnd w:id="65"/>
    <w:bookmarkEnd w:id="66"/>
    <w:bookmarkEnd w:id="67"/>
    <w:bookmarkEnd w:id="68"/>
    <w:bookmarkEnd w:id="69"/>
    <w:p>
      <w:pPr>
        <w:spacing w:line="400" w:lineRule="exact"/>
        <w:ind w:firstLine="480" w:firstLineChars="200"/>
        <w:rPr>
          <w:rFonts w:hint="eastAsia" w:ascii="新宋体" w:hAnsi="新宋体" w:eastAsia="新宋体"/>
          <w:b/>
          <w:kern w:val="0"/>
          <w:sz w:val="24"/>
        </w:rPr>
      </w:pPr>
      <w:r>
        <w:rPr>
          <w:rFonts w:hint="eastAsia" w:ascii="新宋体" w:hAnsi="新宋体" w:eastAsia="新宋体"/>
          <w:kern w:val="0"/>
          <w:sz w:val="24"/>
        </w:rPr>
        <w:t>当确定的中标人放弃中标，因不可抗力提出不能履行合同，或者质疑投诉成立，取消中标人资格的，都不再确定其余投标人作为中标人</w:t>
      </w:r>
      <w:r>
        <w:rPr>
          <w:rFonts w:hint="eastAsia" w:ascii="新宋体" w:hAnsi="新宋体" w:eastAsia="新宋体"/>
          <w:b/>
          <w:kern w:val="0"/>
          <w:sz w:val="24"/>
        </w:rPr>
        <w:t>。</w:t>
      </w:r>
    </w:p>
    <w:p>
      <w:pPr>
        <w:spacing w:line="400" w:lineRule="exact"/>
        <w:rPr>
          <w:rFonts w:hint="eastAsia" w:ascii="新宋体" w:hAnsi="新宋体" w:eastAsia="新宋体"/>
          <w:b/>
          <w:kern w:val="0"/>
          <w:sz w:val="24"/>
        </w:rPr>
      </w:pPr>
      <w:r>
        <w:rPr>
          <w:rFonts w:hint="eastAsia" w:ascii="新宋体" w:hAnsi="新宋体" w:eastAsia="新宋体"/>
          <w:b/>
          <w:kern w:val="0"/>
          <w:sz w:val="24"/>
        </w:rPr>
        <w:t>三、评分细则</w:t>
      </w:r>
    </w:p>
    <w:tbl>
      <w:tblPr>
        <w:tblStyle w:val="61"/>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481"/>
        <w:gridCol w:w="894"/>
        <w:gridCol w:w="6582"/>
      </w:tblGrid>
      <w:tr>
        <w:tblPrEx>
          <w:tblLayout w:type="fixed"/>
        </w:tblPrEx>
        <w:trPr>
          <w:cantSplit/>
          <w:trHeight w:val="47"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序号</w:t>
            </w:r>
          </w:p>
        </w:tc>
        <w:tc>
          <w:tcPr>
            <w:tcW w:w="1481"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评分内容</w:t>
            </w:r>
          </w:p>
        </w:tc>
        <w:tc>
          <w:tcPr>
            <w:tcW w:w="894"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分值（分）</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评分方法</w:t>
            </w:r>
          </w:p>
        </w:tc>
      </w:tr>
      <w:tr>
        <w:tblPrEx>
          <w:tblLayout w:type="fixed"/>
        </w:tblPrEx>
        <w:trPr>
          <w:cantSplit/>
          <w:trHeight w:val="47"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一</w:t>
            </w:r>
          </w:p>
        </w:tc>
        <w:tc>
          <w:tcPr>
            <w:tcW w:w="1481"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技术分</w:t>
            </w:r>
          </w:p>
        </w:tc>
        <w:tc>
          <w:tcPr>
            <w:tcW w:w="894"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70</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评标委员会根据评分细则，对各投标人的技术文件进行书面审核和评论后，由各成员独立酌情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r>
      <w:tr>
        <w:tblPrEx>
          <w:tblLayout w:type="fixed"/>
        </w:tblPrEx>
        <w:trPr>
          <w:cantSplit/>
          <w:trHeight w:val="47"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1</w:t>
            </w:r>
          </w:p>
        </w:tc>
        <w:tc>
          <w:tcPr>
            <w:tcW w:w="1481" w:type="dxa"/>
            <w:tcBorders>
              <w:top w:val="single" w:color="auto" w:sz="4" w:space="0"/>
              <w:left w:val="single" w:color="auto" w:sz="4" w:space="0"/>
              <w:bottom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业绩</w:t>
            </w:r>
          </w:p>
        </w:tc>
        <w:tc>
          <w:tcPr>
            <w:tcW w:w="894" w:type="dxa"/>
            <w:tcBorders>
              <w:top w:val="single" w:color="auto" w:sz="4" w:space="0"/>
              <w:left w:val="single" w:color="auto" w:sz="4" w:space="0"/>
              <w:bottom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0-5.0</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left"/>
              <w:rPr>
                <w:rFonts w:ascii="新宋体" w:hAnsi="新宋体" w:eastAsia="新宋体"/>
              </w:rPr>
            </w:pPr>
            <w:r>
              <w:rPr>
                <w:rFonts w:hint="eastAsia" w:ascii="新宋体" w:hAnsi="新宋体" w:eastAsia="新宋体"/>
              </w:rPr>
              <w:t>自2017年01月01日（以合同签订时间为准）以来，投标人从事的物业项目，每提供一个项目得1.0分。本项最多得5.0分。需提供对应项目的合同扫描件及收款的银行转账凭证扫描件。</w:t>
            </w:r>
          </w:p>
        </w:tc>
      </w:tr>
      <w:tr>
        <w:tblPrEx>
          <w:tblLayout w:type="fixed"/>
        </w:tblPrEx>
        <w:trPr>
          <w:cantSplit/>
          <w:trHeight w:val="47" w:hRule="atLeast"/>
          <w:jc w:val="center"/>
        </w:trPr>
        <w:tc>
          <w:tcPr>
            <w:tcW w:w="613" w:type="dxa"/>
            <w:vMerge w:val="restart"/>
            <w:tcBorders>
              <w:top w:val="single" w:color="auto" w:sz="4" w:space="0"/>
              <w:left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2</w:t>
            </w:r>
          </w:p>
        </w:tc>
        <w:tc>
          <w:tcPr>
            <w:tcW w:w="1481" w:type="dxa"/>
            <w:vMerge w:val="restart"/>
            <w:tcBorders>
              <w:top w:val="single" w:color="auto" w:sz="4" w:space="0"/>
              <w:left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项目人员投入</w:t>
            </w:r>
          </w:p>
        </w:tc>
        <w:tc>
          <w:tcPr>
            <w:tcW w:w="894" w:type="dxa"/>
            <w:tcBorders>
              <w:top w:val="single" w:color="auto" w:sz="4" w:space="0"/>
              <w:left w:val="single" w:color="auto" w:sz="4" w:space="0"/>
              <w:bottom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0-5.0</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left"/>
              <w:rPr>
                <w:rFonts w:ascii="新宋体" w:hAnsi="新宋体" w:eastAsia="新宋体"/>
              </w:rPr>
            </w:pPr>
            <w:r>
              <w:rPr>
                <w:rFonts w:hint="eastAsia" w:ascii="新宋体" w:hAnsi="新宋体" w:eastAsia="新宋体"/>
              </w:rPr>
              <w:t>从业人员培训计划方案进行评分</w:t>
            </w:r>
          </w:p>
        </w:tc>
      </w:tr>
      <w:tr>
        <w:tblPrEx>
          <w:tblLayout w:type="fixed"/>
        </w:tblPrEx>
        <w:trPr>
          <w:cantSplit/>
          <w:trHeight w:val="47" w:hRule="atLeast"/>
          <w:jc w:val="center"/>
        </w:trPr>
        <w:tc>
          <w:tcPr>
            <w:tcW w:w="613" w:type="dxa"/>
            <w:vMerge w:val="continue"/>
            <w:tcBorders>
              <w:left w:val="single" w:color="auto" w:sz="4" w:space="0"/>
              <w:right w:val="single" w:color="auto" w:sz="4" w:space="0"/>
            </w:tcBorders>
            <w:vAlign w:val="center"/>
          </w:tcPr>
          <w:p>
            <w:pPr>
              <w:pStyle w:val="32"/>
              <w:rPr>
                <w:rFonts w:ascii="新宋体" w:hAnsi="新宋体" w:eastAsia="新宋体"/>
              </w:rPr>
            </w:pPr>
          </w:p>
        </w:tc>
        <w:tc>
          <w:tcPr>
            <w:tcW w:w="1481" w:type="dxa"/>
            <w:vMerge w:val="continue"/>
            <w:tcBorders>
              <w:left w:val="single" w:color="auto" w:sz="4" w:space="0"/>
              <w:right w:val="single" w:color="auto" w:sz="4" w:space="0"/>
            </w:tcBorders>
            <w:vAlign w:val="center"/>
          </w:tcPr>
          <w:p>
            <w:pPr>
              <w:pStyle w:val="32"/>
              <w:rPr>
                <w:rFonts w:ascii="新宋体" w:hAnsi="新宋体" w:eastAsia="新宋体"/>
              </w:rPr>
            </w:pPr>
          </w:p>
        </w:tc>
        <w:tc>
          <w:tcPr>
            <w:tcW w:w="894" w:type="dxa"/>
            <w:tcBorders>
              <w:top w:val="single" w:color="auto" w:sz="4" w:space="0"/>
              <w:left w:val="single" w:color="auto" w:sz="4" w:space="0"/>
              <w:bottom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0-5.0</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left"/>
              <w:rPr>
                <w:rFonts w:ascii="新宋体" w:hAnsi="新宋体" w:eastAsia="新宋体"/>
              </w:rPr>
            </w:pPr>
            <w:r>
              <w:rPr>
                <w:rFonts w:hint="eastAsia" w:ascii="新宋体" w:hAnsi="新宋体" w:eastAsia="新宋体"/>
              </w:rPr>
              <w:t>稳定员工队伍的措施进行评分</w:t>
            </w:r>
          </w:p>
        </w:tc>
      </w:tr>
      <w:tr>
        <w:tblPrEx>
          <w:tblLayout w:type="fixed"/>
        </w:tblPrEx>
        <w:trPr>
          <w:cantSplit/>
          <w:trHeight w:val="47" w:hRule="atLeast"/>
          <w:jc w:val="center"/>
        </w:trPr>
        <w:tc>
          <w:tcPr>
            <w:tcW w:w="613" w:type="dxa"/>
            <w:vMerge w:val="continue"/>
            <w:tcBorders>
              <w:left w:val="single" w:color="auto" w:sz="4" w:space="0"/>
              <w:bottom w:val="single" w:color="auto" w:sz="4" w:space="0"/>
              <w:right w:val="single" w:color="auto" w:sz="4" w:space="0"/>
            </w:tcBorders>
            <w:vAlign w:val="center"/>
          </w:tcPr>
          <w:p>
            <w:pPr>
              <w:pStyle w:val="32"/>
              <w:rPr>
                <w:rFonts w:ascii="新宋体" w:hAnsi="新宋体" w:eastAsia="新宋体"/>
              </w:rPr>
            </w:pPr>
          </w:p>
        </w:tc>
        <w:tc>
          <w:tcPr>
            <w:tcW w:w="1481" w:type="dxa"/>
            <w:vMerge w:val="continue"/>
            <w:tcBorders>
              <w:left w:val="single" w:color="auto" w:sz="4" w:space="0"/>
              <w:bottom w:val="single" w:color="auto" w:sz="4" w:space="0"/>
              <w:right w:val="single" w:color="auto" w:sz="4" w:space="0"/>
            </w:tcBorders>
            <w:vAlign w:val="center"/>
          </w:tcPr>
          <w:p>
            <w:pPr>
              <w:pStyle w:val="32"/>
              <w:rPr>
                <w:rFonts w:ascii="新宋体" w:hAnsi="新宋体" w:eastAsia="新宋体"/>
              </w:rPr>
            </w:pPr>
          </w:p>
        </w:tc>
        <w:tc>
          <w:tcPr>
            <w:tcW w:w="894" w:type="dxa"/>
            <w:tcBorders>
              <w:top w:val="single" w:color="auto" w:sz="4" w:space="0"/>
              <w:left w:val="single" w:color="auto" w:sz="4" w:space="0"/>
              <w:bottom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0-5.0</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left"/>
              <w:rPr>
                <w:rFonts w:ascii="新宋体" w:hAnsi="新宋体" w:eastAsia="新宋体"/>
              </w:rPr>
            </w:pPr>
            <w:r>
              <w:t>投标方拟投入本项目的人员</w:t>
            </w:r>
            <w:r>
              <w:rPr>
                <w:rFonts w:hint="eastAsia"/>
              </w:rPr>
              <w:t>情况(除“★”条款要求的人员外)进行评分</w:t>
            </w:r>
            <w:r>
              <w:t>。</w:t>
            </w:r>
          </w:p>
        </w:tc>
      </w:tr>
      <w:tr>
        <w:tblPrEx>
          <w:tblLayout w:type="fixed"/>
        </w:tblPrEx>
        <w:trPr>
          <w:cantSplit/>
          <w:trHeight w:val="47" w:hRule="atLeast"/>
          <w:jc w:val="center"/>
        </w:trPr>
        <w:tc>
          <w:tcPr>
            <w:tcW w:w="613" w:type="dxa"/>
            <w:vMerge w:val="restart"/>
            <w:tcBorders>
              <w:top w:val="single" w:color="auto" w:sz="4" w:space="0"/>
              <w:left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3</w:t>
            </w:r>
          </w:p>
        </w:tc>
        <w:tc>
          <w:tcPr>
            <w:tcW w:w="1481" w:type="dxa"/>
            <w:vMerge w:val="restart"/>
            <w:tcBorders>
              <w:top w:val="single" w:color="auto" w:sz="4" w:space="0"/>
              <w:left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项目实施方案</w:t>
            </w:r>
          </w:p>
        </w:tc>
        <w:tc>
          <w:tcPr>
            <w:tcW w:w="894" w:type="dxa"/>
            <w:tcBorders>
              <w:top w:val="single" w:color="auto" w:sz="4" w:space="0"/>
              <w:left w:val="single" w:color="auto" w:sz="4" w:space="0"/>
              <w:bottom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0-5.0</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left"/>
              <w:rPr>
                <w:rFonts w:ascii="新宋体" w:hAnsi="新宋体" w:eastAsia="新宋体"/>
              </w:rPr>
            </w:pPr>
            <w:r>
              <w:rPr>
                <w:rFonts w:hint="eastAsia" w:ascii="新宋体" w:hAnsi="新宋体" w:eastAsia="新宋体"/>
              </w:rPr>
              <w:t>投标人按照采购人的要求提供详实的保洁实施方案进行评分</w:t>
            </w:r>
          </w:p>
        </w:tc>
      </w:tr>
      <w:tr>
        <w:tblPrEx>
          <w:tblLayout w:type="fixed"/>
        </w:tblPrEx>
        <w:trPr>
          <w:cantSplit/>
          <w:trHeight w:val="47" w:hRule="atLeast"/>
          <w:jc w:val="center"/>
        </w:trPr>
        <w:tc>
          <w:tcPr>
            <w:tcW w:w="613" w:type="dxa"/>
            <w:vMerge w:val="continue"/>
            <w:tcBorders>
              <w:left w:val="single" w:color="auto" w:sz="4" w:space="0"/>
              <w:right w:val="single" w:color="auto" w:sz="4" w:space="0"/>
            </w:tcBorders>
            <w:vAlign w:val="center"/>
          </w:tcPr>
          <w:p>
            <w:pPr>
              <w:pStyle w:val="32"/>
              <w:rPr>
                <w:rFonts w:ascii="新宋体" w:hAnsi="新宋体" w:eastAsia="新宋体"/>
              </w:rPr>
            </w:pPr>
          </w:p>
        </w:tc>
        <w:tc>
          <w:tcPr>
            <w:tcW w:w="1481" w:type="dxa"/>
            <w:vMerge w:val="continue"/>
            <w:tcBorders>
              <w:left w:val="single" w:color="auto" w:sz="4" w:space="0"/>
              <w:right w:val="single" w:color="auto" w:sz="4" w:space="0"/>
            </w:tcBorders>
            <w:vAlign w:val="center"/>
          </w:tcPr>
          <w:p>
            <w:pPr>
              <w:pStyle w:val="32"/>
              <w:rPr>
                <w:rFonts w:ascii="新宋体" w:hAnsi="新宋体" w:eastAsia="新宋体"/>
              </w:rPr>
            </w:pPr>
          </w:p>
        </w:tc>
        <w:tc>
          <w:tcPr>
            <w:tcW w:w="894" w:type="dxa"/>
            <w:tcBorders>
              <w:top w:val="single" w:color="auto" w:sz="4" w:space="0"/>
              <w:left w:val="single" w:color="auto" w:sz="4" w:space="0"/>
              <w:bottom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0-5.0</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left"/>
              <w:rPr>
                <w:rFonts w:ascii="新宋体" w:hAnsi="新宋体" w:eastAsia="新宋体"/>
              </w:rPr>
            </w:pPr>
            <w:r>
              <w:rPr>
                <w:rFonts w:hint="eastAsia" w:ascii="新宋体" w:hAnsi="新宋体" w:eastAsia="新宋体"/>
              </w:rPr>
              <w:t>投标人按照采购人的要求提供详实的机电维护实施方案进行评分</w:t>
            </w:r>
          </w:p>
        </w:tc>
      </w:tr>
      <w:tr>
        <w:tblPrEx>
          <w:tblLayout w:type="fixed"/>
        </w:tblPrEx>
        <w:trPr>
          <w:cantSplit/>
          <w:trHeight w:val="47" w:hRule="atLeast"/>
          <w:jc w:val="center"/>
        </w:trPr>
        <w:tc>
          <w:tcPr>
            <w:tcW w:w="613" w:type="dxa"/>
            <w:vMerge w:val="continue"/>
            <w:tcBorders>
              <w:left w:val="single" w:color="auto" w:sz="4" w:space="0"/>
              <w:right w:val="single" w:color="auto" w:sz="4" w:space="0"/>
            </w:tcBorders>
            <w:vAlign w:val="center"/>
          </w:tcPr>
          <w:p>
            <w:pPr>
              <w:pStyle w:val="32"/>
              <w:rPr>
                <w:rFonts w:ascii="新宋体" w:hAnsi="新宋体" w:eastAsia="新宋体"/>
              </w:rPr>
            </w:pPr>
          </w:p>
        </w:tc>
        <w:tc>
          <w:tcPr>
            <w:tcW w:w="1481" w:type="dxa"/>
            <w:vMerge w:val="continue"/>
            <w:tcBorders>
              <w:left w:val="single" w:color="auto" w:sz="4" w:space="0"/>
              <w:right w:val="single" w:color="auto" w:sz="4" w:space="0"/>
            </w:tcBorders>
            <w:vAlign w:val="center"/>
          </w:tcPr>
          <w:p>
            <w:pPr>
              <w:pStyle w:val="32"/>
              <w:rPr>
                <w:rFonts w:ascii="新宋体" w:hAnsi="新宋体" w:eastAsia="新宋体"/>
              </w:rPr>
            </w:pPr>
          </w:p>
        </w:tc>
        <w:tc>
          <w:tcPr>
            <w:tcW w:w="894" w:type="dxa"/>
            <w:tcBorders>
              <w:top w:val="single" w:color="auto" w:sz="4" w:space="0"/>
              <w:left w:val="single" w:color="auto" w:sz="4" w:space="0"/>
              <w:bottom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0-5.0</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left"/>
              <w:rPr>
                <w:rFonts w:ascii="新宋体" w:hAnsi="新宋体" w:eastAsia="新宋体"/>
              </w:rPr>
            </w:pPr>
            <w:r>
              <w:rPr>
                <w:rFonts w:hint="eastAsia" w:ascii="新宋体" w:hAnsi="新宋体" w:eastAsia="新宋体"/>
              </w:rPr>
              <w:t>投标人按照采购人的要求提供详实的保安服务实施方案进行评分</w:t>
            </w:r>
          </w:p>
        </w:tc>
      </w:tr>
      <w:tr>
        <w:tblPrEx>
          <w:tblLayout w:type="fixed"/>
        </w:tblPrEx>
        <w:trPr>
          <w:cantSplit/>
          <w:trHeight w:val="47" w:hRule="atLeast"/>
          <w:jc w:val="center"/>
        </w:trPr>
        <w:tc>
          <w:tcPr>
            <w:tcW w:w="613" w:type="dxa"/>
            <w:vMerge w:val="restart"/>
            <w:tcBorders>
              <w:top w:val="single" w:color="auto" w:sz="4" w:space="0"/>
              <w:left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4</w:t>
            </w:r>
          </w:p>
        </w:tc>
        <w:tc>
          <w:tcPr>
            <w:tcW w:w="1481" w:type="dxa"/>
            <w:vMerge w:val="restart"/>
            <w:tcBorders>
              <w:top w:val="single" w:color="auto" w:sz="4" w:space="0"/>
              <w:left w:val="single" w:color="auto" w:sz="4" w:space="0"/>
              <w:right w:val="single" w:color="auto" w:sz="4" w:space="0"/>
            </w:tcBorders>
            <w:vAlign w:val="center"/>
          </w:tcPr>
          <w:p>
            <w:pPr>
              <w:pStyle w:val="32"/>
              <w:jc w:val="center"/>
              <w:rPr>
                <w:rFonts w:ascii="新宋体" w:hAnsi="新宋体" w:eastAsia="新宋体"/>
              </w:rPr>
            </w:pPr>
            <w:r>
              <w:rPr>
                <w:rFonts w:ascii="新宋体" w:hAnsi="新宋体" w:eastAsia="新宋体"/>
              </w:rPr>
              <w:t>智慧化管理方案</w:t>
            </w:r>
          </w:p>
        </w:tc>
        <w:tc>
          <w:tcPr>
            <w:tcW w:w="894" w:type="dxa"/>
            <w:tcBorders>
              <w:top w:val="single" w:color="auto" w:sz="4" w:space="0"/>
              <w:left w:val="single" w:color="auto" w:sz="4" w:space="0"/>
              <w:bottom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0-5.0</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left"/>
              <w:rPr>
                <w:rFonts w:ascii="新宋体" w:hAnsi="新宋体" w:eastAsia="新宋体"/>
              </w:rPr>
            </w:pPr>
            <w:r>
              <w:rPr>
                <w:rFonts w:hint="eastAsia" w:ascii="新宋体" w:hAnsi="新宋体" w:eastAsia="新宋体"/>
              </w:rPr>
              <w:t>投标人提供档案建立与管理的设立。应按标准化、电脑化建立档案管理流程，将系统收集环境资料（图片）、消防安全档案、建筑项目资料、图纸、采购人档案资料、装修维修记录、文书档案、财务报表等各类资料进行整理、分类、编目进入电脑储存，以备检查利用。</w:t>
            </w:r>
          </w:p>
        </w:tc>
      </w:tr>
      <w:tr>
        <w:tblPrEx>
          <w:tblLayout w:type="fixed"/>
        </w:tblPrEx>
        <w:trPr>
          <w:cantSplit/>
          <w:trHeight w:val="47" w:hRule="atLeast"/>
          <w:jc w:val="center"/>
        </w:trPr>
        <w:tc>
          <w:tcPr>
            <w:tcW w:w="613" w:type="dxa"/>
            <w:vMerge w:val="continue"/>
            <w:tcBorders>
              <w:left w:val="single" w:color="auto" w:sz="4" w:space="0"/>
              <w:bottom w:val="single" w:color="auto" w:sz="4" w:space="0"/>
              <w:right w:val="single" w:color="auto" w:sz="4" w:space="0"/>
            </w:tcBorders>
            <w:vAlign w:val="center"/>
          </w:tcPr>
          <w:p>
            <w:pPr>
              <w:pStyle w:val="32"/>
              <w:rPr>
                <w:rFonts w:ascii="新宋体" w:hAnsi="新宋体" w:eastAsia="新宋体"/>
              </w:rPr>
            </w:pPr>
          </w:p>
        </w:tc>
        <w:tc>
          <w:tcPr>
            <w:tcW w:w="1481" w:type="dxa"/>
            <w:vMerge w:val="continue"/>
            <w:tcBorders>
              <w:left w:val="single" w:color="auto" w:sz="4" w:space="0"/>
              <w:bottom w:val="single" w:color="auto" w:sz="4" w:space="0"/>
              <w:right w:val="single" w:color="auto" w:sz="4" w:space="0"/>
            </w:tcBorders>
            <w:vAlign w:val="center"/>
          </w:tcPr>
          <w:p>
            <w:pPr>
              <w:pStyle w:val="32"/>
              <w:jc w:val="center"/>
              <w:rPr>
                <w:rFonts w:ascii="新宋体" w:hAnsi="新宋体" w:eastAsia="新宋体"/>
              </w:rPr>
            </w:pPr>
          </w:p>
        </w:tc>
        <w:tc>
          <w:tcPr>
            <w:tcW w:w="894"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0</w:t>
            </w:r>
            <w:r>
              <w:rPr>
                <w:rFonts w:ascii="新宋体" w:hAnsi="新宋体" w:eastAsia="新宋体"/>
              </w:rPr>
              <w:t>-</w:t>
            </w:r>
            <w:r>
              <w:rPr>
                <w:rFonts w:hint="eastAsia" w:ascii="新宋体" w:hAnsi="新宋体" w:eastAsia="新宋体"/>
              </w:rPr>
              <w:t>5</w:t>
            </w:r>
            <w:r>
              <w:rPr>
                <w:rFonts w:ascii="新宋体" w:hAnsi="新宋体" w:eastAsia="新宋体"/>
              </w:rPr>
              <w:t>分</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left"/>
              <w:rPr>
                <w:rFonts w:ascii="新宋体" w:hAnsi="新宋体" w:eastAsia="新宋体"/>
              </w:rPr>
            </w:pPr>
            <w:r>
              <w:rPr>
                <w:rFonts w:hint="eastAsia" w:ascii="新宋体" w:hAnsi="新宋体" w:eastAsia="新宋体"/>
              </w:rPr>
              <w:t>提供访客智能通行，智能停车，智能监控，设施设备智能维保及巡查方案，提供线上报修、投诉、建议、送水、家政、洗衣、购物等生活服务、一站式商务办公智慧化管理服务方案。</w:t>
            </w:r>
          </w:p>
          <w:p>
            <w:pPr>
              <w:pStyle w:val="32"/>
              <w:jc w:val="left"/>
              <w:rPr>
                <w:rFonts w:ascii="新宋体" w:hAnsi="新宋体" w:eastAsia="新宋体"/>
              </w:rPr>
            </w:pPr>
            <w:r>
              <w:rPr>
                <w:rFonts w:hint="eastAsia" w:ascii="新宋体" w:hAnsi="新宋体" w:eastAsia="新宋体"/>
              </w:rPr>
              <w:t>（需提供1</w:t>
            </w:r>
            <w:r>
              <w:rPr>
                <w:rFonts w:ascii="新宋体" w:hAnsi="新宋体" w:eastAsia="新宋体"/>
              </w:rPr>
              <w:t>、提供</w:t>
            </w:r>
            <w:r>
              <w:rPr>
                <w:rFonts w:hint="eastAsia" w:ascii="新宋体" w:hAnsi="新宋体" w:eastAsia="新宋体"/>
              </w:rPr>
              <w:t>APP</w:t>
            </w:r>
            <w:r>
              <w:rPr>
                <w:rFonts w:ascii="新宋体" w:hAnsi="新宋体" w:eastAsia="新宋体"/>
              </w:rPr>
              <w:t>下载二维码</w:t>
            </w:r>
            <w:r>
              <w:rPr>
                <w:rFonts w:hint="eastAsia" w:ascii="新宋体" w:hAnsi="新宋体" w:eastAsia="新宋体"/>
              </w:rPr>
              <w:t>。2</w:t>
            </w:r>
            <w:r>
              <w:rPr>
                <w:rFonts w:ascii="新宋体" w:hAnsi="新宋体" w:eastAsia="新宋体"/>
              </w:rPr>
              <w:t>、提供操作界面。不能提供的本项不得分）</w:t>
            </w:r>
            <w:r>
              <w:rPr>
                <w:rFonts w:hint="eastAsia" w:ascii="新宋体" w:hAnsi="新宋体" w:eastAsia="新宋体"/>
              </w:rPr>
              <w:t>方案完整、合理性进行评分。</w:t>
            </w:r>
          </w:p>
        </w:tc>
      </w:tr>
      <w:tr>
        <w:tblPrEx>
          <w:tblLayout w:type="fixed"/>
        </w:tblPrEx>
        <w:trPr>
          <w:cantSplit/>
          <w:trHeight w:val="47"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6</w:t>
            </w:r>
          </w:p>
        </w:tc>
        <w:tc>
          <w:tcPr>
            <w:tcW w:w="1481" w:type="dxa"/>
            <w:tcBorders>
              <w:top w:val="single" w:color="auto" w:sz="4" w:space="0"/>
              <w:left w:val="single" w:color="auto" w:sz="4" w:space="0"/>
              <w:bottom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安全方案与应急措施</w:t>
            </w:r>
          </w:p>
        </w:tc>
        <w:tc>
          <w:tcPr>
            <w:tcW w:w="894" w:type="dxa"/>
            <w:tcBorders>
              <w:top w:val="single" w:color="auto" w:sz="4" w:space="0"/>
              <w:left w:val="single" w:color="auto" w:sz="4" w:space="0"/>
              <w:bottom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0-5</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left"/>
              <w:rPr>
                <w:rFonts w:ascii="新宋体" w:hAnsi="新宋体" w:eastAsia="新宋体"/>
              </w:rPr>
            </w:pPr>
            <w:r>
              <w:rPr>
                <w:rFonts w:hint="eastAsia" w:ascii="新宋体" w:hAnsi="新宋体" w:eastAsia="新宋体"/>
              </w:rPr>
              <w:t>1、对物业突发事件（包括发生台风、暴雨等灾害性天气及其他突发事件）时的应急预案及相应的措施；（0-1分）</w:t>
            </w:r>
          </w:p>
          <w:p>
            <w:pPr>
              <w:pStyle w:val="32"/>
              <w:jc w:val="left"/>
              <w:rPr>
                <w:rFonts w:ascii="新宋体" w:hAnsi="新宋体" w:eastAsia="新宋体"/>
              </w:rPr>
            </w:pPr>
            <w:r>
              <w:rPr>
                <w:rFonts w:hint="eastAsia" w:ascii="新宋体" w:hAnsi="新宋体" w:eastAsia="新宋体"/>
              </w:rPr>
              <w:t>2、对智能化设施（如监控设备、办公楼（区）供电系统、电气照明装置等公共设施）的日常管理和应急维修方案等；（0-1分）</w:t>
            </w:r>
          </w:p>
          <w:p>
            <w:pPr>
              <w:pStyle w:val="32"/>
              <w:jc w:val="left"/>
              <w:rPr>
                <w:rFonts w:ascii="新宋体" w:hAnsi="新宋体" w:eastAsia="新宋体"/>
              </w:rPr>
            </w:pPr>
            <w:r>
              <w:rPr>
                <w:rFonts w:hint="eastAsia" w:ascii="新宋体" w:hAnsi="新宋体" w:eastAsia="新宋体"/>
              </w:rPr>
              <w:t>3、消防应急措施；（0-1分）</w:t>
            </w:r>
          </w:p>
          <w:p>
            <w:pPr>
              <w:pStyle w:val="32"/>
              <w:jc w:val="left"/>
              <w:rPr>
                <w:rFonts w:ascii="新宋体" w:hAnsi="新宋体" w:eastAsia="新宋体"/>
              </w:rPr>
            </w:pPr>
            <w:r>
              <w:rPr>
                <w:rFonts w:hint="eastAsia" w:ascii="新宋体" w:hAnsi="新宋体" w:eastAsia="新宋体"/>
              </w:rPr>
              <w:t>4、突然断水、断电、断气的应急措施，排水设施阻塞的应急措施，雨、污水管及排水管网阻塞的应急措施；（0-1分）</w:t>
            </w:r>
          </w:p>
          <w:p>
            <w:pPr>
              <w:pStyle w:val="32"/>
              <w:jc w:val="left"/>
              <w:rPr>
                <w:rFonts w:ascii="新宋体" w:hAnsi="新宋体" w:eastAsia="新宋体"/>
              </w:rPr>
            </w:pPr>
            <w:r>
              <w:rPr>
                <w:rFonts w:hint="eastAsia" w:ascii="新宋体" w:hAnsi="新宋体" w:eastAsia="新宋体"/>
              </w:rPr>
              <w:t>5、其他（大型会议、人员冲突等）突发事件应急措施。（0-1分）</w:t>
            </w:r>
          </w:p>
        </w:tc>
      </w:tr>
      <w:tr>
        <w:tblPrEx>
          <w:tblLayout w:type="fixed"/>
        </w:tblPrEx>
        <w:trPr>
          <w:cantSplit/>
          <w:trHeight w:val="885" w:hRule="atLeast"/>
          <w:jc w:val="center"/>
        </w:trPr>
        <w:tc>
          <w:tcPr>
            <w:tcW w:w="613" w:type="dxa"/>
            <w:vMerge w:val="restart"/>
            <w:tcBorders>
              <w:top w:val="single" w:color="auto" w:sz="4" w:space="0"/>
              <w:left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7</w:t>
            </w:r>
          </w:p>
        </w:tc>
        <w:tc>
          <w:tcPr>
            <w:tcW w:w="1481" w:type="dxa"/>
            <w:vMerge w:val="restart"/>
            <w:tcBorders>
              <w:top w:val="single" w:color="auto" w:sz="4" w:space="0"/>
              <w:left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服务保障方案（10分）</w:t>
            </w:r>
          </w:p>
        </w:tc>
        <w:tc>
          <w:tcPr>
            <w:tcW w:w="894"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0-5</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left"/>
              <w:rPr>
                <w:rFonts w:ascii="新宋体" w:hAnsi="新宋体" w:eastAsia="新宋体"/>
              </w:rPr>
            </w:pPr>
            <w:r>
              <w:rPr>
                <w:rFonts w:hint="eastAsia" w:ascii="新宋体" w:hAnsi="新宋体" w:eastAsia="新宋体"/>
              </w:rPr>
              <w:t>有多维度的服务质量保障体系（包括但不限于人员力量保障，规章制度保障，应急保障、业主满意度调查等）。方案完整、合理性进行打分。</w:t>
            </w:r>
          </w:p>
        </w:tc>
      </w:tr>
      <w:tr>
        <w:tblPrEx>
          <w:tblLayout w:type="fixed"/>
        </w:tblPrEx>
        <w:trPr>
          <w:cantSplit/>
          <w:trHeight w:val="47" w:hRule="atLeast"/>
          <w:jc w:val="center"/>
        </w:trPr>
        <w:tc>
          <w:tcPr>
            <w:tcW w:w="613" w:type="dxa"/>
            <w:vMerge w:val="continue"/>
            <w:tcBorders>
              <w:left w:val="single" w:color="auto" w:sz="4" w:space="0"/>
              <w:bottom w:val="single" w:color="auto" w:sz="4" w:space="0"/>
              <w:right w:val="single" w:color="auto" w:sz="4" w:space="0"/>
            </w:tcBorders>
            <w:vAlign w:val="center"/>
          </w:tcPr>
          <w:p>
            <w:pPr>
              <w:pStyle w:val="32"/>
              <w:jc w:val="center"/>
              <w:rPr>
                <w:rFonts w:ascii="新宋体" w:hAnsi="新宋体" w:eastAsia="新宋体"/>
              </w:rPr>
            </w:pPr>
          </w:p>
        </w:tc>
        <w:tc>
          <w:tcPr>
            <w:tcW w:w="1481" w:type="dxa"/>
            <w:vMerge w:val="continue"/>
            <w:tcBorders>
              <w:left w:val="single" w:color="auto" w:sz="4" w:space="0"/>
              <w:bottom w:val="single" w:color="auto" w:sz="4" w:space="0"/>
              <w:right w:val="single" w:color="auto" w:sz="4" w:space="0"/>
            </w:tcBorders>
            <w:vAlign w:val="center"/>
          </w:tcPr>
          <w:p>
            <w:pPr>
              <w:pStyle w:val="32"/>
              <w:rPr>
                <w:rFonts w:ascii="新宋体" w:hAnsi="新宋体" w:eastAsia="新宋体"/>
              </w:rPr>
            </w:pPr>
          </w:p>
        </w:tc>
        <w:tc>
          <w:tcPr>
            <w:tcW w:w="894"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0-5</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left"/>
              <w:rPr>
                <w:rFonts w:ascii="新宋体" w:hAnsi="新宋体" w:eastAsia="新宋体"/>
              </w:rPr>
            </w:pPr>
            <w:r>
              <w:rPr>
                <w:rFonts w:hint="eastAsia" w:ascii="新宋体" w:hAnsi="新宋体" w:eastAsia="新宋体"/>
              </w:rPr>
              <w:t>有完善的员工培训体系及员工安全培训系统（有培训目标、内容、方式、计划、评估考核等培训管理方案）。方案完整、合理性进行打分。</w:t>
            </w:r>
          </w:p>
        </w:tc>
      </w:tr>
      <w:tr>
        <w:tblPrEx>
          <w:tblLayout w:type="fixed"/>
        </w:tblPrEx>
        <w:trPr>
          <w:cantSplit/>
          <w:trHeight w:val="47" w:hRule="atLeast"/>
          <w:jc w:val="center"/>
        </w:trPr>
        <w:tc>
          <w:tcPr>
            <w:tcW w:w="613" w:type="dxa"/>
            <w:vMerge w:val="restart"/>
            <w:tcBorders>
              <w:top w:val="single" w:color="auto" w:sz="4" w:space="0"/>
              <w:left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8</w:t>
            </w:r>
          </w:p>
        </w:tc>
        <w:tc>
          <w:tcPr>
            <w:tcW w:w="1481" w:type="dxa"/>
            <w:vMerge w:val="restart"/>
            <w:tcBorders>
              <w:top w:val="single" w:color="auto" w:sz="4" w:space="0"/>
              <w:left w:val="single" w:color="auto" w:sz="4" w:space="0"/>
              <w:right w:val="single" w:color="auto" w:sz="4" w:space="0"/>
            </w:tcBorders>
            <w:vAlign w:val="center"/>
          </w:tcPr>
          <w:p>
            <w:pPr>
              <w:pStyle w:val="32"/>
              <w:rPr>
                <w:rFonts w:ascii="新宋体" w:hAnsi="新宋体" w:eastAsia="新宋体"/>
              </w:rPr>
            </w:pPr>
            <w:r>
              <w:rPr>
                <w:rFonts w:ascii="新宋体" w:hAnsi="新宋体" w:eastAsia="新宋体"/>
              </w:rPr>
              <w:t>合理化建议</w:t>
            </w:r>
          </w:p>
        </w:tc>
        <w:tc>
          <w:tcPr>
            <w:tcW w:w="894" w:type="dxa"/>
            <w:tcBorders>
              <w:top w:val="single" w:color="auto" w:sz="4" w:space="0"/>
              <w:left w:val="single" w:color="auto" w:sz="4" w:space="0"/>
              <w:bottom w:val="single" w:color="auto" w:sz="4" w:space="0"/>
              <w:right w:val="single" w:color="auto" w:sz="4" w:space="0"/>
            </w:tcBorders>
            <w:vAlign w:val="center"/>
          </w:tcPr>
          <w:p>
            <w:pPr>
              <w:pStyle w:val="32"/>
              <w:rPr>
                <w:rFonts w:ascii="新宋体" w:hAnsi="新宋体" w:eastAsia="新宋体"/>
              </w:rPr>
            </w:pPr>
            <w:r>
              <w:rPr>
                <w:rFonts w:ascii="新宋体" w:hAnsi="新宋体" w:eastAsia="新宋体"/>
              </w:rPr>
              <w:t>0-</w:t>
            </w:r>
            <w:r>
              <w:rPr>
                <w:rFonts w:hint="eastAsia" w:ascii="新宋体" w:hAnsi="新宋体" w:eastAsia="新宋体"/>
              </w:rPr>
              <w:t>5.0</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left"/>
              <w:rPr>
                <w:rFonts w:ascii="新宋体" w:hAnsi="新宋体" w:eastAsia="新宋体"/>
              </w:rPr>
            </w:pPr>
            <w:r>
              <w:rPr>
                <w:rFonts w:ascii="新宋体" w:hAnsi="新宋体" w:eastAsia="新宋体"/>
              </w:rPr>
              <w:t>根据投标人经验，从成本控制、人员管理等方面提出针对类似项目物业服务管理的合理化建议。</w:t>
            </w:r>
          </w:p>
        </w:tc>
      </w:tr>
      <w:tr>
        <w:tblPrEx>
          <w:tblLayout w:type="fixed"/>
        </w:tblPrEx>
        <w:trPr>
          <w:cantSplit/>
          <w:trHeight w:val="47" w:hRule="atLeast"/>
          <w:jc w:val="center"/>
        </w:trPr>
        <w:tc>
          <w:tcPr>
            <w:tcW w:w="613" w:type="dxa"/>
            <w:vMerge w:val="continue"/>
            <w:tcBorders>
              <w:left w:val="single" w:color="auto" w:sz="4" w:space="0"/>
              <w:bottom w:val="single" w:color="auto" w:sz="4" w:space="0"/>
              <w:right w:val="single" w:color="auto" w:sz="4" w:space="0"/>
            </w:tcBorders>
            <w:vAlign w:val="center"/>
          </w:tcPr>
          <w:p>
            <w:pPr>
              <w:pStyle w:val="32"/>
              <w:jc w:val="center"/>
              <w:rPr>
                <w:rFonts w:ascii="新宋体" w:hAnsi="新宋体" w:eastAsia="新宋体"/>
              </w:rPr>
            </w:pPr>
          </w:p>
        </w:tc>
        <w:tc>
          <w:tcPr>
            <w:tcW w:w="1481" w:type="dxa"/>
            <w:vMerge w:val="continue"/>
            <w:tcBorders>
              <w:left w:val="single" w:color="auto" w:sz="4" w:space="0"/>
              <w:bottom w:val="single" w:color="auto" w:sz="4" w:space="0"/>
              <w:right w:val="single" w:color="auto" w:sz="4" w:space="0"/>
            </w:tcBorders>
            <w:vAlign w:val="center"/>
          </w:tcPr>
          <w:p>
            <w:pPr>
              <w:pStyle w:val="32"/>
              <w:rPr>
                <w:rFonts w:ascii="新宋体" w:hAnsi="新宋体" w:eastAsia="新宋体"/>
              </w:rPr>
            </w:pPr>
          </w:p>
        </w:tc>
        <w:tc>
          <w:tcPr>
            <w:tcW w:w="894" w:type="dxa"/>
            <w:tcBorders>
              <w:top w:val="single" w:color="auto" w:sz="4" w:space="0"/>
              <w:left w:val="single" w:color="auto" w:sz="4" w:space="0"/>
              <w:bottom w:val="single" w:color="auto" w:sz="4" w:space="0"/>
              <w:right w:val="single" w:color="auto" w:sz="4" w:space="0"/>
            </w:tcBorders>
            <w:vAlign w:val="center"/>
          </w:tcPr>
          <w:p>
            <w:pPr>
              <w:pStyle w:val="32"/>
              <w:rPr>
                <w:rFonts w:ascii="新宋体" w:hAnsi="新宋体" w:eastAsia="新宋体"/>
              </w:rPr>
            </w:pPr>
            <w:r>
              <w:rPr>
                <w:rFonts w:ascii="新宋体" w:hAnsi="新宋体" w:eastAsia="新宋体"/>
              </w:rPr>
              <w:t>0-</w:t>
            </w:r>
            <w:r>
              <w:rPr>
                <w:rFonts w:hint="eastAsia" w:ascii="新宋体" w:hAnsi="新宋体" w:eastAsia="新宋体"/>
              </w:rPr>
              <w:t>5.0</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left"/>
              <w:rPr>
                <w:rFonts w:ascii="新宋体" w:hAnsi="新宋体" w:eastAsia="新宋体"/>
              </w:rPr>
            </w:pPr>
            <w:r>
              <w:rPr>
                <w:rFonts w:ascii="新宋体" w:hAnsi="新宋体" w:eastAsia="新宋体"/>
              </w:rPr>
              <w:t>根据投标人经验，从安保措施、</w:t>
            </w:r>
            <w:r>
              <w:rPr>
                <w:rFonts w:hint="eastAsia" w:ascii="新宋体" w:hAnsi="新宋体" w:eastAsia="新宋体"/>
              </w:rPr>
              <w:t>安全生产</w:t>
            </w:r>
            <w:r>
              <w:rPr>
                <w:rFonts w:ascii="新宋体" w:hAnsi="新宋体" w:eastAsia="新宋体"/>
              </w:rPr>
              <w:t>等方面提出针对类似项目物业服务管理的合理化建议。</w:t>
            </w:r>
          </w:p>
        </w:tc>
      </w:tr>
      <w:tr>
        <w:tblPrEx>
          <w:tblLayout w:type="fixed"/>
        </w:tblPrEx>
        <w:trPr>
          <w:cantSplit/>
          <w:trHeight w:val="47"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二</w:t>
            </w:r>
          </w:p>
        </w:tc>
        <w:tc>
          <w:tcPr>
            <w:tcW w:w="1481" w:type="dxa"/>
            <w:tcBorders>
              <w:top w:val="single" w:color="auto" w:sz="4" w:space="0"/>
              <w:left w:val="single" w:color="auto" w:sz="4" w:space="0"/>
              <w:bottom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商务报价分</w:t>
            </w:r>
          </w:p>
        </w:tc>
        <w:tc>
          <w:tcPr>
            <w:tcW w:w="894" w:type="dxa"/>
            <w:tcBorders>
              <w:top w:val="single" w:color="auto" w:sz="4" w:space="0"/>
              <w:left w:val="single" w:color="auto" w:sz="4" w:space="0"/>
              <w:bottom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30</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left"/>
              <w:rPr>
                <w:rFonts w:ascii="新宋体" w:hAnsi="新宋体" w:eastAsia="新宋体"/>
              </w:rPr>
            </w:pPr>
            <w:r>
              <w:rPr>
                <w:rFonts w:hint="eastAsia" w:ascii="新宋体" w:hAnsi="新宋体" w:eastAsia="新宋体"/>
              </w:rPr>
              <w:t>1.以满足招标文件要求且投标总价最低的投标报价为评标基准价，其商务报价得分为满分。</w:t>
            </w:r>
          </w:p>
          <w:p>
            <w:pPr>
              <w:pStyle w:val="32"/>
              <w:jc w:val="left"/>
              <w:rPr>
                <w:rFonts w:ascii="新宋体" w:hAnsi="新宋体" w:eastAsia="新宋体"/>
              </w:rPr>
            </w:pPr>
            <w:r>
              <w:rPr>
                <w:rFonts w:hint="eastAsia" w:ascii="新宋体" w:hAnsi="新宋体" w:eastAsia="新宋体"/>
              </w:rPr>
              <w:t>2.其他投标人的商务报价分统一按照下列公式计算：</w:t>
            </w:r>
          </w:p>
          <w:p>
            <w:pPr>
              <w:pStyle w:val="32"/>
              <w:jc w:val="left"/>
              <w:rPr>
                <w:rFonts w:ascii="新宋体" w:hAnsi="新宋体" w:eastAsia="新宋体"/>
              </w:rPr>
            </w:pPr>
            <w:r>
              <w:rPr>
                <w:rFonts w:hint="eastAsia" w:ascii="新宋体" w:hAnsi="新宋体" w:eastAsia="新宋体"/>
              </w:rPr>
              <w:t>商务报价分＝（评标基准价／投标报价）×30，计算结果保留2位小数（第三位小数四舍五入）。</w:t>
            </w:r>
          </w:p>
          <w:p>
            <w:pPr>
              <w:pStyle w:val="32"/>
              <w:jc w:val="left"/>
              <w:rPr>
                <w:rFonts w:ascii="新宋体" w:hAnsi="新宋体" w:eastAsia="新宋体"/>
              </w:rPr>
            </w:pPr>
            <w:r>
              <w:rPr>
                <w:rFonts w:hint="eastAsia" w:ascii="新宋体" w:hAnsi="新宋体" w:eastAsia="新宋体"/>
              </w:rPr>
              <w:t>（注：对于小型和微型企业产品的价格给予6%的扣除，用扣除后的价格参与评审，计算商务分的投标报价是否给予价格扣除按前附表“小微企业有关规定”要求认定。）</w:t>
            </w:r>
          </w:p>
        </w:tc>
      </w:tr>
      <w:tr>
        <w:tblPrEx>
          <w:tblLayout w:type="fixed"/>
        </w:tblPrEx>
        <w:trPr>
          <w:cantSplit/>
          <w:trHeight w:val="47"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三</w:t>
            </w:r>
          </w:p>
        </w:tc>
        <w:tc>
          <w:tcPr>
            <w:tcW w:w="1481" w:type="dxa"/>
            <w:tcBorders>
              <w:top w:val="single" w:color="auto" w:sz="4" w:space="0"/>
              <w:left w:val="single" w:color="auto" w:sz="4" w:space="0"/>
              <w:bottom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综合得分</w:t>
            </w:r>
          </w:p>
        </w:tc>
        <w:tc>
          <w:tcPr>
            <w:tcW w:w="894" w:type="dxa"/>
            <w:tcBorders>
              <w:top w:val="single" w:color="auto" w:sz="4" w:space="0"/>
              <w:left w:val="single" w:color="auto" w:sz="4" w:space="0"/>
              <w:bottom w:val="single" w:color="auto" w:sz="4" w:space="0"/>
              <w:right w:val="single" w:color="auto" w:sz="4" w:space="0"/>
            </w:tcBorders>
            <w:vAlign w:val="center"/>
          </w:tcPr>
          <w:p>
            <w:pPr>
              <w:pStyle w:val="32"/>
              <w:rPr>
                <w:rFonts w:ascii="新宋体" w:hAnsi="新宋体" w:eastAsia="新宋体"/>
              </w:rPr>
            </w:pPr>
            <w:r>
              <w:rPr>
                <w:rFonts w:hint="eastAsia" w:ascii="新宋体" w:hAnsi="新宋体" w:eastAsia="新宋体"/>
              </w:rPr>
              <w:t>100</w:t>
            </w:r>
          </w:p>
        </w:tc>
        <w:tc>
          <w:tcPr>
            <w:tcW w:w="6582"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新宋体" w:hAnsi="新宋体" w:eastAsia="新宋体"/>
              </w:rPr>
            </w:pPr>
            <w:r>
              <w:rPr>
                <w:rFonts w:hint="eastAsia" w:ascii="新宋体" w:hAnsi="新宋体" w:eastAsia="新宋体"/>
              </w:rPr>
              <w:t>投标人综合得分=技术分+商务报价分</w:t>
            </w:r>
          </w:p>
        </w:tc>
      </w:tr>
    </w:tbl>
    <w:p>
      <w:pPr>
        <w:spacing w:line="400" w:lineRule="exact"/>
        <w:rPr>
          <w:rFonts w:hint="eastAsia" w:ascii="新宋体" w:hAnsi="新宋体" w:eastAsia="新宋体"/>
          <w:b/>
          <w:kern w:val="0"/>
          <w:sz w:val="24"/>
        </w:rPr>
      </w:pPr>
      <w:r>
        <w:rPr>
          <w:rFonts w:hint="eastAsia" w:ascii="新宋体" w:hAnsi="新宋体" w:eastAsia="新宋体"/>
        </w:rPr>
        <w:t>以上评分内容仅限对未打“</w:t>
      </w:r>
      <w:r>
        <w:rPr>
          <w:rFonts w:hint="eastAsia" w:ascii="新宋体" w:hAnsi="新宋体" w:eastAsia="新宋体"/>
          <w:szCs w:val="21"/>
        </w:rPr>
        <w:t>★</w:t>
      </w:r>
      <w:r>
        <w:rPr>
          <w:rFonts w:hint="eastAsia" w:ascii="新宋体" w:hAnsi="新宋体" w:eastAsia="新宋体"/>
        </w:rPr>
        <w:t>”条款进行评分。</w:t>
      </w:r>
    </w:p>
    <w:p>
      <w:pPr>
        <w:pStyle w:val="3"/>
        <w:numPr>
          <w:ilvl w:val="0"/>
          <w:numId w:val="2"/>
        </w:numPr>
        <w:spacing w:before="0" w:after="0" w:line="400" w:lineRule="exact"/>
        <w:rPr>
          <w:rFonts w:hint="eastAsia" w:ascii="新宋体" w:hAnsi="新宋体" w:eastAsia="新宋体"/>
          <w:sz w:val="36"/>
          <w:szCs w:val="36"/>
        </w:rPr>
      </w:pPr>
      <w:r>
        <w:rPr>
          <w:rFonts w:hint="eastAsia" w:ascii="新宋体" w:hAnsi="新宋体" w:eastAsia="新宋体" w:cs="Courier New"/>
          <w:sz w:val="24"/>
          <w:szCs w:val="21"/>
        </w:rPr>
        <w:br w:type="page"/>
      </w:r>
      <w:bookmarkStart w:id="70" w:name="_Toc13413"/>
      <w:r>
        <w:rPr>
          <w:rFonts w:hint="eastAsia" w:ascii="新宋体" w:hAnsi="新宋体" w:eastAsia="新宋体"/>
          <w:sz w:val="36"/>
          <w:szCs w:val="36"/>
        </w:rPr>
        <w:t>合同主要条款</w:t>
      </w:r>
      <w:bookmarkEnd w:id="56"/>
      <w:bookmarkEnd w:id="57"/>
      <w:bookmarkEnd w:id="58"/>
      <w:bookmarkEnd w:id="70"/>
    </w:p>
    <w:p>
      <w:pPr>
        <w:rPr>
          <w:rFonts w:hint="eastAsia"/>
        </w:rPr>
      </w:pPr>
    </w:p>
    <w:p>
      <w:pPr>
        <w:pStyle w:val="32"/>
        <w:spacing w:line="440" w:lineRule="exact"/>
        <w:rPr>
          <w:rFonts w:hint="eastAsia" w:ascii="新宋体" w:hAnsi="新宋体" w:eastAsia="新宋体"/>
          <w:sz w:val="24"/>
          <w:szCs w:val="24"/>
          <w:u w:val="single"/>
        </w:rPr>
      </w:pPr>
      <w:r>
        <w:rPr>
          <w:rFonts w:hint="eastAsia" w:ascii="新宋体" w:hAnsi="新宋体" w:eastAsia="新宋体"/>
          <w:sz w:val="24"/>
          <w:szCs w:val="24"/>
        </w:rPr>
        <w:t>甲方：</w:t>
      </w:r>
      <w:r>
        <w:rPr>
          <w:rFonts w:hint="eastAsia" w:ascii="新宋体" w:hAnsi="新宋体" w:eastAsia="新宋体"/>
          <w:sz w:val="24"/>
          <w:szCs w:val="24"/>
          <w:u w:val="single"/>
        </w:rPr>
        <w:t xml:space="preserve">                                   </w:t>
      </w:r>
    </w:p>
    <w:p>
      <w:pPr>
        <w:pStyle w:val="32"/>
        <w:spacing w:line="440" w:lineRule="exact"/>
        <w:rPr>
          <w:rFonts w:hint="eastAsia" w:ascii="新宋体" w:hAnsi="新宋体" w:eastAsia="新宋体"/>
          <w:sz w:val="24"/>
          <w:szCs w:val="24"/>
          <w:u w:val="single"/>
        </w:rPr>
      </w:pPr>
      <w:r>
        <w:rPr>
          <w:rFonts w:hint="eastAsia" w:ascii="新宋体" w:hAnsi="新宋体" w:eastAsia="新宋体"/>
          <w:sz w:val="24"/>
          <w:szCs w:val="24"/>
        </w:rPr>
        <w:t>乙方：</w:t>
      </w:r>
      <w:r>
        <w:rPr>
          <w:rFonts w:hint="eastAsia" w:ascii="新宋体" w:hAnsi="新宋体" w:eastAsia="新宋体"/>
          <w:sz w:val="24"/>
          <w:szCs w:val="24"/>
          <w:u w:val="single"/>
        </w:rPr>
        <w:t xml:space="preserve">                                   </w:t>
      </w:r>
    </w:p>
    <w:p>
      <w:pPr>
        <w:pStyle w:val="32"/>
        <w:spacing w:line="440" w:lineRule="exact"/>
        <w:ind w:firstLine="448" w:firstLineChars="187"/>
        <w:rPr>
          <w:rFonts w:hint="eastAsia" w:ascii="新宋体" w:hAnsi="新宋体" w:eastAsia="新宋体"/>
          <w:sz w:val="24"/>
          <w:szCs w:val="24"/>
        </w:rPr>
      </w:pPr>
      <w:r>
        <w:rPr>
          <w:rFonts w:hint="eastAsia" w:ascii="新宋体" w:hAnsi="新宋体" w:eastAsia="新宋体"/>
          <w:sz w:val="24"/>
          <w:szCs w:val="24"/>
        </w:rPr>
        <w:t>甲、乙双方根据</w:t>
      </w:r>
      <w:r>
        <w:rPr>
          <w:rFonts w:hint="eastAsia" w:ascii="新宋体" w:hAnsi="新宋体" w:eastAsia="新宋体"/>
          <w:sz w:val="24"/>
          <w:szCs w:val="24"/>
          <w:u w:val="single"/>
        </w:rPr>
        <w:t xml:space="preserve">      </w:t>
      </w:r>
      <w:r>
        <w:rPr>
          <w:rFonts w:hint="eastAsia" w:ascii="新宋体" w:hAnsi="新宋体" w:eastAsia="新宋体"/>
          <w:sz w:val="24"/>
          <w:szCs w:val="24"/>
        </w:rPr>
        <w:t>年</w:t>
      </w:r>
      <w:r>
        <w:rPr>
          <w:rFonts w:hint="eastAsia" w:ascii="新宋体" w:hAnsi="新宋体" w:eastAsia="新宋体"/>
          <w:sz w:val="24"/>
          <w:szCs w:val="24"/>
          <w:u w:val="single"/>
        </w:rPr>
        <w:t xml:space="preserve">    </w:t>
      </w:r>
      <w:r>
        <w:rPr>
          <w:rFonts w:hint="eastAsia" w:ascii="新宋体" w:hAnsi="新宋体" w:eastAsia="新宋体"/>
          <w:sz w:val="24"/>
          <w:szCs w:val="24"/>
        </w:rPr>
        <w:t>月</w:t>
      </w:r>
      <w:r>
        <w:rPr>
          <w:rFonts w:hint="eastAsia" w:ascii="新宋体" w:hAnsi="新宋体" w:eastAsia="新宋体"/>
          <w:sz w:val="24"/>
          <w:szCs w:val="24"/>
          <w:u w:val="single"/>
        </w:rPr>
        <w:t xml:space="preserve">    </w:t>
      </w:r>
      <w:r>
        <w:rPr>
          <w:rFonts w:hint="eastAsia" w:ascii="新宋体" w:hAnsi="新宋体" w:eastAsia="新宋体"/>
          <w:sz w:val="24"/>
          <w:szCs w:val="24"/>
        </w:rPr>
        <w:t>日义乌市</w:t>
      </w:r>
      <w:r>
        <w:rPr>
          <w:rFonts w:hint="eastAsia" w:ascii="新宋体" w:hAnsi="新宋体" w:eastAsia="新宋体"/>
          <w:sz w:val="24"/>
          <w:szCs w:val="32"/>
          <w:u w:val="single"/>
        </w:rPr>
        <w:t xml:space="preserve">                                </w:t>
      </w:r>
      <w:r>
        <w:rPr>
          <w:rFonts w:hint="eastAsia" w:ascii="新宋体" w:hAnsi="新宋体" w:eastAsia="新宋体"/>
          <w:sz w:val="24"/>
          <w:szCs w:val="24"/>
        </w:rPr>
        <w:t>项目(采购编号：</w:t>
      </w:r>
      <w:r>
        <w:rPr>
          <w:rFonts w:hint="eastAsia" w:ascii="新宋体" w:hAnsi="新宋体" w:eastAsia="新宋体"/>
          <w:sz w:val="24"/>
          <w:szCs w:val="24"/>
          <w:u w:val="single"/>
        </w:rPr>
        <w:t xml:space="preserve">           </w:t>
      </w:r>
      <w:r>
        <w:rPr>
          <w:rFonts w:hint="eastAsia" w:ascii="新宋体" w:hAnsi="新宋体" w:eastAsia="新宋体"/>
          <w:sz w:val="24"/>
          <w:szCs w:val="24"/>
        </w:rPr>
        <w:t>)招标结果和招标文件的要求，</w:t>
      </w:r>
      <w:r>
        <w:rPr>
          <w:rFonts w:ascii="新宋体" w:hAnsi="新宋体" w:eastAsia="新宋体"/>
          <w:sz w:val="24"/>
          <w:szCs w:val="24"/>
        </w:rPr>
        <w:t>依据《中华人民共和国合同法》</w:t>
      </w:r>
      <w:r>
        <w:rPr>
          <w:rFonts w:hint="eastAsia" w:ascii="新宋体" w:hAnsi="新宋体" w:eastAsia="新宋体"/>
          <w:sz w:val="24"/>
          <w:szCs w:val="24"/>
        </w:rPr>
        <w:t>并经双方协商一致，订立本采购合同。</w:t>
      </w:r>
      <w:r>
        <w:rPr>
          <w:rFonts w:hint="eastAsia" w:ascii="新宋体" w:hAnsi="新宋体" w:eastAsia="新宋体"/>
          <w:sz w:val="24"/>
        </w:rPr>
        <w:t>本合同（□是 □否）为可融资合同。</w:t>
      </w:r>
    </w:p>
    <w:p>
      <w:pPr>
        <w:pStyle w:val="32"/>
        <w:spacing w:line="440" w:lineRule="exact"/>
        <w:ind w:firstLine="547" w:firstLineChars="228"/>
        <w:rPr>
          <w:rFonts w:hint="eastAsia" w:ascii="新宋体" w:hAnsi="新宋体" w:eastAsia="新宋体"/>
          <w:sz w:val="24"/>
          <w:szCs w:val="24"/>
        </w:rPr>
      </w:pPr>
      <w:r>
        <w:rPr>
          <w:rFonts w:hint="eastAsia" w:ascii="新宋体" w:hAnsi="新宋体" w:eastAsia="新宋体"/>
          <w:sz w:val="24"/>
          <w:szCs w:val="24"/>
        </w:rPr>
        <w:t>一、合同文件：招标文件、投标文件、开标、询标、评标等记录的所有内容是构成本合同不可分割的部分。</w:t>
      </w:r>
    </w:p>
    <w:p>
      <w:pPr>
        <w:pStyle w:val="32"/>
        <w:spacing w:line="440" w:lineRule="exact"/>
        <w:ind w:firstLine="547" w:firstLineChars="228"/>
        <w:rPr>
          <w:rFonts w:ascii="新宋体" w:hAnsi="新宋体" w:eastAsia="新宋体"/>
          <w:sz w:val="24"/>
        </w:rPr>
      </w:pPr>
      <w:r>
        <w:rPr>
          <w:rFonts w:hint="eastAsia" w:ascii="新宋体" w:hAnsi="新宋体" w:eastAsia="新宋体"/>
          <w:sz w:val="24"/>
          <w:szCs w:val="24"/>
        </w:rPr>
        <w:t>二、合同金额:</w:t>
      </w:r>
      <w:r>
        <w:rPr>
          <w:rFonts w:hint="eastAsia" w:ascii="新宋体" w:hAnsi="新宋体" w:eastAsia="新宋体"/>
          <w:sz w:val="24"/>
          <w:szCs w:val="24"/>
          <w:u w:val="single"/>
        </w:rPr>
        <w:t xml:space="preserve">           </w:t>
      </w:r>
      <w:r>
        <w:rPr>
          <w:rFonts w:hint="eastAsia" w:ascii="新宋体" w:hAnsi="新宋体" w:eastAsia="新宋体"/>
          <w:sz w:val="24"/>
          <w:szCs w:val="24"/>
        </w:rPr>
        <w:t>（价款以人民币进行结算，大写）。</w:t>
      </w:r>
      <w:r>
        <w:rPr>
          <w:rFonts w:hint="eastAsia" w:ascii="新宋体" w:hAnsi="新宋体" w:eastAsia="新宋体"/>
          <w:sz w:val="24"/>
        </w:rPr>
        <w:t>包括服务人员工资，按规定缴纳的各类保险，加班费，管理费用，税费，固定资产折旧费，企业提取费用，所有材料及易耗品（包括卫生纸、擦手纸、洗手液、塑料袋、除臭香球、除臭剂等耗材）费用，工具，福利费，培训费，物业办公费用，房租费，服装费，夜餐费，伙食费，过节费，奖励费，劳保费，体检费，弱电及供水、供电等设备设施的日常维护、保养(不含消防、空调日常维护、保养产生费用)，浙江省义乌市最低基本工资的增资因素，楼外墙、窗清洗的费用，白蚁防治费，其它合同中明示或暗示的所有一般风险、责任和义务等所有费用，如有漏项，视同已包含在本报价中</w:t>
      </w:r>
      <w:r>
        <w:rPr>
          <w:rFonts w:hint="eastAsia" w:ascii="新宋体" w:hAnsi="新宋体" w:eastAsia="新宋体"/>
          <w:b/>
          <w:sz w:val="24"/>
        </w:rPr>
        <w:t>。</w:t>
      </w:r>
      <w:r>
        <w:rPr>
          <w:rFonts w:hint="eastAsia" w:ascii="新宋体" w:hAnsi="新宋体" w:eastAsia="新宋体"/>
          <w:sz w:val="24"/>
        </w:rPr>
        <w:t>如有漏项，视同已包含在本报价中，</w:t>
      </w:r>
      <w:r>
        <w:rPr>
          <w:rFonts w:ascii="新宋体" w:hAnsi="新宋体" w:eastAsia="新宋体"/>
          <w:sz w:val="24"/>
        </w:rPr>
        <w:t>合同总价不做调整。</w:t>
      </w:r>
    </w:p>
    <w:p>
      <w:pPr>
        <w:pStyle w:val="32"/>
        <w:spacing w:line="440" w:lineRule="exact"/>
        <w:ind w:firstLine="547" w:firstLineChars="228"/>
        <w:rPr>
          <w:rFonts w:hint="eastAsia" w:ascii="新宋体" w:hAnsi="新宋体" w:eastAsia="新宋体"/>
          <w:sz w:val="24"/>
          <w:szCs w:val="24"/>
        </w:rPr>
      </w:pPr>
      <w:r>
        <w:rPr>
          <w:rFonts w:hint="eastAsia" w:ascii="新宋体" w:hAnsi="新宋体" w:eastAsia="新宋体"/>
          <w:sz w:val="24"/>
          <w:szCs w:val="24"/>
        </w:rPr>
        <w:t>三、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pStyle w:val="32"/>
        <w:spacing w:line="440" w:lineRule="exact"/>
        <w:ind w:firstLine="547" w:firstLineChars="228"/>
        <w:rPr>
          <w:rFonts w:hint="eastAsia" w:ascii="新宋体" w:hAnsi="新宋体" w:eastAsia="新宋体"/>
          <w:sz w:val="24"/>
          <w:szCs w:val="24"/>
        </w:rPr>
      </w:pPr>
      <w:r>
        <w:rPr>
          <w:rFonts w:hint="eastAsia" w:ascii="新宋体" w:hAnsi="新宋体" w:eastAsia="新宋体"/>
          <w:sz w:val="24"/>
          <w:szCs w:val="24"/>
        </w:rPr>
        <w:t>四、价格清单</w:t>
      </w:r>
    </w:p>
    <w:tbl>
      <w:tblPr>
        <w:tblStyle w:val="61"/>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70"/>
        <w:gridCol w:w="2100"/>
        <w:gridCol w:w="1129"/>
        <w:gridCol w:w="1361"/>
        <w:gridCol w:w="1980"/>
      </w:tblGrid>
      <w:tr>
        <w:tblPrEx>
          <w:tblLayout w:type="fixed"/>
        </w:tblPrEx>
        <w:trPr>
          <w:cantSplit/>
        </w:trPr>
        <w:tc>
          <w:tcPr>
            <w:tcW w:w="1080" w:type="dxa"/>
            <w:vAlign w:val="center"/>
          </w:tcPr>
          <w:p>
            <w:pPr>
              <w:pStyle w:val="32"/>
              <w:spacing w:line="440" w:lineRule="exact"/>
              <w:jc w:val="center"/>
              <w:rPr>
                <w:rFonts w:hint="eastAsia" w:ascii="新宋体" w:hAnsi="新宋体" w:eastAsia="新宋体"/>
                <w:b/>
                <w:bCs/>
                <w:sz w:val="24"/>
                <w:szCs w:val="24"/>
              </w:rPr>
            </w:pPr>
            <w:r>
              <w:rPr>
                <w:rFonts w:hint="eastAsia" w:ascii="新宋体" w:hAnsi="新宋体" w:eastAsia="新宋体"/>
                <w:b/>
                <w:bCs/>
                <w:sz w:val="24"/>
                <w:szCs w:val="24"/>
              </w:rPr>
              <w:t>序号</w:t>
            </w:r>
          </w:p>
        </w:tc>
        <w:tc>
          <w:tcPr>
            <w:tcW w:w="2070" w:type="dxa"/>
            <w:vAlign w:val="center"/>
          </w:tcPr>
          <w:p>
            <w:pPr>
              <w:pStyle w:val="32"/>
              <w:spacing w:line="440" w:lineRule="exact"/>
              <w:jc w:val="center"/>
              <w:rPr>
                <w:rFonts w:hint="eastAsia" w:ascii="新宋体" w:hAnsi="新宋体" w:eastAsia="新宋体"/>
                <w:b/>
                <w:bCs/>
                <w:sz w:val="24"/>
                <w:szCs w:val="24"/>
              </w:rPr>
            </w:pPr>
            <w:r>
              <w:rPr>
                <w:rFonts w:hint="eastAsia" w:ascii="新宋体" w:hAnsi="新宋体" w:eastAsia="新宋体"/>
                <w:b/>
                <w:bCs/>
                <w:sz w:val="24"/>
                <w:szCs w:val="24"/>
              </w:rPr>
              <w:t>服务名称</w:t>
            </w:r>
          </w:p>
        </w:tc>
        <w:tc>
          <w:tcPr>
            <w:tcW w:w="2100" w:type="dxa"/>
            <w:vAlign w:val="center"/>
          </w:tcPr>
          <w:p>
            <w:pPr>
              <w:pStyle w:val="32"/>
              <w:spacing w:line="440" w:lineRule="exact"/>
              <w:jc w:val="center"/>
              <w:rPr>
                <w:rFonts w:hint="eastAsia" w:ascii="新宋体" w:hAnsi="新宋体" w:eastAsia="新宋体"/>
                <w:b/>
                <w:bCs/>
                <w:sz w:val="24"/>
                <w:szCs w:val="24"/>
              </w:rPr>
            </w:pPr>
          </w:p>
        </w:tc>
        <w:tc>
          <w:tcPr>
            <w:tcW w:w="1129" w:type="dxa"/>
          </w:tcPr>
          <w:p>
            <w:pPr>
              <w:pStyle w:val="32"/>
              <w:spacing w:line="440" w:lineRule="exact"/>
              <w:jc w:val="center"/>
              <w:rPr>
                <w:rFonts w:hint="eastAsia" w:ascii="新宋体" w:hAnsi="新宋体" w:eastAsia="新宋体"/>
                <w:b/>
                <w:bCs/>
                <w:sz w:val="24"/>
                <w:szCs w:val="24"/>
              </w:rPr>
            </w:pPr>
          </w:p>
        </w:tc>
        <w:tc>
          <w:tcPr>
            <w:tcW w:w="1361" w:type="dxa"/>
            <w:vAlign w:val="center"/>
          </w:tcPr>
          <w:p>
            <w:pPr>
              <w:pStyle w:val="32"/>
              <w:spacing w:line="440" w:lineRule="exact"/>
              <w:jc w:val="center"/>
              <w:rPr>
                <w:rFonts w:hint="eastAsia" w:ascii="新宋体" w:hAnsi="新宋体" w:eastAsia="新宋体"/>
                <w:b/>
                <w:bCs/>
                <w:sz w:val="24"/>
                <w:szCs w:val="24"/>
              </w:rPr>
            </w:pPr>
          </w:p>
        </w:tc>
        <w:tc>
          <w:tcPr>
            <w:tcW w:w="1980" w:type="dxa"/>
            <w:vAlign w:val="center"/>
          </w:tcPr>
          <w:p>
            <w:pPr>
              <w:pStyle w:val="32"/>
              <w:spacing w:line="440" w:lineRule="exact"/>
              <w:jc w:val="center"/>
              <w:rPr>
                <w:rFonts w:hint="eastAsia" w:ascii="新宋体" w:hAnsi="新宋体" w:eastAsia="新宋体"/>
                <w:b/>
                <w:bCs/>
                <w:sz w:val="24"/>
                <w:szCs w:val="24"/>
              </w:rPr>
            </w:pPr>
          </w:p>
        </w:tc>
      </w:tr>
      <w:tr>
        <w:tblPrEx>
          <w:tblLayout w:type="fixed"/>
        </w:tblPrEx>
        <w:trPr>
          <w:cantSplit/>
        </w:trPr>
        <w:tc>
          <w:tcPr>
            <w:tcW w:w="1080" w:type="dxa"/>
            <w:vAlign w:val="center"/>
          </w:tcPr>
          <w:p>
            <w:pPr>
              <w:pStyle w:val="32"/>
              <w:spacing w:line="440" w:lineRule="exact"/>
              <w:jc w:val="center"/>
              <w:rPr>
                <w:rFonts w:hint="eastAsia" w:ascii="新宋体" w:hAnsi="新宋体" w:eastAsia="新宋体"/>
                <w:b/>
                <w:bCs/>
                <w:sz w:val="24"/>
                <w:szCs w:val="24"/>
              </w:rPr>
            </w:pPr>
          </w:p>
        </w:tc>
        <w:tc>
          <w:tcPr>
            <w:tcW w:w="2070" w:type="dxa"/>
            <w:vAlign w:val="center"/>
          </w:tcPr>
          <w:p>
            <w:pPr>
              <w:pStyle w:val="32"/>
              <w:spacing w:line="440" w:lineRule="exact"/>
              <w:jc w:val="center"/>
              <w:rPr>
                <w:rFonts w:hint="eastAsia" w:ascii="新宋体" w:hAnsi="新宋体" w:eastAsia="新宋体"/>
                <w:sz w:val="24"/>
                <w:szCs w:val="24"/>
              </w:rPr>
            </w:pPr>
          </w:p>
        </w:tc>
        <w:tc>
          <w:tcPr>
            <w:tcW w:w="2100" w:type="dxa"/>
            <w:vAlign w:val="center"/>
          </w:tcPr>
          <w:p>
            <w:pPr>
              <w:pStyle w:val="32"/>
              <w:spacing w:line="440" w:lineRule="exact"/>
              <w:jc w:val="center"/>
              <w:rPr>
                <w:rFonts w:hint="eastAsia" w:ascii="新宋体" w:hAnsi="新宋体" w:eastAsia="新宋体"/>
                <w:sz w:val="24"/>
                <w:szCs w:val="24"/>
              </w:rPr>
            </w:pPr>
          </w:p>
        </w:tc>
        <w:tc>
          <w:tcPr>
            <w:tcW w:w="1129" w:type="dxa"/>
          </w:tcPr>
          <w:p>
            <w:pPr>
              <w:pStyle w:val="32"/>
              <w:spacing w:line="440" w:lineRule="exact"/>
              <w:jc w:val="center"/>
              <w:rPr>
                <w:rFonts w:hint="eastAsia" w:ascii="新宋体" w:hAnsi="新宋体" w:eastAsia="新宋体"/>
                <w:b/>
                <w:bCs/>
                <w:sz w:val="24"/>
                <w:szCs w:val="24"/>
              </w:rPr>
            </w:pPr>
          </w:p>
        </w:tc>
        <w:tc>
          <w:tcPr>
            <w:tcW w:w="1361" w:type="dxa"/>
            <w:vAlign w:val="center"/>
          </w:tcPr>
          <w:p>
            <w:pPr>
              <w:pStyle w:val="32"/>
              <w:spacing w:line="440" w:lineRule="exact"/>
              <w:jc w:val="center"/>
              <w:rPr>
                <w:rFonts w:hint="eastAsia" w:ascii="新宋体" w:hAnsi="新宋体" w:eastAsia="新宋体"/>
                <w:sz w:val="24"/>
                <w:szCs w:val="24"/>
              </w:rPr>
            </w:pPr>
          </w:p>
        </w:tc>
        <w:tc>
          <w:tcPr>
            <w:tcW w:w="1980" w:type="dxa"/>
            <w:vAlign w:val="center"/>
          </w:tcPr>
          <w:p>
            <w:pPr>
              <w:pStyle w:val="32"/>
              <w:spacing w:line="440" w:lineRule="exact"/>
              <w:jc w:val="center"/>
              <w:rPr>
                <w:rFonts w:hint="eastAsia" w:ascii="新宋体" w:hAnsi="新宋体" w:eastAsia="新宋体"/>
                <w:b/>
                <w:bCs/>
                <w:sz w:val="24"/>
                <w:szCs w:val="24"/>
              </w:rPr>
            </w:pPr>
          </w:p>
        </w:tc>
      </w:tr>
      <w:tr>
        <w:tblPrEx>
          <w:tblLayout w:type="fixed"/>
        </w:tblPrEx>
        <w:trPr>
          <w:cantSplit/>
        </w:trPr>
        <w:tc>
          <w:tcPr>
            <w:tcW w:w="1080" w:type="dxa"/>
            <w:vAlign w:val="center"/>
          </w:tcPr>
          <w:p>
            <w:pPr>
              <w:pStyle w:val="32"/>
              <w:spacing w:line="440" w:lineRule="exact"/>
              <w:jc w:val="center"/>
              <w:rPr>
                <w:rFonts w:hint="eastAsia" w:ascii="新宋体" w:hAnsi="新宋体" w:eastAsia="新宋体"/>
                <w:b/>
                <w:bCs/>
                <w:sz w:val="24"/>
                <w:szCs w:val="24"/>
              </w:rPr>
            </w:pPr>
          </w:p>
        </w:tc>
        <w:tc>
          <w:tcPr>
            <w:tcW w:w="2070" w:type="dxa"/>
            <w:vAlign w:val="center"/>
          </w:tcPr>
          <w:p>
            <w:pPr>
              <w:pStyle w:val="32"/>
              <w:spacing w:line="440" w:lineRule="exact"/>
              <w:jc w:val="center"/>
              <w:rPr>
                <w:rFonts w:hint="eastAsia" w:ascii="新宋体" w:hAnsi="新宋体" w:eastAsia="新宋体"/>
                <w:sz w:val="24"/>
                <w:szCs w:val="24"/>
              </w:rPr>
            </w:pPr>
          </w:p>
        </w:tc>
        <w:tc>
          <w:tcPr>
            <w:tcW w:w="2100" w:type="dxa"/>
            <w:vAlign w:val="center"/>
          </w:tcPr>
          <w:p>
            <w:pPr>
              <w:pStyle w:val="32"/>
              <w:spacing w:line="440" w:lineRule="exact"/>
              <w:jc w:val="center"/>
              <w:rPr>
                <w:rFonts w:hint="eastAsia" w:ascii="新宋体" w:hAnsi="新宋体" w:eastAsia="新宋体"/>
                <w:sz w:val="24"/>
                <w:szCs w:val="24"/>
              </w:rPr>
            </w:pPr>
          </w:p>
        </w:tc>
        <w:tc>
          <w:tcPr>
            <w:tcW w:w="1129" w:type="dxa"/>
          </w:tcPr>
          <w:p>
            <w:pPr>
              <w:pStyle w:val="32"/>
              <w:spacing w:line="440" w:lineRule="exact"/>
              <w:jc w:val="center"/>
              <w:rPr>
                <w:rFonts w:hint="eastAsia" w:ascii="新宋体" w:hAnsi="新宋体" w:eastAsia="新宋体"/>
                <w:b/>
                <w:bCs/>
                <w:sz w:val="24"/>
                <w:szCs w:val="24"/>
              </w:rPr>
            </w:pPr>
          </w:p>
        </w:tc>
        <w:tc>
          <w:tcPr>
            <w:tcW w:w="1361" w:type="dxa"/>
            <w:vAlign w:val="center"/>
          </w:tcPr>
          <w:p>
            <w:pPr>
              <w:pStyle w:val="32"/>
              <w:spacing w:line="440" w:lineRule="exact"/>
              <w:jc w:val="center"/>
              <w:rPr>
                <w:rFonts w:hint="eastAsia" w:ascii="新宋体" w:hAnsi="新宋体" w:eastAsia="新宋体"/>
                <w:b/>
                <w:bCs/>
                <w:sz w:val="24"/>
                <w:szCs w:val="24"/>
              </w:rPr>
            </w:pPr>
          </w:p>
        </w:tc>
        <w:tc>
          <w:tcPr>
            <w:tcW w:w="1980" w:type="dxa"/>
            <w:vAlign w:val="center"/>
          </w:tcPr>
          <w:p>
            <w:pPr>
              <w:pStyle w:val="32"/>
              <w:spacing w:line="440" w:lineRule="exact"/>
              <w:jc w:val="center"/>
              <w:rPr>
                <w:rFonts w:hint="eastAsia" w:ascii="新宋体" w:hAnsi="新宋体" w:eastAsia="新宋体"/>
                <w:b/>
                <w:bCs/>
                <w:sz w:val="24"/>
                <w:szCs w:val="24"/>
              </w:rPr>
            </w:pPr>
          </w:p>
        </w:tc>
      </w:tr>
      <w:tr>
        <w:tblPrEx>
          <w:tblLayout w:type="fixed"/>
        </w:tblPrEx>
        <w:trPr>
          <w:cantSplit/>
        </w:trPr>
        <w:tc>
          <w:tcPr>
            <w:tcW w:w="1080" w:type="dxa"/>
            <w:vAlign w:val="center"/>
          </w:tcPr>
          <w:p>
            <w:pPr>
              <w:pStyle w:val="32"/>
              <w:spacing w:line="440" w:lineRule="exact"/>
              <w:jc w:val="center"/>
              <w:rPr>
                <w:rFonts w:hint="eastAsia" w:ascii="新宋体" w:hAnsi="新宋体" w:eastAsia="新宋体"/>
                <w:b/>
                <w:bCs/>
                <w:sz w:val="24"/>
                <w:szCs w:val="24"/>
              </w:rPr>
            </w:pPr>
          </w:p>
        </w:tc>
        <w:tc>
          <w:tcPr>
            <w:tcW w:w="2070" w:type="dxa"/>
            <w:vAlign w:val="center"/>
          </w:tcPr>
          <w:p>
            <w:pPr>
              <w:pStyle w:val="32"/>
              <w:spacing w:line="440" w:lineRule="exact"/>
              <w:jc w:val="center"/>
              <w:rPr>
                <w:rFonts w:hint="eastAsia" w:ascii="新宋体" w:hAnsi="新宋体" w:eastAsia="新宋体"/>
                <w:sz w:val="24"/>
                <w:szCs w:val="24"/>
              </w:rPr>
            </w:pPr>
          </w:p>
        </w:tc>
        <w:tc>
          <w:tcPr>
            <w:tcW w:w="2100" w:type="dxa"/>
            <w:vAlign w:val="center"/>
          </w:tcPr>
          <w:p>
            <w:pPr>
              <w:pStyle w:val="32"/>
              <w:spacing w:line="440" w:lineRule="exact"/>
              <w:jc w:val="center"/>
              <w:rPr>
                <w:rFonts w:hint="eastAsia" w:ascii="新宋体" w:hAnsi="新宋体" w:eastAsia="新宋体"/>
                <w:sz w:val="24"/>
                <w:szCs w:val="24"/>
              </w:rPr>
            </w:pPr>
          </w:p>
        </w:tc>
        <w:tc>
          <w:tcPr>
            <w:tcW w:w="1129" w:type="dxa"/>
          </w:tcPr>
          <w:p>
            <w:pPr>
              <w:pStyle w:val="32"/>
              <w:spacing w:line="440" w:lineRule="exact"/>
              <w:jc w:val="center"/>
              <w:rPr>
                <w:rFonts w:hint="eastAsia" w:ascii="新宋体" w:hAnsi="新宋体" w:eastAsia="新宋体"/>
                <w:b/>
                <w:bCs/>
                <w:sz w:val="24"/>
                <w:szCs w:val="24"/>
              </w:rPr>
            </w:pPr>
          </w:p>
        </w:tc>
        <w:tc>
          <w:tcPr>
            <w:tcW w:w="1361" w:type="dxa"/>
            <w:vAlign w:val="center"/>
          </w:tcPr>
          <w:p>
            <w:pPr>
              <w:pStyle w:val="32"/>
              <w:spacing w:line="440" w:lineRule="exact"/>
              <w:jc w:val="center"/>
              <w:rPr>
                <w:rFonts w:hint="eastAsia" w:ascii="新宋体" w:hAnsi="新宋体" w:eastAsia="新宋体"/>
                <w:b/>
                <w:bCs/>
                <w:sz w:val="24"/>
                <w:szCs w:val="24"/>
              </w:rPr>
            </w:pPr>
          </w:p>
        </w:tc>
        <w:tc>
          <w:tcPr>
            <w:tcW w:w="1980" w:type="dxa"/>
            <w:vAlign w:val="center"/>
          </w:tcPr>
          <w:p>
            <w:pPr>
              <w:pStyle w:val="32"/>
              <w:spacing w:line="440" w:lineRule="exact"/>
              <w:jc w:val="center"/>
              <w:rPr>
                <w:rFonts w:hint="eastAsia" w:ascii="新宋体" w:hAnsi="新宋体" w:eastAsia="新宋体"/>
                <w:b/>
                <w:bCs/>
                <w:sz w:val="24"/>
                <w:szCs w:val="24"/>
              </w:rPr>
            </w:pPr>
          </w:p>
        </w:tc>
      </w:tr>
      <w:tr>
        <w:tblPrEx>
          <w:tblLayout w:type="fixed"/>
        </w:tblPrEx>
        <w:trPr>
          <w:cantSplit/>
        </w:trPr>
        <w:tc>
          <w:tcPr>
            <w:tcW w:w="1080" w:type="dxa"/>
            <w:vAlign w:val="center"/>
          </w:tcPr>
          <w:p>
            <w:pPr>
              <w:pStyle w:val="32"/>
              <w:spacing w:line="440" w:lineRule="exact"/>
              <w:jc w:val="center"/>
              <w:rPr>
                <w:rFonts w:hint="eastAsia" w:ascii="新宋体" w:hAnsi="新宋体" w:eastAsia="新宋体"/>
                <w:b/>
                <w:bCs/>
                <w:sz w:val="24"/>
                <w:szCs w:val="24"/>
              </w:rPr>
            </w:pPr>
            <w:r>
              <w:rPr>
                <w:rFonts w:hint="eastAsia" w:ascii="新宋体" w:hAnsi="新宋体" w:eastAsia="新宋体"/>
                <w:b/>
                <w:bCs/>
                <w:sz w:val="24"/>
                <w:szCs w:val="24"/>
              </w:rPr>
              <w:t>合计</w:t>
            </w:r>
          </w:p>
        </w:tc>
        <w:tc>
          <w:tcPr>
            <w:tcW w:w="8640" w:type="dxa"/>
            <w:gridSpan w:val="5"/>
            <w:vAlign w:val="center"/>
          </w:tcPr>
          <w:p>
            <w:pPr>
              <w:pStyle w:val="32"/>
              <w:spacing w:line="440" w:lineRule="exact"/>
              <w:rPr>
                <w:rFonts w:hint="eastAsia" w:ascii="新宋体" w:hAnsi="新宋体" w:eastAsia="新宋体"/>
                <w:b/>
                <w:bCs/>
                <w:sz w:val="24"/>
                <w:szCs w:val="24"/>
              </w:rPr>
            </w:pPr>
            <w:r>
              <w:rPr>
                <w:rFonts w:hint="eastAsia" w:ascii="新宋体" w:hAnsi="新宋体" w:eastAsia="新宋体"/>
                <w:b/>
                <w:bCs/>
                <w:sz w:val="24"/>
                <w:szCs w:val="24"/>
              </w:rPr>
              <w:t>大写：</w:t>
            </w:r>
            <w:r>
              <w:rPr>
                <w:rFonts w:hint="eastAsia" w:ascii="新宋体" w:hAnsi="新宋体" w:eastAsia="新宋体"/>
                <w:b/>
                <w:bCs/>
                <w:sz w:val="24"/>
                <w:szCs w:val="24"/>
                <w:u w:val="single"/>
              </w:rPr>
              <w:t xml:space="preserve">                                </w:t>
            </w:r>
            <w:r>
              <w:rPr>
                <w:rFonts w:hint="eastAsia" w:ascii="新宋体" w:hAnsi="新宋体" w:eastAsia="新宋体"/>
                <w:b/>
                <w:bCs/>
                <w:sz w:val="24"/>
                <w:szCs w:val="24"/>
              </w:rPr>
              <w:t xml:space="preserve">     小写：</w:t>
            </w:r>
            <w:r>
              <w:rPr>
                <w:rFonts w:hint="eastAsia" w:ascii="新宋体" w:hAnsi="新宋体" w:eastAsia="新宋体"/>
                <w:b/>
                <w:bCs/>
                <w:sz w:val="24"/>
                <w:szCs w:val="24"/>
                <w:u w:val="single"/>
              </w:rPr>
              <w:t xml:space="preserve">              </w:t>
            </w:r>
            <w:r>
              <w:rPr>
                <w:rFonts w:hint="eastAsia" w:ascii="新宋体" w:hAnsi="新宋体" w:eastAsia="新宋体"/>
                <w:b/>
                <w:bCs/>
                <w:sz w:val="24"/>
                <w:szCs w:val="24"/>
              </w:rPr>
              <w:t>元</w:t>
            </w:r>
          </w:p>
        </w:tc>
      </w:tr>
    </w:tbl>
    <w:p>
      <w:pPr>
        <w:pStyle w:val="32"/>
        <w:spacing w:line="440" w:lineRule="exact"/>
        <w:ind w:firstLine="540"/>
        <w:rPr>
          <w:rFonts w:hint="eastAsia" w:ascii="新宋体" w:hAnsi="新宋体" w:eastAsia="新宋体"/>
          <w:sz w:val="24"/>
          <w:szCs w:val="24"/>
        </w:rPr>
      </w:pPr>
    </w:p>
    <w:p>
      <w:pPr>
        <w:pStyle w:val="32"/>
        <w:spacing w:line="440" w:lineRule="exact"/>
        <w:ind w:firstLine="540"/>
        <w:rPr>
          <w:rFonts w:hint="eastAsia" w:ascii="新宋体" w:hAnsi="新宋体" w:eastAsia="新宋体"/>
          <w:sz w:val="24"/>
          <w:szCs w:val="24"/>
        </w:rPr>
      </w:pPr>
      <w:r>
        <w:rPr>
          <w:rFonts w:hint="eastAsia" w:ascii="新宋体" w:hAnsi="新宋体" w:eastAsia="新宋体"/>
          <w:sz w:val="24"/>
          <w:szCs w:val="24"/>
        </w:rPr>
        <w:t>五、服务内容：</w:t>
      </w:r>
      <w:r>
        <w:rPr>
          <w:rFonts w:ascii="新宋体" w:hAnsi="新宋体" w:eastAsia="新宋体"/>
          <w:sz w:val="24"/>
          <w:szCs w:val="24"/>
        </w:rPr>
        <w:t>与招标文件一致</w:t>
      </w:r>
      <w:r>
        <w:rPr>
          <w:rFonts w:hint="eastAsia" w:ascii="新宋体" w:hAnsi="新宋体" w:eastAsia="新宋体"/>
          <w:sz w:val="24"/>
          <w:szCs w:val="24"/>
        </w:rPr>
        <w:t>。</w:t>
      </w:r>
    </w:p>
    <w:p>
      <w:pPr>
        <w:pStyle w:val="32"/>
        <w:spacing w:line="440" w:lineRule="exact"/>
        <w:ind w:firstLine="540"/>
        <w:rPr>
          <w:rFonts w:hint="eastAsia" w:ascii="新宋体" w:hAnsi="新宋体" w:eastAsia="新宋体"/>
          <w:sz w:val="24"/>
          <w:szCs w:val="24"/>
        </w:rPr>
      </w:pPr>
      <w:r>
        <w:rPr>
          <w:rFonts w:hint="eastAsia" w:ascii="新宋体" w:hAnsi="新宋体" w:eastAsia="新宋体"/>
          <w:sz w:val="24"/>
          <w:szCs w:val="24"/>
        </w:rPr>
        <w:t>六、服务期限：</w:t>
      </w:r>
      <w:r>
        <w:rPr>
          <w:rFonts w:ascii="新宋体" w:hAnsi="新宋体" w:eastAsia="新宋体"/>
          <w:sz w:val="24"/>
          <w:szCs w:val="24"/>
          <w:u w:val="single"/>
        </w:rPr>
        <w:t xml:space="preserve">    </w:t>
      </w:r>
      <w:r>
        <w:rPr>
          <w:rFonts w:hint="eastAsia" w:ascii="新宋体" w:hAnsi="新宋体" w:eastAsia="新宋体"/>
          <w:sz w:val="24"/>
          <w:szCs w:val="24"/>
        </w:rPr>
        <w:t>年；</w:t>
      </w:r>
      <w:r>
        <w:rPr>
          <w:rFonts w:ascii="新宋体" w:hAnsi="新宋体" w:eastAsia="新宋体"/>
          <w:sz w:val="24"/>
          <w:szCs w:val="24"/>
        </w:rPr>
        <w:t>自</w:t>
      </w:r>
      <w:r>
        <w:rPr>
          <w:rFonts w:ascii="新宋体" w:hAnsi="新宋体" w:eastAsia="新宋体"/>
          <w:sz w:val="24"/>
          <w:szCs w:val="24"/>
          <w:u w:val="single"/>
        </w:rPr>
        <w:t xml:space="preserve">      </w:t>
      </w:r>
      <w:r>
        <w:rPr>
          <w:rFonts w:ascii="新宋体" w:hAnsi="新宋体" w:eastAsia="新宋体"/>
          <w:sz w:val="24"/>
          <w:szCs w:val="24"/>
        </w:rPr>
        <w:t>年</w:t>
      </w:r>
      <w:r>
        <w:rPr>
          <w:rFonts w:ascii="新宋体" w:hAnsi="新宋体" w:eastAsia="新宋体"/>
          <w:sz w:val="24"/>
          <w:szCs w:val="24"/>
          <w:u w:val="single"/>
        </w:rPr>
        <w:t xml:space="preserve">  </w:t>
      </w:r>
      <w:r>
        <w:rPr>
          <w:rFonts w:ascii="新宋体" w:hAnsi="新宋体" w:eastAsia="新宋体"/>
          <w:sz w:val="24"/>
          <w:szCs w:val="24"/>
        </w:rPr>
        <w:t>月</w:t>
      </w:r>
      <w:r>
        <w:rPr>
          <w:rFonts w:ascii="新宋体" w:hAnsi="新宋体" w:eastAsia="新宋体"/>
          <w:sz w:val="24"/>
          <w:szCs w:val="24"/>
          <w:u w:val="single"/>
        </w:rPr>
        <w:t xml:space="preserve">  </w:t>
      </w:r>
      <w:r>
        <w:rPr>
          <w:rFonts w:ascii="新宋体" w:hAnsi="新宋体" w:eastAsia="新宋体"/>
          <w:sz w:val="24"/>
          <w:szCs w:val="24"/>
        </w:rPr>
        <w:t>日</w:t>
      </w:r>
      <w:r>
        <w:rPr>
          <w:rFonts w:hint="eastAsia" w:ascii="新宋体" w:hAnsi="新宋体" w:eastAsia="新宋体"/>
          <w:sz w:val="24"/>
          <w:szCs w:val="24"/>
        </w:rPr>
        <w:t>（服务人员、物力资源全部到位之日起开始计算）</w:t>
      </w:r>
      <w:r>
        <w:rPr>
          <w:rFonts w:ascii="新宋体" w:hAnsi="新宋体" w:eastAsia="新宋体"/>
          <w:sz w:val="24"/>
          <w:szCs w:val="24"/>
        </w:rPr>
        <w:t>起至</w:t>
      </w:r>
      <w:r>
        <w:rPr>
          <w:rFonts w:ascii="新宋体" w:hAnsi="新宋体" w:eastAsia="新宋体"/>
          <w:sz w:val="24"/>
          <w:szCs w:val="24"/>
          <w:u w:val="single"/>
        </w:rPr>
        <w:t xml:space="preserve">    年  </w:t>
      </w:r>
      <w:r>
        <w:rPr>
          <w:rFonts w:ascii="新宋体" w:hAnsi="新宋体" w:eastAsia="新宋体"/>
          <w:sz w:val="24"/>
          <w:szCs w:val="24"/>
        </w:rPr>
        <w:t>月</w:t>
      </w:r>
      <w:r>
        <w:rPr>
          <w:rFonts w:ascii="新宋体" w:hAnsi="新宋体" w:eastAsia="新宋体"/>
          <w:sz w:val="24"/>
          <w:szCs w:val="24"/>
          <w:u w:val="single"/>
        </w:rPr>
        <w:t xml:space="preserve">  </w:t>
      </w:r>
      <w:r>
        <w:rPr>
          <w:rFonts w:ascii="新宋体" w:hAnsi="新宋体" w:eastAsia="新宋体"/>
          <w:sz w:val="24"/>
          <w:szCs w:val="24"/>
        </w:rPr>
        <w:t>日止。乙方未按本合同约定履约，甲方有权终止本合同，并由乙方承担甲方因此而产生的损失。</w:t>
      </w:r>
    </w:p>
    <w:p>
      <w:pPr>
        <w:pStyle w:val="32"/>
        <w:spacing w:line="440" w:lineRule="exact"/>
        <w:ind w:firstLine="540" w:firstLineChars="225"/>
        <w:rPr>
          <w:rFonts w:hint="eastAsia" w:ascii="新宋体" w:hAnsi="新宋体" w:eastAsia="新宋体"/>
          <w:sz w:val="24"/>
          <w:szCs w:val="24"/>
          <w:u w:val="single"/>
        </w:rPr>
      </w:pPr>
      <w:r>
        <w:rPr>
          <w:rFonts w:hint="eastAsia" w:ascii="新宋体" w:hAnsi="新宋体" w:eastAsia="新宋体"/>
          <w:sz w:val="24"/>
          <w:szCs w:val="24"/>
        </w:rPr>
        <w:t>七、付款方式：</w:t>
      </w:r>
      <w:r>
        <w:rPr>
          <w:rFonts w:ascii="新宋体" w:hAnsi="新宋体" w:eastAsia="新宋体"/>
          <w:sz w:val="24"/>
          <w:szCs w:val="24"/>
          <w:u w:val="single"/>
        </w:rPr>
        <w:t xml:space="preserve">    </w:t>
      </w:r>
    </w:p>
    <w:p>
      <w:pPr>
        <w:pStyle w:val="32"/>
        <w:spacing w:line="440" w:lineRule="exact"/>
        <w:ind w:left="1" w:firstLine="537" w:firstLineChars="224"/>
        <w:rPr>
          <w:rFonts w:hint="eastAsia" w:ascii="新宋体" w:hAnsi="新宋体" w:eastAsia="新宋体"/>
          <w:sz w:val="24"/>
          <w:szCs w:val="24"/>
        </w:rPr>
      </w:pPr>
      <w:r>
        <w:rPr>
          <w:rFonts w:hint="eastAsia" w:ascii="新宋体" w:hAnsi="新宋体" w:eastAsia="新宋体"/>
          <w:sz w:val="24"/>
          <w:szCs w:val="24"/>
        </w:rPr>
        <w:t>八、甲乙双方的责任：</w:t>
      </w:r>
    </w:p>
    <w:p>
      <w:pPr>
        <w:widowControl/>
        <w:spacing w:line="440" w:lineRule="atLeast"/>
        <w:ind w:firstLine="480"/>
        <w:rPr>
          <w:rFonts w:hint="eastAsia" w:ascii="新宋体" w:hAnsi="新宋体" w:eastAsia="新宋体"/>
          <w:kern w:val="0"/>
          <w:sz w:val="24"/>
        </w:rPr>
      </w:pPr>
      <w:r>
        <w:rPr>
          <w:rFonts w:hint="eastAsia" w:ascii="新宋体" w:hAnsi="新宋体" w:eastAsia="新宋体"/>
          <w:kern w:val="0"/>
          <w:sz w:val="24"/>
        </w:rPr>
        <w:t>（一）甲方职责</w:t>
      </w:r>
    </w:p>
    <w:p>
      <w:pPr>
        <w:spacing w:line="360" w:lineRule="auto"/>
        <w:ind w:firstLine="600" w:firstLineChars="250"/>
        <w:rPr>
          <w:rFonts w:hint="eastAsia" w:ascii="新宋体" w:hAnsi="新宋体" w:eastAsia="新宋体"/>
          <w:sz w:val="24"/>
        </w:rPr>
      </w:pPr>
      <w:r>
        <w:rPr>
          <w:rFonts w:ascii="新宋体" w:hAnsi="新宋体" w:eastAsia="新宋体"/>
          <w:sz w:val="24"/>
        </w:rPr>
        <w:t>1</w:t>
      </w:r>
      <w:r>
        <w:rPr>
          <w:rFonts w:hint="eastAsia" w:ascii="新宋体" w:hAnsi="新宋体" w:eastAsia="新宋体"/>
          <w:sz w:val="24"/>
        </w:rPr>
        <w:t>.</w:t>
      </w:r>
      <w:r>
        <w:rPr>
          <w:rFonts w:ascii="新宋体" w:hAnsi="新宋体" w:eastAsia="新宋体"/>
          <w:sz w:val="24"/>
        </w:rPr>
        <w:t>甲方依据合同对乙方的工作定期、不定期监督检查，对未履约或履约不完整的部分，以整改通知单形式及时通知乙方，同时跟踪落实情况。</w:t>
      </w:r>
    </w:p>
    <w:p>
      <w:pPr>
        <w:pStyle w:val="32"/>
        <w:spacing w:line="440" w:lineRule="exact"/>
        <w:ind w:firstLine="600" w:firstLineChars="250"/>
        <w:rPr>
          <w:rFonts w:ascii="新宋体" w:hAnsi="新宋体" w:eastAsia="新宋体"/>
          <w:sz w:val="24"/>
          <w:szCs w:val="24"/>
        </w:rPr>
      </w:pPr>
      <w:r>
        <w:rPr>
          <w:rFonts w:ascii="新宋体" w:hAnsi="新宋体" w:eastAsia="新宋体"/>
          <w:sz w:val="24"/>
          <w:szCs w:val="24"/>
        </w:rPr>
        <w:t>2</w:t>
      </w:r>
      <w:r>
        <w:rPr>
          <w:rFonts w:hint="eastAsia" w:ascii="新宋体" w:hAnsi="新宋体" w:eastAsia="新宋体"/>
          <w:sz w:val="24"/>
          <w:szCs w:val="24"/>
        </w:rPr>
        <w:t>.</w:t>
      </w:r>
      <w:r>
        <w:rPr>
          <w:rFonts w:ascii="新宋体" w:hAnsi="新宋体" w:eastAsia="新宋体"/>
          <w:sz w:val="24"/>
          <w:szCs w:val="24"/>
        </w:rPr>
        <w:t>在服务</w:t>
      </w:r>
      <w:r>
        <w:rPr>
          <w:rFonts w:hint="eastAsia" w:ascii="新宋体" w:hAnsi="新宋体" w:eastAsia="新宋体"/>
          <w:sz w:val="24"/>
          <w:szCs w:val="24"/>
        </w:rPr>
        <w:t>区域</w:t>
      </w:r>
      <w:r>
        <w:rPr>
          <w:rFonts w:ascii="新宋体" w:hAnsi="新宋体" w:eastAsia="新宋体"/>
          <w:sz w:val="24"/>
          <w:szCs w:val="24"/>
        </w:rPr>
        <w:t>内提供适当房屋供乙方现场办公，上下班更换衣服和存放清洁机器、工具和材料</w:t>
      </w:r>
      <w:r>
        <w:rPr>
          <w:rFonts w:hint="eastAsia" w:ascii="新宋体" w:hAnsi="新宋体" w:eastAsia="新宋体"/>
          <w:sz w:val="24"/>
          <w:szCs w:val="24"/>
        </w:rPr>
        <w:t>等</w:t>
      </w:r>
      <w:r>
        <w:rPr>
          <w:rFonts w:ascii="新宋体" w:hAnsi="新宋体" w:eastAsia="新宋体"/>
          <w:sz w:val="24"/>
          <w:szCs w:val="24"/>
        </w:rPr>
        <w:t>。</w:t>
      </w:r>
    </w:p>
    <w:p>
      <w:pPr>
        <w:widowControl/>
        <w:spacing w:line="440" w:lineRule="atLeast"/>
        <w:ind w:firstLine="480"/>
        <w:rPr>
          <w:rFonts w:hint="eastAsia" w:ascii="新宋体" w:hAnsi="新宋体" w:eastAsia="新宋体"/>
          <w:kern w:val="0"/>
          <w:sz w:val="24"/>
        </w:rPr>
      </w:pPr>
      <w:r>
        <w:rPr>
          <w:rFonts w:ascii="新宋体" w:hAnsi="新宋体" w:eastAsia="新宋体"/>
          <w:sz w:val="24"/>
        </w:rPr>
        <w:t>3</w:t>
      </w:r>
      <w:r>
        <w:rPr>
          <w:rFonts w:hint="eastAsia" w:ascii="新宋体" w:hAnsi="新宋体" w:eastAsia="新宋体"/>
          <w:sz w:val="24"/>
        </w:rPr>
        <w:t>.</w:t>
      </w:r>
      <w:r>
        <w:rPr>
          <w:rFonts w:ascii="新宋体" w:hAnsi="新宋体" w:eastAsia="新宋体"/>
          <w:sz w:val="24"/>
        </w:rPr>
        <w:t>提供水电给</w:t>
      </w:r>
      <w:r>
        <w:rPr>
          <w:rFonts w:hint="eastAsia" w:ascii="新宋体" w:hAnsi="新宋体" w:eastAsia="新宋体"/>
          <w:sz w:val="24"/>
        </w:rPr>
        <w:t>乙</w:t>
      </w:r>
      <w:r>
        <w:rPr>
          <w:rFonts w:ascii="新宋体" w:hAnsi="新宋体" w:eastAsia="新宋体"/>
          <w:sz w:val="24"/>
        </w:rPr>
        <w:t>方使用。</w:t>
      </w:r>
    </w:p>
    <w:p>
      <w:pPr>
        <w:widowControl/>
        <w:spacing w:line="440" w:lineRule="atLeast"/>
        <w:ind w:firstLine="480"/>
        <w:rPr>
          <w:rFonts w:hint="eastAsia" w:ascii="新宋体" w:hAnsi="新宋体" w:eastAsia="新宋体"/>
          <w:kern w:val="0"/>
          <w:sz w:val="24"/>
        </w:rPr>
      </w:pPr>
      <w:r>
        <w:rPr>
          <w:rFonts w:hint="eastAsia" w:ascii="新宋体" w:hAnsi="新宋体" w:eastAsia="新宋体"/>
          <w:kern w:val="0"/>
          <w:sz w:val="24"/>
        </w:rPr>
        <w:t>（二）乙方职责</w:t>
      </w:r>
    </w:p>
    <w:p>
      <w:pPr>
        <w:pStyle w:val="32"/>
        <w:spacing w:line="440" w:lineRule="exact"/>
        <w:ind w:firstLine="600" w:firstLineChars="250"/>
        <w:rPr>
          <w:rFonts w:ascii="新宋体" w:hAnsi="新宋体" w:eastAsia="新宋体"/>
          <w:sz w:val="24"/>
          <w:szCs w:val="24"/>
        </w:rPr>
      </w:pPr>
      <w:r>
        <w:rPr>
          <w:rFonts w:ascii="新宋体" w:hAnsi="新宋体" w:eastAsia="新宋体"/>
          <w:sz w:val="24"/>
          <w:szCs w:val="24"/>
        </w:rPr>
        <w:t>1</w:t>
      </w:r>
      <w:r>
        <w:rPr>
          <w:rFonts w:hint="eastAsia" w:ascii="新宋体" w:hAnsi="新宋体" w:eastAsia="新宋体"/>
          <w:sz w:val="24"/>
          <w:szCs w:val="24"/>
        </w:rPr>
        <w:t>.</w:t>
      </w:r>
      <w:r>
        <w:rPr>
          <w:rFonts w:ascii="新宋体" w:hAnsi="新宋体" w:eastAsia="新宋体"/>
          <w:sz w:val="24"/>
          <w:szCs w:val="24"/>
        </w:rPr>
        <w:t>严格依照本合同规定的具体标准，保证</w:t>
      </w:r>
      <w:r>
        <w:rPr>
          <w:rFonts w:hint="eastAsia" w:ascii="新宋体" w:hAnsi="新宋体" w:eastAsia="新宋体"/>
          <w:sz w:val="24"/>
          <w:szCs w:val="24"/>
        </w:rPr>
        <w:t>物业</w:t>
      </w:r>
      <w:r>
        <w:rPr>
          <w:rFonts w:ascii="新宋体" w:hAnsi="新宋体" w:eastAsia="新宋体"/>
          <w:sz w:val="24"/>
          <w:szCs w:val="24"/>
        </w:rPr>
        <w:t>管理的服务质量，不断提高服务水平。</w:t>
      </w:r>
    </w:p>
    <w:p>
      <w:pPr>
        <w:pStyle w:val="32"/>
        <w:spacing w:line="440" w:lineRule="exact"/>
        <w:ind w:firstLine="600" w:firstLineChars="250"/>
        <w:rPr>
          <w:rFonts w:ascii="新宋体" w:hAnsi="新宋体" w:eastAsia="新宋体"/>
          <w:sz w:val="24"/>
          <w:szCs w:val="24"/>
        </w:rPr>
      </w:pPr>
      <w:r>
        <w:rPr>
          <w:rFonts w:ascii="新宋体" w:hAnsi="新宋体" w:eastAsia="新宋体"/>
          <w:sz w:val="24"/>
          <w:szCs w:val="24"/>
        </w:rPr>
        <w:t>2</w:t>
      </w:r>
      <w:r>
        <w:rPr>
          <w:rFonts w:hint="eastAsia" w:ascii="新宋体" w:hAnsi="新宋体" w:eastAsia="新宋体"/>
          <w:sz w:val="24"/>
          <w:szCs w:val="24"/>
        </w:rPr>
        <w:t>.</w:t>
      </w:r>
      <w:r>
        <w:rPr>
          <w:rFonts w:ascii="新宋体" w:hAnsi="新宋体" w:eastAsia="新宋体"/>
          <w:sz w:val="24"/>
          <w:szCs w:val="24"/>
        </w:rPr>
        <w:t>教育员工遵守</w:t>
      </w:r>
      <w:r>
        <w:rPr>
          <w:rFonts w:hint="eastAsia" w:ascii="新宋体" w:hAnsi="新宋体" w:eastAsia="新宋体"/>
          <w:sz w:val="24"/>
          <w:szCs w:val="24"/>
        </w:rPr>
        <w:t>甲方</w:t>
      </w:r>
      <w:r>
        <w:rPr>
          <w:rFonts w:ascii="新宋体" w:hAnsi="新宋体" w:eastAsia="新宋体"/>
          <w:sz w:val="24"/>
          <w:szCs w:val="24"/>
        </w:rPr>
        <w:t>的各项管理制度，接受监督，爱护各种设施，注意节约用水用电。</w:t>
      </w:r>
    </w:p>
    <w:p>
      <w:pPr>
        <w:pStyle w:val="32"/>
        <w:spacing w:line="440" w:lineRule="exact"/>
        <w:ind w:firstLine="600" w:firstLineChars="250"/>
        <w:rPr>
          <w:rFonts w:ascii="新宋体" w:hAnsi="新宋体" w:eastAsia="新宋体"/>
          <w:sz w:val="24"/>
          <w:szCs w:val="24"/>
        </w:rPr>
      </w:pPr>
      <w:r>
        <w:rPr>
          <w:rFonts w:ascii="新宋体" w:hAnsi="新宋体" w:eastAsia="新宋体"/>
          <w:sz w:val="24"/>
          <w:szCs w:val="24"/>
        </w:rPr>
        <w:t>3</w:t>
      </w:r>
      <w:r>
        <w:rPr>
          <w:rFonts w:hint="eastAsia" w:ascii="新宋体" w:hAnsi="新宋体" w:eastAsia="新宋体"/>
          <w:sz w:val="24"/>
          <w:szCs w:val="24"/>
        </w:rPr>
        <w:t>.</w:t>
      </w:r>
      <w:r>
        <w:rPr>
          <w:rFonts w:ascii="新宋体" w:hAnsi="新宋体" w:eastAsia="新宋体"/>
          <w:sz w:val="24"/>
          <w:szCs w:val="24"/>
        </w:rPr>
        <w:t>乙方所有参与</w:t>
      </w:r>
      <w:r>
        <w:rPr>
          <w:rFonts w:hint="eastAsia" w:ascii="新宋体" w:hAnsi="新宋体" w:eastAsia="新宋体"/>
          <w:sz w:val="24"/>
          <w:szCs w:val="24"/>
        </w:rPr>
        <w:t>甲方____楼机关大楼物业管理</w:t>
      </w:r>
      <w:r>
        <w:rPr>
          <w:rFonts w:ascii="新宋体" w:hAnsi="新宋体" w:eastAsia="新宋体"/>
          <w:sz w:val="24"/>
          <w:szCs w:val="24"/>
        </w:rPr>
        <w:t>的员工，全部由乙方直接聘用。由乙方承担派出人员的人身安全责任等。乙方必须按有关规定足额交纳员工社会保险金，并足额支付员工超时及节假日加班费用。</w:t>
      </w:r>
    </w:p>
    <w:p>
      <w:pPr>
        <w:pStyle w:val="32"/>
        <w:spacing w:line="440" w:lineRule="exact"/>
        <w:ind w:firstLine="600" w:firstLineChars="250"/>
        <w:rPr>
          <w:rFonts w:hint="eastAsia" w:ascii="新宋体" w:hAnsi="新宋体" w:eastAsia="新宋体"/>
          <w:sz w:val="24"/>
          <w:szCs w:val="24"/>
        </w:rPr>
      </w:pPr>
      <w:r>
        <w:rPr>
          <w:rFonts w:hint="eastAsia" w:ascii="新宋体" w:hAnsi="新宋体" w:eastAsia="新宋体"/>
          <w:sz w:val="24"/>
          <w:szCs w:val="24"/>
        </w:rPr>
        <w:t>4.</w:t>
      </w:r>
      <w:r>
        <w:rPr>
          <w:rFonts w:ascii="新宋体" w:hAnsi="新宋体" w:eastAsia="新宋体"/>
          <w:sz w:val="24"/>
          <w:szCs w:val="24"/>
        </w:rPr>
        <w:t>乙方</w:t>
      </w:r>
      <w:r>
        <w:rPr>
          <w:rFonts w:hint="eastAsia" w:ascii="新宋体" w:hAnsi="新宋体" w:eastAsia="新宋体"/>
          <w:sz w:val="24"/>
          <w:szCs w:val="24"/>
        </w:rPr>
        <w:t>派出工作人员为____人，管理人员为____人。</w:t>
      </w:r>
    </w:p>
    <w:p>
      <w:pPr>
        <w:pStyle w:val="32"/>
        <w:spacing w:line="440" w:lineRule="exact"/>
        <w:ind w:firstLine="600" w:firstLineChars="250"/>
        <w:rPr>
          <w:rFonts w:ascii="新宋体" w:hAnsi="新宋体" w:eastAsia="新宋体"/>
          <w:sz w:val="24"/>
          <w:szCs w:val="24"/>
        </w:rPr>
      </w:pPr>
      <w:r>
        <w:rPr>
          <w:rFonts w:hint="eastAsia" w:ascii="新宋体" w:hAnsi="新宋体" w:eastAsia="新宋体"/>
          <w:sz w:val="24"/>
          <w:szCs w:val="24"/>
        </w:rPr>
        <w:t>5.</w:t>
      </w:r>
      <w:r>
        <w:rPr>
          <w:rFonts w:ascii="新宋体" w:hAnsi="新宋体" w:eastAsia="新宋体"/>
          <w:sz w:val="24"/>
          <w:szCs w:val="24"/>
        </w:rPr>
        <w:t>凡甲方检查中发现乙方员工人数不足的，每少一人次扣1分，并处罚金1000元。（员工请病假、事假的,请办理相关手续后报甲方备案）</w:t>
      </w:r>
    </w:p>
    <w:p>
      <w:pPr>
        <w:pStyle w:val="32"/>
        <w:spacing w:line="440" w:lineRule="exact"/>
        <w:ind w:firstLine="600" w:firstLineChars="250"/>
        <w:rPr>
          <w:rFonts w:ascii="新宋体" w:hAnsi="新宋体" w:eastAsia="新宋体"/>
          <w:sz w:val="24"/>
          <w:szCs w:val="24"/>
        </w:rPr>
      </w:pPr>
      <w:r>
        <w:rPr>
          <w:rFonts w:hint="eastAsia" w:ascii="新宋体" w:hAnsi="新宋体" w:eastAsia="新宋体"/>
          <w:sz w:val="24"/>
          <w:szCs w:val="24"/>
        </w:rPr>
        <w:t>6.</w:t>
      </w:r>
      <w:r>
        <w:rPr>
          <w:rFonts w:ascii="新宋体" w:hAnsi="新宋体" w:eastAsia="新宋体"/>
          <w:sz w:val="24"/>
          <w:szCs w:val="24"/>
        </w:rPr>
        <w:t>所有员工的资质和行为准则必须符合本合同及附件和甲方有关规章制度的规定，项目经理等岗位人员必须安排有关规定持证上岗。</w:t>
      </w:r>
    </w:p>
    <w:p>
      <w:pPr>
        <w:pStyle w:val="32"/>
        <w:spacing w:line="440" w:lineRule="exact"/>
        <w:ind w:firstLine="600" w:firstLineChars="250"/>
        <w:rPr>
          <w:rFonts w:hint="eastAsia" w:ascii="新宋体" w:hAnsi="新宋体" w:eastAsia="新宋体"/>
          <w:sz w:val="24"/>
          <w:szCs w:val="24"/>
        </w:rPr>
      </w:pPr>
      <w:r>
        <w:rPr>
          <w:rFonts w:hint="eastAsia" w:ascii="新宋体" w:hAnsi="新宋体" w:eastAsia="新宋体"/>
          <w:sz w:val="24"/>
          <w:szCs w:val="24"/>
        </w:rPr>
        <w:t>7.</w:t>
      </w:r>
      <w:r>
        <w:rPr>
          <w:rFonts w:ascii="新宋体" w:hAnsi="新宋体" w:eastAsia="新宋体"/>
          <w:sz w:val="24"/>
          <w:szCs w:val="24"/>
        </w:rPr>
        <w:t>乙方应全面落实人员登记制度，加强</w:t>
      </w:r>
      <w:r>
        <w:rPr>
          <w:rFonts w:hint="eastAsia" w:ascii="新宋体" w:hAnsi="新宋体" w:eastAsia="新宋体"/>
          <w:sz w:val="24"/>
          <w:szCs w:val="24"/>
        </w:rPr>
        <w:t>员工</w:t>
      </w:r>
      <w:r>
        <w:rPr>
          <w:rFonts w:ascii="新宋体" w:hAnsi="新宋体" w:eastAsia="新宋体"/>
          <w:sz w:val="24"/>
          <w:szCs w:val="24"/>
        </w:rPr>
        <w:t>管理，保证</w:t>
      </w:r>
      <w:r>
        <w:rPr>
          <w:rFonts w:hint="eastAsia" w:ascii="新宋体" w:hAnsi="新宋体" w:eastAsia="新宋体"/>
          <w:sz w:val="24"/>
          <w:szCs w:val="24"/>
        </w:rPr>
        <w:t>甲方</w:t>
      </w:r>
      <w:r>
        <w:rPr>
          <w:rFonts w:ascii="新宋体" w:hAnsi="新宋体" w:eastAsia="新宋体"/>
          <w:sz w:val="24"/>
          <w:szCs w:val="24"/>
        </w:rPr>
        <w:t>的安全、有序。</w:t>
      </w:r>
    </w:p>
    <w:p>
      <w:pPr>
        <w:pStyle w:val="32"/>
        <w:spacing w:line="440" w:lineRule="exact"/>
        <w:ind w:firstLine="600" w:firstLineChars="250"/>
        <w:rPr>
          <w:rFonts w:ascii="新宋体" w:hAnsi="新宋体" w:eastAsia="新宋体"/>
          <w:sz w:val="24"/>
          <w:szCs w:val="24"/>
        </w:rPr>
      </w:pPr>
      <w:r>
        <w:rPr>
          <w:rFonts w:hint="eastAsia" w:ascii="新宋体" w:hAnsi="新宋体" w:eastAsia="新宋体"/>
          <w:sz w:val="24"/>
          <w:szCs w:val="24"/>
        </w:rPr>
        <w:t>8.</w:t>
      </w:r>
      <w:r>
        <w:rPr>
          <w:rFonts w:ascii="新宋体" w:hAnsi="新宋体" w:eastAsia="新宋体"/>
          <w:sz w:val="24"/>
          <w:szCs w:val="24"/>
        </w:rPr>
        <w:t>严格遵守甲方的各项规章制度，违规违纪人员甲方有权建议辞退、解聘。</w:t>
      </w:r>
    </w:p>
    <w:p>
      <w:pPr>
        <w:pStyle w:val="32"/>
        <w:spacing w:line="440" w:lineRule="exact"/>
        <w:ind w:firstLine="600" w:firstLineChars="250"/>
        <w:rPr>
          <w:rFonts w:ascii="新宋体" w:hAnsi="新宋体" w:eastAsia="新宋体"/>
          <w:sz w:val="24"/>
          <w:szCs w:val="24"/>
        </w:rPr>
      </w:pPr>
      <w:r>
        <w:rPr>
          <w:rFonts w:hint="eastAsia" w:ascii="新宋体" w:hAnsi="新宋体" w:eastAsia="新宋体"/>
          <w:sz w:val="24"/>
          <w:szCs w:val="24"/>
        </w:rPr>
        <w:t>9.</w:t>
      </w:r>
      <w:r>
        <w:rPr>
          <w:rFonts w:ascii="新宋体" w:hAnsi="新宋体" w:eastAsia="新宋体"/>
          <w:sz w:val="24"/>
          <w:szCs w:val="24"/>
        </w:rPr>
        <w:t>乙方应建立完善实用内部监督考核机制，并不断地进行完善，定期内部考核，层层落实，确保各</w:t>
      </w:r>
      <w:r>
        <w:rPr>
          <w:rFonts w:hint="eastAsia" w:ascii="新宋体" w:hAnsi="新宋体" w:eastAsia="新宋体"/>
          <w:sz w:val="24"/>
          <w:szCs w:val="24"/>
        </w:rPr>
        <w:t>物业服务项目</w:t>
      </w:r>
      <w:r>
        <w:rPr>
          <w:rFonts w:ascii="新宋体" w:hAnsi="新宋体" w:eastAsia="新宋体"/>
          <w:sz w:val="24"/>
          <w:szCs w:val="24"/>
        </w:rPr>
        <w:t>符合标准，如因监督管理不善，导致</w:t>
      </w:r>
      <w:r>
        <w:rPr>
          <w:rFonts w:hint="eastAsia" w:ascii="新宋体" w:hAnsi="新宋体" w:eastAsia="新宋体"/>
          <w:sz w:val="24"/>
          <w:szCs w:val="24"/>
        </w:rPr>
        <w:t>物业</w:t>
      </w:r>
      <w:r>
        <w:rPr>
          <w:rFonts w:ascii="新宋体" w:hAnsi="新宋体" w:eastAsia="新宋体"/>
          <w:sz w:val="24"/>
          <w:szCs w:val="24"/>
        </w:rPr>
        <w:t>不符合标准的，甲方将对其进行考核，乙方不得将考核扣分简单地分解给员</w:t>
      </w:r>
      <w:r>
        <w:rPr>
          <w:rFonts w:hint="eastAsia" w:ascii="新宋体" w:hAnsi="新宋体" w:eastAsia="新宋体"/>
          <w:sz w:val="24"/>
          <w:szCs w:val="24"/>
        </w:rPr>
        <w:t>工</w:t>
      </w:r>
      <w:r>
        <w:rPr>
          <w:rFonts w:ascii="新宋体" w:hAnsi="新宋体" w:eastAsia="新宋体"/>
          <w:sz w:val="24"/>
          <w:szCs w:val="24"/>
        </w:rPr>
        <w:t>，以免引起一些不良的后果。</w:t>
      </w:r>
    </w:p>
    <w:p>
      <w:pPr>
        <w:pStyle w:val="32"/>
        <w:spacing w:line="440" w:lineRule="exact"/>
        <w:ind w:firstLine="600" w:firstLineChars="250"/>
        <w:rPr>
          <w:rFonts w:ascii="新宋体" w:hAnsi="新宋体" w:eastAsia="新宋体"/>
          <w:sz w:val="24"/>
          <w:szCs w:val="24"/>
        </w:rPr>
      </w:pPr>
      <w:r>
        <w:rPr>
          <w:rFonts w:hint="eastAsia" w:ascii="新宋体" w:hAnsi="新宋体" w:eastAsia="新宋体"/>
          <w:sz w:val="24"/>
          <w:szCs w:val="24"/>
        </w:rPr>
        <w:t>10.</w:t>
      </w:r>
      <w:r>
        <w:rPr>
          <w:rFonts w:ascii="新宋体" w:hAnsi="新宋体" w:eastAsia="新宋体"/>
          <w:sz w:val="24"/>
          <w:szCs w:val="24"/>
        </w:rPr>
        <w:t>乙方新进员工必须接受教育培训，培训合格后，方可上岗。</w:t>
      </w:r>
    </w:p>
    <w:p>
      <w:pPr>
        <w:pStyle w:val="32"/>
        <w:spacing w:line="440" w:lineRule="exact"/>
        <w:ind w:firstLine="600" w:firstLineChars="250"/>
        <w:rPr>
          <w:rFonts w:ascii="新宋体" w:hAnsi="新宋体" w:eastAsia="新宋体"/>
          <w:sz w:val="24"/>
          <w:szCs w:val="24"/>
        </w:rPr>
      </w:pPr>
      <w:r>
        <w:rPr>
          <w:rFonts w:hint="eastAsia" w:ascii="新宋体" w:hAnsi="新宋体" w:eastAsia="新宋体"/>
          <w:sz w:val="24"/>
          <w:szCs w:val="24"/>
        </w:rPr>
        <w:t>11.</w:t>
      </w:r>
      <w:r>
        <w:rPr>
          <w:rFonts w:ascii="新宋体" w:hAnsi="新宋体" w:eastAsia="新宋体"/>
          <w:sz w:val="24"/>
          <w:szCs w:val="24"/>
        </w:rPr>
        <w:t>加强员工队伍建设，统一着装，佩证上岗，树立良好的形象。</w:t>
      </w:r>
    </w:p>
    <w:p>
      <w:pPr>
        <w:pStyle w:val="32"/>
        <w:spacing w:line="440" w:lineRule="exact"/>
        <w:ind w:firstLine="600" w:firstLineChars="250"/>
        <w:rPr>
          <w:rFonts w:ascii="新宋体" w:hAnsi="新宋体" w:eastAsia="新宋体"/>
          <w:sz w:val="24"/>
          <w:szCs w:val="24"/>
        </w:rPr>
      </w:pPr>
      <w:r>
        <w:rPr>
          <w:rFonts w:hint="eastAsia" w:ascii="新宋体" w:hAnsi="新宋体" w:eastAsia="新宋体"/>
          <w:sz w:val="24"/>
          <w:szCs w:val="24"/>
        </w:rPr>
        <w:t>12.</w:t>
      </w:r>
      <w:r>
        <w:rPr>
          <w:rFonts w:ascii="新宋体" w:hAnsi="新宋体" w:eastAsia="新宋体"/>
          <w:sz w:val="24"/>
          <w:szCs w:val="24"/>
        </w:rPr>
        <w:t>乙方员工发生的工伤、意外事故、劳资纠纷等一切后果及费用由乙方全权负责，与甲方无关。</w:t>
      </w:r>
    </w:p>
    <w:p>
      <w:pPr>
        <w:pStyle w:val="32"/>
        <w:spacing w:line="440" w:lineRule="exact"/>
        <w:ind w:firstLine="600" w:firstLineChars="250"/>
        <w:rPr>
          <w:rFonts w:ascii="新宋体" w:hAnsi="新宋体" w:eastAsia="新宋体"/>
          <w:sz w:val="24"/>
          <w:szCs w:val="24"/>
        </w:rPr>
      </w:pPr>
      <w:r>
        <w:rPr>
          <w:rFonts w:hint="eastAsia" w:ascii="新宋体" w:hAnsi="新宋体" w:eastAsia="新宋体"/>
          <w:sz w:val="24"/>
          <w:szCs w:val="24"/>
        </w:rPr>
        <w:t>13.</w:t>
      </w:r>
      <w:r>
        <w:rPr>
          <w:rFonts w:ascii="新宋体" w:hAnsi="新宋体" w:eastAsia="新宋体"/>
          <w:sz w:val="24"/>
          <w:szCs w:val="24"/>
        </w:rPr>
        <w:t>工具材料、易耗品由乙方提供，并负责管理和使用。</w:t>
      </w:r>
    </w:p>
    <w:p>
      <w:pPr>
        <w:pStyle w:val="32"/>
        <w:spacing w:line="440" w:lineRule="exact"/>
        <w:ind w:firstLine="600" w:firstLineChars="250"/>
        <w:rPr>
          <w:rFonts w:ascii="新宋体" w:hAnsi="新宋体" w:eastAsia="新宋体"/>
          <w:sz w:val="24"/>
          <w:szCs w:val="24"/>
        </w:rPr>
      </w:pPr>
      <w:r>
        <w:rPr>
          <w:rFonts w:hint="eastAsia" w:ascii="新宋体" w:hAnsi="新宋体" w:eastAsia="新宋体"/>
          <w:sz w:val="24"/>
          <w:szCs w:val="24"/>
        </w:rPr>
        <w:t>14.</w:t>
      </w:r>
      <w:r>
        <w:rPr>
          <w:rFonts w:ascii="新宋体" w:hAnsi="新宋体" w:eastAsia="新宋体"/>
          <w:sz w:val="24"/>
          <w:szCs w:val="24"/>
        </w:rPr>
        <w:t>乙方</w:t>
      </w:r>
      <w:r>
        <w:rPr>
          <w:rFonts w:hint="eastAsia" w:ascii="新宋体" w:hAnsi="新宋体" w:eastAsia="新宋体"/>
          <w:sz w:val="24"/>
          <w:szCs w:val="24"/>
        </w:rPr>
        <w:t>物业</w:t>
      </w:r>
      <w:r>
        <w:rPr>
          <w:rFonts w:ascii="新宋体" w:hAnsi="新宋体" w:eastAsia="新宋体"/>
          <w:sz w:val="24"/>
          <w:szCs w:val="24"/>
        </w:rPr>
        <w:t>工作时间安排应符合</w:t>
      </w:r>
      <w:r>
        <w:rPr>
          <w:rFonts w:hint="eastAsia" w:ascii="新宋体" w:hAnsi="新宋体" w:eastAsia="新宋体"/>
          <w:sz w:val="24"/>
          <w:szCs w:val="24"/>
        </w:rPr>
        <w:t>政府机关实际情况和</w:t>
      </w:r>
      <w:r>
        <w:rPr>
          <w:rFonts w:ascii="新宋体" w:hAnsi="新宋体" w:eastAsia="新宋体"/>
          <w:sz w:val="24"/>
          <w:szCs w:val="24"/>
        </w:rPr>
        <w:t>规定时间。</w:t>
      </w:r>
    </w:p>
    <w:p>
      <w:pPr>
        <w:pStyle w:val="32"/>
        <w:spacing w:line="440" w:lineRule="exact"/>
        <w:ind w:firstLine="600" w:firstLineChars="250"/>
        <w:rPr>
          <w:rFonts w:ascii="新宋体" w:hAnsi="新宋体" w:eastAsia="新宋体"/>
          <w:sz w:val="24"/>
          <w:szCs w:val="24"/>
        </w:rPr>
      </w:pPr>
      <w:r>
        <w:rPr>
          <w:rFonts w:hint="eastAsia" w:ascii="新宋体" w:hAnsi="新宋体" w:eastAsia="新宋体"/>
          <w:sz w:val="24"/>
          <w:szCs w:val="24"/>
        </w:rPr>
        <w:t>15.</w:t>
      </w:r>
      <w:r>
        <w:rPr>
          <w:rFonts w:ascii="新宋体" w:hAnsi="新宋体" w:eastAsia="新宋体"/>
          <w:sz w:val="24"/>
          <w:szCs w:val="24"/>
        </w:rPr>
        <w:t>由于乙方原因造成消防、电气、漏水等事故，由乙方承担相应法律与经济责任。</w:t>
      </w:r>
    </w:p>
    <w:p>
      <w:pPr>
        <w:pStyle w:val="32"/>
        <w:spacing w:line="440" w:lineRule="exact"/>
        <w:ind w:firstLine="600" w:firstLineChars="250"/>
        <w:rPr>
          <w:rFonts w:ascii="新宋体" w:hAnsi="新宋体" w:eastAsia="新宋体"/>
          <w:sz w:val="24"/>
          <w:szCs w:val="24"/>
        </w:rPr>
      </w:pPr>
      <w:r>
        <w:rPr>
          <w:rFonts w:hint="eastAsia" w:ascii="新宋体" w:hAnsi="新宋体" w:eastAsia="新宋体"/>
          <w:sz w:val="24"/>
          <w:szCs w:val="24"/>
        </w:rPr>
        <w:t>16.</w:t>
      </w:r>
      <w:r>
        <w:rPr>
          <w:rFonts w:ascii="新宋体" w:hAnsi="新宋体" w:eastAsia="新宋体"/>
          <w:sz w:val="24"/>
          <w:szCs w:val="24"/>
        </w:rPr>
        <w:t>乙方员工应节约用水、用电，杜绝浪费。</w:t>
      </w:r>
    </w:p>
    <w:p>
      <w:pPr>
        <w:pStyle w:val="32"/>
        <w:spacing w:line="440" w:lineRule="exact"/>
        <w:ind w:firstLine="600" w:firstLineChars="250"/>
        <w:rPr>
          <w:rFonts w:ascii="新宋体" w:hAnsi="新宋体" w:eastAsia="新宋体"/>
          <w:sz w:val="24"/>
          <w:szCs w:val="24"/>
        </w:rPr>
      </w:pPr>
      <w:r>
        <w:rPr>
          <w:rFonts w:hint="eastAsia" w:ascii="新宋体" w:hAnsi="新宋体" w:eastAsia="新宋体"/>
          <w:sz w:val="24"/>
          <w:szCs w:val="24"/>
        </w:rPr>
        <w:t>17.</w:t>
      </w:r>
      <w:r>
        <w:rPr>
          <w:rFonts w:ascii="新宋体" w:hAnsi="新宋体" w:eastAsia="新宋体"/>
          <w:sz w:val="24"/>
          <w:szCs w:val="24"/>
        </w:rPr>
        <w:t>乙方有义务配合甲方做好创建、文明卫生宣传等工作。</w:t>
      </w:r>
    </w:p>
    <w:p>
      <w:pPr>
        <w:pStyle w:val="32"/>
        <w:spacing w:line="440" w:lineRule="exact"/>
        <w:ind w:firstLine="600" w:firstLineChars="250"/>
        <w:rPr>
          <w:rFonts w:ascii="新宋体" w:hAnsi="新宋体" w:eastAsia="新宋体"/>
          <w:sz w:val="24"/>
          <w:szCs w:val="24"/>
        </w:rPr>
      </w:pPr>
      <w:r>
        <w:rPr>
          <w:rFonts w:hint="eastAsia" w:ascii="新宋体" w:hAnsi="新宋体" w:eastAsia="新宋体"/>
          <w:sz w:val="24"/>
          <w:szCs w:val="24"/>
        </w:rPr>
        <w:t>18.</w:t>
      </w:r>
      <w:r>
        <w:rPr>
          <w:rFonts w:ascii="新宋体" w:hAnsi="新宋体" w:eastAsia="新宋体"/>
          <w:sz w:val="24"/>
          <w:szCs w:val="24"/>
        </w:rPr>
        <w:t>乙方员工拾捡的所有废品，须统一管理，不得乱堆乱放，造成安全事故一切后果由乙方承担。</w:t>
      </w:r>
    </w:p>
    <w:p>
      <w:pPr>
        <w:pStyle w:val="32"/>
        <w:spacing w:line="440" w:lineRule="exact"/>
        <w:ind w:firstLine="600" w:firstLineChars="250"/>
        <w:rPr>
          <w:rFonts w:ascii="新宋体" w:hAnsi="新宋体" w:eastAsia="新宋体"/>
          <w:sz w:val="24"/>
          <w:szCs w:val="24"/>
        </w:rPr>
      </w:pPr>
      <w:r>
        <w:rPr>
          <w:rFonts w:hint="eastAsia" w:ascii="新宋体" w:hAnsi="新宋体" w:eastAsia="新宋体"/>
          <w:sz w:val="24"/>
          <w:szCs w:val="24"/>
        </w:rPr>
        <w:t>19.</w:t>
      </w:r>
      <w:r>
        <w:rPr>
          <w:rFonts w:ascii="新宋体" w:hAnsi="新宋体" w:eastAsia="新宋体"/>
          <w:sz w:val="24"/>
          <w:szCs w:val="24"/>
        </w:rPr>
        <w:t>因地面清洁不及时或湿滑等原因导致人员摔伤</w:t>
      </w:r>
      <w:r>
        <w:rPr>
          <w:rFonts w:hint="eastAsia" w:ascii="新宋体" w:hAnsi="新宋体" w:eastAsia="新宋体"/>
          <w:sz w:val="24"/>
          <w:szCs w:val="24"/>
        </w:rPr>
        <w:t>，车辆管理不善导致碰撞的</w:t>
      </w:r>
      <w:r>
        <w:rPr>
          <w:rFonts w:ascii="新宋体" w:hAnsi="新宋体" w:eastAsia="新宋体"/>
          <w:sz w:val="24"/>
          <w:szCs w:val="24"/>
        </w:rPr>
        <w:t>，后果由乙方承担。</w:t>
      </w:r>
    </w:p>
    <w:p>
      <w:pPr>
        <w:pStyle w:val="32"/>
        <w:spacing w:line="440" w:lineRule="exact"/>
        <w:ind w:left="1" w:firstLine="537" w:firstLineChars="224"/>
        <w:rPr>
          <w:rFonts w:hint="eastAsia" w:ascii="新宋体" w:hAnsi="新宋体" w:eastAsia="新宋体"/>
          <w:sz w:val="24"/>
          <w:szCs w:val="24"/>
        </w:rPr>
      </w:pPr>
      <w:r>
        <w:rPr>
          <w:rFonts w:hint="eastAsia" w:ascii="新宋体" w:hAnsi="新宋体" w:eastAsia="新宋体"/>
          <w:sz w:val="24"/>
          <w:szCs w:val="24"/>
        </w:rPr>
        <w:t>九、违约责任：</w:t>
      </w:r>
    </w:p>
    <w:p>
      <w:pPr>
        <w:pStyle w:val="32"/>
        <w:spacing w:line="440" w:lineRule="exact"/>
        <w:ind w:firstLine="600" w:firstLineChars="250"/>
        <w:rPr>
          <w:rFonts w:ascii="新宋体" w:hAnsi="新宋体" w:eastAsia="新宋体"/>
          <w:sz w:val="24"/>
          <w:szCs w:val="24"/>
        </w:rPr>
      </w:pPr>
      <w:r>
        <w:rPr>
          <w:rFonts w:ascii="新宋体" w:hAnsi="新宋体" w:eastAsia="新宋体"/>
          <w:sz w:val="24"/>
          <w:szCs w:val="24"/>
        </w:rPr>
        <w:t>1</w:t>
      </w:r>
      <w:r>
        <w:rPr>
          <w:rFonts w:hint="eastAsia" w:ascii="新宋体" w:hAnsi="新宋体" w:eastAsia="新宋体"/>
          <w:sz w:val="24"/>
          <w:szCs w:val="24"/>
        </w:rPr>
        <w:t>.</w:t>
      </w:r>
      <w:r>
        <w:rPr>
          <w:rFonts w:ascii="新宋体" w:hAnsi="新宋体" w:eastAsia="新宋体"/>
          <w:sz w:val="24"/>
          <w:szCs w:val="24"/>
        </w:rPr>
        <w:t>甲方无正当理由</w:t>
      </w:r>
      <w:r>
        <w:rPr>
          <w:rFonts w:hint="eastAsia" w:ascii="新宋体" w:hAnsi="新宋体" w:eastAsia="新宋体"/>
          <w:sz w:val="24"/>
          <w:szCs w:val="24"/>
        </w:rPr>
        <w:t>拒绝</w:t>
      </w:r>
      <w:r>
        <w:rPr>
          <w:rFonts w:ascii="新宋体" w:hAnsi="新宋体" w:eastAsia="新宋体"/>
          <w:sz w:val="24"/>
          <w:szCs w:val="24"/>
        </w:rPr>
        <w:t>接受服务的，甲方向乙方偿付合同款项百分之五作为违约金。</w:t>
      </w:r>
    </w:p>
    <w:p>
      <w:pPr>
        <w:pStyle w:val="32"/>
        <w:spacing w:line="440" w:lineRule="exact"/>
        <w:ind w:firstLine="600" w:firstLineChars="250"/>
        <w:rPr>
          <w:rFonts w:ascii="新宋体" w:hAnsi="新宋体" w:eastAsia="新宋体"/>
          <w:sz w:val="24"/>
          <w:szCs w:val="24"/>
        </w:rPr>
      </w:pPr>
      <w:r>
        <w:rPr>
          <w:rFonts w:ascii="新宋体" w:hAnsi="新宋体" w:eastAsia="新宋体"/>
          <w:sz w:val="24"/>
          <w:szCs w:val="24"/>
        </w:rPr>
        <w:t>2</w:t>
      </w:r>
      <w:r>
        <w:rPr>
          <w:rFonts w:hint="eastAsia" w:ascii="新宋体" w:hAnsi="新宋体" w:eastAsia="新宋体"/>
          <w:sz w:val="24"/>
          <w:szCs w:val="24"/>
        </w:rPr>
        <w:t>.</w:t>
      </w:r>
      <w:r>
        <w:rPr>
          <w:rFonts w:ascii="新宋体" w:hAnsi="新宋体" w:eastAsia="新宋体"/>
          <w:sz w:val="24"/>
          <w:szCs w:val="24"/>
        </w:rPr>
        <w:t>甲方无故逾期验收和办理款项支付手续的,甲方应按逾期付款总额每日万分之五向乙方支付违约金。</w:t>
      </w:r>
    </w:p>
    <w:p>
      <w:pPr>
        <w:pStyle w:val="32"/>
        <w:spacing w:line="440" w:lineRule="exact"/>
        <w:ind w:firstLine="600" w:firstLineChars="250"/>
        <w:rPr>
          <w:rFonts w:hint="eastAsia" w:ascii="新宋体" w:hAnsi="新宋体" w:eastAsia="新宋体"/>
          <w:sz w:val="24"/>
          <w:szCs w:val="24"/>
        </w:rPr>
      </w:pPr>
      <w:r>
        <w:rPr>
          <w:rFonts w:ascii="新宋体" w:hAnsi="新宋体" w:eastAsia="新宋体"/>
          <w:sz w:val="24"/>
          <w:szCs w:val="24"/>
        </w:rPr>
        <w:t>3</w:t>
      </w:r>
      <w:r>
        <w:rPr>
          <w:rFonts w:hint="eastAsia" w:ascii="新宋体" w:hAnsi="新宋体" w:eastAsia="新宋体"/>
          <w:sz w:val="24"/>
          <w:szCs w:val="24"/>
        </w:rPr>
        <w:t>.</w:t>
      </w:r>
      <w:r>
        <w:rPr>
          <w:rFonts w:ascii="新宋体" w:hAnsi="新宋体" w:eastAsia="新宋体"/>
          <w:sz w:val="24"/>
          <w:szCs w:val="24"/>
        </w:rPr>
        <w:t>乙方</w:t>
      </w:r>
      <w:r>
        <w:rPr>
          <w:rFonts w:hint="eastAsia" w:ascii="新宋体" w:hAnsi="新宋体" w:eastAsia="新宋体"/>
          <w:sz w:val="24"/>
          <w:szCs w:val="24"/>
        </w:rPr>
        <w:t>未能如</w:t>
      </w:r>
      <w:r>
        <w:rPr>
          <w:rFonts w:ascii="新宋体" w:hAnsi="新宋体" w:eastAsia="新宋体"/>
          <w:sz w:val="24"/>
          <w:szCs w:val="24"/>
        </w:rPr>
        <w:t>期提供服务的，</w:t>
      </w:r>
      <w:r>
        <w:rPr>
          <w:rFonts w:hint="eastAsia" w:ascii="新宋体" w:hAnsi="新宋体" w:eastAsia="新宋体"/>
          <w:sz w:val="24"/>
          <w:szCs w:val="24"/>
        </w:rPr>
        <w:t>每延期一日</w:t>
      </w:r>
      <w:r>
        <w:rPr>
          <w:rFonts w:ascii="新宋体" w:hAnsi="新宋体" w:eastAsia="新宋体"/>
          <w:sz w:val="24"/>
          <w:szCs w:val="24"/>
        </w:rPr>
        <w:t>向甲方支付</w:t>
      </w:r>
      <w:r>
        <w:rPr>
          <w:rFonts w:hint="eastAsia" w:ascii="新宋体" w:hAnsi="新宋体" w:eastAsia="新宋体"/>
          <w:sz w:val="24"/>
          <w:szCs w:val="24"/>
        </w:rPr>
        <w:t>合同款项的</w:t>
      </w:r>
      <w:r>
        <w:rPr>
          <w:rFonts w:ascii="新宋体" w:hAnsi="新宋体" w:eastAsia="新宋体"/>
          <w:sz w:val="24"/>
          <w:szCs w:val="24"/>
          <w:u w:val="single"/>
        </w:rPr>
        <w:t>千分之六</w:t>
      </w:r>
      <w:r>
        <w:rPr>
          <w:rFonts w:hint="eastAsia" w:ascii="新宋体" w:hAnsi="新宋体" w:eastAsia="新宋体"/>
          <w:sz w:val="24"/>
          <w:szCs w:val="24"/>
        </w:rPr>
        <w:t>作为</w:t>
      </w:r>
      <w:r>
        <w:rPr>
          <w:rFonts w:ascii="新宋体" w:hAnsi="新宋体" w:eastAsia="新宋体"/>
          <w:sz w:val="24"/>
          <w:szCs w:val="24"/>
        </w:rPr>
        <w:t>违约金。乙方超过约定日期10个工作日</w:t>
      </w:r>
      <w:r>
        <w:rPr>
          <w:rFonts w:hint="eastAsia" w:ascii="新宋体" w:hAnsi="新宋体" w:eastAsia="新宋体"/>
          <w:sz w:val="24"/>
          <w:szCs w:val="24"/>
        </w:rPr>
        <w:t>仍</w:t>
      </w:r>
      <w:r>
        <w:rPr>
          <w:rFonts w:ascii="新宋体" w:hAnsi="新宋体" w:eastAsia="新宋体"/>
          <w:sz w:val="24"/>
          <w:szCs w:val="24"/>
        </w:rPr>
        <w:t>不能</w:t>
      </w:r>
      <w:r>
        <w:rPr>
          <w:rFonts w:hint="eastAsia" w:ascii="新宋体" w:hAnsi="新宋体" w:eastAsia="新宋体"/>
          <w:sz w:val="24"/>
          <w:szCs w:val="24"/>
        </w:rPr>
        <w:t>提供服务</w:t>
      </w:r>
      <w:r>
        <w:rPr>
          <w:rFonts w:ascii="新宋体" w:hAnsi="新宋体" w:eastAsia="新宋体"/>
          <w:sz w:val="24"/>
          <w:szCs w:val="24"/>
        </w:rPr>
        <w:t>的，甲方可解除本合同。乙方因</w:t>
      </w:r>
      <w:r>
        <w:rPr>
          <w:rFonts w:hint="eastAsia" w:ascii="新宋体" w:hAnsi="新宋体" w:eastAsia="新宋体"/>
          <w:sz w:val="24"/>
          <w:szCs w:val="24"/>
        </w:rPr>
        <w:t>未能如</w:t>
      </w:r>
      <w:r>
        <w:rPr>
          <w:rFonts w:ascii="新宋体" w:hAnsi="新宋体" w:eastAsia="新宋体"/>
          <w:sz w:val="24"/>
          <w:szCs w:val="24"/>
        </w:rPr>
        <w:t>期提供服务或因其他违约行为导致甲方解除合同的，乙方应向甲方支付合同总</w:t>
      </w:r>
      <w:r>
        <w:rPr>
          <w:rFonts w:hint="eastAsia" w:ascii="新宋体" w:hAnsi="新宋体" w:eastAsia="新宋体"/>
          <w:sz w:val="24"/>
          <w:szCs w:val="24"/>
        </w:rPr>
        <w:t>金额</w:t>
      </w:r>
      <w:r>
        <w:rPr>
          <w:rFonts w:ascii="新宋体" w:hAnsi="新宋体" w:eastAsia="新宋体"/>
          <w:sz w:val="24"/>
          <w:szCs w:val="24"/>
        </w:rPr>
        <w:t xml:space="preserve">5%的违约金，如造成甲方损失超过违约金的，超出部分由乙方继续承担赔偿责任。 </w:t>
      </w:r>
    </w:p>
    <w:p>
      <w:pPr>
        <w:pStyle w:val="32"/>
        <w:spacing w:line="440" w:lineRule="exact"/>
        <w:ind w:firstLine="600" w:firstLineChars="250"/>
        <w:rPr>
          <w:rFonts w:hint="eastAsia" w:ascii="新宋体" w:hAnsi="新宋体" w:eastAsia="新宋体"/>
          <w:sz w:val="24"/>
          <w:szCs w:val="24"/>
        </w:rPr>
      </w:pPr>
      <w:r>
        <w:rPr>
          <w:rFonts w:hint="eastAsia" w:ascii="新宋体" w:hAnsi="新宋体" w:eastAsia="新宋体"/>
          <w:sz w:val="24"/>
          <w:szCs w:val="24"/>
        </w:rPr>
        <w:t>4.如果</w:t>
      </w:r>
      <w:r>
        <w:rPr>
          <w:rFonts w:ascii="新宋体" w:hAnsi="新宋体" w:eastAsia="新宋体"/>
          <w:sz w:val="24"/>
          <w:szCs w:val="24"/>
        </w:rPr>
        <w:t>乙方</w:t>
      </w:r>
      <w:r>
        <w:rPr>
          <w:rFonts w:hint="eastAsia" w:ascii="新宋体" w:hAnsi="新宋体" w:eastAsia="新宋体"/>
          <w:sz w:val="24"/>
          <w:szCs w:val="24"/>
        </w:rPr>
        <w:t>提供的服务项目的质量未达到本合同规定标准的，则</w:t>
      </w:r>
      <w:r>
        <w:rPr>
          <w:rFonts w:ascii="新宋体" w:hAnsi="新宋体" w:eastAsia="新宋体"/>
          <w:sz w:val="24"/>
          <w:szCs w:val="24"/>
        </w:rPr>
        <w:t>甲方</w:t>
      </w:r>
      <w:r>
        <w:rPr>
          <w:rFonts w:hint="eastAsia" w:ascii="新宋体" w:hAnsi="新宋体" w:eastAsia="新宋体"/>
          <w:sz w:val="24"/>
          <w:szCs w:val="24"/>
        </w:rPr>
        <w:t>有权要求乙方限期改正，</w:t>
      </w:r>
      <w:r>
        <w:rPr>
          <w:rFonts w:ascii="新宋体" w:hAnsi="新宋体" w:eastAsia="新宋体"/>
          <w:sz w:val="24"/>
          <w:szCs w:val="24"/>
        </w:rPr>
        <w:t>乙方</w:t>
      </w:r>
      <w:r>
        <w:rPr>
          <w:rFonts w:hint="eastAsia" w:ascii="新宋体" w:hAnsi="新宋体" w:eastAsia="新宋体"/>
          <w:sz w:val="24"/>
          <w:szCs w:val="24"/>
        </w:rPr>
        <w:t>需向</w:t>
      </w:r>
      <w:r>
        <w:rPr>
          <w:rFonts w:ascii="新宋体" w:hAnsi="新宋体" w:eastAsia="新宋体"/>
          <w:sz w:val="24"/>
          <w:szCs w:val="24"/>
        </w:rPr>
        <w:t>甲方</w:t>
      </w:r>
      <w:r>
        <w:rPr>
          <w:rFonts w:hint="eastAsia" w:ascii="新宋体" w:hAnsi="新宋体" w:eastAsia="新宋体"/>
          <w:sz w:val="24"/>
          <w:szCs w:val="24"/>
        </w:rPr>
        <w:t>偿付合同款项的30%的违约金。</w:t>
      </w:r>
      <w:r>
        <w:rPr>
          <w:rFonts w:ascii="新宋体" w:hAnsi="新宋体" w:eastAsia="新宋体"/>
          <w:sz w:val="24"/>
          <w:szCs w:val="24"/>
        </w:rPr>
        <w:t>如造成甲方损失超过违约金的，超出部分由乙方继续承担赔偿责任。</w:t>
      </w:r>
    </w:p>
    <w:p>
      <w:pPr>
        <w:pStyle w:val="32"/>
        <w:spacing w:line="440" w:lineRule="exact"/>
        <w:ind w:firstLine="600" w:firstLineChars="250"/>
        <w:rPr>
          <w:rFonts w:hint="eastAsia" w:ascii="新宋体" w:hAnsi="新宋体" w:eastAsia="新宋体"/>
          <w:sz w:val="24"/>
          <w:szCs w:val="24"/>
        </w:rPr>
      </w:pPr>
      <w:r>
        <w:rPr>
          <w:rFonts w:hint="eastAsia" w:ascii="新宋体" w:hAnsi="新宋体" w:eastAsia="新宋体"/>
          <w:sz w:val="24"/>
          <w:szCs w:val="24"/>
        </w:rPr>
        <w:t>十、因服务的质量问题发生争议，由义乌市政府有关部门或其指定的技术单位进行质量鉴定，该鉴定结论是终局的，甲乙双方应当接受。</w:t>
      </w:r>
    </w:p>
    <w:p>
      <w:pPr>
        <w:pStyle w:val="32"/>
        <w:spacing w:line="440" w:lineRule="exact"/>
        <w:ind w:firstLine="480" w:firstLineChars="200"/>
        <w:rPr>
          <w:rFonts w:hint="eastAsia" w:ascii="新宋体" w:hAnsi="新宋体" w:eastAsia="新宋体"/>
          <w:sz w:val="24"/>
          <w:szCs w:val="24"/>
        </w:rPr>
      </w:pPr>
      <w:r>
        <w:rPr>
          <w:rFonts w:hint="eastAsia" w:ascii="新宋体" w:hAnsi="新宋体" w:eastAsia="新宋体"/>
          <w:sz w:val="24"/>
          <w:szCs w:val="24"/>
        </w:rPr>
        <w:t>十一、本合同项目所在地为义乌，本合同发生争议产生的诉讼，应向项目所在地有管辖权的法院提起诉讼。</w:t>
      </w:r>
    </w:p>
    <w:p>
      <w:pPr>
        <w:pStyle w:val="32"/>
        <w:spacing w:line="440" w:lineRule="exact"/>
        <w:ind w:firstLine="480" w:firstLineChars="200"/>
        <w:rPr>
          <w:rFonts w:hint="eastAsia" w:ascii="新宋体" w:hAnsi="新宋体" w:eastAsia="新宋体"/>
          <w:sz w:val="24"/>
          <w:szCs w:val="24"/>
        </w:rPr>
      </w:pPr>
      <w:r>
        <w:rPr>
          <w:rFonts w:hint="eastAsia" w:ascii="新宋体" w:hAnsi="新宋体" w:eastAsia="新宋体"/>
          <w:sz w:val="24"/>
          <w:szCs w:val="24"/>
        </w:rPr>
        <w:t>十二、</w:t>
      </w:r>
      <w:r>
        <w:rPr>
          <w:rFonts w:hint="eastAsia" w:ascii="新宋体" w:hAnsi="新宋体" w:eastAsia="新宋体"/>
          <w:color w:val="FF0000"/>
          <w:sz w:val="24"/>
          <w:szCs w:val="24"/>
        </w:rPr>
        <w:t>本合同一式八份，甲乙双方各执三份，义乌市财政局和义乌市政府采购中心各执一份，均具同等效力。</w:t>
      </w:r>
    </w:p>
    <w:p>
      <w:pPr>
        <w:pStyle w:val="32"/>
        <w:spacing w:line="440" w:lineRule="exact"/>
        <w:ind w:firstLine="480" w:firstLineChars="200"/>
        <w:rPr>
          <w:rFonts w:hint="eastAsia" w:ascii="新宋体" w:hAnsi="新宋体" w:eastAsia="新宋体"/>
          <w:sz w:val="24"/>
          <w:szCs w:val="24"/>
        </w:rPr>
      </w:pPr>
      <w:r>
        <w:rPr>
          <w:rFonts w:hint="eastAsia" w:ascii="新宋体" w:hAnsi="新宋体" w:eastAsia="新宋体"/>
          <w:sz w:val="24"/>
          <w:szCs w:val="24"/>
        </w:rPr>
        <w:t>十三、本合同未尽事宜，双方可以增加条款或补充协议的形式加以补充,但增加或补充协议的条款不得对招标文件作实质性修改。补充协议与本合同具有相同的法律效力。</w:t>
      </w:r>
    </w:p>
    <w:p>
      <w:pPr>
        <w:pStyle w:val="32"/>
        <w:spacing w:line="440" w:lineRule="exact"/>
        <w:ind w:firstLine="480" w:firstLineChars="200"/>
        <w:rPr>
          <w:rFonts w:hint="eastAsia" w:ascii="新宋体" w:hAnsi="新宋体" w:eastAsia="新宋体"/>
          <w:sz w:val="24"/>
          <w:szCs w:val="24"/>
        </w:rPr>
      </w:pPr>
      <w:r>
        <w:rPr>
          <w:rFonts w:hint="eastAsia" w:ascii="新宋体" w:hAnsi="新宋体" w:eastAsia="新宋体"/>
          <w:sz w:val="24"/>
          <w:szCs w:val="24"/>
        </w:rPr>
        <w:t>十四、</w:t>
      </w:r>
      <w:r>
        <w:rPr>
          <w:rFonts w:ascii="新宋体" w:hAnsi="新宋体" w:eastAsia="新宋体"/>
          <w:sz w:val="24"/>
          <w:szCs w:val="24"/>
        </w:rPr>
        <w:t>技术资料</w:t>
      </w:r>
    </w:p>
    <w:p>
      <w:pPr>
        <w:pStyle w:val="32"/>
        <w:spacing w:line="440" w:lineRule="exact"/>
        <w:ind w:firstLine="480" w:firstLineChars="200"/>
        <w:rPr>
          <w:rFonts w:ascii="新宋体" w:hAnsi="新宋体" w:eastAsia="新宋体"/>
          <w:sz w:val="24"/>
          <w:szCs w:val="24"/>
        </w:rPr>
      </w:pPr>
      <w:r>
        <w:rPr>
          <w:rFonts w:ascii="新宋体" w:hAnsi="新宋体" w:eastAsia="新宋体"/>
          <w:sz w:val="24"/>
          <w:szCs w:val="24"/>
        </w:rPr>
        <w:t>1</w:t>
      </w:r>
      <w:r>
        <w:rPr>
          <w:rFonts w:hint="eastAsia" w:ascii="新宋体" w:hAnsi="新宋体" w:eastAsia="新宋体"/>
          <w:sz w:val="24"/>
          <w:szCs w:val="24"/>
        </w:rPr>
        <w:t>.</w:t>
      </w:r>
      <w:r>
        <w:rPr>
          <w:rFonts w:ascii="新宋体" w:hAnsi="新宋体" w:eastAsia="新宋体"/>
          <w:sz w:val="24"/>
          <w:szCs w:val="24"/>
        </w:rPr>
        <w:t>乙方应按</w:t>
      </w:r>
      <w:r>
        <w:rPr>
          <w:rFonts w:hint="eastAsia" w:ascii="新宋体" w:hAnsi="新宋体" w:eastAsia="新宋体"/>
          <w:sz w:val="24"/>
          <w:szCs w:val="24"/>
        </w:rPr>
        <w:t>招标</w:t>
      </w:r>
      <w:r>
        <w:rPr>
          <w:rFonts w:ascii="新宋体" w:hAnsi="新宋体" w:eastAsia="新宋体"/>
          <w:sz w:val="24"/>
          <w:szCs w:val="24"/>
        </w:rPr>
        <w:t>文件规定的时间向甲方提供</w:t>
      </w:r>
      <w:r>
        <w:rPr>
          <w:rFonts w:hint="eastAsia" w:ascii="新宋体" w:hAnsi="新宋体" w:eastAsia="新宋体"/>
          <w:sz w:val="24"/>
          <w:szCs w:val="24"/>
        </w:rPr>
        <w:t>服务</w:t>
      </w:r>
      <w:r>
        <w:rPr>
          <w:rFonts w:ascii="新宋体" w:hAnsi="新宋体" w:eastAsia="新宋体"/>
          <w:sz w:val="24"/>
          <w:szCs w:val="24"/>
        </w:rPr>
        <w:t>的有关技术资料。</w:t>
      </w:r>
    </w:p>
    <w:p>
      <w:pPr>
        <w:pStyle w:val="32"/>
        <w:spacing w:line="440" w:lineRule="exact"/>
        <w:ind w:firstLine="480" w:firstLineChars="200"/>
        <w:rPr>
          <w:rFonts w:hint="eastAsia" w:ascii="新宋体" w:hAnsi="新宋体" w:eastAsia="新宋体"/>
          <w:sz w:val="24"/>
          <w:szCs w:val="24"/>
        </w:rPr>
      </w:pPr>
      <w:r>
        <w:rPr>
          <w:rFonts w:ascii="新宋体" w:hAnsi="新宋体" w:eastAsia="新宋体"/>
          <w:sz w:val="24"/>
          <w:szCs w:val="24"/>
        </w:rPr>
        <w:t>2</w:t>
      </w:r>
      <w:r>
        <w:rPr>
          <w:rFonts w:hint="eastAsia" w:ascii="新宋体" w:hAnsi="新宋体" w:eastAsia="新宋体"/>
          <w:sz w:val="24"/>
          <w:szCs w:val="24"/>
        </w:rPr>
        <w:t>.</w:t>
      </w:r>
      <w:r>
        <w:rPr>
          <w:rFonts w:ascii="新宋体" w:hAnsi="新宋体" w:eastAsia="新宋体"/>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2"/>
        <w:spacing w:line="440" w:lineRule="exact"/>
        <w:ind w:firstLine="480" w:firstLineChars="200"/>
        <w:rPr>
          <w:rFonts w:ascii="新宋体" w:hAnsi="新宋体" w:eastAsia="新宋体"/>
          <w:sz w:val="24"/>
          <w:szCs w:val="24"/>
        </w:rPr>
      </w:pPr>
      <w:r>
        <w:rPr>
          <w:rFonts w:hint="eastAsia" w:ascii="新宋体" w:hAnsi="新宋体" w:eastAsia="新宋体"/>
          <w:sz w:val="24"/>
          <w:szCs w:val="24"/>
        </w:rPr>
        <w:t>十五、</w:t>
      </w:r>
      <w:r>
        <w:rPr>
          <w:rFonts w:ascii="新宋体" w:hAnsi="新宋体" w:eastAsia="新宋体"/>
          <w:sz w:val="24"/>
          <w:szCs w:val="24"/>
        </w:rPr>
        <w:t>转包或分包</w:t>
      </w:r>
    </w:p>
    <w:p>
      <w:pPr>
        <w:pStyle w:val="32"/>
        <w:spacing w:line="440" w:lineRule="exact"/>
        <w:ind w:firstLine="480" w:firstLineChars="200"/>
        <w:rPr>
          <w:rFonts w:ascii="新宋体" w:hAnsi="新宋体" w:eastAsia="新宋体"/>
          <w:sz w:val="24"/>
          <w:szCs w:val="24"/>
        </w:rPr>
      </w:pPr>
      <w:r>
        <w:rPr>
          <w:rFonts w:ascii="新宋体" w:hAnsi="新宋体" w:eastAsia="新宋体"/>
          <w:sz w:val="24"/>
          <w:szCs w:val="24"/>
        </w:rPr>
        <w:t>1</w:t>
      </w:r>
      <w:r>
        <w:rPr>
          <w:rFonts w:hint="eastAsia" w:ascii="新宋体" w:hAnsi="新宋体" w:eastAsia="新宋体"/>
          <w:sz w:val="24"/>
          <w:szCs w:val="24"/>
        </w:rPr>
        <w:t>.</w:t>
      </w:r>
      <w:r>
        <w:rPr>
          <w:rFonts w:ascii="新宋体" w:hAnsi="新宋体" w:eastAsia="新宋体"/>
          <w:sz w:val="24"/>
          <w:szCs w:val="24"/>
        </w:rPr>
        <w:t>本合同范围的</w:t>
      </w:r>
      <w:r>
        <w:rPr>
          <w:rFonts w:hint="eastAsia" w:ascii="新宋体" w:hAnsi="新宋体" w:eastAsia="新宋体"/>
          <w:sz w:val="24"/>
          <w:szCs w:val="24"/>
        </w:rPr>
        <w:t>服务</w:t>
      </w:r>
      <w:r>
        <w:rPr>
          <w:rFonts w:ascii="新宋体" w:hAnsi="新宋体" w:eastAsia="新宋体"/>
          <w:sz w:val="24"/>
          <w:szCs w:val="24"/>
        </w:rPr>
        <w:t>，应由乙方直接供应，不得转让他人供应；</w:t>
      </w:r>
    </w:p>
    <w:p>
      <w:pPr>
        <w:pStyle w:val="32"/>
        <w:spacing w:line="440" w:lineRule="exact"/>
        <w:ind w:firstLine="480" w:firstLineChars="200"/>
        <w:rPr>
          <w:rFonts w:ascii="新宋体" w:hAnsi="新宋体" w:eastAsia="新宋体"/>
          <w:sz w:val="24"/>
          <w:szCs w:val="24"/>
        </w:rPr>
      </w:pPr>
      <w:r>
        <w:rPr>
          <w:rFonts w:ascii="新宋体" w:hAnsi="新宋体" w:eastAsia="新宋体"/>
          <w:sz w:val="24"/>
          <w:szCs w:val="24"/>
        </w:rPr>
        <w:t>2</w:t>
      </w:r>
      <w:r>
        <w:rPr>
          <w:rFonts w:hint="eastAsia" w:ascii="新宋体" w:hAnsi="新宋体" w:eastAsia="新宋体"/>
          <w:sz w:val="24"/>
          <w:szCs w:val="24"/>
        </w:rPr>
        <w:t>.</w:t>
      </w:r>
      <w:r>
        <w:rPr>
          <w:rFonts w:ascii="新宋体" w:hAnsi="新宋体" w:eastAsia="新宋体"/>
          <w:sz w:val="24"/>
          <w:szCs w:val="24"/>
        </w:rPr>
        <w:t>乙方不得将本合同范围的</w:t>
      </w:r>
      <w:r>
        <w:rPr>
          <w:rFonts w:hint="eastAsia" w:ascii="新宋体" w:hAnsi="新宋体" w:eastAsia="新宋体"/>
          <w:sz w:val="24"/>
          <w:szCs w:val="24"/>
        </w:rPr>
        <w:t>服务</w:t>
      </w:r>
      <w:r>
        <w:rPr>
          <w:rFonts w:ascii="新宋体" w:hAnsi="新宋体" w:eastAsia="新宋体"/>
          <w:sz w:val="24"/>
          <w:szCs w:val="24"/>
        </w:rPr>
        <w:t>全部或部分分包给他人供应；</w:t>
      </w:r>
    </w:p>
    <w:p>
      <w:pPr>
        <w:pStyle w:val="32"/>
        <w:spacing w:line="440" w:lineRule="exact"/>
        <w:ind w:firstLine="480" w:firstLineChars="200"/>
        <w:rPr>
          <w:rFonts w:hint="eastAsia" w:ascii="新宋体" w:hAnsi="新宋体" w:eastAsia="新宋体"/>
          <w:sz w:val="24"/>
          <w:szCs w:val="24"/>
        </w:rPr>
      </w:pPr>
      <w:r>
        <w:rPr>
          <w:rFonts w:ascii="新宋体" w:hAnsi="新宋体" w:eastAsia="新宋体"/>
          <w:sz w:val="24"/>
          <w:szCs w:val="24"/>
        </w:rPr>
        <w:t>3</w:t>
      </w:r>
      <w:r>
        <w:rPr>
          <w:rFonts w:hint="eastAsia" w:ascii="新宋体" w:hAnsi="新宋体" w:eastAsia="新宋体"/>
          <w:sz w:val="24"/>
          <w:szCs w:val="24"/>
        </w:rPr>
        <w:t>.</w:t>
      </w:r>
      <w:r>
        <w:rPr>
          <w:rFonts w:ascii="新宋体" w:hAnsi="新宋体" w:eastAsia="新宋体"/>
          <w:sz w:val="24"/>
          <w:szCs w:val="24"/>
        </w:rPr>
        <w:t>如有转让和分包行为，甲方解除合同，没收履约保证金并追究乙方的违约责任。</w:t>
      </w:r>
    </w:p>
    <w:p>
      <w:pPr>
        <w:pStyle w:val="32"/>
        <w:spacing w:line="440" w:lineRule="exact"/>
        <w:ind w:firstLine="480" w:firstLineChars="200"/>
        <w:rPr>
          <w:rFonts w:ascii="新宋体" w:hAnsi="新宋体" w:eastAsia="新宋体"/>
          <w:sz w:val="24"/>
          <w:szCs w:val="24"/>
        </w:rPr>
      </w:pPr>
      <w:r>
        <w:rPr>
          <w:rFonts w:hint="eastAsia" w:ascii="新宋体" w:hAnsi="新宋体" w:eastAsia="新宋体"/>
          <w:sz w:val="24"/>
          <w:szCs w:val="24"/>
        </w:rPr>
        <w:t>十六、</w:t>
      </w:r>
      <w:r>
        <w:rPr>
          <w:rFonts w:ascii="新宋体" w:hAnsi="新宋体" w:eastAsia="新宋体"/>
          <w:sz w:val="24"/>
          <w:szCs w:val="24"/>
        </w:rPr>
        <w:t>合同生效及其它</w:t>
      </w:r>
    </w:p>
    <w:p>
      <w:pPr>
        <w:pStyle w:val="32"/>
        <w:spacing w:line="440" w:lineRule="exact"/>
        <w:ind w:firstLine="480" w:firstLineChars="200"/>
        <w:rPr>
          <w:rFonts w:ascii="新宋体" w:hAnsi="新宋体" w:eastAsia="新宋体"/>
          <w:sz w:val="24"/>
          <w:szCs w:val="24"/>
        </w:rPr>
      </w:pPr>
      <w:r>
        <w:rPr>
          <w:rFonts w:ascii="新宋体" w:hAnsi="新宋体" w:eastAsia="新宋体"/>
          <w:sz w:val="24"/>
          <w:szCs w:val="24"/>
        </w:rPr>
        <w:t>1</w:t>
      </w:r>
      <w:r>
        <w:rPr>
          <w:rFonts w:hint="eastAsia" w:ascii="新宋体" w:hAnsi="新宋体" w:eastAsia="新宋体"/>
          <w:sz w:val="24"/>
          <w:szCs w:val="24"/>
        </w:rPr>
        <w:t>.</w:t>
      </w:r>
      <w:r>
        <w:rPr>
          <w:rFonts w:ascii="新宋体" w:hAnsi="新宋体" w:eastAsia="新宋体"/>
          <w:sz w:val="24"/>
          <w:szCs w:val="24"/>
        </w:rPr>
        <w:t>合同经双方法定代表人或授权代表签字并加盖单位公章后生效。</w:t>
      </w:r>
    </w:p>
    <w:p>
      <w:pPr>
        <w:pStyle w:val="32"/>
        <w:spacing w:line="440" w:lineRule="exact"/>
        <w:ind w:firstLine="480" w:firstLineChars="200"/>
        <w:rPr>
          <w:rFonts w:ascii="新宋体" w:hAnsi="新宋体" w:eastAsia="新宋体"/>
          <w:sz w:val="24"/>
          <w:szCs w:val="24"/>
        </w:rPr>
      </w:pPr>
      <w:r>
        <w:rPr>
          <w:rFonts w:ascii="新宋体" w:hAnsi="新宋体" w:eastAsia="新宋体"/>
          <w:sz w:val="24"/>
          <w:szCs w:val="24"/>
        </w:rPr>
        <w:t>2</w:t>
      </w:r>
      <w:r>
        <w:rPr>
          <w:rFonts w:hint="eastAsia" w:ascii="新宋体" w:hAnsi="新宋体" w:eastAsia="新宋体"/>
          <w:sz w:val="24"/>
          <w:szCs w:val="24"/>
        </w:rPr>
        <w:t>.</w:t>
      </w:r>
      <w:r>
        <w:rPr>
          <w:rFonts w:ascii="新宋体" w:hAnsi="新宋体" w:eastAsia="新宋体"/>
          <w:sz w:val="24"/>
          <w:szCs w:val="24"/>
        </w:rPr>
        <w:t>合同执行中涉及采购资金和采购内容修改或补充的，</w:t>
      </w:r>
      <w:r>
        <w:rPr>
          <w:rFonts w:hint="eastAsia" w:ascii="新宋体" w:hAnsi="新宋体" w:eastAsia="新宋体"/>
          <w:sz w:val="24"/>
          <w:szCs w:val="24"/>
        </w:rPr>
        <w:t>应按相关规定执行</w:t>
      </w:r>
      <w:r>
        <w:rPr>
          <w:rFonts w:ascii="新宋体" w:hAnsi="新宋体" w:eastAsia="新宋体"/>
          <w:sz w:val="24"/>
          <w:szCs w:val="24"/>
        </w:rPr>
        <w:t>，方可作为主合同不可分割的一部分。</w:t>
      </w:r>
    </w:p>
    <w:p>
      <w:pPr>
        <w:pStyle w:val="32"/>
        <w:spacing w:line="440" w:lineRule="exact"/>
        <w:ind w:firstLine="480" w:firstLineChars="200"/>
        <w:rPr>
          <w:rFonts w:hint="eastAsia" w:ascii="新宋体" w:hAnsi="新宋体" w:eastAsia="新宋体"/>
          <w:sz w:val="24"/>
          <w:szCs w:val="24"/>
        </w:rPr>
      </w:pPr>
      <w:r>
        <w:rPr>
          <w:rFonts w:ascii="新宋体" w:hAnsi="新宋体" w:eastAsia="新宋体"/>
          <w:sz w:val="24"/>
          <w:szCs w:val="24"/>
        </w:rPr>
        <w:t>3</w:t>
      </w:r>
      <w:r>
        <w:rPr>
          <w:rFonts w:hint="eastAsia" w:ascii="新宋体" w:hAnsi="新宋体" w:eastAsia="新宋体"/>
          <w:sz w:val="24"/>
          <w:szCs w:val="24"/>
        </w:rPr>
        <w:t>.</w:t>
      </w:r>
      <w:r>
        <w:rPr>
          <w:rFonts w:ascii="新宋体" w:hAnsi="新宋体" w:eastAsia="新宋体"/>
          <w:sz w:val="24"/>
          <w:szCs w:val="24"/>
        </w:rPr>
        <w:t>本合同未尽事宜，遵照《合同法》有关条文执行。</w:t>
      </w:r>
    </w:p>
    <w:p>
      <w:pPr>
        <w:pStyle w:val="32"/>
        <w:spacing w:line="440" w:lineRule="exact"/>
        <w:rPr>
          <w:rFonts w:hint="eastAsia" w:ascii="新宋体" w:hAnsi="新宋体" w:eastAsia="新宋体"/>
          <w:sz w:val="24"/>
          <w:szCs w:val="24"/>
        </w:rPr>
      </w:pPr>
    </w:p>
    <w:p>
      <w:pPr>
        <w:spacing w:line="380" w:lineRule="exact"/>
        <w:ind w:firstLine="480" w:firstLineChars="200"/>
        <w:rPr>
          <w:rFonts w:hint="eastAsia" w:ascii="新宋体" w:hAnsi="新宋体" w:eastAsia="新宋体"/>
          <w:sz w:val="24"/>
        </w:rPr>
      </w:pPr>
      <w:r>
        <w:rPr>
          <w:rFonts w:hint="eastAsia" w:ascii="新宋体" w:hAnsi="新宋体" w:eastAsia="新宋体"/>
          <w:sz w:val="24"/>
        </w:rPr>
        <w:t xml:space="preserve">甲    方： </w:t>
      </w:r>
      <w:r>
        <w:rPr>
          <w:rFonts w:hint="eastAsia" w:ascii="新宋体" w:hAnsi="新宋体" w:eastAsia="新宋体"/>
          <w:sz w:val="24"/>
          <w:u w:val="single"/>
        </w:rPr>
        <w:t xml:space="preserve">                       </w:t>
      </w:r>
      <w:r>
        <w:rPr>
          <w:rFonts w:hint="eastAsia" w:ascii="新宋体" w:hAnsi="新宋体" w:eastAsia="新宋体"/>
          <w:sz w:val="24"/>
        </w:rPr>
        <w:t>乙    方：</w:t>
      </w:r>
      <w:r>
        <w:rPr>
          <w:rFonts w:hint="eastAsia" w:ascii="新宋体" w:hAnsi="新宋体" w:eastAsia="新宋体"/>
          <w:sz w:val="24"/>
          <w:u w:val="single"/>
        </w:rPr>
        <w:t xml:space="preserve">                         </w:t>
      </w:r>
      <w:r>
        <w:rPr>
          <w:rFonts w:hint="eastAsia" w:ascii="新宋体" w:hAnsi="新宋体" w:eastAsia="新宋体"/>
          <w:sz w:val="24"/>
        </w:rPr>
        <w:t xml:space="preserve"> </w:t>
      </w:r>
    </w:p>
    <w:p>
      <w:pPr>
        <w:spacing w:line="380" w:lineRule="exact"/>
        <w:ind w:firstLine="480" w:firstLineChars="200"/>
        <w:rPr>
          <w:rFonts w:hint="eastAsia" w:ascii="新宋体" w:hAnsi="新宋体" w:eastAsia="新宋体"/>
          <w:sz w:val="24"/>
          <w:u w:val="single"/>
        </w:rPr>
      </w:pPr>
      <w:r>
        <w:rPr>
          <w:rFonts w:hint="eastAsia" w:ascii="新宋体" w:hAnsi="新宋体" w:eastAsia="新宋体"/>
          <w:sz w:val="24"/>
        </w:rPr>
        <w:t>地    址：</w:t>
      </w:r>
      <w:r>
        <w:rPr>
          <w:rFonts w:hint="eastAsia" w:ascii="新宋体" w:hAnsi="新宋体" w:eastAsia="新宋体"/>
          <w:sz w:val="24"/>
          <w:u w:val="single"/>
        </w:rPr>
        <w:t xml:space="preserve">                        </w:t>
      </w:r>
      <w:r>
        <w:rPr>
          <w:rFonts w:hint="eastAsia" w:ascii="新宋体" w:hAnsi="新宋体" w:eastAsia="新宋体"/>
          <w:sz w:val="24"/>
        </w:rPr>
        <w:t>地    址：</w:t>
      </w:r>
      <w:r>
        <w:rPr>
          <w:rFonts w:hint="eastAsia" w:ascii="新宋体" w:hAnsi="新宋体" w:eastAsia="新宋体"/>
          <w:sz w:val="24"/>
          <w:u w:val="single"/>
        </w:rPr>
        <w:t xml:space="preserve">                         </w:t>
      </w:r>
    </w:p>
    <w:p>
      <w:pPr>
        <w:spacing w:line="380" w:lineRule="exact"/>
        <w:ind w:firstLine="480" w:firstLineChars="200"/>
        <w:rPr>
          <w:rFonts w:hint="eastAsia" w:ascii="新宋体" w:hAnsi="新宋体" w:eastAsia="新宋体"/>
          <w:sz w:val="24"/>
        </w:rPr>
      </w:pPr>
      <w:r>
        <w:rPr>
          <w:rFonts w:hint="eastAsia" w:ascii="新宋体" w:hAnsi="新宋体" w:eastAsia="新宋体"/>
          <w:sz w:val="24"/>
        </w:rPr>
        <w:t>法定代表人：</w:t>
      </w:r>
      <w:r>
        <w:rPr>
          <w:rFonts w:hint="eastAsia" w:ascii="新宋体" w:hAnsi="新宋体" w:eastAsia="新宋体"/>
          <w:sz w:val="24"/>
          <w:u w:val="single"/>
        </w:rPr>
        <w:t xml:space="preserve">　　　　　            </w:t>
      </w:r>
      <w:r>
        <w:rPr>
          <w:rFonts w:hint="eastAsia" w:ascii="新宋体" w:hAnsi="新宋体" w:eastAsia="新宋体"/>
          <w:sz w:val="24"/>
        </w:rPr>
        <w:t>法定代表人：</w:t>
      </w:r>
      <w:r>
        <w:rPr>
          <w:rFonts w:hint="eastAsia" w:ascii="新宋体" w:hAnsi="新宋体" w:eastAsia="新宋体"/>
          <w:sz w:val="24"/>
          <w:u w:val="single"/>
        </w:rPr>
        <w:t xml:space="preserve">                        </w:t>
      </w:r>
    </w:p>
    <w:p>
      <w:pPr>
        <w:spacing w:line="380" w:lineRule="exact"/>
        <w:ind w:firstLine="480" w:firstLineChars="200"/>
        <w:rPr>
          <w:rFonts w:hint="eastAsia" w:ascii="新宋体" w:hAnsi="新宋体" w:eastAsia="新宋体"/>
          <w:sz w:val="24"/>
          <w:u w:val="single"/>
        </w:rPr>
      </w:pPr>
      <w:r>
        <w:rPr>
          <w:rFonts w:hint="eastAsia" w:ascii="新宋体" w:hAnsi="新宋体" w:eastAsia="新宋体"/>
          <w:sz w:val="24"/>
        </w:rPr>
        <w:t>委托代理人：</w:t>
      </w:r>
      <w:r>
        <w:rPr>
          <w:rFonts w:hint="eastAsia" w:ascii="新宋体" w:hAnsi="新宋体" w:eastAsia="新宋体"/>
          <w:sz w:val="24"/>
          <w:u w:val="single"/>
        </w:rPr>
        <w:t xml:space="preserve">      　            </w:t>
      </w:r>
      <w:r>
        <w:rPr>
          <w:rFonts w:hint="eastAsia" w:ascii="新宋体" w:hAnsi="新宋体" w:eastAsia="新宋体"/>
          <w:sz w:val="24"/>
        </w:rPr>
        <w:t xml:space="preserve">  委托代理人：</w:t>
      </w:r>
      <w:r>
        <w:rPr>
          <w:rFonts w:hint="eastAsia" w:ascii="新宋体" w:hAnsi="新宋体" w:eastAsia="新宋体"/>
          <w:sz w:val="24"/>
          <w:u w:val="single"/>
        </w:rPr>
        <w:t xml:space="preserve">                        </w:t>
      </w:r>
    </w:p>
    <w:p>
      <w:pPr>
        <w:spacing w:line="380" w:lineRule="exact"/>
        <w:ind w:firstLine="480" w:firstLineChars="200"/>
        <w:rPr>
          <w:rFonts w:hint="eastAsia" w:ascii="新宋体" w:hAnsi="新宋体" w:eastAsia="新宋体"/>
          <w:sz w:val="24"/>
          <w:u w:val="single"/>
        </w:rPr>
      </w:pPr>
      <w:r>
        <w:rPr>
          <w:rFonts w:hint="eastAsia" w:ascii="新宋体" w:hAnsi="新宋体" w:eastAsia="新宋体"/>
          <w:sz w:val="24"/>
        </w:rPr>
        <w:t xml:space="preserve">电    话： </w:t>
      </w:r>
      <w:r>
        <w:rPr>
          <w:rFonts w:hint="eastAsia" w:ascii="新宋体" w:hAnsi="新宋体" w:eastAsia="新宋体"/>
          <w:sz w:val="24"/>
          <w:u w:val="single"/>
        </w:rPr>
        <w:t xml:space="preserve">           　        </w:t>
      </w:r>
      <w:r>
        <w:rPr>
          <w:rFonts w:hint="eastAsia" w:ascii="新宋体" w:hAnsi="新宋体" w:eastAsia="新宋体"/>
          <w:sz w:val="24"/>
        </w:rPr>
        <w:t xml:space="preserve">　电    话： </w:t>
      </w:r>
      <w:r>
        <w:rPr>
          <w:rFonts w:hint="eastAsia" w:ascii="新宋体" w:hAnsi="新宋体" w:eastAsia="新宋体"/>
          <w:sz w:val="24"/>
          <w:u w:val="single"/>
        </w:rPr>
        <w:t xml:space="preserve">                         </w:t>
      </w:r>
    </w:p>
    <w:p>
      <w:pPr>
        <w:spacing w:line="380" w:lineRule="exact"/>
        <w:ind w:firstLine="480" w:firstLineChars="200"/>
        <w:rPr>
          <w:rFonts w:hint="eastAsia" w:ascii="新宋体" w:hAnsi="新宋体" w:eastAsia="新宋体"/>
          <w:sz w:val="24"/>
        </w:rPr>
      </w:pPr>
      <w:r>
        <w:rPr>
          <w:rFonts w:hint="eastAsia" w:ascii="新宋体" w:hAnsi="新宋体" w:eastAsia="新宋体"/>
          <w:sz w:val="24"/>
        </w:rPr>
        <w:t>开户名称：</w:t>
      </w:r>
      <w:r>
        <w:rPr>
          <w:rFonts w:hint="eastAsia" w:ascii="新宋体" w:hAnsi="新宋体" w:eastAsia="新宋体"/>
          <w:sz w:val="24"/>
          <w:u w:val="single"/>
        </w:rPr>
        <w:t xml:space="preserve">                       </w:t>
      </w:r>
      <w:r>
        <w:rPr>
          <w:rFonts w:hint="eastAsia" w:ascii="新宋体" w:hAnsi="新宋体" w:eastAsia="新宋体"/>
          <w:sz w:val="24"/>
        </w:rPr>
        <w:t xml:space="preserve"> 开户名称： </w:t>
      </w:r>
      <w:r>
        <w:rPr>
          <w:rFonts w:hint="eastAsia" w:ascii="新宋体" w:hAnsi="新宋体" w:eastAsia="新宋体"/>
          <w:sz w:val="24"/>
          <w:u w:val="single"/>
        </w:rPr>
        <w:t xml:space="preserve">                         </w:t>
      </w:r>
    </w:p>
    <w:p>
      <w:pPr>
        <w:spacing w:line="380" w:lineRule="exact"/>
        <w:ind w:firstLine="480" w:firstLineChars="200"/>
        <w:rPr>
          <w:rFonts w:hint="eastAsia" w:ascii="新宋体" w:hAnsi="新宋体" w:eastAsia="新宋体"/>
          <w:sz w:val="24"/>
        </w:rPr>
      </w:pPr>
      <w:r>
        <w:rPr>
          <w:rFonts w:hint="eastAsia" w:ascii="新宋体" w:hAnsi="新宋体" w:eastAsia="新宋体"/>
          <w:sz w:val="24"/>
        </w:rPr>
        <w:t xml:space="preserve">开户银行： </w:t>
      </w:r>
      <w:r>
        <w:rPr>
          <w:rFonts w:hint="eastAsia" w:ascii="新宋体" w:hAnsi="新宋体" w:eastAsia="新宋体"/>
          <w:sz w:val="24"/>
          <w:u w:val="single"/>
        </w:rPr>
        <w:t xml:space="preserve">                      </w:t>
      </w:r>
      <w:r>
        <w:rPr>
          <w:rFonts w:hint="eastAsia" w:ascii="新宋体" w:hAnsi="新宋体" w:eastAsia="新宋体"/>
          <w:sz w:val="24"/>
        </w:rPr>
        <w:t xml:space="preserve"> 开户银行： </w:t>
      </w:r>
      <w:r>
        <w:rPr>
          <w:rFonts w:hint="eastAsia" w:ascii="新宋体" w:hAnsi="新宋体" w:eastAsia="新宋体"/>
          <w:sz w:val="24"/>
          <w:u w:val="single"/>
        </w:rPr>
        <w:t xml:space="preserve">                         </w:t>
      </w:r>
    </w:p>
    <w:p>
      <w:pPr>
        <w:spacing w:line="380" w:lineRule="exact"/>
        <w:ind w:firstLine="480" w:firstLineChars="200"/>
        <w:rPr>
          <w:rFonts w:hint="eastAsia" w:ascii="新宋体" w:hAnsi="新宋体" w:eastAsia="新宋体"/>
          <w:sz w:val="24"/>
          <w:u w:val="single"/>
        </w:rPr>
      </w:pPr>
      <w:r>
        <w:rPr>
          <w:rFonts w:hint="eastAsia" w:ascii="新宋体" w:hAnsi="新宋体" w:eastAsia="新宋体"/>
          <w:sz w:val="24"/>
        </w:rPr>
        <w:t xml:space="preserve">账    号： </w:t>
      </w:r>
      <w:r>
        <w:rPr>
          <w:rFonts w:hint="eastAsia" w:ascii="新宋体" w:hAnsi="新宋体" w:eastAsia="新宋体"/>
          <w:sz w:val="24"/>
          <w:u w:val="single"/>
        </w:rPr>
        <w:t xml:space="preserve">                      </w:t>
      </w:r>
      <w:r>
        <w:rPr>
          <w:rFonts w:hint="eastAsia" w:ascii="新宋体" w:hAnsi="新宋体" w:eastAsia="新宋体"/>
          <w:sz w:val="24"/>
        </w:rPr>
        <w:t xml:space="preserve"> 账    号： </w:t>
      </w:r>
      <w:r>
        <w:rPr>
          <w:rFonts w:hint="eastAsia" w:ascii="新宋体" w:hAnsi="新宋体" w:eastAsia="新宋体"/>
          <w:sz w:val="24"/>
          <w:u w:val="single"/>
        </w:rPr>
        <w:t xml:space="preserve">                         </w:t>
      </w:r>
    </w:p>
    <w:p>
      <w:pPr>
        <w:spacing w:line="380" w:lineRule="exact"/>
        <w:ind w:firstLine="480" w:firstLineChars="200"/>
        <w:rPr>
          <w:rFonts w:hint="eastAsia" w:ascii="新宋体" w:hAnsi="新宋体" w:eastAsia="新宋体"/>
          <w:sz w:val="24"/>
        </w:rPr>
      </w:pPr>
      <w:r>
        <w:rPr>
          <w:rFonts w:hint="eastAsia" w:ascii="新宋体" w:hAnsi="新宋体" w:eastAsia="新宋体"/>
          <w:sz w:val="24"/>
        </w:rPr>
        <w:t>邮    编：</w:t>
      </w:r>
      <w:r>
        <w:rPr>
          <w:rFonts w:hint="eastAsia" w:ascii="新宋体" w:hAnsi="新宋体" w:eastAsia="新宋体"/>
          <w:sz w:val="24"/>
          <w:u w:val="single"/>
        </w:rPr>
        <w:t xml:space="preserve">                       </w:t>
      </w:r>
      <w:r>
        <w:rPr>
          <w:rFonts w:hint="eastAsia" w:ascii="新宋体" w:hAnsi="新宋体" w:eastAsia="新宋体"/>
          <w:sz w:val="24"/>
        </w:rPr>
        <w:t xml:space="preserve"> 邮    编：</w:t>
      </w:r>
      <w:r>
        <w:rPr>
          <w:rFonts w:hint="eastAsia" w:ascii="新宋体" w:hAnsi="新宋体" w:eastAsia="新宋体"/>
          <w:sz w:val="24"/>
          <w:u w:val="single"/>
        </w:rPr>
        <w:t xml:space="preserve">                          </w:t>
      </w:r>
    </w:p>
    <w:p>
      <w:pPr>
        <w:spacing w:line="380" w:lineRule="exact"/>
        <w:ind w:firstLine="480" w:firstLineChars="200"/>
        <w:rPr>
          <w:rFonts w:hint="eastAsia" w:ascii="新宋体" w:hAnsi="新宋体" w:eastAsia="新宋体"/>
          <w:sz w:val="24"/>
          <w:u w:val="single"/>
        </w:rPr>
      </w:pPr>
      <w:r>
        <w:rPr>
          <w:rFonts w:hint="eastAsia" w:ascii="新宋体" w:hAnsi="新宋体" w:eastAsia="新宋体"/>
          <w:sz w:val="24"/>
        </w:rPr>
        <w:t xml:space="preserve">签约地点： </w:t>
      </w:r>
      <w:r>
        <w:rPr>
          <w:rFonts w:hint="eastAsia" w:ascii="新宋体" w:hAnsi="新宋体" w:eastAsia="新宋体"/>
          <w:sz w:val="24"/>
          <w:u w:val="single"/>
        </w:rPr>
        <w:t xml:space="preserve">                      </w:t>
      </w:r>
      <w:r>
        <w:rPr>
          <w:rFonts w:hint="eastAsia" w:ascii="新宋体" w:hAnsi="新宋体" w:eastAsia="新宋体"/>
          <w:sz w:val="24"/>
        </w:rPr>
        <w:t xml:space="preserve"> 签约时间： </w:t>
      </w:r>
      <w:r>
        <w:rPr>
          <w:rFonts w:hint="eastAsia" w:ascii="新宋体" w:hAnsi="新宋体" w:eastAsia="新宋体"/>
          <w:sz w:val="24"/>
          <w:u w:val="single"/>
        </w:rPr>
        <w:t xml:space="preserve">                         </w:t>
      </w:r>
    </w:p>
    <w:p>
      <w:pPr>
        <w:widowControl/>
        <w:spacing w:line="400" w:lineRule="exact"/>
        <w:jc w:val="left"/>
        <w:rPr>
          <w:rFonts w:ascii="新宋体" w:hAnsi="新宋体" w:eastAsia="新宋体"/>
          <w:sz w:val="24"/>
        </w:rPr>
      </w:pPr>
    </w:p>
    <w:p>
      <w:pPr>
        <w:widowControl/>
        <w:spacing w:line="400" w:lineRule="exact"/>
        <w:jc w:val="left"/>
        <w:rPr>
          <w:rFonts w:hint="eastAsia" w:ascii="新宋体" w:hAnsi="新宋体" w:eastAsia="新宋体"/>
          <w:sz w:val="24"/>
        </w:rPr>
      </w:pPr>
    </w:p>
    <w:p>
      <w:pPr>
        <w:widowControl/>
        <w:spacing w:line="400" w:lineRule="exact"/>
        <w:jc w:val="left"/>
        <w:rPr>
          <w:rFonts w:hint="eastAsia" w:ascii="新宋体" w:hAnsi="新宋体" w:eastAsia="新宋体"/>
          <w:sz w:val="24"/>
        </w:rPr>
      </w:pPr>
    </w:p>
    <w:p>
      <w:pPr>
        <w:pStyle w:val="3"/>
        <w:numPr>
          <w:ilvl w:val="0"/>
          <w:numId w:val="0"/>
        </w:numPr>
        <w:spacing w:line="400" w:lineRule="exact"/>
        <w:jc w:val="center"/>
        <w:rPr>
          <w:rFonts w:hint="eastAsia" w:ascii="新宋体" w:hAnsi="新宋体" w:eastAsia="新宋体"/>
          <w:bCs w:val="0"/>
          <w:sz w:val="36"/>
          <w:szCs w:val="36"/>
        </w:rPr>
      </w:pPr>
      <w:bookmarkStart w:id="71" w:name="_Toc238878129"/>
      <w:bookmarkStart w:id="72" w:name="_Toc274303259"/>
      <w:bookmarkStart w:id="73" w:name="_Toc235778631"/>
      <w:bookmarkStart w:id="74" w:name="_Toc213038698"/>
      <w:bookmarkStart w:id="75" w:name="_Toc187829774"/>
      <w:r>
        <w:rPr>
          <w:rFonts w:hint="eastAsia" w:ascii="新宋体" w:hAnsi="新宋体" w:eastAsia="新宋体"/>
          <w:sz w:val="24"/>
        </w:rPr>
        <w:br w:type="page"/>
      </w:r>
      <w:bookmarkStart w:id="76" w:name="_Toc4515"/>
      <w:r>
        <w:rPr>
          <w:rFonts w:hint="eastAsia" w:ascii="新宋体" w:hAnsi="新宋体" w:eastAsia="新宋体"/>
          <w:bCs w:val="0"/>
          <w:sz w:val="36"/>
          <w:szCs w:val="36"/>
        </w:rPr>
        <w:t>第八章  投标文件部分格式</w:t>
      </w:r>
      <w:bookmarkEnd w:id="71"/>
      <w:bookmarkEnd w:id="72"/>
      <w:bookmarkEnd w:id="73"/>
      <w:bookmarkEnd w:id="74"/>
      <w:bookmarkEnd w:id="75"/>
      <w:bookmarkEnd w:id="76"/>
    </w:p>
    <w:p>
      <w:pPr>
        <w:pStyle w:val="41"/>
        <w:spacing w:line="400" w:lineRule="exact"/>
        <w:rPr>
          <w:rFonts w:hint="eastAsia" w:ascii="新宋体" w:hAnsi="新宋体" w:eastAsia="新宋体"/>
          <w:color w:val="auto"/>
        </w:rPr>
      </w:pPr>
    </w:p>
    <w:p>
      <w:pPr>
        <w:pStyle w:val="41"/>
        <w:spacing w:line="400" w:lineRule="exact"/>
        <w:rPr>
          <w:rFonts w:hint="eastAsia" w:ascii="新宋体" w:hAnsi="新宋体" w:eastAsia="新宋体"/>
          <w:color w:val="auto"/>
        </w:rPr>
      </w:pPr>
      <w:r>
        <w:rPr>
          <w:rFonts w:hint="eastAsia" w:ascii="新宋体" w:hAnsi="新宋体" w:eastAsia="新宋体"/>
          <w:color w:val="auto"/>
        </w:rPr>
        <w:t>一、技术</w:t>
      </w:r>
      <w:r>
        <w:rPr>
          <w:rFonts w:hint="eastAsia" w:ascii="新宋体" w:hAnsi="新宋体" w:eastAsia="新宋体"/>
          <w:color w:val="auto"/>
          <w:lang w:eastAsia="zh-CN"/>
        </w:rPr>
        <w:t>文件</w:t>
      </w:r>
      <w:r>
        <w:rPr>
          <w:rFonts w:hint="eastAsia" w:ascii="新宋体" w:hAnsi="新宋体" w:eastAsia="新宋体"/>
          <w:color w:val="auto"/>
        </w:rPr>
        <w:t>部分格式：</w:t>
      </w:r>
    </w:p>
    <w:p>
      <w:pPr>
        <w:spacing w:line="400" w:lineRule="exact"/>
        <w:ind w:firstLine="630" w:firstLineChars="300"/>
        <w:rPr>
          <w:rFonts w:hint="eastAsia" w:ascii="新宋体" w:hAnsi="新宋体" w:eastAsia="新宋体"/>
        </w:rPr>
      </w:pPr>
      <w:r>
        <w:rPr>
          <w:rFonts w:hint="eastAsia" w:ascii="新宋体" w:hAnsi="新宋体" w:eastAsia="新宋体"/>
        </w:rPr>
        <w:t>1.义乌市政府采购承诺书</w:t>
      </w:r>
    </w:p>
    <w:p>
      <w:pPr>
        <w:spacing w:line="400" w:lineRule="exact"/>
        <w:ind w:firstLine="630" w:firstLineChars="300"/>
        <w:rPr>
          <w:rFonts w:hint="eastAsia" w:ascii="新宋体" w:hAnsi="新宋体" w:eastAsia="新宋体"/>
        </w:rPr>
      </w:pPr>
      <w:r>
        <w:rPr>
          <w:rFonts w:hint="eastAsia" w:ascii="新宋体" w:hAnsi="新宋体" w:eastAsia="新宋体"/>
        </w:rPr>
        <w:t>2.规范偏离表</w:t>
      </w:r>
    </w:p>
    <w:p>
      <w:pPr>
        <w:spacing w:line="400" w:lineRule="exact"/>
        <w:ind w:firstLine="630" w:firstLineChars="300"/>
        <w:rPr>
          <w:rFonts w:hint="eastAsia" w:ascii="新宋体" w:hAnsi="新宋体" w:eastAsia="新宋体"/>
        </w:rPr>
      </w:pPr>
      <w:r>
        <w:rPr>
          <w:rFonts w:hint="eastAsia" w:ascii="新宋体" w:hAnsi="新宋体" w:eastAsia="新宋体"/>
        </w:rPr>
        <w:t>3.服务质量保证承诺书</w:t>
      </w:r>
    </w:p>
    <w:p>
      <w:pPr>
        <w:spacing w:line="400" w:lineRule="exact"/>
        <w:ind w:firstLine="630" w:firstLineChars="300"/>
        <w:rPr>
          <w:rFonts w:hint="eastAsia" w:ascii="新宋体" w:hAnsi="新宋体" w:eastAsia="新宋体"/>
        </w:rPr>
      </w:pPr>
    </w:p>
    <w:p>
      <w:pPr>
        <w:pStyle w:val="41"/>
        <w:spacing w:line="400" w:lineRule="exact"/>
        <w:rPr>
          <w:rFonts w:hint="eastAsia" w:ascii="新宋体" w:hAnsi="新宋体" w:eastAsia="新宋体"/>
          <w:color w:val="auto"/>
        </w:rPr>
      </w:pPr>
      <w:r>
        <w:rPr>
          <w:rFonts w:hint="eastAsia" w:ascii="新宋体" w:hAnsi="新宋体" w:eastAsia="新宋体"/>
          <w:color w:val="auto"/>
        </w:rPr>
        <w:t>二、投标报价文件部分格式：</w:t>
      </w:r>
    </w:p>
    <w:p>
      <w:pPr>
        <w:spacing w:line="400" w:lineRule="exact"/>
        <w:ind w:firstLine="630" w:firstLineChars="300"/>
        <w:rPr>
          <w:rFonts w:hint="eastAsia" w:ascii="新宋体" w:hAnsi="新宋体" w:eastAsia="新宋体"/>
        </w:rPr>
      </w:pPr>
      <w:r>
        <w:rPr>
          <w:rFonts w:hint="eastAsia" w:ascii="新宋体" w:hAnsi="新宋体" w:eastAsia="新宋体"/>
        </w:rPr>
        <w:t>4.开标一览表</w:t>
      </w:r>
    </w:p>
    <w:p>
      <w:pPr>
        <w:spacing w:line="400" w:lineRule="exact"/>
        <w:ind w:firstLine="630" w:firstLineChars="300"/>
        <w:rPr>
          <w:rFonts w:hint="eastAsia" w:ascii="新宋体" w:hAnsi="新宋体" w:eastAsia="新宋体"/>
        </w:rPr>
      </w:pPr>
      <w:r>
        <w:rPr>
          <w:rFonts w:hint="eastAsia" w:ascii="新宋体" w:hAnsi="新宋体" w:eastAsia="新宋体"/>
        </w:rPr>
        <w:t>5.投标人自报成本价表</w:t>
      </w:r>
    </w:p>
    <w:p>
      <w:pPr>
        <w:spacing w:line="400" w:lineRule="exact"/>
        <w:ind w:firstLine="630" w:firstLineChars="300"/>
        <w:rPr>
          <w:rFonts w:hint="eastAsia" w:ascii="新宋体" w:hAnsi="新宋体" w:eastAsia="新宋体"/>
        </w:rPr>
      </w:pPr>
      <w:r>
        <w:rPr>
          <w:rFonts w:hint="eastAsia" w:ascii="新宋体" w:hAnsi="新宋体" w:eastAsia="新宋体"/>
        </w:rPr>
        <w:t>6.小微企业声明函</w:t>
      </w:r>
    </w:p>
    <w:p>
      <w:pPr>
        <w:spacing w:line="400" w:lineRule="exact"/>
        <w:ind w:firstLine="630" w:firstLineChars="300"/>
        <w:rPr>
          <w:rFonts w:hint="eastAsia" w:ascii="新宋体" w:hAnsi="新宋体" w:eastAsia="新宋体"/>
        </w:rPr>
      </w:pPr>
      <w:r>
        <w:rPr>
          <w:rFonts w:hint="eastAsia" w:ascii="新宋体" w:hAnsi="新宋体" w:eastAsia="新宋体"/>
        </w:rPr>
        <w:t>7.残疾人福利性单位声明函</w:t>
      </w:r>
    </w:p>
    <w:p>
      <w:pPr>
        <w:spacing w:line="400" w:lineRule="exact"/>
        <w:ind w:firstLine="630" w:firstLineChars="300"/>
        <w:rPr>
          <w:rFonts w:hint="eastAsia" w:ascii="新宋体" w:hAnsi="新宋体" w:eastAsia="新宋体"/>
        </w:rPr>
      </w:pPr>
    </w:p>
    <w:p>
      <w:pPr>
        <w:pStyle w:val="41"/>
        <w:spacing w:line="400" w:lineRule="exact"/>
        <w:rPr>
          <w:rFonts w:hint="eastAsia" w:ascii="新宋体" w:hAnsi="新宋体" w:eastAsia="新宋体"/>
          <w:color w:val="auto"/>
        </w:rPr>
      </w:pPr>
      <w:r>
        <w:rPr>
          <w:rFonts w:hint="eastAsia" w:ascii="新宋体" w:hAnsi="新宋体" w:eastAsia="新宋体"/>
          <w:color w:val="auto"/>
        </w:rPr>
        <w:t>三、质疑函范本</w:t>
      </w:r>
      <w:r>
        <w:rPr>
          <w:rFonts w:ascii="新宋体" w:hAnsi="新宋体" w:eastAsia="新宋体"/>
          <w:color w:val="auto"/>
        </w:rPr>
        <w:t>、</w:t>
      </w:r>
      <w:r>
        <w:rPr>
          <w:rFonts w:hint="eastAsia" w:ascii="新宋体" w:hAnsi="新宋体" w:eastAsia="新宋体"/>
          <w:color w:val="auto"/>
        </w:rPr>
        <w:t>投诉书范本</w:t>
      </w:r>
      <w:r>
        <w:rPr>
          <w:rFonts w:ascii="新宋体" w:hAnsi="新宋体" w:eastAsia="新宋体"/>
          <w:color w:val="auto"/>
        </w:rPr>
        <w:t>请到浙江政府采购网下载专区下载。</w:t>
      </w:r>
    </w:p>
    <w:p>
      <w:pPr>
        <w:rPr>
          <w:rFonts w:hint="eastAsia"/>
        </w:rPr>
      </w:pPr>
    </w:p>
    <w:p>
      <w:pPr>
        <w:tabs>
          <w:tab w:val="left" w:pos="1050"/>
        </w:tabs>
        <w:spacing w:line="400" w:lineRule="exact"/>
        <w:ind w:firstLine="720" w:firstLineChars="300"/>
        <w:rPr>
          <w:rFonts w:hint="eastAsia" w:ascii="新宋体" w:hAnsi="新宋体" w:eastAsia="新宋体"/>
          <w:sz w:val="24"/>
        </w:rPr>
      </w:pPr>
      <w:r>
        <w:rPr>
          <w:rFonts w:hint="eastAsia" w:ascii="新宋体" w:hAnsi="新宋体" w:eastAsia="新宋体"/>
          <w:sz w:val="24"/>
        </w:rPr>
        <w:t>说明：具体的投标文件组成详见第二章的“投标须知”</w:t>
      </w:r>
    </w:p>
    <w:p>
      <w:pPr>
        <w:pStyle w:val="32"/>
        <w:spacing w:line="400" w:lineRule="exact"/>
        <w:jc w:val="left"/>
        <w:rPr>
          <w:rFonts w:hint="eastAsia" w:ascii="新宋体" w:hAnsi="新宋体" w:eastAsia="新宋体" w:cs="Times New Roman"/>
          <w:b/>
          <w:bCs/>
          <w:sz w:val="36"/>
          <w:szCs w:val="24"/>
        </w:rPr>
      </w:pPr>
      <w:r>
        <w:rPr>
          <w:rFonts w:ascii="新宋体" w:hAnsi="新宋体" w:eastAsia="新宋体"/>
          <w:b/>
          <w:bCs/>
          <w:sz w:val="28"/>
        </w:rPr>
        <w:br w:type="page"/>
      </w:r>
      <w:r>
        <w:rPr>
          <w:rFonts w:hint="eastAsia" w:ascii="新宋体" w:hAnsi="新宋体" w:eastAsia="新宋体" w:cs="Times New Roman"/>
          <w:b/>
          <w:bCs/>
          <w:sz w:val="36"/>
          <w:szCs w:val="24"/>
        </w:rPr>
        <w:t>1.</w:t>
      </w:r>
    </w:p>
    <w:p>
      <w:pPr>
        <w:pStyle w:val="32"/>
        <w:spacing w:line="400" w:lineRule="exact"/>
        <w:jc w:val="center"/>
        <w:rPr>
          <w:rFonts w:hint="eastAsia" w:ascii="新宋体" w:hAnsi="新宋体" w:eastAsia="新宋体"/>
          <w:sz w:val="32"/>
          <w:szCs w:val="32"/>
        </w:rPr>
      </w:pPr>
      <w:r>
        <w:rPr>
          <w:rFonts w:hint="eastAsia" w:ascii="新宋体" w:hAnsi="新宋体" w:eastAsia="新宋体"/>
          <w:b/>
          <w:bCs/>
          <w:sz w:val="36"/>
          <w:szCs w:val="36"/>
        </w:rPr>
        <w:t>义乌市政府采购承诺书（格式）</w:t>
      </w:r>
    </w:p>
    <w:p>
      <w:pPr>
        <w:pStyle w:val="32"/>
        <w:spacing w:line="360" w:lineRule="exact"/>
        <w:rPr>
          <w:rFonts w:ascii="新宋体" w:hAnsi="新宋体" w:eastAsia="新宋体"/>
          <w:sz w:val="24"/>
          <w:u w:val="single"/>
        </w:rPr>
      </w:pPr>
      <w:r>
        <w:rPr>
          <w:rFonts w:hint="eastAsia" w:ascii="新宋体" w:hAnsi="新宋体" w:eastAsia="新宋体"/>
          <w:sz w:val="24"/>
        </w:rPr>
        <w:t>致：</w:t>
      </w:r>
      <w:r>
        <w:rPr>
          <w:rFonts w:hint="eastAsia" w:hAnsi="宋体" w:eastAsia="新宋体"/>
          <w:sz w:val="24"/>
          <w:u w:val="single"/>
        </w:rPr>
        <w:t>国家税务总局义乌市税务局</w:t>
      </w:r>
      <w:r>
        <w:rPr>
          <w:rFonts w:hint="eastAsia" w:hAnsi="宋体"/>
          <w:sz w:val="24"/>
          <w:u w:val="single"/>
        </w:rPr>
        <w:t>和义乌市政府采购中心</w:t>
      </w:r>
    </w:p>
    <w:p>
      <w:pPr>
        <w:tabs>
          <w:tab w:val="left" w:pos="8820"/>
        </w:tabs>
        <w:spacing w:line="360" w:lineRule="exact"/>
        <w:ind w:firstLine="420" w:firstLineChars="200"/>
        <w:rPr>
          <w:rFonts w:hint="eastAsia" w:ascii="新宋体" w:hAnsi="新宋体" w:eastAsia="新宋体"/>
          <w:i/>
        </w:rPr>
      </w:pPr>
      <w:r>
        <w:rPr>
          <w:rFonts w:hint="eastAsia" w:ascii="新宋体" w:hAnsi="新宋体" w:eastAsia="新宋体"/>
          <w:szCs w:val="21"/>
        </w:rPr>
        <w:t>1.我单位已认真阅读了</w:t>
      </w:r>
      <w:r>
        <w:rPr>
          <w:rFonts w:hint="eastAsia" w:ascii="新宋体" w:hAnsi="新宋体" w:eastAsia="新宋体"/>
          <w:szCs w:val="21"/>
          <w:u w:val="single"/>
        </w:rPr>
        <w:t>国家税务总局义乌市税务局机关大楼物业管理</w:t>
      </w:r>
      <w:r>
        <w:rPr>
          <w:rFonts w:hint="eastAsia" w:ascii="新宋体" w:hAnsi="新宋体" w:eastAsia="新宋体"/>
          <w:szCs w:val="21"/>
        </w:rPr>
        <w:t>采购项目(YWCG2020128GK)的招标文件、技术要求、图纸、招标补充（答疑）文件及相关资料，对其全部内容和要求有实质性了解，并对这些内容表示理解且无任何异议，</w:t>
      </w:r>
      <w:r>
        <w:rPr>
          <w:rFonts w:hint="eastAsia" w:ascii="新宋体" w:hAnsi="新宋体" w:eastAsia="新宋体"/>
        </w:rPr>
        <w:t>如招标文件出现不同的解释时，承诺以招标方的解释为准</w:t>
      </w:r>
      <w:r>
        <w:rPr>
          <w:rFonts w:hint="eastAsia" w:ascii="新宋体" w:hAnsi="新宋体" w:eastAsia="新宋体"/>
          <w:i/>
        </w:rPr>
        <w:t>。</w:t>
      </w:r>
    </w:p>
    <w:p>
      <w:pPr>
        <w:tabs>
          <w:tab w:val="left" w:pos="8820"/>
        </w:tabs>
        <w:spacing w:line="360" w:lineRule="exact"/>
        <w:ind w:firstLine="420" w:firstLineChars="200"/>
        <w:rPr>
          <w:rFonts w:hint="eastAsia" w:ascii="新宋体" w:hAnsi="新宋体" w:eastAsia="新宋体"/>
          <w:szCs w:val="21"/>
        </w:rPr>
      </w:pPr>
      <w:r>
        <w:rPr>
          <w:rFonts w:hint="eastAsia" w:ascii="新宋体" w:hAnsi="新宋体" w:eastAsia="新宋体"/>
          <w:szCs w:val="21"/>
        </w:rPr>
        <w:t>2.</w:t>
      </w:r>
      <w:r>
        <w:rPr>
          <w:rFonts w:ascii="新宋体" w:hAnsi="新宋体" w:eastAsia="新宋体" w:cs="宋体"/>
          <w:kern w:val="0"/>
          <w:szCs w:val="21"/>
        </w:rPr>
        <w:t>我单位承诺参与本次投标的资格符合《中华人民共和国政府采购法》的规定，并承诺近三年内，在经营活动中没有重大违法记录</w:t>
      </w:r>
      <w:r>
        <w:rPr>
          <w:rFonts w:hint="eastAsia" w:ascii="新宋体" w:hAnsi="新宋体" w:eastAsia="新宋体" w:cs="宋体"/>
          <w:i/>
          <w:kern w:val="0"/>
          <w:szCs w:val="21"/>
        </w:rPr>
        <w:t>或不良行为</w:t>
      </w:r>
      <w:r>
        <w:rPr>
          <w:rFonts w:ascii="新宋体" w:hAnsi="新宋体" w:eastAsia="新宋体" w:cs="宋体"/>
          <w:kern w:val="0"/>
          <w:szCs w:val="21"/>
        </w:rPr>
        <w:t>。</w:t>
      </w:r>
      <w:r>
        <w:rPr>
          <w:rFonts w:hint="eastAsia" w:ascii="新宋体" w:hAnsi="新宋体" w:eastAsia="新宋体" w:cs="宋体"/>
          <w:kern w:val="0"/>
          <w:szCs w:val="21"/>
        </w:rPr>
        <w:t>我单位承诺财务状况良好，并已依法按时缴纳税收和社会保障资金。我单位承诺具备履行本项目合同所必需的设备和专业技术能力。我单位承诺如中标，中标后不转包或分包本项目。</w:t>
      </w:r>
    </w:p>
    <w:p>
      <w:pPr>
        <w:spacing w:line="360" w:lineRule="exact"/>
        <w:ind w:firstLine="420" w:firstLineChars="200"/>
        <w:rPr>
          <w:rFonts w:hint="eastAsia" w:ascii="新宋体" w:hAnsi="新宋体" w:eastAsia="新宋体"/>
          <w:szCs w:val="21"/>
        </w:rPr>
      </w:pPr>
      <w:r>
        <w:rPr>
          <w:rFonts w:hint="eastAsia" w:ascii="新宋体" w:hAnsi="新宋体" w:eastAsia="新宋体"/>
          <w:szCs w:val="21"/>
        </w:rPr>
        <w:t>3.我方理解贵方不一定要接受最低价的投标；</w:t>
      </w:r>
    </w:p>
    <w:p>
      <w:pPr>
        <w:tabs>
          <w:tab w:val="left" w:pos="8820"/>
        </w:tabs>
        <w:spacing w:line="360" w:lineRule="exact"/>
        <w:ind w:firstLine="420" w:firstLineChars="200"/>
        <w:rPr>
          <w:rFonts w:hint="eastAsia" w:ascii="新宋体" w:hAnsi="新宋体" w:eastAsia="新宋体" w:cs="宋体"/>
          <w:kern w:val="0"/>
          <w:szCs w:val="21"/>
        </w:rPr>
      </w:pPr>
      <w:r>
        <w:rPr>
          <w:rFonts w:hint="eastAsia" w:ascii="新宋体" w:hAnsi="新宋体" w:eastAsia="新宋体" w:cs="宋体"/>
          <w:kern w:val="0"/>
          <w:szCs w:val="21"/>
        </w:rPr>
        <w:t>4.我方同意所递交的投标文件的投标有效期与招标文件规定的有效期一致，在此期间内我方如中标，我方将受此约束。</w:t>
      </w:r>
    </w:p>
    <w:p>
      <w:pPr>
        <w:tabs>
          <w:tab w:val="left" w:pos="8820"/>
        </w:tabs>
        <w:spacing w:line="360" w:lineRule="exact"/>
        <w:ind w:firstLine="420" w:firstLineChars="200"/>
        <w:rPr>
          <w:rFonts w:hint="eastAsia" w:ascii="新宋体" w:hAnsi="新宋体" w:eastAsia="新宋体" w:cs="宋体"/>
          <w:kern w:val="0"/>
          <w:szCs w:val="21"/>
        </w:rPr>
      </w:pPr>
      <w:r>
        <w:rPr>
          <w:rFonts w:hint="eastAsia" w:ascii="新宋体" w:hAnsi="新宋体" w:eastAsia="新宋体" w:cs="宋体"/>
          <w:kern w:val="0"/>
          <w:szCs w:val="21"/>
        </w:rPr>
        <w:t>5.不与采购人或者其他投标人相互串通投标，围标，不以行贿等不正当手段谋取中标。</w:t>
      </w:r>
    </w:p>
    <w:p>
      <w:pPr>
        <w:tabs>
          <w:tab w:val="left" w:pos="8820"/>
        </w:tabs>
        <w:spacing w:line="360" w:lineRule="exact"/>
        <w:ind w:firstLine="420" w:firstLineChars="200"/>
        <w:rPr>
          <w:rFonts w:hint="eastAsia" w:ascii="新宋体" w:hAnsi="新宋体" w:eastAsia="新宋体" w:cs="宋体"/>
          <w:kern w:val="0"/>
          <w:szCs w:val="21"/>
        </w:rPr>
      </w:pPr>
      <w:r>
        <w:rPr>
          <w:rFonts w:hint="eastAsia" w:ascii="新宋体" w:hAnsi="新宋体" w:eastAsia="新宋体" w:cs="宋体"/>
          <w:kern w:val="0"/>
          <w:szCs w:val="21"/>
        </w:rPr>
        <w:t>6.在备案、招标、投标、开标、评标、询标、中标、签订合同、合同备案等招投标预备和进行的全过程中提供的资料均真实、有效，不弄虚作假。</w:t>
      </w:r>
    </w:p>
    <w:p>
      <w:pPr>
        <w:tabs>
          <w:tab w:val="left" w:pos="8820"/>
        </w:tabs>
        <w:spacing w:line="360" w:lineRule="exact"/>
        <w:ind w:firstLine="420" w:firstLineChars="200"/>
        <w:rPr>
          <w:rFonts w:hint="eastAsia" w:ascii="新宋体" w:hAnsi="新宋体" w:eastAsia="新宋体" w:cs="宋体"/>
          <w:kern w:val="0"/>
          <w:szCs w:val="21"/>
        </w:rPr>
      </w:pPr>
      <w:r>
        <w:rPr>
          <w:rFonts w:hint="eastAsia" w:ascii="新宋体" w:hAnsi="新宋体" w:eastAsia="新宋体" w:cs="宋体"/>
          <w:kern w:val="0"/>
          <w:szCs w:val="21"/>
        </w:rPr>
        <w:t>7.我方相信贵方的招标结果是公正、合法的，无论我方中标还是落标，我方将接受这一结果。 </w:t>
      </w:r>
    </w:p>
    <w:p>
      <w:pPr>
        <w:tabs>
          <w:tab w:val="left" w:pos="8820"/>
        </w:tabs>
        <w:spacing w:line="360" w:lineRule="exact"/>
        <w:ind w:firstLine="420" w:firstLineChars="200"/>
        <w:rPr>
          <w:rFonts w:hint="eastAsia" w:ascii="新宋体" w:hAnsi="新宋体" w:eastAsia="新宋体" w:cs="宋体"/>
          <w:kern w:val="0"/>
          <w:szCs w:val="21"/>
        </w:rPr>
      </w:pPr>
      <w:r>
        <w:rPr>
          <w:rFonts w:hint="eastAsia" w:ascii="新宋体" w:hAnsi="新宋体" w:eastAsia="新宋体" w:cs="宋体"/>
          <w:kern w:val="0"/>
          <w:szCs w:val="21"/>
        </w:rPr>
        <w:t>8.一旦我方中标，我方将严格依照招标文件中的相关规定与招标方签订合同。</w:t>
      </w:r>
    </w:p>
    <w:p>
      <w:pPr>
        <w:tabs>
          <w:tab w:val="left" w:pos="8820"/>
        </w:tabs>
        <w:spacing w:line="360" w:lineRule="exact"/>
        <w:ind w:firstLine="420" w:firstLineChars="200"/>
        <w:rPr>
          <w:rFonts w:hint="eastAsia" w:ascii="新宋体" w:hAnsi="新宋体" w:eastAsia="新宋体" w:cs="宋体"/>
          <w:kern w:val="0"/>
          <w:szCs w:val="21"/>
        </w:rPr>
      </w:pPr>
      <w:r>
        <w:rPr>
          <w:rFonts w:hint="eastAsia" w:ascii="新宋体" w:hAnsi="新宋体" w:eastAsia="新宋体" w:cs="宋体"/>
          <w:kern w:val="0"/>
          <w:szCs w:val="21"/>
        </w:rPr>
        <w:t>9.</w:t>
      </w:r>
      <w:r>
        <w:rPr>
          <w:rFonts w:ascii="新宋体" w:hAnsi="新宋体" w:eastAsia="新宋体" w:cs="宋体"/>
          <w:kern w:val="0"/>
          <w:szCs w:val="21"/>
        </w:rPr>
        <w:t>自愿接受义乌市财政局的管理，并严格遵守</w:t>
      </w:r>
      <w:r>
        <w:rPr>
          <w:rFonts w:hint="eastAsia" w:ascii="新宋体" w:hAnsi="新宋体" w:eastAsia="新宋体" w:cs="宋体"/>
          <w:kern w:val="0"/>
          <w:szCs w:val="21"/>
        </w:rPr>
        <w:t>政府采购监督部门</w:t>
      </w:r>
      <w:r>
        <w:rPr>
          <w:rFonts w:ascii="新宋体" w:hAnsi="新宋体" w:eastAsia="新宋体" w:cs="宋体"/>
          <w:kern w:val="0"/>
          <w:szCs w:val="21"/>
        </w:rPr>
        <w:t>制定的招投标管理制度、规范和纪律</w:t>
      </w:r>
      <w:r>
        <w:rPr>
          <w:rFonts w:hint="eastAsia" w:ascii="新宋体" w:hAnsi="新宋体" w:eastAsia="新宋体" w:cs="宋体"/>
          <w:kern w:val="0"/>
          <w:szCs w:val="21"/>
        </w:rPr>
        <w:t>；积极主动配合政府采购监督部门的调查。及时、如实、全面地回答政府采购监督部门提出的问题，并在调查笔录中签字确认。如拒绝签字确认的，则视为我单位及有关工作人员认可调查笔录中的全部内容，并对最终的调查结果无任何异议，且自愿放弃一切救济途径。</w:t>
      </w:r>
    </w:p>
    <w:p>
      <w:pPr>
        <w:tabs>
          <w:tab w:val="left" w:pos="8820"/>
        </w:tabs>
        <w:spacing w:line="360" w:lineRule="exact"/>
        <w:ind w:firstLine="420" w:firstLineChars="200"/>
        <w:rPr>
          <w:rFonts w:hint="eastAsia" w:ascii="新宋体" w:hAnsi="新宋体" w:eastAsia="新宋体" w:cs="宋体"/>
          <w:kern w:val="0"/>
          <w:szCs w:val="21"/>
        </w:rPr>
      </w:pPr>
      <w:r>
        <w:rPr>
          <w:rFonts w:hint="eastAsia" w:ascii="新宋体" w:hAnsi="新宋体" w:eastAsia="新宋体" w:cs="宋体"/>
          <w:kern w:val="0"/>
          <w:szCs w:val="21"/>
        </w:rPr>
        <w:t>10.按照法律法规和本项目招标文件规定的程序和方式进行异议和投诉，不越级投诉，不无理投诉。如捏造事实、伪造材料或者以非法手段取得证明材料进行投诉，给他人造成损失的，依法承担赔偿责任。</w:t>
      </w:r>
    </w:p>
    <w:p>
      <w:pPr>
        <w:tabs>
          <w:tab w:val="left" w:pos="8820"/>
        </w:tabs>
        <w:spacing w:line="360" w:lineRule="exact"/>
        <w:ind w:firstLine="420" w:firstLineChars="200"/>
        <w:rPr>
          <w:rFonts w:hint="eastAsia" w:ascii="新宋体" w:hAnsi="新宋体" w:eastAsia="新宋体" w:cs="宋体"/>
          <w:kern w:val="0"/>
          <w:szCs w:val="21"/>
        </w:rPr>
      </w:pPr>
      <w:r>
        <w:rPr>
          <w:rFonts w:hint="eastAsia" w:ascii="新宋体" w:hAnsi="新宋体" w:eastAsia="新宋体" w:cs="宋体"/>
          <w:kern w:val="0"/>
          <w:szCs w:val="21"/>
        </w:rPr>
        <w:t>11.投标文件中未明确的内容，一律按招标文件规定执行。</w:t>
      </w:r>
    </w:p>
    <w:p>
      <w:pPr>
        <w:tabs>
          <w:tab w:val="left" w:pos="8820"/>
        </w:tabs>
        <w:spacing w:line="360" w:lineRule="exact"/>
        <w:ind w:firstLine="420" w:firstLineChars="200"/>
        <w:rPr>
          <w:rFonts w:ascii="新宋体" w:hAnsi="新宋体" w:eastAsia="新宋体" w:cs="宋体"/>
          <w:kern w:val="0"/>
          <w:szCs w:val="21"/>
        </w:rPr>
      </w:pPr>
      <w:r>
        <w:rPr>
          <w:rFonts w:hint="eastAsia" w:ascii="新宋体" w:hAnsi="新宋体" w:eastAsia="新宋体" w:cs="宋体"/>
          <w:kern w:val="0"/>
          <w:szCs w:val="21"/>
        </w:rPr>
        <w:t>12.与本投标有关的一切正式往来通讯请寄：</w:t>
      </w:r>
    </w:p>
    <w:p>
      <w:pPr>
        <w:spacing w:line="360" w:lineRule="exact"/>
        <w:ind w:firstLine="420" w:firstLineChars="200"/>
        <w:rPr>
          <w:rFonts w:ascii="新宋体" w:hAnsi="新宋体" w:eastAsia="新宋体"/>
          <w:szCs w:val="21"/>
        </w:rPr>
      </w:pPr>
      <w:r>
        <w:rPr>
          <w:rFonts w:hint="eastAsia" w:ascii="新宋体" w:hAnsi="新宋体" w:eastAsia="新宋体"/>
          <w:szCs w:val="21"/>
        </w:rPr>
        <w:t>投标人名称：</w:t>
      </w:r>
      <w:r>
        <w:rPr>
          <w:rFonts w:ascii="新宋体" w:hAnsi="新宋体" w:eastAsia="新宋体"/>
          <w:szCs w:val="21"/>
        </w:rPr>
        <w:t>______________________</w:t>
      </w:r>
      <w:r>
        <w:rPr>
          <w:rFonts w:hint="eastAsia" w:ascii="新宋体" w:hAnsi="新宋体" w:eastAsia="新宋体"/>
          <w:szCs w:val="21"/>
        </w:rPr>
        <w:t>地址：</w:t>
      </w:r>
      <w:r>
        <w:rPr>
          <w:rFonts w:ascii="新宋体" w:hAnsi="新宋体" w:eastAsia="新宋体"/>
          <w:szCs w:val="21"/>
        </w:rPr>
        <w:t>__________________</w:t>
      </w:r>
      <w:r>
        <w:rPr>
          <w:rFonts w:hint="eastAsia" w:ascii="新宋体" w:hAnsi="新宋体" w:eastAsia="新宋体"/>
          <w:szCs w:val="21"/>
        </w:rPr>
        <w:t xml:space="preserve">  邮编：</w:t>
      </w:r>
      <w:r>
        <w:rPr>
          <w:rFonts w:ascii="新宋体" w:hAnsi="新宋体" w:eastAsia="新宋体"/>
          <w:szCs w:val="21"/>
        </w:rPr>
        <w:t xml:space="preserve">______________________  </w:t>
      </w:r>
    </w:p>
    <w:p>
      <w:pPr>
        <w:spacing w:line="360" w:lineRule="exact"/>
        <w:ind w:firstLine="420" w:firstLineChars="200"/>
        <w:rPr>
          <w:rFonts w:ascii="新宋体" w:hAnsi="新宋体" w:eastAsia="新宋体"/>
          <w:szCs w:val="21"/>
        </w:rPr>
      </w:pPr>
      <w:r>
        <w:rPr>
          <w:rFonts w:hint="eastAsia" w:ascii="新宋体" w:hAnsi="新宋体" w:eastAsia="新宋体"/>
          <w:szCs w:val="21"/>
        </w:rPr>
        <w:t>联系人及电话：</w:t>
      </w:r>
      <w:r>
        <w:rPr>
          <w:rFonts w:ascii="新宋体" w:hAnsi="新宋体" w:eastAsia="新宋体"/>
          <w:szCs w:val="21"/>
        </w:rPr>
        <w:t>______________________</w:t>
      </w:r>
      <w:r>
        <w:rPr>
          <w:rFonts w:hint="eastAsia" w:ascii="新宋体" w:hAnsi="新宋体" w:eastAsia="新宋体"/>
          <w:szCs w:val="21"/>
        </w:rPr>
        <w:t xml:space="preserve"> 传真：</w:t>
      </w:r>
      <w:r>
        <w:rPr>
          <w:rFonts w:ascii="新宋体" w:hAnsi="新宋体" w:eastAsia="新宋体"/>
          <w:szCs w:val="21"/>
        </w:rPr>
        <w:t xml:space="preserve">______________________ </w:t>
      </w:r>
    </w:p>
    <w:p>
      <w:pPr>
        <w:spacing w:line="360" w:lineRule="exact"/>
        <w:ind w:firstLine="420" w:firstLineChars="200"/>
        <w:rPr>
          <w:rFonts w:hint="eastAsia" w:ascii="新宋体" w:hAnsi="新宋体" w:eastAsia="新宋体"/>
          <w:szCs w:val="21"/>
        </w:rPr>
      </w:pPr>
      <w:r>
        <w:rPr>
          <w:rFonts w:hint="eastAsia" w:ascii="新宋体" w:hAnsi="新宋体" w:eastAsia="新宋体"/>
          <w:szCs w:val="21"/>
        </w:rPr>
        <w:t>上述承诺事项已认真逐项核对，均表达我单位真实意见，愿承担任何责任。若有任何弄虚作假内容或未遵守上述约定的，经查实后，愿意放弃投标及中标资格，如由于我单位被判失去中标权而给采购人造成报价的差额损失的，同意对差额损失予以赔偿。如我单位违反上述承诺事项，无条件接受政府采购监督部门作出的任何管理和处理决定，并自愿承担一切不利的后果。</w:t>
      </w:r>
    </w:p>
    <w:p>
      <w:pPr>
        <w:spacing w:line="360" w:lineRule="exact"/>
        <w:rPr>
          <w:rFonts w:hint="eastAsia" w:ascii="新宋体" w:hAnsi="新宋体" w:eastAsia="新宋体"/>
          <w:szCs w:val="21"/>
        </w:rPr>
      </w:pPr>
    </w:p>
    <w:p>
      <w:pPr>
        <w:spacing w:line="360" w:lineRule="exact"/>
        <w:rPr>
          <w:rFonts w:hint="eastAsia" w:ascii="新宋体" w:hAnsi="新宋体" w:eastAsia="新宋体"/>
          <w:szCs w:val="21"/>
        </w:rPr>
      </w:pPr>
    </w:p>
    <w:p>
      <w:pPr>
        <w:spacing w:line="360" w:lineRule="exact"/>
        <w:jc w:val="right"/>
        <w:rPr>
          <w:rFonts w:hint="eastAsia" w:ascii="新宋体" w:hAnsi="新宋体" w:eastAsia="新宋体"/>
          <w:szCs w:val="21"/>
        </w:rPr>
      </w:pPr>
      <w:r>
        <w:rPr>
          <w:rFonts w:hint="eastAsia" w:ascii="新宋体" w:hAnsi="新宋体" w:eastAsia="新宋体"/>
          <w:szCs w:val="21"/>
        </w:rPr>
        <w:t>投标人（盖公章）：</w:t>
      </w:r>
    </w:p>
    <w:p>
      <w:pPr>
        <w:spacing w:line="360" w:lineRule="exact"/>
        <w:jc w:val="right"/>
        <w:rPr>
          <w:rFonts w:hint="eastAsia" w:ascii="新宋体" w:hAnsi="新宋体" w:eastAsia="新宋体"/>
          <w:szCs w:val="21"/>
        </w:rPr>
      </w:pPr>
      <w:r>
        <w:rPr>
          <w:rFonts w:hint="eastAsia" w:ascii="新宋体" w:hAnsi="新宋体" w:eastAsia="新宋体"/>
          <w:sz w:val="24"/>
          <w:u w:val="single"/>
        </w:rPr>
        <w:t xml:space="preserve">                </w:t>
      </w:r>
    </w:p>
    <w:p>
      <w:pPr>
        <w:spacing w:line="360" w:lineRule="exact"/>
        <w:ind w:firstLine="630" w:firstLineChars="300"/>
        <w:jc w:val="right"/>
        <w:rPr>
          <w:rFonts w:hint="eastAsia"/>
        </w:rPr>
      </w:pPr>
      <w:r>
        <w:rPr>
          <w:rFonts w:hint="eastAsia"/>
        </w:rPr>
        <w:t xml:space="preserve">年 </w:t>
      </w:r>
      <w:r>
        <w:t xml:space="preserve">  </w:t>
      </w:r>
      <w:r>
        <w:rPr>
          <w:rFonts w:hint="eastAsia"/>
        </w:rPr>
        <w:t>月</w:t>
      </w:r>
      <w:r>
        <w:t xml:space="preserve"> </w:t>
      </w:r>
      <w:r>
        <w:rPr>
          <w:rFonts w:hint="eastAsia"/>
        </w:rPr>
        <w:t xml:space="preserve"> </w:t>
      </w:r>
      <w:r>
        <w:t xml:space="preserve"> </w:t>
      </w:r>
      <w:r>
        <w:rPr>
          <w:rFonts w:hint="eastAsia"/>
        </w:rPr>
        <w:t>日</w:t>
      </w:r>
    </w:p>
    <w:p>
      <w:pPr>
        <w:spacing w:line="360" w:lineRule="exact"/>
        <w:ind w:firstLine="630" w:firstLineChars="300"/>
        <w:jc w:val="left"/>
        <w:rPr>
          <w:rFonts w:hint="eastAsia"/>
        </w:rPr>
      </w:pPr>
    </w:p>
    <w:p>
      <w:pPr>
        <w:spacing w:line="360" w:lineRule="exact"/>
        <w:ind w:firstLine="630" w:firstLineChars="300"/>
        <w:jc w:val="left"/>
        <w:rPr>
          <w:rFonts w:hint="eastAsia"/>
        </w:rPr>
      </w:pPr>
    </w:p>
    <w:p>
      <w:pPr>
        <w:spacing w:line="360" w:lineRule="exact"/>
        <w:ind w:firstLine="630" w:firstLineChars="300"/>
        <w:jc w:val="left"/>
        <w:rPr>
          <w:rFonts w:hint="eastAsia"/>
        </w:rPr>
      </w:pPr>
    </w:p>
    <w:p>
      <w:pPr>
        <w:spacing w:line="400" w:lineRule="exact"/>
        <w:rPr>
          <w:rFonts w:hint="eastAsia" w:ascii="新宋体" w:hAnsi="新宋体" w:eastAsia="新宋体"/>
          <w:b/>
          <w:bCs/>
          <w:sz w:val="36"/>
          <w:szCs w:val="36"/>
        </w:rPr>
      </w:pPr>
      <w:r>
        <w:rPr>
          <w:rFonts w:hint="eastAsia" w:ascii="新宋体" w:hAnsi="新宋体" w:eastAsia="新宋体"/>
          <w:b/>
          <w:bCs/>
          <w:sz w:val="36"/>
          <w:szCs w:val="36"/>
        </w:rPr>
        <w:t>2.</w:t>
      </w:r>
    </w:p>
    <w:p>
      <w:pPr>
        <w:jc w:val="center"/>
        <w:rPr>
          <w:rFonts w:ascii="新宋体" w:hAnsi="新宋体" w:eastAsia="新宋体"/>
          <w:sz w:val="24"/>
        </w:rPr>
      </w:pPr>
      <w:r>
        <w:rPr>
          <w:rFonts w:hint="eastAsia" w:ascii="新宋体" w:hAnsi="新宋体" w:eastAsia="新宋体"/>
          <w:b/>
          <w:bCs/>
          <w:sz w:val="36"/>
        </w:rPr>
        <w:t>规范偏离表</w:t>
      </w:r>
      <w:r>
        <w:rPr>
          <w:rFonts w:hint="eastAsia" w:ascii="新宋体" w:hAnsi="新宋体" w:eastAsia="新宋体"/>
          <w:b/>
          <w:bCs/>
          <w:sz w:val="36"/>
          <w:szCs w:val="36"/>
        </w:rPr>
        <w:t>（格式）</w:t>
      </w:r>
    </w:p>
    <w:p>
      <w:pPr>
        <w:rPr>
          <w:rFonts w:hint="eastAsia" w:ascii="新宋体" w:hAnsi="新宋体" w:eastAsia="新宋体"/>
          <w:sz w:val="24"/>
        </w:rPr>
      </w:pPr>
      <w:r>
        <w:rPr>
          <w:rFonts w:ascii="新宋体" w:hAnsi="新宋体" w:eastAsia="新宋体"/>
          <w:sz w:val="24"/>
        </w:rPr>
        <w:t xml:space="preserve">                                       </w:t>
      </w:r>
      <w:r>
        <w:rPr>
          <w:rFonts w:hint="eastAsia" w:ascii="新宋体" w:hAnsi="新宋体" w:eastAsia="新宋体"/>
          <w:sz w:val="24"/>
        </w:rPr>
        <w:t>招标编号：YWCG2020128GK</w:t>
      </w:r>
    </w:p>
    <w:tbl>
      <w:tblPr>
        <w:tblStyle w:val="61"/>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101"/>
        <w:gridCol w:w="2291"/>
        <w:gridCol w:w="2101"/>
        <w:gridCol w:w="2106"/>
      </w:tblGrid>
      <w:tr>
        <w:tblPrEx>
          <w:tblLayout w:type="fixed"/>
        </w:tblPrEx>
        <w:trPr>
          <w:cantSplit/>
          <w:trHeight w:val="576" w:hRule="atLeast"/>
        </w:trPr>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24"/>
              </w:rPr>
            </w:pPr>
            <w:r>
              <w:rPr>
                <w:rFonts w:hint="eastAsia" w:ascii="新宋体" w:hAnsi="新宋体" w:eastAsia="新宋体"/>
                <w:sz w:val="24"/>
              </w:rPr>
              <w:t>序号</w:t>
            </w:r>
          </w:p>
        </w:tc>
        <w:tc>
          <w:tcPr>
            <w:tcW w:w="210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新宋体" w:hAnsi="新宋体" w:eastAsia="新宋体"/>
                <w:sz w:val="24"/>
              </w:rPr>
            </w:pPr>
            <w:r>
              <w:rPr>
                <w:rFonts w:hint="eastAsia" w:ascii="新宋体" w:hAnsi="新宋体" w:eastAsia="新宋体"/>
                <w:sz w:val="24"/>
              </w:rPr>
              <w:t>内</w:t>
            </w:r>
            <w:r>
              <w:rPr>
                <w:rFonts w:ascii="新宋体" w:hAnsi="新宋体" w:eastAsia="新宋体"/>
                <w:sz w:val="24"/>
              </w:rPr>
              <w:t xml:space="preserve">  </w:t>
            </w:r>
            <w:r>
              <w:rPr>
                <w:rFonts w:hint="eastAsia" w:ascii="新宋体" w:hAnsi="新宋体" w:eastAsia="新宋体"/>
                <w:sz w:val="24"/>
              </w:rPr>
              <w:t>容</w:t>
            </w:r>
          </w:p>
        </w:tc>
        <w:tc>
          <w:tcPr>
            <w:tcW w:w="2291"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24"/>
              </w:rPr>
            </w:pPr>
            <w:r>
              <w:rPr>
                <w:rFonts w:hint="eastAsia" w:ascii="新宋体" w:hAnsi="新宋体" w:eastAsia="新宋体"/>
                <w:sz w:val="24"/>
              </w:rPr>
              <w:t>招标文件</w:t>
            </w:r>
          </w:p>
          <w:p>
            <w:pPr>
              <w:jc w:val="center"/>
              <w:rPr>
                <w:rFonts w:ascii="新宋体" w:hAnsi="新宋体" w:eastAsia="新宋体"/>
                <w:sz w:val="24"/>
              </w:rPr>
            </w:pPr>
            <w:r>
              <w:rPr>
                <w:rFonts w:hint="eastAsia" w:ascii="新宋体" w:hAnsi="新宋体" w:eastAsia="新宋体"/>
                <w:sz w:val="24"/>
              </w:rPr>
              <w:t>规范要求</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24"/>
              </w:rPr>
            </w:pPr>
            <w:r>
              <w:rPr>
                <w:rFonts w:hint="eastAsia" w:ascii="新宋体" w:hAnsi="新宋体" w:eastAsia="新宋体"/>
                <w:sz w:val="24"/>
              </w:rPr>
              <w:t>投标文件</w:t>
            </w:r>
          </w:p>
          <w:p>
            <w:pPr>
              <w:jc w:val="center"/>
              <w:rPr>
                <w:rFonts w:ascii="新宋体" w:hAnsi="新宋体" w:eastAsia="新宋体"/>
                <w:sz w:val="24"/>
              </w:rPr>
            </w:pPr>
            <w:r>
              <w:rPr>
                <w:rFonts w:hint="eastAsia" w:ascii="新宋体" w:hAnsi="新宋体" w:eastAsia="新宋体"/>
                <w:sz w:val="24"/>
              </w:rPr>
              <w:t>对应规范</w:t>
            </w:r>
          </w:p>
        </w:tc>
        <w:tc>
          <w:tcPr>
            <w:tcW w:w="210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新宋体" w:hAnsi="新宋体" w:eastAsia="新宋体"/>
                <w:sz w:val="24"/>
              </w:rPr>
            </w:pPr>
            <w:r>
              <w:rPr>
                <w:rFonts w:hint="eastAsia" w:ascii="新宋体" w:hAnsi="新宋体" w:eastAsia="新宋体"/>
                <w:sz w:val="24"/>
              </w:rPr>
              <w:t>偏离情况</w:t>
            </w:r>
          </w:p>
          <w:p>
            <w:pPr>
              <w:spacing w:line="480" w:lineRule="auto"/>
              <w:jc w:val="center"/>
              <w:rPr>
                <w:rFonts w:ascii="新宋体" w:hAnsi="新宋体" w:eastAsia="新宋体"/>
                <w:sz w:val="24"/>
              </w:rPr>
            </w:pPr>
            <w:r>
              <w:rPr>
                <w:rFonts w:hint="eastAsia" w:ascii="新宋体" w:hAnsi="新宋体" w:eastAsia="新宋体"/>
                <w:sz w:val="24"/>
              </w:rPr>
              <w:t>详细说明</w:t>
            </w:r>
          </w:p>
        </w:tc>
      </w:tr>
      <w:tr>
        <w:tblPrEx>
          <w:tblLayout w:type="fixed"/>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r>
      <w:tr>
        <w:tblPrEx>
          <w:tblLayout w:type="fixed"/>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r>
      <w:tr>
        <w:tblPrEx>
          <w:tblLayout w:type="fixed"/>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r>
      <w:tr>
        <w:tblPrEx>
          <w:tblLayout w:type="fixed"/>
        </w:tblPrEx>
        <w:trPr>
          <w:cantSplit/>
          <w:trHeight w:val="130"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r>
      <w:tr>
        <w:tblPrEx>
          <w:tblLayout w:type="fixed"/>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r>
      <w:tr>
        <w:tblPrEx>
          <w:tblLayout w:type="fixed"/>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r>
      <w:tr>
        <w:tblPrEx>
          <w:tblLayout w:type="fixed"/>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r>
      <w:tr>
        <w:tblPrEx>
          <w:tblLayout w:type="fixed"/>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r>
      <w:tr>
        <w:tblPrEx>
          <w:tblLayout w:type="fixed"/>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r>
      <w:tr>
        <w:tblPrEx>
          <w:tblLayout w:type="fixed"/>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r>
      <w:tr>
        <w:tblPrEx>
          <w:tblLayout w:type="fixed"/>
        </w:tblPrEx>
        <w:trPr>
          <w:cantSplit/>
          <w:trHeight w:val="130"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r>
      <w:tr>
        <w:tblPrEx>
          <w:tblLayout w:type="fixed"/>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r>
      <w:tr>
        <w:tblPrEx>
          <w:tblLayout w:type="fixed"/>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r>
      <w:tr>
        <w:tblPrEx>
          <w:tblLayout w:type="fixed"/>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sz w:val="24"/>
              </w:rPr>
            </w:pPr>
          </w:p>
        </w:tc>
      </w:tr>
    </w:tbl>
    <w:p>
      <w:pPr>
        <w:spacing w:line="360" w:lineRule="auto"/>
        <w:rPr>
          <w:rFonts w:ascii="新宋体" w:hAnsi="新宋体" w:eastAsia="新宋体"/>
          <w:sz w:val="24"/>
        </w:rPr>
      </w:pPr>
      <w:r>
        <w:rPr>
          <w:rFonts w:hint="eastAsia" w:ascii="新宋体" w:hAnsi="新宋体" w:eastAsia="新宋体"/>
          <w:sz w:val="24"/>
        </w:rPr>
        <w:t>投标人名称（盖公章）：</w:t>
      </w:r>
      <w:r>
        <w:rPr>
          <w:rFonts w:ascii="新宋体" w:hAnsi="新宋体" w:eastAsia="新宋体"/>
          <w:sz w:val="24"/>
          <w:u w:val="single"/>
        </w:rPr>
        <w:t xml:space="preserve">                    </w:t>
      </w:r>
      <w:r>
        <w:rPr>
          <w:rFonts w:ascii="新宋体" w:hAnsi="新宋体" w:eastAsia="新宋体"/>
          <w:sz w:val="24"/>
        </w:rPr>
        <w:t xml:space="preserve">  </w:t>
      </w:r>
    </w:p>
    <w:p>
      <w:pPr>
        <w:spacing w:line="360" w:lineRule="auto"/>
        <w:rPr>
          <w:rFonts w:ascii="新宋体" w:hAnsi="新宋体" w:eastAsia="新宋体"/>
          <w:sz w:val="24"/>
        </w:rPr>
      </w:pPr>
      <w:r>
        <w:rPr>
          <w:rFonts w:hint="eastAsia" w:ascii="新宋体" w:hAnsi="新宋体" w:eastAsia="新宋体"/>
          <w:sz w:val="24"/>
        </w:rPr>
        <w:t>日</w:t>
      </w:r>
      <w:r>
        <w:rPr>
          <w:rFonts w:ascii="新宋体" w:hAnsi="新宋体" w:eastAsia="新宋体"/>
          <w:sz w:val="24"/>
        </w:rPr>
        <w:t xml:space="preserve"> </w:t>
      </w:r>
      <w:r>
        <w:rPr>
          <w:rFonts w:hint="eastAsia" w:ascii="新宋体" w:hAnsi="新宋体" w:eastAsia="新宋体"/>
          <w:sz w:val="24"/>
        </w:rPr>
        <w:t>期：</w:t>
      </w:r>
      <w:r>
        <w:rPr>
          <w:rFonts w:ascii="新宋体" w:hAnsi="新宋体" w:eastAsia="新宋体"/>
          <w:sz w:val="24"/>
        </w:rPr>
        <w:t xml:space="preserve"> </w:t>
      </w:r>
      <w:r>
        <w:rPr>
          <w:rFonts w:ascii="新宋体" w:hAnsi="新宋体" w:eastAsia="新宋体"/>
          <w:sz w:val="24"/>
          <w:u w:val="single"/>
        </w:rPr>
        <w:t xml:space="preserve">    </w:t>
      </w:r>
      <w:r>
        <w:rPr>
          <w:rFonts w:hint="eastAsia" w:ascii="新宋体" w:hAnsi="新宋体" w:eastAsia="新宋体"/>
          <w:sz w:val="24"/>
        </w:rPr>
        <w:t>年</w:t>
      </w:r>
      <w:r>
        <w:rPr>
          <w:rFonts w:ascii="新宋体" w:hAnsi="新宋体" w:eastAsia="新宋体"/>
          <w:sz w:val="24"/>
          <w:u w:val="single"/>
        </w:rPr>
        <w:t xml:space="preserve">    </w:t>
      </w:r>
      <w:r>
        <w:rPr>
          <w:rFonts w:hint="eastAsia" w:ascii="新宋体" w:hAnsi="新宋体" w:eastAsia="新宋体"/>
          <w:sz w:val="24"/>
        </w:rPr>
        <w:t>月</w:t>
      </w:r>
      <w:r>
        <w:rPr>
          <w:rFonts w:ascii="新宋体" w:hAnsi="新宋体" w:eastAsia="新宋体"/>
          <w:sz w:val="24"/>
          <w:u w:val="single"/>
        </w:rPr>
        <w:t xml:space="preserve">    </w:t>
      </w:r>
      <w:r>
        <w:rPr>
          <w:rFonts w:hint="eastAsia" w:ascii="新宋体" w:hAnsi="新宋体" w:eastAsia="新宋体"/>
          <w:sz w:val="24"/>
        </w:rPr>
        <w:t>日</w:t>
      </w:r>
    </w:p>
    <w:p>
      <w:pPr>
        <w:spacing w:line="400" w:lineRule="exact"/>
        <w:rPr>
          <w:rFonts w:ascii="新宋体" w:hAnsi="新宋体" w:eastAsia="新宋体"/>
          <w:szCs w:val="21"/>
        </w:rPr>
      </w:pPr>
      <w:r>
        <w:rPr>
          <w:rFonts w:hint="eastAsia" w:ascii="新宋体" w:hAnsi="新宋体" w:eastAsia="新宋体"/>
          <w:szCs w:val="21"/>
        </w:rPr>
        <w:t>注：</w:t>
      </w:r>
      <w:r>
        <w:rPr>
          <w:rFonts w:ascii="新宋体" w:hAnsi="新宋体" w:eastAsia="新宋体"/>
          <w:szCs w:val="21"/>
        </w:rPr>
        <w:t>1</w:t>
      </w:r>
      <w:r>
        <w:rPr>
          <w:rFonts w:hint="eastAsia" w:ascii="新宋体" w:hAnsi="新宋体" w:eastAsia="新宋体"/>
          <w:szCs w:val="21"/>
        </w:rPr>
        <w:t>.投标人应仔细对第三章招标项目要求进行逐条分析，对于投标内容与招标文件内容有不一致的条款，则须在上表中列明并详细填写。</w:t>
      </w:r>
    </w:p>
    <w:p>
      <w:pPr>
        <w:spacing w:line="400" w:lineRule="exact"/>
        <w:ind w:firstLine="420" w:firstLineChars="200"/>
        <w:rPr>
          <w:rFonts w:ascii="新宋体" w:hAnsi="新宋体" w:eastAsia="新宋体"/>
          <w:szCs w:val="21"/>
        </w:rPr>
      </w:pPr>
      <w:r>
        <w:rPr>
          <w:rFonts w:ascii="新宋体" w:hAnsi="新宋体" w:eastAsia="新宋体"/>
          <w:szCs w:val="21"/>
        </w:rPr>
        <w:t>2</w:t>
      </w:r>
      <w:r>
        <w:rPr>
          <w:rFonts w:hint="eastAsia" w:ascii="新宋体" w:hAnsi="新宋体" w:eastAsia="新宋体"/>
          <w:szCs w:val="21"/>
        </w:rPr>
        <w:t>.如招标文件内容与投标文件内容都一致的，则本表可以在相关的盖章后，不需要填写其它内容或在“偏离情况详细说明”栏内只填写一个“无”字。</w:t>
      </w:r>
    </w:p>
    <w:p>
      <w:pPr>
        <w:spacing w:line="400" w:lineRule="exact"/>
        <w:ind w:firstLine="420" w:firstLineChars="200"/>
        <w:rPr>
          <w:rFonts w:hint="eastAsia" w:ascii="新宋体" w:hAnsi="新宋体" w:eastAsia="新宋体"/>
          <w:b/>
          <w:bCs/>
          <w:sz w:val="36"/>
          <w:szCs w:val="36"/>
        </w:rPr>
      </w:pPr>
      <w:r>
        <w:rPr>
          <w:rFonts w:ascii="新宋体" w:hAnsi="新宋体" w:eastAsia="新宋体"/>
          <w:szCs w:val="21"/>
        </w:rPr>
        <w:t>3</w:t>
      </w:r>
      <w:r>
        <w:rPr>
          <w:rFonts w:hint="eastAsia" w:ascii="新宋体" w:hAnsi="新宋体" w:eastAsia="新宋体"/>
          <w:szCs w:val="21"/>
        </w:rPr>
        <w:t>. 此表在不改变格式内容的情况下，可自行制作。</w:t>
      </w:r>
    </w:p>
    <w:p>
      <w:pPr>
        <w:spacing w:line="400" w:lineRule="exact"/>
        <w:rPr>
          <w:rFonts w:hint="eastAsia" w:ascii="新宋体" w:hAnsi="新宋体" w:eastAsia="新宋体"/>
          <w:b/>
          <w:bCs/>
          <w:sz w:val="36"/>
          <w:szCs w:val="36"/>
        </w:rPr>
      </w:pPr>
    </w:p>
    <w:p>
      <w:pPr>
        <w:spacing w:line="400" w:lineRule="exact"/>
        <w:rPr>
          <w:rFonts w:hint="eastAsia" w:ascii="新宋体" w:hAnsi="新宋体" w:eastAsia="新宋体"/>
          <w:b/>
          <w:bCs/>
          <w:sz w:val="36"/>
          <w:szCs w:val="36"/>
        </w:rPr>
      </w:pPr>
    </w:p>
    <w:p>
      <w:pPr>
        <w:spacing w:line="400" w:lineRule="exact"/>
        <w:rPr>
          <w:rFonts w:hint="eastAsia" w:ascii="新宋体" w:hAnsi="新宋体" w:eastAsia="新宋体"/>
          <w:b/>
          <w:bCs/>
          <w:sz w:val="36"/>
          <w:szCs w:val="36"/>
        </w:rPr>
      </w:pPr>
    </w:p>
    <w:p>
      <w:pPr>
        <w:spacing w:line="400" w:lineRule="exact"/>
        <w:rPr>
          <w:rFonts w:hint="eastAsia" w:ascii="新宋体" w:hAnsi="新宋体" w:eastAsia="新宋体"/>
          <w:b/>
          <w:bCs/>
          <w:sz w:val="36"/>
          <w:szCs w:val="36"/>
        </w:rPr>
      </w:pPr>
      <w:r>
        <w:rPr>
          <w:rFonts w:hint="eastAsia" w:ascii="新宋体" w:hAnsi="新宋体" w:eastAsia="新宋体"/>
          <w:b/>
          <w:bCs/>
          <w:sz w:val="36"/>
          <w:szCs w:val="36"/>
        </w:rPr>
        <w:t>3.</w:t>
      </w:r>
    </w:p>
    <w:p>
      <w:pPr>
        <w:jc w:val="center"/>
        <w:rPr>
          <w:rFonts w:hint="eastAsia" w:ascii="新宋体" w:hAnsi="新宋体" w:eastAsia="新宋体"/>
          <w:b/>
          <w:bCs/>
          <w:sz w:val="36"/>
        </w:rPr>
      </w:pPr>
      <w:r>
        <w:rPr>
          <w:rFonts w:hint="eastAsia" w:ascii="新宋体" w:hAnsi="新宋体" w:eastAsia="新宋体"/>
          <w:b/>
          <w:bCs/>
          <w:sz w:val="36"/>
        </w:rPr>
        <w:t>服务质量保证承诺书</w:t>
      </w:r>
    </w:p>
    <w:p>
      <w:pPr>
        <w:spacing w:line="480" w:lineRule="auto"/>
        <w:rPr>
          <w:rFonts w:hint="eastAsia" w:ascii="新宋体" w:hAnsi="新宋体" w:eastAsia="新宋体"/>
          <w:sz w:val="24"/>
        </w:rPr>
      </w:pPr>
      <w:r>
        <w:rPr>
          <w:rFonts w:hint="eastAsia" w:ascii="新宋体" w:hAnsi="新宋体" w:eastAsia="新宋体"/>
          <w:sz w:val="24"/>
        </w:rPr>
        <w:t>采购编号：YWCG2020128GK</w:t>
      </w:r>
    </w:p>
    <w:p>
      <w:pPr>
        <w:spacing w:line="400" w:lineRule="atLeast"/>
        <w:ind w:firstLine="482" w:firstLineChars="200"/>
        <w:rPr>
          <w:rFonts w:hint="eastAsia" w:ascii="新宋体" w:hAnsi="新宋体" w:eastAsia="新宋体"/>
          <w:b/>
          <w:sz w:val="24"/>
        </w:rPr>
      </w:pPr>
      <w:r>
        <w:rPr>
          <w:rFonts w:hint="eastAsia" w:ascii="新宋体" w:hAnsi="新宋体" w:eastAsia="新宋体"/>
          <w:b/>
          <w:sz w:val="24"/>
        </w:rPr>
        <w:t>致：国家税务总局义乌市税务局</w:t>
      </w:r>
    </w:p>
    <w:p>
      <w:pPr>
        <w:spacing w:line="400" w:lineRule="atLeast"/>
        <w:ind w:firstLine="480" w:firstLineChars="200"/>
        <w:rPr>
          <w:rFonts w:hint="eastAsia" w:ascii="新宋体" w:hAnsi="新宋体" w:eastAsia="新宋体"/>
          <w:sz w:val="24"/>
        </w:rPr>
      </w:pPr>
      <w:r>
        <w:rPr>
          <w:rFonts w:hint="eastAsia" w:ascii="新宋体" w:hAnsi="新宋体" w:eastAsia="新宋体"/>
          <w:sz w:val="24"/>
        </w:rPr>
        <w:t>我们在此声明，投标文件所提供拟参加本项目的人员是完整的、真实的和准确的，同时郑重承诺：我方若中标，保证按照招标文件的规定配备好设备，完全按照招标文件的要求向贵方提供优质的机关大楼物业管理，并承担相应的一切费用。</w:t>
      </w:r>
    </w:p>
    <w:p>
      <w:pPr>
        <w:tabs>
          <w:tab w:val="left" w:pos="1980"/>
        </w:tabs>
        <w:spacing w:line="360" w:lineRule="auto"/>
        <w:rPr>
          <w:rFonts w:hint="eastAsia" w:ascii="新宋体" w:hAnsi="新宋体" w:eastAsia="新宋体"/>
          <w:sz w:val="24"/>
        </w:rPr>
      </w:pPr>
    </w:p>
    <w:p>
      <w:pPr>
        <w:tabs>
          <w:tab w:val="left" w:pos="1980"/>
        </w:tabs>
        <w:spacing w:line="360" w:lineRule="auto"/>
        <w:rPr>
          <w:rFonts w:hint="eastAsia" w:ascii="新宋体" w:hAnsi="新宋体" w:eastAsia="新宋体"/>
          <w:sz w:val="24"/>
        </w:rPr>
      </w:pPr>
    </w:p>
    <w:p>
      <w:pPr>
        <w:spacing w:line="360" w:lineRule="auto"/>
        <w:rPr>
          <w:rFonts w:ascii="新宋体" w:hAnsi="新宋体" w:eastAsia="新宋体"/>
          <w:sz w:val="24"/>
        </w:rPr>
      </w:pPr>
      <w:r>
        <w:rPr>
          <w:rFonts w:hint="eastAsia" w:ascii="新宋体" w:hAnsi="新宋体" w:eastAsia="新宋体"/>
          <w:sz w:val="24"/>
        </w:rPr>
        <w:t>投标人名称（盖公章）：</w:t>
      </w:r>
      <w:r>
        <w:rPr>
          <w:rFonts w:ascii="新宋体" w:hAnsi="新宋体" w:eastAsia="新宋体"/>
          <w:sz w:val="24"/>
          <w:u w:val="single"/>
        </w:rPr>
        <w:t xml:space="preserve">                    </w:t>
      </w:r>
      <w:r>
        <w:rPr>
          <w:rFonts w:ascii="新宋体" w:hAnsi="新宋体" w:eastAsia="新宋体"/>
          <w:sz w:val="24"/>
        </w:rPr>
        <w:t xml:space="preserve">  </w:t>
      </w:r>
    </w:p>
    <w:p>
      <w:pPr>
        <w:pStyle w:val="32"/>
        <w:spacing w:line="360" w:lineRule="auto"/>
        <w:rPr>
          <w:rFonts w:hint="eastAsia" w:ascii="新宋体" w:hAnsi="新宋体" w:eastAsia="新宋体"/>
        </w:rPr>
      </w:pPr>
      <w:r>
        <w:rPr>
          <w:rFonts w:hint="eastAsia" w:ascii="新宋体" w:hAnsi="新宋体" w:eastAsia="新宋体"/>
          <w:sz w:val="24"/>
        </w:rPr>
        <w:t>日</w:t>
      </w:r>
      <w:r>
        <w:rPr>
          <w:rFonts w:ascii="新宋体" w:hAnsi="新宋体" w:eastAsia="新宋体"/>
          <w:sz w:val="24"/>
        </w:rPr>
        <w:t xml:space="preserve"> </w:t>
      </w:r>
      <w:r>
        <w:rPr>
          <w:rFonts w:hint="eastAsia" w:ascii="新宋体" w:hAnsi="新宋体" w:eastAsia="新宋体"/>
          <w:sz w:val="24"/>
        </w:rPr>
        <w:t>期：</w:t>
      </w:r>
      <w:r>
        <w:rPr>
          <w:rFonts w:ascii="新宋体" w:hAnsi="新宋体" w:eastAsia="新宋体"/>
          <w:sz w:val="24"/>
        </w:rPr>
        <w:t xml:space="preserve"> </w:t>
      </w:r>
      <w:r>
        <w:rPr>
          <w:rFonts w:ascii="新宋体" w:hAnsi="新宋体" w:eastAsia="新宋体"/>
          <w:sz w:val="24"/>
          <w:u w:val="single"/>
        </w:rPr>
        <w:t xml:space="preserve">    </w:t>
      </w:r>
      <w:r>
        <w:rPr>
          <w:rFonts w:hint="eastAsia" w:ascii="新宋体" w:hAnsi="新宋体" w:eastAsia="新宋体"/>
          <w:sz w:val="24"/>
        </w:rPr>
        <w:t>年</w:t>
      </w:r>
      <w:r>
        <w:rPr>
          <w:rFonts w:ascii="新宋体" w:hAnsi="新宋体" w:eastAsia="新宋体"/>
          <w:sz w:val="24"/>
          <w:u w:val="single"/>
        </w:rPr>
        <w:t xml:space="preserve">    </w:t>
      </w:r>
      <w:r>
        <w:rPr>
          <w:rFonts w:hint="eastAsia" w:ascii="新宋体" w:hAnsi="新宋体" w:eastAsia="新宋体"/>
          <w:sz w:val="24"/>
        </w:rPr>
        <w:t>月</w:t>
      </w:r>
      <w:r>
        <w:rPr>
          <w:rFonts w:ascii="新宋体" w:hAnsi="新宋体" w:eastAsia="新宋体"/>
          <w:sz w:val="24"/>
          <w:u w:val="single"/>
        </w:rPr>
        <w:t xml:space="preserve">    </w:t>
      </w:r>
      <w:r>
        <w:rPr>
          <w:rFonts w:hint="eastAsia" w:ascii="新宋体" w:hAnsi="新宋体" w:eastAsia="新宋体"/>
          <w:sz w:val="24"/>
        </w:rPr>
        <w:t>日</w:t>
      </w:r>
    </w:p>
    <w:p>
      <w:pPr>
        <w:tabs>
          <w:tab w:val="left" w:pos="1980"/>
        </w:tabs>
        <w:spacing w:line="360" w:lineRule="auto"/>
        <w:rPr>
          <w:rFonts w:hint="eastAsia" w:ascii="新宋体" w:hAnsi="新宋体" w:eastAsia="新宋体"/>
          <w:sz w:val="24"/>
        </w:rPr>
      </w:pPr>
    </w:p>
    <w:p>
      <w:pPr>
        <w:spacing w:line="400" w:lineRule="exact"/>
        <w:rPr>
          <w:rFonts w:hint="eastAsia" w:ascii="新宋体" w:hAnsi="新宋体" w:eastAsia="新宋体"/>
          <w:b/>
          <w:bCs/>
          <w:sz w:val="36"/>
          <w:szCs w:val="36"/>
        </w:rPr>
      </w:pPr>
    </w:p>
    <w:p>
      <w:pPr>
        <w:spacing w:line="400" w:lineRule="exact"/>
        <w:rPr>
          <w:rFonts w:hint="eastAsia" w:ascii="新宋体" w:hAnsi="新宋体" w:eastAsia="新宋体"/>
          <w:b/>
          <w:bCs/>
          <w:sz w:val="36"/>
          <w:szCs w:val="36"/>
        </w:rPr>
      </w:pPr>
      <w:r>
        <w:rPr>
          <w:rFonts w:hint="eastAsia" w:ascii="新宋体" w:hAnsi="新宋体" w:eastAsia="新宋体"/>
          <w:b/>
          <w:bCs/>
          <w:sz w:val="36"/>
          <w:szCs w:val="36"/>
        </w:rPr>
        <w:br w:type="page"/>
      </w:r>
      <w:r>
        <w:rPr>
          <w:rFonts w:hint="eastAsia" w:ascii="新宋体" w:hAnsi="新宋体" w:eastAsia="新宋体"/>
          <w:b/>
          <w:bCs/>
          <w:sz w:val="36"/>
          <w:szCs w:val="36"/>
        </w:rPr>
        <w:t>4.</w:t>
      </w:r>
    </w:p>
    <w:p>
      <w:pPr>
        <w:spacing w:line="400" w:lineRule="exact"/>
        <w:jc w:val="center"/>
        <w:rPr>
          <w:rFonts w:hint="eastAsia" w:ascii="新宋体" w:hAnsi="新宋体" w:eastAsia="新宋体"/>
          <w:b/>
          <w:bCs/>
          <w:sz w:val="36"/>
          <w:szCs w:val="36"/>
        </w:rPr>
      </w:pPr>
      <w:r>
        <w:rPr>
          <w:rFonts w:hint="eastAsia" w:ascii="新宋体" w:hAnsi="新宋体" w:eastAsia="新宋体"/>
          <w:b/>
          <w:bCs/>
          <w:sz w:val="36"/>
          <w:szCs w:val="36"/>
        </w:rPr>
        <w:t>开标一览表</w:t>
      </w:r>
    </w:p>
    <w:p>
      <w:pPr>
        <w:spacing w:line="400" w:lineRule="exact"/>
        <w:jc w:val="center"/>
        <w:rPr>
          <w:rFonts w:hint="eastAsia" w:ascii="新宋体" w:hAnsi="新宋体" w:eastAsia="新宋体"/>
          <w:sz w:val="24"/>
        </w:rPr>
      </w:pPr>
    </w:p>
    <w:p>
      <w:pPr>
        <w:spacing w:line="400" w:lineRule="exact"/>
        <w:rPr>
          <w:rFonts w:hint="eastAsia" w:ascii="新宋体" w:hAnsi="新宋体" w:eastAsia="新宋体"/>
          <w:sz w:val="24"/>
        </w:rPr>
      </w:pPr>
      <w:r>
        <w:rPr>
          <w:rFonts w:hint="eastAsia" w:ascii="新宋体" w:hAnsi="新宋体" w:eastAsia="新宋体"/>
          <w:sz w:val="24"/>
        </w:rPr>
        <w:t xml:space="preserve">                                           采购编号：YWCG2020128GK</w:t>
      </w:r>
    </w:p>
    <w:tbl>
      <w:tblPr>
        <w:tblStyle w:val="61"/>
        <w:tblW w:w="95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9"/>
        <w:gridCol w:w="1799"/>
        <w:gridCol w:w="2161"/>
        <w:gridCol w:w="4781"/>
      </w:tblGrid>
      <w:tr>
        <w:tblPrEx>
          <w:tblLayout w:type="fixed"/>
        </w:tblPrEx>
        <w:trPr>
          <w:trHeight w:val="534"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ascii="宋体" w:hAnsi="宋体"/>
                <w:b/>
                <w:sz w:val="24"/>
              </w:rPr>
              <w:t>序号</w:t>
            </w:r>
          </w:p>
        </w:tc>
        <w:tc>
          <w:tcPr>
            <w:tcW w:w="17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项目</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3年小计费用(元)</w:t>
            </w:r>
          </w:p>
        </w:tc>
        <w:tc>
          <w:tcPr>
            <w:tcW w:w="4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备注</w:t>
            </w:r>
          </w:p>
        </w:tc>
      </w:tr>
      <w:tr>
        <w:tblPrEx>
          <w:tblLayout w:type="fixed"/>
        </w:tblPrEx>
        <w:trPr>
          <w:trHeight w:val="854" w:hRule="atLeast"/>
        </w:trPr>
        <w:tc>
          <w:tcPr>
            <w:tcW w:w="829" w:type="dxa"/>
            <w:tcBorders>
              <w:top w:val="single" w:color="auto" w:sz="4" w:space="0"/>
              <w:left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1</w:t>
            </w:r>
          </w:p>
        </w:tc>
        <w:tc>
          <w:tcPr>
            <w:tcW w:w="1799" w:type="dxa"/>
            <w:tcBorders>
              <w:top w:val="single" w:color="auto" w:sz="4" w:space="0"/>
              <w:left w:val="single" w:color="auto" w:sz="4" w:space="0"/>
              <w:right w:val="single" w:color="auto" w:sz="4" w:space="0"/>
            </w:tcBorders>
            <w:vAlign w:val="center"/>
          </w:tcPr>
          <w:p>
            <w:pPr>
              <w:spacing w:line="400" w:lineRule="exact"/>
              <w:jc w:val="center"/>
              <w:rPr>
                <w:rFonts w:ascii="宋体" w:hAnsi="宋体"/>
                <w:sz w:val="24"/>
              </w:rPr>
            </w:pPr>
            <w:r>
              <w:rPr>
                <w:rFonts w:ascii="宋体" w:hAnsi="宋体" w:cs="Arial"/>
                <w:bCs/>
                <w:sz w:val="24"/>
              </w:rPr>
              <w:t>人员费用</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 w:val="24"/>
              </w:rPr>
            </w:pPr>
          </w:p>
        </w:tc>
        <w:tc>
          <w:tcPr>
            <w:tcW w:w="4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 w:val="24"/>
              </w:rPr>
            </w:pPr>
            <w:r>
              <w:rPr>
                <w:rFonts w:hint="eastAsia" w:ascii="宋体" w:hAnsi="宋体"/>
                <w:sz w:val="24"/>
              </w:rPr>
              <w:t>含工资、加班（含节假日）费、福利、税、保险</w:t>
            </w:r>
          </w:p>
        </w:tc>
      </w:tr>
      <w:tr>
        <w:tblPrEx>
          <w:tblLayout w:type="fixed"/>
        </w:tblPrEx>
        <w:trPr>
          <w:trHeight w:val="770" w:hRule="atLeast"/>
        </w:trPr>
        <w:tc>
          <w:tcPr>
            <w:tcW w:w="829" w:type="dxa"/>
            <w:tcBorders>
              <w:top w:val="single" w:color="auto" w:sz="4" w:space="0"/>
              <w:left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2</w:t>
            </w:r>
          </w:p>
        </w:tc>
        <w:tc>
          <w:tcPr>
            <w:tcW w:w="1799" w:type="dxa"/>
            <w:tcBorders>
              <w:top w:val="single" w:color="auto" w:sz="4" w:space="0"/>
              <w:left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cs="Arial"/>
                <w:bCs/>
                <w:sz w:val="24"/>
              </w:rPr>
              <w:t>管理费用</w:t>
            </w:r>
          </w:p>
        </w:tc>
        <w:tc>
          <w:tcPr>
            <w:tcW w:w="2161" w:type="dxa"/>
            <w:tcBorders>
              <w:top w:val="single" w:color="auto" w:sz="4" w:space="0"/>
              <w:left w:val="single" w:color="auto" w:sz="4" w:space="0"/>
              <w:right w:val="single" w:color="auto" w:sz="4" w:space="0"/>
            </w:tcBorders>
            <w:vAlign w:val="center"/>
          </w:tcPr>
          <w:p>
            <w:pPr>
              <w:spacing w:line="400" w:lineRule="exact"/>
              <w:jc w:val="center"/>
              <w:rPr>
                <w:rFonts w:ascii="宋体" w:hAnsi="宋体"/>
                <w:sz w:val="24"/>
              </w:rPr>
            </w:pPr>
          </w:p>
        </w:tc>
        <w:tc>
          <w:tcPr>
            <w:tcW w:w="4781" w:type="dxa"/>
            <w:tcBorders>
              <w:top w:val="single" w:color="auto" w:sz="4" w:space="0"/>
              <w:left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含规税、规费、</w:t>
            </w:r>
            <w:r>
              <w:rPr>
                <w:rFonts w:ascii="宋体" w:hAnsi="宋体" w:cs="Arial"/>
                <w:bCs/>
                <w:sz w:val="24"/>
              </w:rPr>
              <w:t>工具设备物料</w:t>
            </w:r>
            <w:r>
              <w:rPr>
                <w:rFonts w:hint="eastAsia" w:ascii="宋体" w:hAnsi="宋体"/>
                <w:sz w:val="24"/>
              </w:rPr>
              <w:t>等其他费用</w:t>
            </w:r>
          </w:p>
        </w:tc>
      </w:tr>
      <w:tr>
        <w:tblPrEx>
          <w:tblLayout w:type="fixed"/>
        </w:tblPrEx>
        <w:trPr>
          <w:trHeight w:val="651" w:hRule="atLeast"/>
        </w:trPr>
        <w:tc>
          <w:tcPr>
            <w:tcW w:w="262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新宋体" w:hAnsi="新宋体" w:eastAsia="新宋体"/>
                <w:sz w:val="24"/>
                <w:szCs w:val="20"/>
              </w:rPr>
            </w:pPr>
            <w:r>
              <w:rPr>
                <w:rFonts w:hint="eastAsia" w:eastAsia="新宋体"/>
                <w:sz w:val="24"/>
              </w:rPr>
              <w:t>机关大楼物业管理</w:t>
            </w:r>
            <w:r>
              <w:rPr>
                <w:rFonts w:hint="eastAsia" w:ascii="新宋体" w:hAnsi="新宋体" w:eastAsia="新宋体"/>
                <w:sz w:val="24"/>
                <w:szCs w:val="20"/>
              </w:rPr>
              <w:t>费</w:t>
            </w:r>
          </w:p>
          <w:p>
            <w:pPr>
              <w:widowControl/>
              <w:spacing w:line="360" w:lineRule="auto"/>
              <w:jc w:val="center"/>
              <w:rPr>
                <w:rFonts w:hint="eastAsia" w:ascii="宋体" w:hAnsi="宋体"/>
                <w:sz w:val="24"/>
              </w:rPr>
            </w:pPr>
            <w:r>
              <w:rPr>
                <w:rFonts w:hint="eastAsia" w:ascii="新宋体" w:hAnsi="新宋体" w:eastAsia="新宋体"/>
                <w:sz w:val="24"/>
                <w:szCs w:val="20"/>
              </w:rPr>
              <w:t>（总价合计）</w:t>
            </w:r>
          </w:p>
        </w:tc>
        <w:tc>
          <w:tcPr>
            <w:tcW w:w="6942" w:type="dxa"/>
            <w:gridSpan w:val="2"/>
            <w:tcBorders>
              <w:top w:val="single" w:color="auto" w:sz="4" w:space="0"/>
              <w:left w:val="single" w:color="auto" w:sz="4" w:space="0"/>
              <w:bottom w:val="single" w:color="auto" w:sz="4" w:space="0"/>
              <w:right w:val="single" w:color="auto" w:sz="4" w:space="0"/>
            </w:tcBorders>
          </w:tcPr>
          <w:p>
            <w:pPr>
              <w:widowControl/>
              <w:spacing w:line="400" w:lineRule="atLeast"/>
              <w:rPr>
                <w:rFonts w:ascii="新宋体" w:hAnsi="新宋体" w:eastAsia="新宋体"/>
                <w:kern w:val="0"/>
                <w:sz w:val="24"/>
              </w:rPr>
            </w:pPr>
            <w:r>
              <w:rPr>
                <w:rFonts w:hint="eastAsia" w:ascii="新宋体" w:hAnsi="新宋体" w:eastAsia="新宋体"/>
                <w:kern w:val="0"/>
                <w:sz w:val="24"/>
              </w:rPr>
              <w:t>小写：</w:t>
            </w:r>
            <w:r>
              <w:rPr>
                <w:rFonts w:hint="eastAsia" w:ascii="新宋体" w:hAnsi="新宋体" w:eastAsia="新宋体"/>
                <w:kern w:val="0"/>
                <w:sz w:val="24"/>
                <w:u w:val="single"/>
              </w:rPr>
              <w:t xml:space="preserve">                     </w:t>
            </w:r>
          </w:p>
          <w:p>
            <w:pPr>
              <w:spacing w:line="400" w:lineRule="exact"/>
              <w:rPr>
                <w:rFonts w:ascii="宋体" w:hAnsi="宋体"/>
                <w:sz w:val="24"/>
              </w:rPr>
            </w:pPr>
            <w:r>
              <w:rPr>
                <w:rFonts w:hint="eastAsia" w:ascii="新宋体" w:hAnsi="新宋体" w:eastAsia="新宋体"/>
                <w:kern w:val="0"/>
                <w:sz w:val="24"/>
              </w:rPr>
              <w:t>大写：</w:t>
            </w:r>
            <w:r>
              <w:rPr>
                <w:rFonts w:hint="eastAsia" w:ascii="新宋体" w:hAnsi="新宋体" w:eastAsia="新宋体"/>
                <w:kern w:val="0"/>
                <w:sz w:val="24"/>
                <w:u w:val="single"/>
              </w:rPr>
              <w:t xml:space="preserve">                     </w:t>
            </w:r>
          </w:p>
        </w:tc>
      </w:tr>
    </w:tbl>
    <w:p>
      <w:pPr>
        <w:spacing w:line="400" w:lineRule="exact"/>
        <w:rPr>
          <w:rFonts w:hint="eastAsia" w:ascii="新宋体" w:hAnsi="新宋体" w:eastAsia="新宋体"/>
          <w:sz w:val="24"/>
          <w:u w:val="single"/>
        </w:rPr>
      </w:pPr>
    </w:p>
    <w:p>
      <w:pPr>
        <w:spacing w:line="400" w:lineRule="exact"/>
        <w:rPr>
          <w:rFonts w:hint="eastAsia" w:ascii="新宋体" w:hAnsi="新宋体" w:eastAsia="新宋体"/>
          <w:sz w:val="24"/>
        </w:rPr>
      </w:pPr>
      <w:r>
        <w:rPr>
          <w:rFonts w:hint="eastAsia" w:ascii="新宋体" w:hAnsi="新宋体" w:eastAsia="新宋体"/>
          <w:sz w:val="24"/>
        </w:rPr>
        <w:t>投标人名称（盖公章）：</w:t>
      </w:r>
      <w:r>
        <w:rPr>
          <w:rFonts w:hint="eastAsia" w:ascii="新宋体" w:hAnsi="新宋体" w:eastAsia="新宋体"/>
          <w:sz w:val="24"/>
          <w:u w:val="single"/>
        </w:rPr>
        <w:t xml:space="preserve">                    </w:t>
      </w:r>
      <w:r>
        <w:rPr>
          <w:rFonts w:hint="eastAsia" w:ascii="新宋体" w:hAnsi="新宋体" w:eastAsia="新宋体"/>
          <w:sz w:val="24"/>
        </w:rPr>
        <w:t xml:space="preserve">      </w:t>
      </w:r>
    </w:p>
    <w:p>
      <w:pPr>
        <w:spacing w:line="400" w:lineRule="exact"/>
        <w:rPr>
          <w:rFonts w:hint="eastAsia" w:ascii="新宋体" w:hAnsi="新宋体" w:eastAsia="新宋体"/>
          <w:sz w:val="24"/>
        </w:rPr>
      </w:pPr>
      <w:r>
        <w:rPr>
          <w:rFonts w:hint="eastAsia" w:ascii="新宋体" w:hAnsi="新宋体" w:eastAsia="新宋体"/>
          <w:sz w:val="24"/>
        </w:rPr>
        <w:t>日 期：</w:t>
      </w:r>
      <w:r>
        <w:rPr>
          <w:rFonts w:hint="eastAsia" w:ascii="新宋体" w:hAnsi="新宋体" w:eastAsia="新宋体"/>
          <w:sz w:val="24"/>
          <w:u w:val="single"/>
        </w:rPr>
        <w:t xml:space="preserve">         </w:t>
      </w:r>
      <w:r>
        <w:rPr>
          <w:rFonts w:hint="eastAsia" w:ascii="新宋体" w:hAnsi="新宋体" w:eastAsia="新宋体"/>
          <w:sz w:val="24"/>
        </w:rPr>
        <w:t xml:space="preserve"> </w:t>
      </w:r>
    </w:p>
    <w:p>
      <w:pPr>
        <w:spacing w:line="400" w:lineRule="exact"/>
        <w:ind w:left="480" w:hanging="480" w:hangingChars="200"/>
        <w:rPr>
          <w:rFonts w:hint="eastAsia" w:ascii="新宋体" w:hAnsi="新宋体" w:eastAsia="新宋体"/>
          <w:sz w:val="24"/>
        </w:rPr>
      </w:pPr>
      <w:r>
        <w:rPr>
          <w:rFonts w:hint="eastAsia" w:ascii="新宋体" w:hAnsi="新宋体" w:eastAsia="新宋体"/>
          <w:sz w:val="24"/>
        </w:rPr>
        <w:t>注：</w:t>
      </w:r>
    </w:p>
    <w:p>
      <w:pPr>
        <w:pStyle w:val="32"/>
        <w:adjustRightInd w:val="0"/>
        <w:snapToGrid w:val="0"/>
        <w:spacing w:line="400" w:lineRule="exact"/>
        <w:ind w:firstLine="480" w:firstLineChars="200"/>
        <w:rPr>
          <w:rFonts w:hint="eastAsia" w:ascii="新宋体" w:hAnsi="新宋体" w:eastAsia="新宋体"/>
          <w:sz w:val="24"/>
        </w:rPr>
      </w:pPr>
      <w:r>
        <w:rPr>
          <w:rFonts w:ascii="新宋体" w:hAnsi="新宋体" w:eastAsia="新宋体"/>
          <w:sz w:val="24"/>
          <w:szCs w:val="24"/>
        </w:rPr>
        <w:t>1</w:t>
      </w:r>
      <w:r>
        <w:rPr>
          <w:rFonts w:hint="eastAsia" w:ascii="新宋体" w:hAnsi="新宋体" w:eastAsia="新宋体"/>
          <w:sz w:val="24"/>
          <w:szCs w:val="24"/>
        </w:rPr>
        <w:t>.按招标项目的技术要求，投标人根据项目特点和企业条件确定投标报价，本招标项目要求投标人</w:t>
      </w:r>
      <w:r>
        <w:rPr>
          <w:rFonts w:hint="eastAsia" w:ascii="新宋体" w:hAnsi="新宋体" w:eastAsia="新宋体"/>
          <w:sz w:val="24"/>
        </w:rPr>
        <w:t>提供的服务内容，除招标文件有特别规定外，都应包含在本报价范围内。</w:t>
      </w:r>
      <w:r>
        <w:rPr>
          <w:rFonts w:hint="eastAsia" w:ascii="新宋体" w:hAnsi="新宋体" w:eastAsia="新宋体"/>
          <w:b/>
          <w:sz w:val="24"/>
        </w:rPr>
        <w:t>须包括服务人员工资，按规定缴纳的各类保险，加班费，管理费用，税费，固定资产折旧费，企业提取费用，所有材料及易耗品（包括卫生纸、擦手纸、洗手液、塑料袋、除臭香球、除臭剂等耗材）费用，工具，福利费，培训费，物业办公费用，房租费，服装费，夜餐费，伙食费，过节费，奖励费，劳保费，体检费，弱电及供水、供电等设备设施的日常维护、保养(不含消防、空调日常维护、保养产生费用)，浙江省义乌市最低基本工资的增资因素，楼外墙、窗清洗的费用，白蚁防治费，其它合同中明示或暗示的所有一般风险、责任和义务等所有费用。</w:t>
      </w:r>
      <w:r>
        <w:rPr>
          <w:rFonts w:hint="eastAsia" w:ascii="新宋体" w:hAnsi="新宋体" w:eastAsia="新宋体"/>
          <w:sz w:val="24"/>
        </w:rPr>
        <w:t>如有漏项，视同已包含在本报价目中，合同价不做调整，并由中标单位开具正式税务发票。</w:t>
      </w:r>
    </w:p>
    <w:p>
      <w:pPr>
        <w:pStyle w:val="32"/>
        <w:adjustRightInd w:val="0"/>
        <w:snapToGrid w:val="0"/>
        <w:spacing w:line="400" w:lineRule="exact"/>
        <w:ind w:firstLine="480" w:firstLineChars="200"/>
        <w:rPr>
          <w:rFonts w:hint="eastAsia" w:ascii="新宋体" w:hAnsi="新宋体" w:eastAsia="新宋体"/>
          <w:kern w:val="0"/>
          <w:sz w:val="24"/>
        </w:rPr>
      </w:pPr>
      <w:r>
        <w:rPr>
          <w:rFonts w:hint="eastAsia" w:ascii="新宋体" w:hAnsi="新宋体" w:eastAsia="新宋体"/>
          <w:kern w:val="0"/>
          <w:sz w:val="24"/>
        </w:rPr>
        <w:t>2.</w:t>
      </w:r>
      <w:r>
        <w:rPr>
          <w:rFonts w:ascii="新宋体" w:hAnsi="新宋体" w:eastAsia="新宋体"/>
          <w:kern w:val="0"/>
          <w:sz w:val="24"/>
        </w:rPr>
        <w:t>最低工资标准（或社保等）遇地方政府政策性调整时，甲方不调整服务费，由此产生的费用由乙方承担。</w:t>
      </w:r>
    </w:p>
    <w:p>
      <w:pPr>
        <w:pStyle w:val="32"/>
        <w:adjustRightInd w:val="0"/>
        <w:snapToGrid w:val="0"/>
        <w:spacing w:line="400" w:lineRule="exact"/>
        <w:ind w:firstLine="480" w:firstLineChars="200"/>
        <w:rPr>
          <w:rFonts w:hint="eastAsia" w:ascii="新宋体" w:hAnsi="新宋体" w:eastAsia="新宋体"/>
          <w:kern w:val="0"/>
          <w:sz w:val="24"/>
        </w:rPr>
      </w:pPr>
      <w:r>
        <w:rPr>
          <w:rFonts w:hint="eastAsia" w:ascii="新宋体" w:hAnsi="新宋体" w:eastAsia="新宋体"/>
          <w:i/>
          <w:sz w:val="24"/>
        </w:rPr>
        <w:t>3.总价超过预算价的投标将作无效标处理。</w:t>
      </w:r>
    </w:p>
    <w:p>
      <w:pPr>
        <w:pStyle w:val="32"/>
        <w:adjustRightInd w:val="0"/>
        <w:snapToGrid w:val="0"/>
        <w:spacing w:line="400" w:lineRule="exact"/>
        <w:ind w:firstLine="480" w:firstLineChars="200"/>
        <w:rPr>
          <w:rFonts w:hint="eastAsia" w:ascii="新宋体" w:hAnsi="新宋体" w:eastAsia="新宋体"/>
          <w:kern w:val="0"/>
          <w:sz w:val="24"/>
        </w:rPr>
      </w:pPr>
      <w:r>
        <w:rPr>
          <w:rFonts w:hint="eastAsia" w:ascii="新宋体" w:hAnsi="新宋体" w:eastAsia="新宋体"/>
          <w:kern w:val="0"/>
          <w:sz w:val="24"/>
        </w:rPr>
        <w:t>4.投标报价是否给予价格扣除按前附表“小微企业有关规定”要求认定。</w:t>
      </w:r>
    </w:p>
    <w:p>
      <w:pPr>
        <w:pStyle w:val="32"/>
        <w:adjustRightInd w:val="0"/>
        <w:snapToGrid w:val="0"/>
        <w:spacing w:line="400" w:lineRule="exact"/>
        <w:ind w:firstLine="480" w:firstLineChars="200"/>
        <w:rPr>
          <w:rFonts w:hint="eastAsia" w:ascii="新宋体" w:hAnsi="新宋体" w:eastAsia="新宋体"/>
          <w:kern w:val="0"/>
          <w:sz w:val="24"/>
        </w:rPr>
      </w:pPr>
      <w:r>
        <w:rPr>
          <w:rFonts w:hint="eastAsia" w:ascii="新宋体" w:hAnsi="新宋体" w:eastAsia="新宋体"/>
          <w:kern w:val="0"/>
          <w:sz w:val="24"/>
        </w:rPr>
        <w:t>5.此表在不改变格式内容的情况下，可自行制作。</w:t>
      </w:r>
    </w:p>
    <w:p>
      <w:pPr>
        <w:widowControl/>
        <w:jc w:val="left"/>
        <w:rPr>
          <w:rFonts w:hint="eastAsia" w:ascii="宋体" w:hAnsi="宋体"/>
        </w:rPr>
      </w:pPr>
    </w:p>
    <w:p>
      <w:pPr>
        <w:widowControl/>
        <w:jc w:val="left"/>
        <w:rPr>
          <w:rFonts w:hint="eastAsia" w:ascii="宋体" w:hAnsi="宋体"/>
        </w:rPr>
      </w:pPr>
    </w:p>
    <w:p>
      <w:pPr>
        <w:spacing w:line="400" w:lineRule="exact"/>
        <w:rPr>
          <w:rFonts w:hint="eastAsia" w:ascii="新宋体" w:hAnsi="新宋体" w:eastAsia="新宋体"/>
          <w:b/>
          <w:bCs/>
          <w:sz w:val="36"/>
          <w:szCs w:val="36"/>
        </w:rPr>
      </w:pPr>
      <w:r>
        <w:rPr>
          <w:rFonts w:hint="eastAsia" w:ascii="宋体" w:hAnsi="宋体"/>
        </w:rPr>
        <w:br w:type="page"/>
      </w:r>
      <w:r>
        <w:rPr>
          <w:rFonts w:hint="eastAsia" w:ascii="新宋体" w:hAnsi="新宋体" w:eastAsia="新宋体"/>
          <w:b/>
          <w:bCs/>
          <w:sz w:val="36"/>
          <w:szCs w:val="36"/>
        </w:rPr>
        <w:t>5.</w:t>
      </w:r>
    </w:p>
    <w:p>
      <w:pPr>
        <w:spacing w:line="400" w:lineRule="exact"/>
        <w:rPr>
          <w:rFonts w:hint="eastAsia" w:ascii="新宋体" w:hAnsi="新宋体" w:eastAsia="新宋体"/>
          <w:b/>
          <w:bCs/>
          <w:sz w:val="36"/>
          <w:szCs w:val="36"/>
        </w:rPr>
      </w:pPr>
    </w:p>
    <w:p>
      <w:pPr>
        <w:spacing w:line="400" w:lineRule="exact"/>
        <w:jc w:val="center"/>
        <w:rPr>
          <w:rFonts w:hint="eastAsia" w:ascii="新宋体" w:hAnsi="新宋体" w:eastAsia="新宋体"/>
          <w:b/>
          <w:bCs/>
          <w:sz w:val="36"/>
          <w:szCs w:val="36"/>
        </w:rPr>
      </w:pPr>
      <w:r>
        <w:rPr>
          <w:rFonts w:hint="eastAsia" w:ascii="新宋体" w:hAnsi="新宋体" w:eastAsia="新宋体"/>
          <w:b/>
          <w:bCs/>
          <w:sz w:val="36"/>
          <w:szCs w:val="36"/>
        </w:rPr>
        <w:t>投标人自报成本价表（格式）</w:t>
      </w:r>
    </w:p>
    <w:p>
      <w:pPr>
        <w:pStyle w:val="32"/>
        <w:spacing w:line="400" w:lineRule="exact"/>
        <w:ind w:firstLine="472" w:firstLineChars="197"/>
        <w:rPr>
          <w:rFonts w:hint="eastAsia" w:ascii="新宋体" w:hAnsi="新宋体" w:eastAsia="新宋体"/>
          <w:sz w:val="24"/>
        </w:rPr>
      </w:pPr>
      <w:r>
        <w:rPr>
          <w:rFonts w:hint="eastAsia" w:ascii="新宋体" w:hAnsi="新宋体" w:eastAsia="新宋体"/>
          <w:sz w:val="24"/>
        </w:rPr>
        <w:t>投标人名称（盖公章）：</w:t>
      </w:r>
      <w:r>
        <w:rPr>
          <w:rFonts w:ascii="新宋体" w:hAnsi="新宋体" w:eastAsia="新宋体"/>
          <w:sz w:val="24"/>
        </w:rPr>
        <w:t xml:space="preserve"> _______________________</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rPr>
        <w:t>采购编号：YWCG2020128GK</w:t>
      </w:r>
    </w:p>
    <w:tbl>
      <w:tblPr>
        <w:tblStyle w:val="61"/>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2121"/>
        <w:gridCol w:w="3418"/>
        <w:gridCol w:w="2800"/>
      </w:tblGrid>
      <w:tr>
        <w:tblPrEx>
          <w:tblLayout w:type="fixed"/>
        </w:tblPrEx>
        <w:tc>
          <w:tcPr>
            <w:tcW w:w="1231" w:type="dxa"/>
            <w:vAlign w:val="center"/>
          </w:tcPr>
          <w:p>
            <w:pPr>
              <w:jc w:val="center"/>
              <w:rPr>
                <w:rFonts w:hint="eastAsia" w:ascii="新宋体" w:hAnsi="新宋体" w:eastAsia="新宋体"/>
                <w:sz w:val="28"/>
              </w:rPr>
            </w:pPr>
            <w:r>
              <w:rPr>
                <w:rFonts w:hint="eastAsia" w:ascii="新宋体" w:hAnsi="新宋体" w:eastAsia="新宋体"/>
                <w:sz w:val="28"/>
              </w:rPr>
              <w:t>序号</w:t>
            </w:r>
          </w:p>
        </w:tc>
        <w:tc>
          <w:tcPr>
            <w:tcW w:w="2121" w:type="dxa"/>
            <w:vAlign w:val="center"/>
          </w:tcPr>
          <w:p>
            <w:pPr>
              <w:jc w:val="center"/>
              <w:rPr>
                <w:rFonts w:hint="eastAsia" w:ascii="新宋体" w:hAnsi="新宋体" w:eastAsia="新宋体"/>
                <w:sz w:val="28"/>
              </w:rPr>
            </w:pPr>
            <w:r>
              <w:rPr>
                <w:rFonts w:hint="eastAsia" w:ascii="新宋体" w:hAnsi="新宋体" w:eastAsia="新宋体"/>
                <w:sz w:val="28"/>
              </w:rPr>
              <w:t>名称</w:t>
            </w:r>
          </w:p>
        </w:tc>
        <w:tc>
          <w:tcPr>
            <w:tcW w:w="3418" w:type="dxa"/>
            <w:vAlign w:val="center"/>
          </w:tcPr>
          <w:p>
            <w:pPr>
              <w:jc w:val="center"/>
              <w:rPr>
                <w:rFonts w:hint="eastAsia" w:ascii="新宋体" w:hAnsi="新宋体" w:eastAsia="新宋体"/>
                <w:sz w:val="28"/>
              </w:rPr>
            </w:pPr>
            <w:r>
              <w:rPr>
                <w:rFonts w:hint="eastAsia" w:ascii="新宋体" w:hAnsi="新宋体" w:eastAsia="新宋体"/>
                <w:sz w:val="28"/>
              </w:rPr>
              <w:t>成本价（元/3年）</w:t>
            </w:r>
          </w:p>
        </w:tc>
        <w:tc>
          <w:tcPr>
            <w:tcW w:w="2800" w:type="dxa"/>
            <w:vAlign w:val="center"/>
          </w:tcPr>
          <w:p>
            <w:pPr>
              <w:jc w:val="center"/>
              <w:rPr>
                <w:rFonts w:hint="eastAsia" w:ascii="新宋体" w:hAnsi="新宋体" w:eastAsia="新宋体"/>
                <w:sz w:val="28"/>
              </w:rPr>
            </w:pPr>
            <w:r>
              <w:rPr>
                <w:rFonts w:hint="eastAsia" w:ascii="新宋体" w:hAnsi="新宋体" w:eastAsia="新宋体"/>
                <w:sz w:val="28"/>
              </w:rPr>
              <w:t>备注</w:t>
            </w:r>
          </w:p>
        </w:tc>
      </w:tr>
      <w:tr>
        <w:tblPrEx>
          <w:tblLayout w:type="fixed"/>
        </w:tblPrEx>
        <w:tc>
          <w:tcPr>
            <w:tcW w:w="1231" w:type="dxa"/>
            <w:vAlign w:val="center"/>
          </w:tcPr>
          <w:p>
            <w:pPr>
              <w:jc w:val="center"/>
              <w:rPr>
                <w:rFonts w:hint="eastAsia" w:ascii="新宋体" w:hAnsi="新宋体" w:eastAsia="新宋体"/>
                <w:sz w:val="28"/>
              </w:rPr>
            </w:pPr>
            <w:r>
              <w:rPr>
                <w:rFonts w:hint="eastAsia" w:ascii="新宋体" w:hAnsi="新宋体" w:eastAsia="新宋体"/>
                <w:sz w:val="28"/>
              </w:rPr>
              <w:t>1</w:t>
            </w:r>
          </w:p>
        </w:tc>
        <w:tc>
          <w:tcPr>
            <w:tcW w:w="2121" w:type="dxa"/>
            <w:vAlign w:val="center"/>
          </w:tcPr>
          <w:p>
            <w:pPr>
              <w:jc w:val="center"/>
              <w:rPr>
                <w:rFonts w:hint="eastAsia" w:ascii="新宋体" w:hAnsi="新宋体" w:eastAsia="新宋体"/>
                <w:sz w:val="28"/>
              </w:rPr>
            </w:pPr>
            <w:r>
              <w:rPr>
                <w:rFonts w:hint="eastAsia" w:ascii="新宋体" w:hAnsi="新宋体" w:eastAsia="新宋体"/>
                <w:sz w:val="28"/>
              </w:rPr>
              <w:t>成本总价</w:t>
            </w:r>
          </w:p>
        </w:tc>
        <w:tc>
          <w:tcPr>
            <w:tcW w:w="3418" w:type="dxa"/>
            <w:vAlign w:val="center"/>
          </w:tcPr>
          <w:p>
            <w:pPr>
              <w:jc w:val="center"/>
              <w:rPr>
                <w:rFonts w:hint="eastAsia" w:ascii="新宋体" w:hAnsi="新宋体" w:eastAsia="新宋体"/>
                <w:sz w:val="28"/>
              </w:rPr>
            </w:pPr>
          </w:p>
        </w:tc>
        <w:tc>
          <w:tcPr>
            <w:tcW w:w="2800" w:type="dxa"/>
            <w:vAlign w:val="center"/>
          </w:tcPr>
          <w:p>
            <w:pPr>
              <w:jc w:val="center"/>
              <w:rPr>
                <w:rFonts w:hint="eastAsia" w:ascii="新宋体" w:hAnsi="新宋体" w:eastAsia="新宋体"/>
                <w:sz w:val="28"/>
              </w:rPr>
            </w:pPr>
          </w:p>
        </w:tc>
      </w:tr>
    </w:tbl>
    <w:p>
      <w:pPr>
        <w:spacing w:line="400" w:lineRule="exact"/>
        <w:ind w:firstLine="360" w:firstLineChars="150"/>
        <w:rPr>
          <w:rFonts w:ascii="新宋体" w:hAnsi="新宋体" w:eastAsia="新宋体"/>
          <w:sz w:val="28"/>
          <w:szCs w:val="28"/>
        </w:rPr>
      </w:pPr>
      <w:r>
        <w:rPr>
          <w:rFonts w:hint="eastAsia" w:ascii="新宋体" w:hAnsi="新宋体" w:eastAsia="新宋体"/>
          <w:sz w:val="24"/>
        </w:rPr>
        <w:t>日</w:t>
      </w:r>
      <w:r>
        <w:rPr>
          <w:rFonts w:ascii="新宋体" w:hAnsi="新宋体" w:eastAsia="新宋体"/>
          <w:sz w:val="24"/>
        </w:rPr>
        <w:t xml:space="preserve">  </w:t>
      </w:r>
      <w:r>
        <w:rPr>
          <w:rFonts w:hint="eastAsia" w:ascii="新宋体" w:hAnsi="新宋体" w:eastAsia="新宋体"/>
          <w:sz w:val="24"/>
        </w:rPr>
        <w:t>期</w:t>
      </w:r>
      <w:r>
        <w:rPr>
          <w:rFonts w:ascii="新宋体" w:hAnsi="新宋体" w:eastAsia="新宋体"/>
          <w:sz w:val="24"/>
        </w:rPr>
        <w:t>:</w:t>
      </w:r>
      <w:r>
        <w:rPr>
          <w:rFonts w:ascii="新宋体" w:hAnsi="新宋体" w:eastAsia="新宋体"/>
          <w:sz w:val="28"/>
          <w:szCs w:val="28"/>
        </w:rPr>
        <w:t>________________</w:t>
      </w:r>
    </w:p>
    <w:p>
      <w:pPr>
        <w:pStyle w:val="2"/>
        <w:spacing w:line="400" w:lineRule="exact"/>
        <w:ind w:firstLine="1440" w:firstLineChars="200"/>
        <w:rPr>
          <w:rFonts w:hint="eastAsia" w:ascii="新宋体" w:hAnsi="新宋体" w:eastAsia="新宋体"/>
          <w:b w:val="0"/>
          <w:bCs w:val="0"/>
          <w:color w:val="auto"/>
        </w:rPr>
      </w:pPr>
    </w:p>
    <w:p>
      <w:pPr>
        <w:pStyle w:val="32"/>
        <w:spacing w:line="400" w:lineRule="exact"/>
        <w:rPr>
          <w:rFonts w:hint="eastAsia" w:ascii="新宋体" w:hAnsi="新宋体" w:eastAsia="新宋体"/>
          <w:sz w:val="24"/>
        </w:rPr>
      </w:pPr>
      <w:r>
        <w:rPr>
          <w:rFonts w:hint="eastAsia" w:ascii="新宋体" w:hAnsi="新宋体" w:eastAsia="新宋体"/>
          <w:sz w:val="24"/>
        </w:rPr>
        <w:t>备注：</w:t>
      </w:r>
    </w:p>
    <w:p>
      <w:pPr>
        <w:pStyle w:val="32"/>
        <w:spacing w:line="400" w:lineRule="exact"/>
        <w:ind w:firstLine="480" w:firstLineChars="200"/>
        <w:rPr>
          <w:rFonts w:hint="eastAsia" w:ascii="新宋体" w:hAnsi="新宋体" w:eastAsia="新宋体"/>
          <w:sz w:val="24"/>
        </w:rPr>
      </w:pPr>
      <w:r>
        <w:rPr>
          <w:rFonts w:ascii="新宋体" w:hAnsi="新宋体" w:eastAsia="新宋体"/>
          <w:sz w:val="24"/>
        </w:rPr>
        <w:t>1</w:t>
      </w:r>
      <w:r>
        <w:rPr>
          <w:rFonts w:hint="eastAsia" w:ascii="新宋体" w:hAnsi="新宋体" w:eastAsia="新宋体"/>
          <w:sz w:val="24"/>
        </w:rPr>
        <w:t>. 该报价表为投标人投入本项目的成本价。</w:t>
      </w:r>
      <w:r>
        <w:rPr>
          <w:rFonts w:ascii="新宋体" w:hAnsi="新宋体" w:eastAsia="新宋体"/>
          <w:sz w:val="24"/>
        </w:rPr>
        <w:t>人工工资单价不得低于义乌市政府规定的</w:t>
      </w:r>
      <w:r>
        <w:rPr>
          <w:rFonts w:hint="eastAsia" w:ascii="新宋体" w:hAnsi="新宋体" w:eastAsia="新宋体"/>
          <w:sz w:val="24"/>
        </w:rPr>
        <w:t>201</w:t>
      </w:r>
      <w:r>
        <w:rPr>
          <w:rFonts w:ascii="新宋体" w:hAnsi="新宋体" w:eastAsia="新宋体"/>
          <w:sz w:val="24"/>
        </w:rPr>
        <w:t>8</w:t>
      </w:r>
      <w:r>
        <w:rPr>
          <w:rFonts w:hint="eastAsia" w:ascii="新宋体" w:hAnsi="新宋体" w:eastAsia="新宋体"/>
          <w:sz w:val="24"/>
        </w:rPr>
        <w:t>年</w:t>
      </w:r>
      <w:r>
        <w:rPr>
          <w:rFonts w:ascii="新宋体" w:hAnsi="新宋体" w:eastAsia="新宋体"/>
          <w:sz w:val="24"/>
        </w:rPr>
        <w:t>最低工资1</w:t>
      </w:r>
      <w:r>
        <w:rPr>
          <w:rFonts w:hint="eastAsia" w:ascii="新宋体" w:hAnsi="新宋体" w:eastAsia="新宋体"/>
          <w:sz w:val="24"/>
        </w:rPr>
        <w:t>80</w:t>
      </w:r>
      <w:r>
        <w:rPr>
          <w:rFonts w:ascii="新宋体" w:hAnsi="新宋体" w:eastAsia="新宋体"/>
          <w:sz w:val="24"/>
        </w:rPr>
        <w:t>0元/月</w:t>
      </w:r>
      <w:r>
        <w:rPr>
          <w:rFonts w:hint="eastAsia" w:ascii="新宋体" w:hAnsi="新宋体" w:eastAsia="新宋体"/>
          <w:sz w:val="24"/>
        </w:rPr>
        <w:t>；</w:t>
      </w:r>
      <w:r>
        <w:rPr>
          <w:rFonts w:ascii="新宋体" w:hAnsi="新宋体" w:eastAsia="新宋体"/>
          <w:sz w:val="24"/>
        </w:rPr>
        <w:t>缴费基数为3</w:t>
      </w:r>
      <w:r>
        <w:rPr>
          <w:rFonts w:hint="eastAsia" w:ascii="新宋体" w:hAnsi="新宋体" w:eastAsia="新宋体"/>
          <w:sz w:val="24"/>
        </w:rPr>
        <w:t>330</w:t>
      </w:r>
      <w:r>
        <w:rPr>
          <w:rFonts w:ascii="新宋体" w:hAnsi="新宋体" w:eastAsia="新宋体"/>
          <w:sz w:val="24"/>
        </w:rPr>
        <w:t>元/月的社会保障费用(单位部分：</w:t>
      </w:r>
      <w:r>
        <w:rPr>
          <w:rFonts w:hint="eastAsia" w:ascii="新宋体" w:hAnsi="新宋体" w:eastAsia="新宋体"/>
          <w:sz w:val="24"/>
        </w:rPr>
        <w:t>养老</w:t>
      </w:r>
      <w:r>
        <w:rPr>
          <w:rFonts w:ascii="新宋体" w:hAnsi="新宋体" w:eastAsia="新宋体"/>
          <w:sz w:val="24"/>
        </w:rPr>
        <w:t>保险1</w:t>
      </w:r>
      <w:r>
        <w:rPr>
          <w:rFonts w:hint="eastAsia" w:ascii="新宋体" w:hAnsi="新宋体" w:eastAsia="新宋体"/>
          <w:sz w:val="24"/>
        </w:rPr>
        <w:t>4</w:t>
      </w:r>
      <w:r>
        <w:rPr>
          <w:rFonts w:ascii="新宋体" w:hAnsi="新宋体" w:eastAsia="新宋体"/>
          <w:sz w:val="24"/>
        </w:rPr>
        <w:t>%、医疗保险</w:t>
      </w:r>
      <w:r>
        <w:rPr>
          <w:rFonts w:hint="eastAsia" w:ascii="新宋体" w:hAnsi="新宋体" w:eastAsia="新宋体"/>
          <w:sz w:val="24"/>
        </w:rPr>
        <w:t>6</w:t>
      </w:r>
      <w:r>
        <w:rPr>
          <w:rFonts w:ascii="新宋体" w:hAnsi="新宋体" w:eastAsia="新宋体"/>
          <w:sz w:val="24"/>
        </w:rPr>
        <w:t>%、失业保险</w:t>
      </w:r>
      <w:r>
        <w:rPr>
          <w:rFonts w:hint="eastAsia" w:ascii="新宋体" w:hAnsi="新宋体" w:eastAsia="新宋体"/>
          <w:sz w:val="24"/>
        </w:rPr>
        <w:t>0.5</w:t>
      </w:r>
      <w:r>
        <w:rPr>
          <w:rFonts w:ascii="新宋体" w:hAnsi="新宋体" w:eastAsia="新宋体"/>
          <w:sz w:val="24"/>
        </w:rPr>
        <w:t>%、工伤保险0.</w:t>
      </w:r>
      <w:r>
        <w:rPr>
          <w:rFonts w:hint="eastAsia" w:ascii="新宋体" w:hAnsi="新宋体" w:eastAsia="新宋体"/>
          <w:sz w:val="24"/>
        </w:rPr>
        <w:t>4</w:t>
      </w:r>
      <w:r>
        <w:rPr>
          <w:rFonts w:ascii="新宋体" w:hAnsi="新宋体" w:eastAsia="新宋体"/>
          <w:sz w:val="24"/>
        </w:rPr>
        <w:t>%、生育保险0.</w:t>
      </w:r>
      <w:r>
        <w:rPr>
          <w:rFonts w:hint="eastAsia" w:ascii="新宋体" w:hAnsi="新宋体" w:eastAsia="新宋体"/>
          <w:sz w:val="24"/>
        </w:rPr>
        <w:t>5</w:t>
      </w:r>
      <w:r>
        <w:rPr>
          <w:rFonts w:ascii="新宋体" w:hAnsi="新宋体" w:eastAsia="新宋体"/>
          <w:sz w:val="24"/>
        </w:rPr>
        <w:t>%</w:t>
      </w:r>
      <w:r>
        <w:rPr>
          <w:rFonts w:hint="eastAsia" w:ascii="新宋体" w:hAnsi="新宋体" w:eastAsia="新宋体"/>
          <w:sz w:val="24"/>
        </w:rPr>
        <w:t>，合计为712.62元/月</w:t>
      </w:r>
      <w:r>
        <w:rPr>
          <w:rFonts w:ascii="新宋体" w:hAnsi="新宋体" w:eastAsia="新宋体"/>
          <w:sz w:val="24"/>
        </w:rPr>
        <w:t>)</w:t>
      </w:r>
      <w:r>
        <w:rPr>
          <w:rFonts w:hint="eastAsia" w:ascii="新宋体" w:hAnsi="新宋体" w:eastAsia="新宋体"/>
          <w:sz w:val="24"/>
        </w:rPr>
        <w:t>；职工夏季高温津贴不得低于《浙江省人力资源和社会保障厅浙江省国家税务局浙江省地方税务局关于调整企业夏季高温津贴标准的通知》（2</w:t>
      </w:r>
      <w:r>
        <w:rPr>
          <w:rFonts w:ascii="新宋体" w:hAnsi="新宋体" w:eastAsia="新宋体"/>
          <w:sz w:val="24"/>
        </w:rPr>
        <w:t>018</w:t>
      </w:r>
      <w:r>
        <w:rPr>
          <w:rFonts w:hint="eastAsia" w:ascii="新宋体" w:hAnsi="新宋体" w:eastAsia="新宋体"/>
          <w:sz w:val="24"/>
        </w:rPr>
        <w:t>年6月1日实施）规定的室外人员3</w:t>
      </w:r>
      <w:r>
        <w:rPr>
          <w:rFonts w:ascii="新宋体" w:hAnsi="新宋体" w:eastAsia="新宋体"/>
          <w:sz w:val="24"/>
        </w:rPr>
        <w:t>00</w:t>
      </w:r>
      <w:r>
        <w:rPr>
          <w:rFonts w:hint="eastAsia" w:ascii="新宋体" w:hAnsi="新宋体" w:eastAsia="新宋体"/>
          <w:sz w:val="24"/>
        </w:rPr>
        <w:t>元/人/月，室内岗</w:t>
      </w:r>
      <w:r>
        <w:rPr>
          <w:rFonts w:ascii="新宋体" w:hAnsi="新宋体" w:eastAsia="新宋体"/>
          <w:sz w:val="24"/>
        </w:rPr>
        <w:t>200</w:t>
      </w:r>
      <w:r>
        <w:rPr>
          <w:rFonts w:hint="eastAsia" w:ascii="新宋体" w:hAnsi="新宋体" w:eastAsia="新宋体"/>
          <w:sz w:val="24"/>
        </w:rPr>
        <w:t>元/人/月，发放时间为4个月，按低者合计800元/年。</w:t>
      </w:r>
      <w:r>
        <w:rPr>
          <w:rFonts w:ascii="新宋体" w:hAnsi="新宋体" w:eastAsia="新宋体"/>
          <w:sz w:val="24"/>
        </w:rPr>
        <w:t>人员费用</w:t>
      </w:r>
      <w:r>
        <w:rPr>
          <w:rFonts w:hint="eastAsia" w:ascii="新宋体" w:hAnsi="新宋体" w:eastAsia="新宋体"/>
          <w:sz w:val="24"/>
        </w:rPr>
        <w:t>成本价不得低于上述三项标准之和。开标前如遇政策文件调整，以最新的文件要求为准。</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rPr>
        <w:t>2.投标人的成本总价不得高于投标人的投标总价，否则其投标无效。</w:t>
      </w:r>
    </w:p>
    <w:p>
      <w:pPr>
        <w:pStyle w:val="32"/>
        <w:spacing w:line="400" w:lineRule="exact"/>
        <w:ind w:firstLine="480" w:firstLineChars="200"/>
        <w:rPr>
          <w:rFonts w:hint="eastAsia" w:ascii="新宋体" w:hAnsi="新宋体" w:eastAsia="新宋体"/>
          <w:sz w:val="24"/>
        </w:rPr>
      </w:pPr>
      <w:r>
        <w:rPr>
          <w:rFonts w:hint="eastAsia" w:ascii="新宋体" w:hAnsi="新宋体" w:eastAsia="新宋体"/>
          <w:sz w:val="24"/>
        </w:rPr>
        <w:t>3.此表在不改变表式的情况下，可自行制作。</w:t>
      </w: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spacing w:line="400" w:lineRule="exact"/>
        <w:rPr>
          <w:rFonts w:hint="eastAsia" w:ascii="新宋体" w:hAnsi="新宋体" w:eastAsia="新宋体"/>
          <w:sz w:val="24"/>
        </w:rPr>
      </w:pPr>
    </w:p>
    <w:p>
      <w:pPr>
        <w:rPr>
          <w:rFonts w:hint="eastAsia" w:ascii="新宋体" w:hAnsi="新宋体" w:eastAsia="新宋体"/>
          <w:sz w:val="24"/>
        </w:rPr>
      </w:pPr>
      <w:r>
        <w:rPr>
          <w:rFonts w:hint="eastAsia" w:ascii="新宋体" w:hAnsi="新宋体" w:eastAsia="新宋体"/>
          <w:sz w:val="24"/>
        </w:rPr>
        <w:br w:type="page"/>
      </w:r>
      <w:r>
        <w:rPr>
          <w:rFonts w:hint="eastAsia" w:ascii="新宋体" w:hAnsi="新宋体" w:eastAsia="新宋体"/>
          <w:b/>
          <w:bCs/>
          <w:sz w:val="36"/>
          <w:szCs w:val="36"/>
        </w:rPr>
        <w:t>6.</w:t>
      </w:r>
    </w:p>
    <w:p>
      <w:pPr>
        <w:snapToGrid w:val="0"/>
        <w:spacing w:before="50" w:after="50"/>
        <w:jc w:val="center"/>
        <w:rPr>
          <w:rFonts w:hint="eastAsia" w:ascii="新宋体" w:hAnsi="新宋体" w:eastAsia="新宋体"/>
          <w:b/>
          <w:sz w:val="36"/>
          <w:szCs w:val="36"/>
        </w:rPr>
      </w:pPr>
      <w:r>
        <w:rPr>
          <w:rFonts w:hint="eastAsia" w:ascii="新宋体" w:hAnsi="新宋体" w:eastAsia="新宋体"/>
          <w:b/>
          <w:sz w:val="36"/>
          <w:szCs w:val="36"/>
        </w:rPr>
        <w:t>小微企业声明函</w:t>
      </w:r>
    </w:p>
    <w:p>
      <w:pPr>
        <w:snapToGrid w:val="0"/>
        <w:spacing w:line="360" w:lineRule="auto"/>
        <w:rPr>
          <w:rFonts w:hint="eastAsia" w:ascii="新宋体" w:hAnsi="新宋体" w:eastAsia="新宋体"/>
          <w:sz w:val="28"/>
          <w:szCs w:val="28"/>
        </w:rPr>
      </w:pPr>
    </w:p>
    <w:p>
      <w:pPr>
        <w:snapToGrid w:val="0"/>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本公司郑重声明，根据《政府采购促进中小企业发展暂行办法》（财库〔2011〕181号）的规定，本公司为</w:t>
      </w:r>
      <w:r>
        <w:rPr>
          <w:rFonts w:hint="eastAsia" w:ascii="新宋体" w:hAnsi="新宋体" w:eastAsia="新宋体"/>
          <w:sz w:val="28"/>
          <w:szCs w:val="28"/>
          <w:u w:val="single"/>
        </w:rPr>
        <w:t xml:space="preserve">                  </w:t>
      </w:r>
      <w:r>
        <w:rPr>
          <w:rFonts w:hint="eastAsia" w:ascii="新宋体" w:hAnsi="新宋体" w:eastAsia="新宋体"/>
          <w:sz w:val="28"/>
          <w:szCs w:val="28"/>
        </w:rPr>
        <w:t>（请填写：小型、微型）企业。即，本公司同时满足以下条件：</w:t>
      </w:r>
    </w:p>
    <w:p>
      <w:pPr>
        <w:snapToGrid w:val="0"/>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1.根据《工业和信息化部、国家统计局、国家发展和改革委员会、财政部关于印发中小企业划型标准规定的通知》（工信部联企业〔2011〕300号）规定的划分标准，本公司为</w:t>
      </w:r>
      <w:r>
        <w:rPr>
          <w:rFonts w:hint="eastAsia" w:ascii="新宋体" w:hAnsi="新宋体" w:eastAsia="新宋体"/>
          <w:sz w:val="28"/>
          <w:szCs w:val="28"/>
          <w:u w:val="single"/>
        </w:rPr>
        <w:t xml:space="preserve">               </w:t>
      </w:r>
      <w:r>
        <w:rPr>
          <w:rFonts w:hint="eastAsia" w:ascii="新宋体" w:hAnsi="新宋体" w:eastAsia="新宋体"/>
          <w:sz w:val="28"/>
          <w:szCs w:val="28"/>
        </w:rPr>
        <w:t>（请填写：小型、微型）企业。</w:t>
      </w:r>
    </w:p>
    <w:p>
      <w:pPr>
        <w:snapToGrid w:val="0"/>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2.本公司参加</w:t>
      </w:r>
      <w:r>
        <w:rPr>
          <w:rFonts w:hint="eastAsia" w:ascii="新宋体" w:hAnsi="新宋体" w:eastAsia="新宋体"/>
          <w:sz w:val="28"/>
          <w:szCs w:val="28"/>
          <w:u w:val="single"/>
        </w:rPr>
        <w:t xml:space="preserve">             </w:t>
      </w:r>
      <w:r>
        <w:rPr>
          <w:rFonts w:hint="eastAsia" w:ascii="新宋体" w:hAnsi="新宋体" w:eastAsia="新宋体"/>
          <w:sz w:val="28"/>
          <w:szCs w:val="28"/>
        </w:rPr>
        <w:t>单位的</w:t>
      </w:r>
      <w:r>
        <w:rPr>
          <w:rFonts w:hint="eastAsia" w:ascii="新宋体" w:hAnsi="新宋体" w:eastAsia="新宋体"/>
          <w:sz w:val="28"/>
          <w:szCs w:val="28"/>
          <w:u w:val="single"/>
        </w:rPr>
        <w:t xml:space="preserve">           </w:t>
      </w:r>
      <w:r>
        <w:rPr>
          <w:rFonts w:hint="eastAsia" w:ascii="新宋体" w:hAnsi="新宋体" w:eastAsia="新宋体"/>
          <w:sz w:val="28"/>
          <w:szCs w:val="28"/>
        </w:rPr>
        <w:t>项目采购活动提供本企业制造的货物，由本企业承担工程、提供服务，或者提供其他</w:t>
      </w:r>
      <w:r>
        <w:rPr>
          <w:rFonts w:hint="eastAsia" w:ascii="新宋体" w:hAnsi="新宋体" w:eastAsia="新宋体"/>
          <w:sz w:val="28"/>
          <w:szCs w:val="28"/>
          <w:u w:val="single"/>
        </w:rPr>
        <w:t xml:space="preserve">           </w:t>
      </w:r>
      <w:r>
        <w:rPr>
          <w:rFonts w:hint="eastAsia" w:ascii="新宋体" w:hAnsi="新宋体" w:eastAsia="新宋体"/>
          <w:sz w:val="28"/>
          <w:szCs w:val="28"/>
        </w:rPr>
        <w:t>（请填写：小型、微型）企业制造的货物。本条所称货物不包括使用大型企业注册商标的货物。</w:t>
      </w:r>
    </w:p>
    <w:p>
      <w:pPr>
        <w:snapToGrid w:val="0"/>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本公司对上述声明的真实性负责。如有虚假，将依法承担相应责任。</w:t>
      </w:r>
    </w:p>
    <w:p>
      <w:pPr>
        <w:rPr>
          <w:rFonts w:hint="eastAsia" w:ascii="新宋体" w:hAnsi="新宋体" w:eastAsia="新宋体"/>
          <w:sz w:val="28"/>
          <w:szCs w:val="28"/>
        </w:rPr>
      </w:pPr>
      <w:r>
        <w:rPr>
          <w:rFonts w:hint="eastAsia" w:ascii="新宋体" w:hAnsi="新宋体" w:eastAsia="新宋体"/>
          <w:sz w:val="28"/>
          <w:szCs w:val="28"/>
        </w:rPr>
        <w:t xml:space="preserve">                              </w:t>
      </w:r>
    </w:p>
    <w:p>
      <w:pPr>
        <w:rPr>
          <w:rFonts w:hint="eastAsia" w:ascii="新宋体" w:hAnsi="新宋体" w:eastAsia="新宋体"/>
          <w:sz w:val="24"/>
        </w:rPr>
      </w:pPr>
      <w:r>
        <w:rPr>
          <w:rFonts w:hint="eastAsia" w:ascii="新宋体" w:hAnsi="新宋体" w:eastAsia="新宋体"/>
          <w:sz w:val="24"/>
        </w:rPr>
        <w:t>投标人名称（盖公章）：</w:t>
      </w:r>
      <w:r>
        <w:rPr>
          <w:rFonts w:ascii="新宋体" w:hAnsi="新宋体" w:eastAsia="新宋体"/>
          <w:sz w:val="28"/>
          <w:szCs w:val="28"/>
        </w:rPr>
        <w:t>______________</w:t>
      </w:r>
      <w:r>
        <w:rPr>
          <w:rFonts w:hint="eastAsia" w:ascii="新宋体" w:hAnsi="新宋体" w:eastAsia="新宋体"/>
          <w:sz w:val="24"/>
        </w:rPr>
        <w:t xml:space="preserve"> </w:t>
      </w:r>
    </w:p>
    <w:p>
      <w:pPr>
        <w:snapToGrid w:val="0"/>
        <w:spacing w:line="360" w:lineRule="auto"/>
        <w:ind w:right="480"/>
        <w:rPr>
          <w:rFonts w:hint="eastAsia" w:ascii="新宋体" w:hAnsi="新宋体" w:eastAsia="新宋体"/>
          <w:sz w:val="28"/>
          <w:szCs w:val="28"/>
        </w:rPr>
      </w:pPr>
      <w:r>
        <w:rPr>
          <w:rFonts w:hint="eastAsia" w:ascii="新宋体" w:hAnsi="新宋体" w:eastAsia="新宋体"/>
          <w:sz w:val="24"/>
        </w:rPr>
        <w:t>日 期：</w:t>
      </w:r>
      <w:r>
        <w:rPr>
          <w:rFonts w:ascii="新宋体" w:hAnsi="新宋体" w:eastAsia="新宋体"/>
          <w:sz w:val="28"/>
          <w:szCs w:val="28"/>
        </w:rPr>
        <w:t>_________</w:t>
      </w:r>
    </w:p>
    <w:p>
      <w:pPr>
        <w:snapToGrid w:val="0"/>
        <w:spacing w:line="312" w:lineRule="auto"/>
        <w:ind w:firstLine="602" w:firstLineChars="250"/>
        <w:rPr>
          <w:rFonts w:ascii="新宋体" w:hAnsi="新宋体" w:eastAsia="新宋体"/>
          <w:b/>
          <w:sz w:val="24"/>
        </w:rPr>
      </w:pPr>
      <w:r>
        <w:rPr>
          <w:rFonts w:hint="eastAsia" w:ascii="新宋体" w:hAnsi="新宋体" w:eastAsia="新宋体"/>
          <w:b/>
          <w:sz w:val="24"/>
        </w:rPr>
        <w:t>备注说明：</w:t>
      </w:r>
    </w:p>
    <w:p>
      <w:pPr>
        <w:snapToGrid w:val="0"/>
        <w:spacing w:line="312" w:lineRule="auto"/>
        <w:ind w:firstLine="600" w:firstLineChars="250"/>
        <w:rPr>
          <w:rFonts w:hint="eastAsia" w:ascii="新宋体" w:hAnsi="新宋体" w:eastAsia="新宋体"/>
          <w:sz w:val="24"/>
        </w:rPr>
      </w:pPr>
      <w:r>
        <w:rPr>
          <w:rFonts w:hint="eastAsia" w:ascii="新宋体" w:hAnsi="新宋体" w:eastAsia="新宋体"/>
          <w:sz w:val="24"/>
        </w:rPr>
        <w:t>《小微企业声明函》中，须同时满足以上两个条件。并提供本企业“国家企业信用信息公示系统——小微企业名录”页面查询结果或当地小微企业官网的查询截图（查询时间为投标前一周内，并加盖投标人公章，浙江省内企业可在浙江小微公众号中查询）；如投标人提供非本企业制造的货物，还须提供制造商“国家企业信用信息公示系统——小微企业名录”页面查询结果或当地小微企业官网的查询截图（查询时间为投标前一周内，并加盖投标人公章，浙江省内企业可在浙江小微公众号中查询）。</w:t>
      </w:r>
    </w:p>
    <w:p>
      <w:pPr>
        <w:rPr>
          <w:rFonts w:hint="eastAsia" w:ascii="新宋体" w:hAnsi="新宋体" w:eastAsia="新宋体"/>
          <w:sz w:val="24"/>
        </w:rPr>
      </w:pPr>
    </w:p>
    <w:p>
      <w:pPr>
        <w:rPr>
          <w:rFonts w:hint="eastAsia" w:ascii="新宋体" w:hAnsi="新宋体" w:eastAsia="新宋体"/>
          <w:sz w:val="24"/>
        </w:rPr>
      </w:pPr>
    </w:p>
    <w:p>
      <w:pPr>
        <w:rPr>
          <w:rFonts w:hint="eastAsia" w:ascii="新宋体" w:hAnsi="新宋体" w:eastAsia="新宋体"/>
        </w:rPr>
      </w:pPr>
      <w:r>
        <w:rPr>
          <w:rFonts w:hint="eastAsia" w:ascii="新宋体" w:hAnsi="新宋体" w:eastAsia="新宋体"/>
          <w:sz w:val="24"/>
        </w:rPr>
        <w:br w:type="page"/>
      </w:r>
      <w:r>
        <w:rPr>
          <w:rFonts w:hint="eastAsia" w:ascii="新宋体" w:hAnsi="新宋体" w:eastAsia="新宋体"/>
          <w:b/>
          <w:bCs/>
          <w:sz w:val="36"/>
          <w:szCs w:val="36"/>
        </w:rPr>
        <w:t>7.</w:t>
      </w:r>
    </w:p>
    <w:p>
      <w:pPr>
        <w:rPr>
          <w:rFonts w:hint="eastAsia" w:ascii="新宋体" w:hAnsi="新宋体" w:eastAsia="新宋体"/>
        </w:rPr>
      </w:pPr>
    </w:p>
    <w:p>
      <w:pPr>
        <w:spacing w:line="588" w:lineRule="exact"/>
        <w:jc w:val="center"/>
        <w:rPr>
          <w:rFonts w:hint="eastAsia" w:ascii="新宋体" w:hAnsi="新宋体" w:eastAsia="新宋体"/>
          <w:b/>
          <w:spacing w:val="6"/>
          <w:sz w:val="32"/>
          <w:szCs w:val="32"/>
        </w:rPr>
      </w:pPr>
      <w:r>
        <w:rPr>
          <w:rFonts w:hint="eastAsia" w:ascii="新宋体" w:hAnsi="新宋体" w:eastAsia="新宋体"/>
          <w:b/>
          <w:spacing w:val="6"/>
          <w:sz w:val="32"/>
          <w:szCs w:val="32"/>
        </w:rPr>
        <w:t>残疾人福利性单位声明函</w:t>
      </w:r>
    </w:p>
    <w:p>
      <w:pPr>
        <w:spacing w:line="588" w:lineRule="exact"/>
        <w:rPr>
          <w:rFonts w:hint="eastAsia" w:ascii="新宋体" w:hAnsi="新宋体" w:eastAsia="新宋体"/>
          <w:b/>
          <w:spacing w:val="6"/>
          <w:sz w:val="30"/>
          <w:szCs w:val="30"/>
        </w:rPr>
      </w:pPr>
    </w:p>
    <w:p>
      <w:pPr>
        <w:snapToGrid w:val="0"/>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本单位对上述声明的真实性负责。如有虚假，将依法承担相应责任。</w:t>
      </w:r>
    </w:p>
    <w:p>
      <w:pPr>
        <w:rPr>
          <w:rFonts w:hint="eastAsia" w:ascii="新宋体" w:hAnsi="新宋体" w:eastAsia="新宋体"/>
          <w:sz w:val="24"/>
        </w:rPr>
      </w:pPr>
      <w:r>
        <w:rPr>
          <w:rFonts w:hint="eastAsia" w:ascii="新宋体" w:hAnsi="新宋体" w:eastAsia="新宋体"/>
          <w:sz w:val="24"/>
        </w:rPr>
        <w:t>投标人名称（盖公章）：</w:t>
      </w:r>
      <w:r>
        <w:rPr>
          <w:rFonts w:ascii="新宋体" w:hAnsi="新宋体" w:eastAsia="新宋体"/>
          <w:sz w:val="28"/>
          <w:szCs w:val="28"/>
        </w:rPr>
        <w:t>______________</w:t>
      </w:r>
      <w:r>
        <w:rPr>
          <w:rFonts w:hint="eastAsia" w:ascii="新宋体" w:hAnsi="新宋体" w:eastAsia="新宋体"/>
          <w:sz w:val="24"/>
        </w:rPr>
        <w:t xml:space="preserve"> </w:t>
      </w:r>
    </w:p>
    <w:p>
      <w:pPr>
        <w:snapToGrid w:val="0"/>
        <w:spacing w:line="360" w:lineRule="auto"/>
        <w:rPr>
          <w:rFonts w:hint="eastAsia" w:ascii="新宋体" w:hAnsi="新宋体" w:eastAsia="新宋体"/>
          <w:sz w:val="28"/>
          <w:szCs w:val="28"/>
        </w:rPr>
      </w:pPr>
      <w:r>
        <w:rPr>
          <w:rFonts w:hint="eastAsia" w:ascii="新宋体" w:hAnsi="新宋体" w:eastAsia="新宋体"/>
          <w:sz w:val="24"/>
        </w:rPr>
        <w:t>日 期：</w:t>
      </w:r>
      <w:r>
        <w:rPr>
          <w:rFonts w:ascii="新宋体" w:hAnsi="新宋体" w:eastAsia="新宋体"/>
          <w:sz w:val="28"/>
          <w:szCs w:val="28"/>
        </w:rPr>
        <w:t>_________</w:t>
      </w:r>
    </w:p>
    <w:p>
      <w:pPr>
        <w:spacing w:line="588" w:lineRule="exact"/>
        <w:ind w:firstLine="624" w:firstLineChars="200"/>
        <w:rPr>
          <w:rFonts w:hint="eastAsia" w:ascii="新宋体" w:hAnsi="新宋体" w:eastAsia="新宋体"/>
          <w:spacing w:val="6"/>
          <w:sz w:val="30"/>
          <w:szCs w:val="30"/>
        </w:rPr>
      </w:pPr>
    </w:p>
    <w:p>
      <w:pPr>
        <w:rPr>
          <w:rFonts w:hint="eastAsia" w:ascii="新宋体" w:hAnsi="新宋体" w:eastAsia="新宋体"/>
          <w:sz w:val="28"/>
          <w:szCs w:val="28"/>
        </w:rPr>
      </w:pPr>
    </w:p>
    <w:p>
      <w:pPr>
        <w:rPr>
          <w:rFonts w:hint="eastAsia" w:ascii="新宋体" w:hAnsi="新宋体" w:eastAsia="新宋体"/>
          <w:sz w:val="28"/>
          <w:szCs w:val="28"/>
        </w:rPr>
      </w:pPr>
    </w:p>
    <w:p>
      <w:pPr>
        <w:rPr>
          <w:rFonts w:hint="eastAsia" w:ascii="新宋体" w:hAnsi="新宋体" w:eastAsia="新宋体"/>
          <w:sz w:val="24"/>
        </w:rPr>
      </w:pPr>
    </w:p>
    <w:p>
      <w:pPr>
        <w:rPr>
          <w:rFonts w:hint="eastAsia" w:ascii="新宋体" w:hAnsi="新宋体" w:eastAsia="新宋体"/>
          <w:sz w:val="24"/>
        </w:rPr>
      </w:pPr>
    </w:p>
    <w:p>
      <w:pPr>
        <w:rPr>
          <w:rFonts w:hint="eastAsia" w:ascii="新宋体" w:hAnsi="新宋体" w:eastAsia="新宋体"/>
          <w:sz w:val="24"/>
        </w:rPr>
      </w:pPr>
    </w:p>
    <w:p>
      <w:pPr>
        <w:rPr>
          <w:rFonts w:hint="eastAsia" w:ascii="新宋体" w:hAnsi="新宋体" w:eastAsia="新宋体"/>
          <w:sz w:val="24"/>
        </w:rPr>
      </w:pPr>
    </w:p>
    <w:p>
      <w:pPr>
        <w:rPr>
          <w:rFonts w:hint="eastAsia" w:ascii="新宋体" w:hAnsi="新宋体" w:eastAsia="新宋体"/>
          <w:sz w:val="24"/>
        </w:rPr>
      </w:pPr>
    </w:p>
    <w:p>
      <w:pPr>
        <w:rPr>
          <w:rFonts w:hint="eastAsia" w:ascii="新宋体" w:hAnsi="新宋体" w:eastAsia="新宋体"/>
          <w:sz w:val="24"/>
        </w:rPr>
      </w:pPr>
    </w:p>
    <w:p>
      <w:pPr>
        <w:rPr>
          <w:rFonts w:hint="eastAsia" w:ascii="新宋体" w:hAnsi="新宋体" w:eastAsia="新宋体"/>
          <w:sz w:val="24"/>
        </w:rPr>
      </w:pPr>
    </w:p>
    <w:p>
      <w:pPr>
        <w:rPr>
          <w:rFonts w:hint="eastAsia" w:ascii="新宋体" w:hAnsi="新宋体" w:eastAsia="新宋体"/>
          <w:sz w:val="24"/>
        </w:rPr>
      </w:pPr>
    </w:p>
    <w:p>
      <w:pPr>
        <w:rPr>
          <w:rFonts w:hint="eastAsia" w:ascii="新宋体" w:hAnsi="新宋体" w:eastAsia="新宋体"/>
          <w:sz w:val="24"/>
        </w:rPr>
      </w:pPr>
    </w:p>
    <w:p>
      <w:pPr>
        <w:rPr>
          <w:rFonts w:hint="eastAsia" w:ascii="新宋体" w:hAnsi="新宋体" w:eastAsia="新宋体"/>
          <w:sz w:val="24"/>
        </w:rPr>
      </w:pPr>
    </w:p>
    <w:p>
      <w:pPr>
        <w:rPr>
          <w:rFonts w:hint="eastAsia" w:ascii="新宋体" w:hAnsi="新宋体" w:eastAsia="新宋体"/>
          <w:sz w:val="24"/>
        </w:rPr>
      </w:pPr>
    </w:p>
    <w:sectPr>
      <w:headerReference r:id="rId4" w:type="first"/>
      <w:headerReference r:id="rId3" w:type="default"/>
      <w:footerReference r:id="rId5" w:type="default"/>
      <w:pgSz w:w="11906" w:h="16838"/>
      <w:pgMar w:top="1247" w:right="1134" w:bottom="1440" w:left="1418" w:header="851" w:footer="992" w:gutter="0"/>
      <w:pgNumType w:fmt="numberInDash" w:start="0"/>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angal">
    <w:panose1 w:val="02040503050203030202"/>
    <w:charset w:val="00"/>
    <w:family w:val="roman"/>
    <w:pitch w:val="default"/>
    <w:sig w:usb0="00008003"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新宋体">
    <w:panose1 w:val="02010609030101010101"/>
    <w:charset w:val="86"/>
    <w:family w:val="modern"/>
    <w:pitch w:val="default"/>
    <w:sig w:usb0="00000003" w:usb1="288F0000" w:usb2="00000006" w:usb3="00000000" w:csb0="00040001" w:csb1="00000000"/>
  </w:font>
  <w:font w:name="隶书_GB2312">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altName w:val="Calibri"/>
    <w:panose1 w:val="020F0302020204030204"/>
    <w:charset w:val="00"/>
    <w:family w:val="swiss"/>
    <w:pitch w:val="default"/>
    <w:sig w:usb0="00000000" w:usb1="00000000" w:usb2="00000000" w:usb3="00000000" w:csb0="0000019F" w:csb1="00000000"/>
  </w:font>
  <w:font w:name="FangSong_GB2312">
    <w:altName w:val="仿宋"/>
    <w:panose1 w:val="02010609060101010101"/>
    <w:charset w:val="86"/>
    <w:family w:val="modern"/>
    <w:pitch w:val="default"/>
    <w:sig w:usb0="00000000" w:usb1="00000000" w:usb2="00000010"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A00002EF" w:usb1="4000004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fldChar w:fldCharType="begin"/>
    </w:r>
    <w:r>
      <w:rPr>
        <w:rStyle w:val="66"/>
      </w:rPr>
      <w:instrText xml:space="preserve"> PAGE </w:instrText>
    </w:r>
    <w:r>
      <w:fldChar w:fldCharType="separate"/>
    </w:r>
    <w:r>
      <w:rPr>
        <w:rStyle w:val="66"/>
      </w:rPr>
      <w:t>- 32 -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rPr>
        <w:rFonts w:hint="eastAsia" w:ascii="新宋体" w:hAnsi="新宋体" w:eastAsia="新宋体" w:cs="Courier New"/>
      </w:rPr>
    </w:pPr>
    <w:r>
      <w:rPr>
        <w:rFonts w:hint="eastAsia" w:ascii="新宋体" w:hAnsi="新宋体" w:eastAsia="新宋体" w:cs="Courier New"/>
        <w:sz w:val="21"/>
        <w:szCs w:val="21"/>
      </w:rPr>
      <w:t>YWCG2020128GK</w:t>
    </w:r>
    <w:r>
      <w:rPr>
        <w:rFonts w:hint="eastAsia" w:ascii="新宋体" w:hAnsi="新宋体" w:eastAsia="新宋体" w:cs="Courier New"/>
      </w:rPr>
      <w:t>国家税务总局义乌市税务局机关大楼物业管理采购项目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0A2E"/>
    <w:multiLevelType w:val="multilevel"/>
    <w:tmpl w:val="28630A2E"/>
    <w:lvl w:ilvl="0" w:tentative="0">
      <w:start w:val="1"/>
      <w:numFmt w:val="chineseCountingThousand"/>
      <w:pStyle w:val="3"/>
      <w:suff w:val="nothing"/>
      <w:lvlText w:val="第%1章"/>
      <w:lvlJc w:val="left"/>
      <w:pPr>
        <w:ind w:left="0" w:firstLine="0"/>
      </w:pPr>
    </w:lvl>
    <w:lvl w:ilvl="1" w:tentative="0">
      <w:start w:val="1"/>
      <w:numFmt w:val="none"/>
      <w:pStyle w:val="4"/>
      <w:suff w:val="nothing"/>
      <w:lvlText w:val=""/>
      <w:lvlJc w:val="left"/>
      <w:pPr>
        <w:ind w:left="0" w:firstLine="0"/>
      </w:pPr>
    </w:lvl>
    <w:lvl w:ilvl="2" w:tentative="0">
      <w:start w:val="1"/>
      <w:numFmt w:val="none"/>
      <w:pStyle w:val="5"/>
      <w:suff w:val="nothing"/>
      <w:lvlText w:val=""/>
      <w:lvlJc w:val="left"/>
      <w:pPr>
        <w:ind w:left="0" w:firstLine="0"/>
      </w:pPr>
    </w:lvl>
    <w:lvl w:ilvl="3" w:tentative="0">
      <w:start w:val="1"/>
      <w:numFmt w:val="none"/>
      <w:pStyle w:val="6"/>
      <w:suff w:val="nothing"/>
      <w:lvlText w:val=""/>
      <w:lvlJc w:val="left"/>
      <w:pPr>
        <w:ind w:left="0" w:firstLine="0"/>
      </w:pPr>
    </w:lvl>
    <w:lvl w:ilvl="4" w:tentative="0">
      <w:start w:val="1"/>
      <w:numFmt w:val="none"/>
      <w:pStyle w:val="7"/>
      <w:suff w:val="nothing"/>
      <w:lvlText w:val=""/>
      <w:lvlJc w:val="left"/>
      <w:pPr>
        <w:ind w:left="0" w:firstLine="0"/>
      </w:pPr>
    </w:lvl>
    <w:lvl w:ilvl="5" w:tentative="0">
      <w:start w:val="1"/>
      <w:numFmt w:val="none"/>
      <w:pStyle w:val="8"/>
      <w:suff w:val="nothing"/>
      <w:lvlText w:val=""/>
      <w:lvlJc w:val="left"/>
      <w:pPr>
        <w:ind w:left="0" w:firstLine="0"/>
      </w:pPr>
    </w:lvl>
    <w:lvl w:ilvl="6" w:tentative="0">
      <w:start w:val="1"/>
      <w:numFmt w:val="none"/>
      <w:pStyle w:val="9"/>
      <w:suff w:val="nothing"/>
      <w:lvlText w:val=""/>
      <w:lvlJc w:val="left"/>
      <w:pPr>
        <w:ind w:left="0" w:firstLine="0"/>
      </w:pPr>
    </w:lvl>
    <w:lvl w:ilvl="7" w:tentative="0">
      <w:start w:val="1"/>
      <w:numFmt w:val="none"/>
      <w:pStyle w:val="10"/>
      <w:suff w:val="nothing"/>
      <w:lvlText w:val=""/>
      <w:lvlJc w:val="left"/>
      <w:pPr>
        <w:ind w:left="0" w:firstLine="0"/>
      </w:pPr>
    </w:lvl>
    <w:lvl w:ilvl="8" w:tentative="0">
      <w:start w:val="1"/>
      <w:numFmt w:val="none"/>
      <w:pStyle w:val="11"/>
      <w:suff w:val="nothing"/>
      <w:lvlText w:val=""/>
      <w:lvlJc w:val="left"/>
      <w:pPr>
        <w:ind w:left="0" w:firstLine="0"/>
      </w:pPr>
    </w:lvl>
  </w:abstractNum>
  <w:abstractNum w:abstractNumId="1">
    <w:nsid w:val="6330630D"/>
    <w:multiLevelType w:val="multilevel"/>
    <w:tmpl w:val="6330630D"/>
    <w:lvl w:ilvl="0" w:tentative="0">
      <w:start w:val="7"/>
      <w:numFmt w:val="japaneseCounting"/>
      <w:lvlText w:val="第%1章"/>
      <w:lvlJc w:val="left"/>
      <w:pPr>
        <w:tabs>
          <w:tab w:val="left" w:pos="4147"/>
        </w:tabs>
        <w:ind w:left="4147" w:hanging="1455"/>
      </w:pPr>
      <w:rPr>
        <w:rFonts w:hint="default"/>
      </w:rPr>
    </w:lvl>
    <w:lvl w:ilvl="1" w:tentative="0">
      <w:start w:val="1"/>
      <w:numFmt w:val="lowerLetter"/>
      <w:lvlText w:val="%2)"/>
      <w:lvlJc w:val="left"/>
      <w:pPr>
        <w:tabs>
          <w:tab w:val="left" w:pos="3532"/>
        </w:tabs>
        <w:ind w:left="3532" w:hanging="420"/>
      </w:pPr>
    </w:lvl>
    <w:lvl w:ilvl="2" w:tentative="0">
      <w:start w:val="1"/>
      <w:numFmt w:val="lowerRoman"/>
      <w:lvlText w:val="%3."/>
      <w:lvlJc w:val="right"/>
      <w:pPr>
        <w:tabs>
          <w:tab w:val="left" w:pos="3952"/>
        </w:tabs>
        <w:ind w:left="3952" w:hanging="420"/>
      </w:pPr>
    </w:lvl>
    <w:lvl w:ilvl="3" w:tentative="0">
      <w:start w:val="1"/>
      <w:numFmt w:val="decimal"/>
      <w:lvlText w:val="%4."/>
      <w:lvlJc w:val="left"/>
      <w:pPr>
        <w:tabs>
          <w:tab w:val="left" w:pos="4372"/>
        </w:tabs>
        <w:ind w:left="4372" w:hanging="420"/>
      </w:pPr>
    </w:lvl>
    <w:lvl w:ilvl="4" w:tentative="0">
      <w:start w:val="1"/>
      <w:numFmt w:val="lowerLetter"/>
      <w:lvlText w:val="%5)"/>
      <w:lvlJc w:val="left"/>
      <w:pPr>
        <w:tabs>
          <w:tab w:val="left" w:pos="4792"/>
        </w:tabs>
        <w:ind w:left="4792" w:hanging="420"/>
      </w:pPr>
    </w:lvl>
    <w:lvl w:ilvl="5" w:tentative="0">
      <w:start w:val="1"/>
      <w:numFmt w:val="lowerRoman"/>
      <w:lvlText w:val="%6."/>
      <w:lvlJc w:val="right"/>
      <w:pPr>
        <w:tabs>
          <w:tab w:val="left" w:pos="5212"/>
        </w:tabs>
        <w:ind w:left="5212" w:hanging="420"/>
      </w:pPr>
    </w:lvl>
    <w:lvl w:ilvl="6" w:tentative="0">
      <w:start w:val="1"/>
      <w:numFmt w:val="decimal"/>
      <w:lvlText w:val="%7."/>
      <w:lvlJc w:val="left"/>
      <w:pPr>
        <w:tabs>
          <w:tab w:val="left" w:pos="5632"/>
        </w:tabs>
        <w:ind w:left="5632" w:hanging="420"/>
      </w:pPr>
    </w:lvl>
    <w:lvl w:ilvl="7" w:tentative="0">
      <w:start w:val="1"/>
      <w:numFmt w:val="lowerLetter"/>
      <w:lvlText w:val="%8)"/>
      <w:lvlJc w:val="left"/>
      <w:pPr>
        <w:tabs>
          <w:tab w:val="left" w:pos="6052"/>
        </w:tabs>
        <w:ind w:left="6052" w:hanging="420"/>
      </w:pPr>
    </w:lvl>
    <w:lvl w:ilvl="8" w:tentative="0">
      <w:start w:val="1"/>
      <w:numFmt w:val="lowerRoman"/>
      <w:lvlText w:val="%9."/>
      <w:lvlJc w:val="right"/>
      <w:pPr>
        <w:tabs>
          <w:tab w:val="left" w:pos="6472"/>
        </w:tabs>
        <w:ind w:left="6472"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65"/>
    <w:rsid w:val="00000087"/>
    <w:rsid w:val="000003B9"/>
    <w:rsid w:val="000007E5"/>
    <w:rsid w:val="00000D10"/>
    <w:rsid w:val="00001A9E"/>
    <w:rsid w:val="00001B30"/>
    <w:rsid w:val="00001E37"/>
    <w:rsid w:val="00001F35"/>
    <w:rsid w:val="00002912"/>
    <w:rsid w:val="0000310F"/>
    <w:rsid w:val="0000338D"/>
    <w:rsid w:val="00003911"/>
    <w:rsid w:val="00003972"/>
    <w:rsid w:val="00004121"/>
    <w:rsid w:val="0000419C"/>
    <w:rsid w:val="000047F8"/>
    <w:rsid w:val="000051F0"/>
    <w:rsid w:val="0000532D"/>
    <w:rsid w:val="000053EF"/>
    <w:rsid w:val="0000566E"/>
    <w:rsid w:val="0000587D"/>
    <w:rsid w:val="00006DD7"/>
    <w:rsid w:val="00006F01"/>
    <w:rsid w:val="00007510"/>
    <w:rsid w:val="0001062D"/>
    <w:rsid w:val="00010C10"/>
    <w:rsid w:val="00010D8E"/>
    <w:rsid w:val="0001118E"/>
    <w:rsid w:val="00011B0D"/>
    <w:rsid w:val="00011B2E"/>
    <w:rsid w:val="00011C4A"/>
    <w:rsid w:val="00011D32"/>
    <w:rsid w:val="00011E53"/>
    <w:rsid w:val="00011E9A"/>
    <w:rsid w:val="00012442"/>
    <w:rsid w:val="00012692"/>
    <w:rsid w:val="000126A1"/>
    <w:rsid w:val="00012AA4"/>
    <w:rsid w:val="00012C0A"/>
    <w:rsid w:val="00013946"/>
    <w:rsid w:val="0001399C"/>
    <w:rsid w:val="000139D3"/>
    <w:rsid w:val="00013AA4"/>
    <w:rsid w:val="00013CDF"/>
    <w:rsid w:val="00013D1B"/>
    <w:rsid w:val="0001498A"/>
    <w:rsid w:val="00014F5B"/>
    <w:rsid w:val="00014FC4"/>
    <w:rsid w:val="0001504F"/>
    <w:rsid w:val="00015173"/>
    <w:rsid w:val="000154E6"/>
    <w:rsid w:val="0001551B"/>
    <w:rsid w:val="000155B0"/>
    <w:rsid w:val="000156FE"/>
    <w:rsid w:val="00015DA3"/>
    <w:rsid w:val="00015F93"/>
    <w:rsid w:val="000160F9"/>
    <w:rsid w:val="00016797"/>
    <w:rsid w:val="00016E24"/>
    <w:rsid w:val="0001706C"/>
    <w:rsid w:val="000177DC"/>
    <w:rsid w:val="00017DCC"/>
    <w:rsid w:val="00017FAA"/>
    <w:rsid w:val="0002077F"/>
    <w:rsid w:val="00020907"/>
    <w:rsid w:val="00020E28"/>
    <w:rsid w:val="00020ED6"/>
    <w:rsid w:val="000211E4"/>
    <w:rsid w:val="00021A6E"/>
    <w:rsid w:val="00022034"/>
    <w:rsid w:val="000222C2"/>
    <w:rsid w:val="000223B4"/>
    <w:rsid w:val="0002269E"/>
    <w:rsid w:val="00022C46"/>
    <w:rsid w:val="00022D8C"/>
    <w:rsid w:val="00022F69"/>
    <w:rsid w:val="0002339D"/>
    <w:rsid w:val="0002369F"/>
    <w:rsid w:val="00023830"/>
    <w:rsid w:val="000239D1"/>
    <w:rsid w:val="000240F3"/>
    <w:rsid w:val="000241D5"/>
    <w:rsid w:val="00024D19"/>
    <w:rsid w:val="000255BF"/>
    <w:rsid w:val="000256A7"/>
    <w:rsid w:val="0002575F"/>
    <w:rsid w:val="00025B9D"/>
    <w:rsid w:val="00025EC1"/>
    <w:rsid w:val="00026D1B"/>
    <w:rsid w:val="000274C8"/>
    <w:rsid w:val="000277B7"/>
    <w:rsid w:val="000277D0"/>
    <w:rsid w:val="00027F93"/>
    <w:rsid w:val="000303B5"/>
    <w:rsid w:val="0003064C"/>
    <w:rsid w:val="0003118E"/>
    <w:rsid w:val="000318C6"/>
    <w:rsid w:val="00031A6E"/>
    <w:rsid w:val="00031B28"/>
    <w:rsid w:val="00031EDC"/>
    <w:rsid w:val="00033339"/>
    <w:rsid w:val="0003359F"/>
    <w:rsid w:val="00033819"/>
    <w:rsid w:val="000339F9"/>
    <w:rsid w:val="00033C02"/>
    <w:rsid w:val="00034096"/>
    <w:rsid w:val="000342A9"/>
    <w:rsid w:val="0003465B"/>
    <w:rsid w:val="00034946"/>
    <w:rsid w:val="00034977"/>
    <w:rsid w:val="000349BA"/>
    <w:rsid w:val="00034EA9"/>
    <w:rsid w:val="00035C3A"/>
    <w:rsid w:val="00035CAD"/>
    <w:rsid w:val="00036198"/>
    <w:rsid w:val="00036331"/>
    <w:rsid w:val="00036F8F"/>
    <w:rsid w:val="00040ACF"/>
    <w:rsid w:val="00040F1A"/>
    <w:rsid w:val="00041A8A"/>
    <w:rsid w:val="000422CE"/>
    <w:rsid w:val="000423E4"/>
    <w:rsid w:val="00042783"/>
    <w:rsid w:val="0004285D"/>
    <w:rsid w:val="0004320D"/>
    <w:rsid w:val="000433D6"/>
    <w:rsid w:val="00043433"/>
    <w:rsid w:val="00043807"/>
    <w:rsid w:val="00043822"/>
    <w:rsid w:val="00043BE0"/>
    <w:rsid w:val="00043C3A"/>
    <w:rsid w:val="00044209"/>
    <w:rsid w:val="00044A5A"/>
    <w:rsid w:val="00044E2B"/>
    <w:rsid w:val="00046418"/>
    <w:rsid w:val="00046678"/>
    <w:rsid w:val="0004746A"/>
    <w:rsid w:val="000474B0"/>
    <w:rsid w:val="000477FD"/>
    <w:rsid w:val="00047B23"/>
    <w:rsid w:val="00047B8E"/>
    <w:rsid w:val="00047FAD"/>
    <w:rsid w:val="00050350"/>
    <w:rsid w:val="00050469"/>
    <w:rsid w:val="00050651"/>
    <w:rsid w:val="00050E57"/>
    <w:rsid w:val="00050E79"/>
    <w:rsid w:val="00050FE3"/>
    <w:rsid w:val="00051700"/>
    <w:rsid w:val="00051D36"/>
    <w:rsid w:val="00052132"/>
    <w:rsid w:val="000522F3"/>
    <w:rsid w:val="00052597"/>
    <w:rsid w:val="0005384F"/>
    <w:rsid w:val="00053C4C"/>
    <w:rsid w:val="00054078"/>
    <w:rsid w:val="000540D8"/>
    <w:rsid w:val="0005481E"/>
    <w:rsid w:val="00054980"/>
    <w:rsid w:val="000549C0"/>
    <w:rsid w:val="00055122"/>
    <w:rsid w:val="0005560C"/>
    <w:rsid w:val="00055A57"/>
    <w:rsid w:val="00055E2C"/>
    <w:rsid w:val="00056B22"/>
    <w:rsid w:val="00056C4A"/>
    <w:rsid w:val="0005788C"/>
    <w:rsid w:val="00057C3A"/>
    <w:rsid w:val="000600F7"/>
    <w:rsid w:val="00060B19"/>
    <w:rsid w:val="00060CF7"/>
    <w:rsid w:val="00060DF4"/>
    <w:rsid w:val="0006120A"/>
    <w:rsid w:val="000612F5"/>
    <w:rsid w:val="00061365"/>
    <w:rsid w:val="000615A7"/>
    <w:rsid w:val="000616F2"/>
    <w:rsid w:val="000619BE"/>
    <w:rsid w:val="00061ADA"/>
    <w:rsid w:val="00061C40"/>
    <w:rsid w:val="00061F08"/>
    <w:rsid w:val="00062539"/>
    <w:rsid w:val="0006336A"/>
    <w:rsid w:val="000633D9"/>
    <w:rsid w:val="0006359D"/>
    <w:rsid w:val="000636F9"/>
    <w:rsid w:val="00063707"/>
    <w:rsid w:val="000639B6"/>
    <w:rsid w:val="00063B97"/>
    <w:rsid w:val="00063F4A"/>
    <w:rsid w:val="000649A6"/>
    <w:rsid w:val="00064C76"/>
    <w:rsid w:val="00064D94"/>
    <w:rsid w:val="00064DD4"/>
    <w:rsid w:val="000650B0"/>
    <w:rsid w:val="000651E5"/>
    <w:rsid w:val="0006555E"/>
    <w:rsid w:val="00065569"/>
    <w:rsid w:val="000660C3"/>
    <w:rsid w:val="0006613B"/>
    <w:rsid w:val="000661C7"/>
    <w:rsid w:val="0006631B"/>
    <w:rsid w:val="0006641E"/>
    <w:rsid w:val="0006677A"/>
    <w:rsid w:val="00066B1C"/>
    <w:rsid w:val="00066B8C"/>
    <w:rsid w:val="000673AF"/>
    <w:rsid w:val="0006789C"/>
    <w:rsid w:val="0007037D"/>
    <w:rsid w:val="000703AE"/>
    <w:rsid w:val="000708B0"/>
    <w:rsid w:val="000713C9"/>
    <w:rsid w:val="00072895"/>
    <w:rsid w:val="00072AF5"/>
    <w:rsid w:val="0007350C"/>
    <w:rsid w:val="0007409D"/>
    <w:rsid w:val="00074BB0"/>
    <w:rsid w:val="00074F39"/>
    <w:rsid w:val="00075454"/>
    <w:rsid w:val="0007550A"/>
    <w:rsid w:val="0007585C"/>
    <w:rsid w:val="00075E31"/>
    <w:rsid w:val="00075E7D"/>
    <w:rsid w:val="00076153"/>
    <w:rsid w:val="00076412"/>
    <w:rsid w:val="00076455"/>
    <w:rsid w:val="00076461"/>
    <w:rsid w:val="00076952"/>
    <w:rsid w:val="00076DAA"/>
    <w:rsid w:val="000776BC"/>
    <w:rsid w:val="0007784A"/>
    <w:rsid w:val="00077DE0"/>
    <w:rsid w:val="00077FC8"/>
    <w:rsid w:val="0008021D"/>
    <w:rsid w:val="0008039C"/>
    <w:rsid w:val="00080ABB"/>
    <w:rsid w:val="00080CFC"/>
    <w:rsid w:val="000813BA"/>
    <w:rsid w:val="000814DC"/>
    <w:rsid w:val="000814FE"/>
    <w:rsid w:val="00081544"/>
    <w:rsid w:val="000816A9"/>
    <w:rsid w:val="00081B24"/>
    <w:rsid w:val="00081FBD"/>
    <w:rsid w:val="00082086"/>
    <w:rsid w:val="000822A7"/>
    <w:rsid w:val="0008260B"/>
    <w:rsid w:val="000831BC"/>
    <w:rsid w:val="000836A5"/>
    <w:rsid w:val="00083815"/>
    <w:rsid w:val="000856E5"/>
    <w:rsid w:val="0008572F"/>
    <w:rsid w:val="0008584A"/>
    <w:rsid w:val="0008599C"/>
    <w:rsid w:val="00085ED4"/>
    <w:rsid w:val="000861BB"/>
    <w:rsid w:val="00086F71"/>
    <w:rsid w:val="00086FAA"/>
    <w:rsid w:val="00087690"/>
    <w:rsid w:val="00087741"/>
    <w:rsid w:val="00087C77"/>
    <w:rsid w:val="00087D48"/>
    <w:rsid w:val="000900DA"/>
    <w:rsid w:val="00090A05"/>
    <w:rsid w:val="00090A7C"/>
    <w:rsid w:val="00090B49"/>
    <w:rsid w:val="00091C8F"/>
    <w:rsid w:val="0009210B"/>
    <w:rsid w:val="0009233B"/>
    <w:rsid w:val="00092759"/>
    <w:rsid w:val="00093030"/>
    <w:rsid w:val="0009312A"/>
    <w:rsid w:val="000938C9"/>
    <w:rsid w:val="000945A0"/>
    <w:rsid w:val="00094672"/>
    <w:rsid w:val="0009469C"/>
    <w:rsid w:val="00094E0A"/>
    <w:rsid w:val="00095226"/>
    <w:rsid w:val="00095557"/>
    <w:rsid w:val="00095F80"/>
    <w:rsid w:val="000963AD"/>
    <w:rsid w:val="00097169"/>
    <w:rsid w:val="00097748"/>
    <w:rsid w:val="000A0065"/>
    <w:rsid w:val="000A0DE4"/>
    <w:rsid w:val="000A0FB5"/>
    <w:rsid w:val="000A162A"/>
    <w:rsid w:val="000A19DA"/>
    <w:rsid w:val="000A19E1"/>
    <w:rsid w:val="000A1B46"/>
    <w:rsid w:val="000A1B6C"/>
    <w:rsid w:val="000A1D3E"/>
    <w:rsid w:val="000A28C6"/>
    <w:rsid w:val="000A2CAB"/>
    <w:rsid w:val="000A2CAD"/>
    <w:rsid w:val="000A2E24"/>
    <w:rsid w:val="000A334A"/>
    <w:rsid w:val="000A347C"/>
    <w:rsid w:val="000A364C"/>
    <w:rsid w:val="000A4422"/>
    <w:rsid w:val="000A4C6C"/>
    <w:rsid w:val="000A5CEA"/>
    <w:rsid w:val="000A5D41"/>
    <w:rsid w:val="000A6734"/>
    <w:rsid w:val="000A6A6F"/>
    <w:rsid w:val="000A6B9A"/>
    <w:rsid w:val="000A6F7C"/>
    <w:rsid w:val="000A72DF"/>
    <w:rsid w:val="000A7A64"/>
    <w:rsid w:val="000B017E"/>
    <w:rsid w:val="000B01EC"/>
    <w:rsid w:val="000B0239"/>
    <w:rsid w:val="000B05CE"/>
    <w:rsid w:val="000B09E2"/>
    <w:rsid w:val="000B0C45"/>
    <w:rsid w:val="000B110C"/>
    <w:rsid w:val="000B1398"/>
    <w:rsid w:val="000B15C9"/>
    <w:rsid w:val="000B16D3"/>
    <w:rsid w:val="000B16FA"/>
    <w:rsid w:val="000B1C1E"/>
    <w:rsid w:val="000B2353"/>
    <w:rsid w:val="000B2881"/>
    <w:rsid w:val="000B2CA0"/>
    <w:rsid w:val="000B2EF7"/>
    <w:rsid w:val="000B3009"/>
    <w:rsid w:val="000B3F38"/>
    <w:rsid w:val="000B423C"/>
    <w:rsid w:val="000B44C8"/>
    <w:rsid w:val="000B460C"/>
    <w:rsid w:val="000B4936"/>
    <w:rsid w:val="000B5202"/>
    <w:rsid w:val="000B563C"/>
    <w:rsid w:val="000B5FDE"/>
    <w:rsid w:val="000B6034"/>
    <w:rsid w:val="000B60C4"/>
    <w:rsid w:val="000B665F"/>
    <w:rsid w:val="000B66AA"/>
    <w:rsid w:val="000B66B8"/>
    <w:rsid w:val="000B7230"/>
    <w:rsid w:val="000B7314"/>
    <w:rsid w:val="000B755D"/>
    <w:rsid w:val="000B79B0"/>
    <w:rsid w:val="000C061B"/>
    <w:rsid w:val="000C063C"/>
    <w:rsid w:val="000C0659"/>
    <w:rsid w:val="000C091A"/>
    <w:rsid w:val="000C0C2D"/>
    <w:rsid w:val="000C173C"/>
    <w:rsid w:val="000C18DE"/>
    <w:rsid w:val="000C2340"/>
    <w:rsid w:val="000C2ADE"/>
    <w:rsid w:val="000C36C0"/>
    <w:rsid w:val="000C3767"/>
    <w:rsid w:val="000C3E81"/>
    <w:rsid w:val="000C3F50"/>
    <w:rsid w:val="000C43D2"/>
    <w:rsid w:val="000C4D07"/>
    <w:rsid w:val="000C5931"/>
    <w:rsid w:val="000C5A02"/>
    <w:rsid w:val="000C5C46"/>
    <w:rsid w:val="000C79E0"/>
    <w:rsid w:val="000C7E4A"/>
    <w:rsid w:val="000D0EF5"/>
    <w:rsid w:val="000D0F50"/>
    <w:rsid w:val="000D12BE"/>
    <w:rsid w:val="000D1A04"/>
    <w:rsid w:val="000D1B66"/>
    <w:rsid w:val="000D2CBA"/>
    <w:rsid w:val="000D2D39"/>
    <w:rsid w:val="000D33B7"/>
    <w:rsid w:val="000D4134"/>
    <w:rsid w:val="000D471F"/>
    <w:rsid w:val="000D502E"/>
    <w:rsid w:val="000D536A"/>
    <w:rsid w:val="000D536C"/>
    <w:rsid w:val="000D6282"/>
    <w:rsid w:val="000D6C9E"/>
    <w:rsid w:val="000D6D54"/>
    <w:rsid w:val="000D78F8"/>
    <w:rsid w:val="000D7AA8"/>
    <w:rsid w:val="000D7EDC"/>
    <w:rsid w:val="000D7FEB"/>
    <w:rsid w:val="000E081D"/>
    <w:rsid w:val="000E0961"/>
    <w:rsid w:val="000E0E6C"/>
    <w:rsid w:val="000E1483"/>
    <w:rsid w:val="000E14BF"/>
    <w:rsid w:val="000E1C08"/>
    <w:rsid w:val="000E1D48"/>
    <w:rsid w:val="000E23EE"/>
    <w:rsid w:val="000E32C8"/>
    <w:rsid w:val="000E43A3"/>
    <w:rsid w:val="000E48B3"/>
    <w:rsid w:val="000E4ACE"/>
    <w:rsid w:val="000E4CBF"/>
    <w:rsid w:val="000E4FCD"/>
    <w:rsid w:val="000E54D0"/>
    <w:rsid w:val="000E62BB"/>
    <w:rsid w:val="000E6752"/>
    <w:rsid w:val="000E6D5C"/>
    <w:rsid w:val="000E7D23"/>
    <w:rsid w:val="000F01DB"/>
    <w:rsid w:val="000F0D4B"/>
    <w:rsid w:val="000F0E6C"/>
    <w:rsid w:val="000F0E74"/>
    <w:rsid w:val="000F0E96"/>
    <w:rsid w:val="000F0F8E"/>
    <w:rsid w:val="000F1460"/>
    <w:rsid w:val="000F14BC"/>
    <w:rsid w:val="000F16E2"/>
    <w:rsid w:val="000F179F"/>
    <w:rsid w:val="000F1943"/>
    <w:rsid w:val="000F1F26"/>
    <w:rsid w:val="000F22EA"/>
    <w:rsid w:val="000F279D"/>
    <w:rsid w:val="000F29A5"/>
    <w:rsid w:val="000F36B5"/>
    <w:rsid w:val="000F3792"/>
    <w:rsid w:val="000F4068"/>
    <w:rsid w:val="000F45CA"/>
    <w:rsid w:val="000F4FE7"/>
    <w:rsid w:val="000F58CA"/>
    <w:rsid w:val="000F5A89"/>
    <w:rsid w:val="000F5F76"/>
    <w:rsid w:val="000F61F0"/>
    <w:rsid w:val="000F6205"/>
    <w:rsid w:val="000F6612"/>
    <w:rsid w:val="000F7514"/>
    <w:rsid w:val="000F7538"/>
    <w:rsid w:val="00100013"/>
    <w:rsid w:val="001002C4"/>
    <w:rsid w:val="0010086F"/>
    <w:rsid w:val="001011BE"/>
    <w:rsid w:val="00101A4A"/>
    <w:rsid w:val="00101B8A"/>
    <w:rsid w:val="001022CF"/>
    <w:rsid w:val="0010238B"/>
    <w:rsid w:val="00102527"/>
    <w:rsid w:val="00103797"/>
    <w:rsid w:val="00103EAD"/>
    <w:rsid w:val="001043AB"/>
    <w:rsid w:val="00104C94"/>
    <w:rsid w:val="001050D6"/>
    <w:rsid w:val="00105244"/>
    <w:rsid w:val="001055F3"/>
    <w:rsid w:val="00105823"/>
    <w:rsid w:val="001059C5"/>
    <w:rsid w:val="00105D17"/>
    <w:rsid w:val="00106049"/>
    <w:rsid w:val="00106488"/>
    <w:rsid w:val="0010685F"/>
    <w:rsid w:val="001073D9"/>
    <w:rsid w:val="00107877"/>
    <w:rsid w:val="00107FC3"/>
    <w:rsid w:val="001100F3"/>
    <w:rsid w:val="001107F0"/>
    <w:rsid w:val="00110B7D"/>
    <w:rsid w:val="00110CB0"/>
    <w:rsid w:val="001112E8"/>
    <w:rsid w:val="001115E9"/>
    <w:rsid w:val="0011261F"/>
    <w:rsid w:val="0011299A"/>
    <w:rsid w:val="00112B9A"/>
    <w:rsid w:val="0011381C"/>
    <w:rsid w:val="00113E98"/>
    <w:rsid w:val="00114363"/>
    <w:rsid w:val="001144DA"/>
    <w:rsid w:val="00115078"/>
    <w:rsid w:val="001151A2"/>
    <w:rsid w:val="00115A7C"/>
    <w:rsid w:val="00115A7D"/>
    <w:rsid w:val="00115FE4"/>
    <w:rsid w:val="0011614D"/>
    <w:rsid w:val="0011677B"/>
    <w:rsid w:val="00116980"/>
    <w:rsid w:val="00116BA2"/>
    <w:rsid w:val="00116C20"/>
    <w:rsid w:val="00116C48"/>
    <w:rsid w:val="00116E57"/>
    <w:rsid w:val="0011747E"/>
    <w:rsid w:val="00117661"/>
    <w:rsid w:val="00117A6F"/>
    <w:rsid w:val="00117A91"/>
    <w:rsid w:val="00120133"/>
    <w:rsid w:val="0012055D"/>
    <w:rsid w:val="00120EF7"/>
    <w:rsid w:val="001216F2"/>
    <w:rsid w:val="00121BC7"/>
    <w:rsid w:val="00121CA0"/>
    <w:rsid w:val="00121CF5"/>
    <w:rsid w:val="00121D0C"/>
    <w:rsid w:val="00121D54"/>
    <w:rsid w:val="00121EAB"/>
    <w:rsid w:val="001223EB"/>
    <w:rsid w:val="0012300B"/>
    <w:rsid w:val="00123271"/>
    <w:rsid w:val="001246DE"/>
    <w:rsid w:val="00125155"/>
    <w:rsid w:val="001251C4"/>
    <w:rsid w:val="00125726"/>
    <w:rsid w:val="00126625"/>
    <w:rsid w:val="00126A26"/>
    <w:rsid w:val="00126E51"/>
    <w:rsid w:val="00127420"/>
    <w:rsid w:val="00127611"/>
    <w:rsid w:val="00127B47"/>
    <w:rsid w:val="001307B3"/>
    <w:rsid w:val="0013104B"/>
    <w:rsid w:val="00131284"/>
    <w:rsid w:val="0013198E"/>
    <w:rsid w:val="00131C83"/>
    <w:rsid w:val="001320C5"/>
    <w:rsid w:val="00132190"/>
    <w:rsid w:val="0013224B"/>
    <w:rsid w:val="00132C87"/>
    <w:rsid w:val="00132EFD"/>
    <w:rsid w:val="00133752"/>
    <w:rsid w:val="00133B66"/>
    <w:rsid w:val="00133BBE"/>
    <w:rsid w:val="00133EAA"/>
    <w:rsid w:val="0013416C"/>
    <w:rsid w:val="001341B5"/>
    <w:rsid w:val="001341E5"/>
    <w:rsid w:val="00134BE9"/>
    <w:rsid w:val="001350E2"/>
    <w:rsid w:val="001353B5"/>
    <w:rsid w:val="00135C24"/>
    <w:rsid w:val="00136E6C"/>
    <w:rsid w:val="001374E2"/>
    <w:rsid w:val="00137DF2"/>
    <w:rsid w:val="001414A6"/>
    <w:rsid w:val="00141EFA"/>
    <w:rsid w:val="00141EFF"/>
    <w:rsid w:val="00142AC9"/>
    <w:rsid w:val="00142CE0"/>
    <w:rsid w:val="00143038"/>
    <w:rsid w:val="0014306A"/>
    <w:rsid w:val="0014307F"/>
    <w:rsid w:val="00143195"/>
    <w:rsid w:val="00143853"/>
    <w:rsid w:val="00144241"/>
    <w:rsid w:val="00144F69"/>
    <w:rsid w:val="00145663"/>
    <w:rsid w:val="001458E8"/>
    <w:rsid w:val="00146665"/>
    <w:rsid w:val="00146E61"/>
    <w:rsid w:val="0014714B"/>
    <w:rsid w:val="00147A6E"/>
    <w:rsid w:val="0015061A"/>
    <w:rsid w:val="00150B2D"/>
    <w:rsid w:val="00150CEF"/>
    <w:rsid w:val="00150FA8"/>
    <w:rsid w:val="00151371"/>
    <w:rsid w:val="00151A0F"/>
    <w:rsid w:val="00151DA0"/>
    <w:rsid w:val="0015200E"/>
    <w:rsid w:val="0015247F"/>
    <w:rsid w:val="00152519"/>
    <w:rsid w:val="00152E9C"/>
    <w:rsid w:val="00153016"/>
    <w:rsid w:val="0015312B"/>
    <w:rsid w:val="001533B5"/>
    <w:rsid w:val="00153F4A"/>
    <w:rsid w:val="001545D2"/>
    <w:rsid w:val="001547BB"/>
    <w:rsid w:val="00154933"/>
    <w:rsid w:val="00154C8F"/>
    <w:rsid w:val="0015539D"/>
    <w:rsid w:val="001559CA"/>
    <w:rsid w:val="00155C47"/>
    <w:rsid w:val="00156DD2"/>
    <w:rsid w:val="00156E12"/>
    <w:rsid w:val="0015754B"/>
    <w:rsid w:val="00157612"/>
    <w:rsid w:val="001577B6"/>
    <w:rsid w:val="001579CC"/>
    <w:rsid w:val="00157A22"/>
    <w:rsid w:val="00157D9A"/>
    <w:rsid w:val="00157E98"/>
    <w:rsid w:val="00160650"/>
    <w:rsid w:val="00161325"/>
    <w:rsid w:val="001617B5"/>
    <w:rsid w:val="00161AD4"/>
    <w:rsid w:val="00162718"/>
    <w:rsid w:val="001631FC"/>
    <w:rsid w:val="0016396D"/>
    <w:rsid w:val="0016396E"/>
    <w:rsid w:val="00163A74"/>
    <w:rsid w:val="00164719"/>
    <w:rsid w:val="00164BCA"/>
    <w:rsid w:val="00164CA2"/>
    <w:rsid w:val="00164E88"/>
    <w:rsid w:val="00165482"/>
    <w:rsid w:val="001657B3"/>
    <w:rsid w:val="0016618B"/>
    <w:rsid w:val="00166210"/>
    <w:rsid w:val="001664A2"/>
    <w:rsid w:val="00166CA7"/>
    <w:rsid w:val="00166D4B"/>
    <w:rsid w:val="001670E7"/>
    <w:rsid w:val="00167409"/>
    <w:rsid w:val="00167CEA"/>
    <w:rsid w:val="00167F38"/>
    <w:rsid w:val="00170217"/>
    <w:rsid w:val="001703D6"/>
    <w:rsid w:val="001704E6"/>
    <w:rsid w:val="00170916"/>
    <w:rsid w:val="00171A00"/>
    <w:rsid w:val="00172094"/>
    <w:rsid w:val="00172222"/>
    <w:rsid w:val="001723F0"/>
    <w:rsid w:val="00173988"/>
    <w:rsid w:val="00173FAD"/>
    <w:rsid w:val="00174967"/>
    <w:rsid w:val="00174F60"/>
    <w:rsid w:val="001753C5"/>
    <w:rsid w:val="001755C8"/>
    <w:rsid w:val="001768F0"/>
    <w:rsid w:val="00176DF8"/>
    <w:rsid w:val="00176F04"/>
    <w:rsid w:val="00177256"/>
    <w:rsid w:val="0017747E"/>
    <w:rsid w:val="001775C3"/>
    <w:rsid w:val="00177799"/>
    <w:rsid w:val="00177BBB"/>
    <w:rsid w:val="001803DD"/>
    <w:rsid w:val="00180614"/>
    <w:rsid w:val="001817F0"/>
    <w:rsid w:val="001820A8"/>
    <w:rsid w:val="00182870"/>
    <w:rsid w:val="00182C11"/>
    <w:rsid w:val="00182EB0"/>
    <w:rsid w:val="0018340C"/>
    <w:rsid w:val="00183899"/>
    <w:rsid w:val="00183AA3"/>
    <w:rsid w:val="00183B6C"/>
    <w:rsid w:val="00185619"/>
    <w:rsid w:val="00185648"/>
    <w:rsid w:val="00185A55"/>
    <w:rsid w:val="00185C69"/>
    <w:rsid w:val="00186348"/>
    <w:rsid w:val="0018687D"/>
    <w:rsid w:val="00186F85"/>
    <w:rsid w:val="00187298"/>
    <w:rsid w:val="00187449"/>
    <w:rsid w:val="00187E97"/>
    <w:rsid w:val="0019003B"/>
    <w:rsid w:val="001900DF"/>
    <w:rsid w:val="00190125"/>
    <w:rsid w:val="001904BA"/>
    <w:rsid w:val="001905BC"/>
    <w:rsid w:val="0019093E"/>
    <w:rsid w:val="00190B55"/>
    <w:rsid w:val="00190D1E"/>
    <w:rsid w:val="00190DF7"/>
    <w:rsid w:val="00190E4B"/>
    <w:rsid w:val="001913E7"/>
    <w:rsid w:val="001920C8"/>
    <w:rsid w:val="0019215A"/>
    <w:rsid w:val="00192CFC"/>
    <w:rsid w:val="00193C9B"/>
    <w:rsid w:val="00193F2E"/>
    <w:rsid w:val="00194B51"/>
    <w:rsid w:val="00194DB3"/>
    <w:rsid w:val="00197447"/>
    <w:rsid w:val="0019764E"/>
    <w:rsid w:val="001A08B2"/>
    <w:rsid w:val="001A0F13"/>
    <w:rsid w:val="001A17CE"/>
    <w:rsid w:val="001A19EB"/>
    <w:rsid w:val="001A24BC"/>
    <w:rsid w:val="001A287C"/>
    <w:rsid w:val="001A2C81"/>
    <w:rsid w:val="001A2DCE"/>
    <w:rsid w:val="001A2F53"/>
    <w:rsid w:val="001A3744"/>
    <w:rsid w:val="001A38AD"/>
    <w:rsid w:val="001A39C5"/>
    <w:rsid w:val="001A4128"/>
    <w:rsid w:val="001A41AA"/>
    <w:rsid w:val="001A43BF"/>
    <w:rsid w:val="001A485F"/>
    <w:rsid w:val="001A4AD0"/>
    <w:rsid w:val="001A4B25"/>
    <w:rsid w:val="001A53D7"/>
    <w:rsid w:val="001A5509"/>
    <w:rsid w:val="001A5DC0"/>
    <w:rsid w:val="001A5E8D"/>
    <w:rsid w:val="001A5FB4"/>
    <w:rsid w:val="001A6682"/>
    <w:rsid w:val="001A6CB8"/>
    <w:rsid w:val="001A7202"/>
    <w:rsid w:val="001B0033"/>
    <w:rsid w:val="001B0495"/>
    <w:rsid w:val="001B0526"/>
    <w:rsid w:val="001B0E19"/>
    <w:rsid w:val="001B127F"/>
    <w:rsid w:val="001B12BD"/>
    <w:rsid w:val="001B171D"/>
    <w:rsid w:val="001B21E8"/>
    <w:rsid w:val="001B2867"/>
    <w:rsid w:val="001B294E"/>
    <w:rsid w:val="001B29CA"/>
    <w:rsid w:val="001B2B93"/>
    <w:rsid w:val="001B2EA9"/>
    <w:rsid w:val="001B4262"/>
    <w:rsid w:val="001B4400"/>
    <w:rsid w:val="001B44B6"/>
    <w:rsid w:val="001B4E76"/>
    <w:rsid w:val="001B5D0B"/>
    <w:rsid w:val="001B5D5F"/>
    <w:rsid w:val="001B637E"/>
    <w:rsid w:val="001B661C"/>
    <w:rsid w:val="001B6A23"/>
    <w:rsid w:val="001B6B7E"/>
    <w:rsid w:val="001B6D65"/>
    <w:rsid w:val="001B72E5"/>
    <w:rsid w:val="001B7D78"/>
    <w:rsid w:val="001C0614"/>
    <w:rsid w:val="001C0CF3"/>
    <w:rsid w:val="001C1373"/>
    <w:rsid w:val="001C1974"/>
    <w:rsid w:val="001C1C11"/>
    <w:rsid w:val="001C1D30"/>
    <w:rsid w:val="001C2BAA"/>
    <w:rsid w:val="001C30D1"/>
    <w:rsid w:val="001C32F3"/>
    <w:rsid w:val="001C33EE"/>
    <w:rsid w:val="001C49CD"/>
    <w:rsid w:val="001C4A39"/>
    <w:rsid w:val="001C4B8C"/>
    <w:rsid w:val="001C522B"/>
    <w:rsid w:val="001C54F0"/>
    <w:rsid w:val="001C5B32"/>
    <w:rsid w:val="001C63D2"/>
    <w:rsid w:val="001C6700"/>
    <w:rsid w:val="001C6A27"/>
    <w:rsid w:val="001C7FEB"/>
    <w:rsid w:val="001D017D"/>
    <w:rsid w:val="001D068D"/>
    <w:rsid w:val="001D0828"/>
    <w:rsid w:val="001D0D24"/>
    <w:rsid w:val="001D111D"/>
    <w:rsid w:val="001D117D"/>
    <w:rsid w:val="001D1836"/>
    <w:rsid w:val="001D18F8"/>
    <w:rsid w:val="001D1B9C"/>
    <w:rsid w:val="001D1BA6"/>
    <w:rsid w:val="001D1D6F"/>
    <w:rsid w:val="001D2787"/>
    <w:rsid w:val="001D28AA"/>
    <w:rsid w:val="001D2957"/>
    <w:rsid w:val="001D2AA5"/>
    <w:rsid w:val="001D2F1B"/>
    <w:rsid w:val="001D30E5"/>
    <w:rsid w:val="001D3483"/>
    <w:rsid w:val="001D354F"/>
    <w:rsid w:val="001D39FF"/>
    <w:rsid w:val="001D4012"/>
    <w:rsid w:val="001D4455"/>
    <w:rsid w:val="001D482F"/>
    <w:rsid w:val="001D59A5"/>
    <w:rsid w:val="001D6100"/>
    <w:rsid w:val="001D68DB"/>
    <w:rsid w:val="001D6CF4"/>
    <w:rsid w:val="001D6D92"/>
    <w:rsid w:val="001D6E35"/>
    <w:rsid w:val="001D70F5"/>
    <w:rsid w:val="001D72A4"/>
    <w:rsid w:val="001D784D"/>
    <w:rsid w:val="001D7EB8"/>
    <w:rsid w:val="001E035E"/>
    <w:rsid w:val="001E036F"/>
    <w:rsid w:val="001E0AC6"/>
    <w:rsid w:val="001E0F54"/>
    <w:rsid w:val="001E0FCC"/>
    <w:rsid w:val="001E15AF"/>
    <w:rsid w:val="001E1684"/>
    <w:rsid w:val="001E170F"/>
    <w:rsid w:val="001E1E65"/>
    <w:rsid w:val="001E208B"/>
    <w:rsid w:val="001E24A0"/>
    <w:rsid w:val="001E26A4"/>
    <w:rsid w:val="001E2CF9"/>
    <w:rsid w:val="001E3347"/>
    <w:rsid w:val="001E37B3"/>
    <w:rsid w:val="001E47CB"/>
    <w:rsid w:val="001E47CE"/>
    <w:rsid w:val="001E489C"/>
    <w:rsid w:val="001E4BC2"/>
    <w:rsid w:val="001E4BEE"/>
    <w:rsid w:val="001E4BF9"/>
    <w:rsid w:val="001E4FD0"/>
    <w:rsid w:val="001E55CE"/>
    <w:rsid w:val="001E5FF6"/>
    <w:rsid w:val="001E61E5"/>
    <w:rsid w:val="001E6359"/>
    <w:rsid w:val="001E6B89"/>
    <w:rsid w:val="001E6C1B"/>
    <w:rsid w:val="001E7876"/>
    <w:rsid w:val="001E7C25"/>
    <w:rsid w:val="001F006C"/>
    <w:rsid w:val="001F0552"/>
    <w:rsid w:val="001F0FF4"/>
    <w:rsid w:val="001F198E"/>
    <w:rsid w:val="001F1F48"/>
    <w:rsid w:val="001F284E"/>
    <w:rsid w:val="001F2E2A"/>
    <w:rsid w:val="001F3157"/>
    <w:rsid w:val="001F33C3"/>
    <w:rsid w:val="001F365B"/>
    <w:rsid w:val="001F40B4"/>
    <w:rsid w:val="001F461B"/>
    <w:rsid w:val="001F596F"/>
    <w:rsid w:val="001F5DE9"/>
    <w:rsid w:val="001F60ED"/>
    <w:rsid w:val="001F6E37"/>
    <w:rsid w:val="001F7337"/>
    <w:rsid w:val="001F746A"/>
    <w:rsid w:val="001F78A5"/>
    <w:rsid w:val="002001E6"/>
    <w:rsid w:val="00200576"/>
    <w:rsid w:val="00200A3C"/>
    <w:rsid w:val="00200CAB"/>
    <w:rsid w:val="00200D89"/>
    <w:rsid w:val="0020176C"/>
    <w:rsid w:val="00201CE6"/>
    <w:rsid w:val="0020286A"/>
    <w:rsid w:val="00202FF5"/>
    <w:rsid w:val="00203021"/>
    <w:rsid w:val="0020378B"/>
    <w:rsid w:val="00204BAB"/>
    <w:rsid w:val="00204CC9"/>
    <w:rsid w:val="00204F68"/>
    <w:rsid w:val="002050CC"/>
    <w:rsid w:val="002052AA"/>
    <w:rsid w:val="0020565A"/>
    <w:rsid w:val="00205A20"/>
    <w:rsid w:val="00205D21"/>
    <w:rsid w:val="00206198"/>
    <w:rsid w:val="00207BF9"/>
    <w:rsid w:val="00207C57"/>
    <w:rsid w:val="00207EC6"/>
    <w:rsid w:val="00210337"/>
    <w:rsid w:val="002116BA"/>
    <w:rsid w:val="00211744"/>
    <w:rsid w:val="00211974"/>
    <w:rsid w:val="00211D94"/>
    <w:rsid w:val="0021276A"/>
    <w:rsid w:val="00212C59"/>
    <w:rsid w:val="00212D61"/>
    <w:rsid w:val="002131A8"/>
    <w:rsid w:val="002143BC"/>
    <w:rsid w:val="00214A6B"/>
    <w:rsid w:val="00214BAA"/>
    <w:rsid w:val="00214C3E"/>
    <w:rsid w:val="002152CC"/>
    <w:rsid w:val="002156C5"/>
    <w:rsid w:val="0021580C"/>
    <w:rsid w:val="00215BBC"/>
    <w:rsid w:val="00216212"/>
    <w:rsid w:val="00216644"/>
    <w:rsid w:val="00217554"/>
    <w:rsid w:val="00217EF8"/>
    <w:rsid w:val="00220047"/>
    <w:rsid w:val="0022027C"/>
    <w:rsid w:val="00220686"/>
    <w:rsid w:val="00220E26"/>
    <w:rsid w:val="0022102E"/>
    <w:rsid w:val="00221F7A"/>
    <w:rsid w:val="002222FE"/>
    <w:rsid w:val="00222601"/>
    <w:rsid w:val="002228A1"/>
    <w:rsid w:val="00222DB6"/>
    <w:rsid w:val="002230DA"/>
    <w:rsid w:val="0022314C"/>
    <w:rsid w:val="00223188"/>
    <w:rsid w:val="00223447"/>
    <w:rsid w:val="00223A11"/>
    <w:rsid w:val="002248F2"/>
    <w:rsid w:val="00224EC9"/>
    <w:rsid w:val="002256CE"/>
    <w:rsid w:val="00225B46"/>
    <w:rsid w:val="002261F1"/>
    <w:rsid w:val="002268AD"/>
    <w:rsid w:val="0022709E"/>
    <w:rsid w:val="002273BA"/>
    <w:rsid w:val="00230482"/>
    <w:rsid w:val="00230C0A"/>
    <w:rsid w:val="00230C50"/>
    <w:rsid w:val="002314A6"/>
    <w:rsid w:val="00231771"/>
    <w:rsid w:val="002318AF"/>
    <w:rsid w:val="002318F5"/>
    <w:rsid w:val="00231906"/>
    <w:rsid w:val="00231DE6"/>
    <w:rsid w:val="00232301"/>
    <w:rsid w:val="002328E6"/>
    <w:rsid w:val="002328EC"/>
    <w:rsid w:val="0023319C"/>
    <w:rsid w:val="002333BC"/>
    <w:rsid w:val="00233BC5"/>
    <w:rsid w:val="00234A0A"/>
    <w:rsid w:val="00234D57"/>
    <w:rsid w:val="00234FBC"/>
    <w:rsid w:val="002352DA"/>
    <w:rsid w:val="0023583F"/>
    <w:rsid w:val="00235B8C"/>
    <w:rsid w:val="00235CF4"/>
    <w:rsid w:val="00236169"/>
    <w:rsid w:val="00236304"/>
    <w:rsid w:val="00236430"/>
    <w:rsid w:val="00236496"/>
    <w:rsid w:val="00236553"/>
    <w:rsid w:val="00236671"/>
    <w:rsid w:val="00237A71"/>
    <w:rsid w:val="00237EF1"/>
    <w:rsid w:val="002403B7"/>
    <w:rsid w:val="0024136B"/>
    <w:rsid w:val="002420E5"/>
    <w:rsid w:val="0024212F"/>
    <w:rsid w:val="00242333"/>
    <w:rsid w:val="00242C7B"/>
    <w:rsid w:val="0024366E"/>
    <w:rsid w:val="00243B63"/>
    <w:rsid w:val="0024481B"/>
    <w:rsid w:val="00244F33"/>
    <w:rsid w:val="00245848"/>
    <w:rsid w:val="00245C84"/>
    <w:rsid w:val="00246F89"/>
    <w:rsid w:val="00247513"/>
    <w:rsid w:val="00247BF4"/>
    <w:rsid w:val="00247FA9"/>
    <w:rsid w:val="00250036"/>
    <w:rsid w:val="00250767"/>
    <w:rsid w:val="002510B9"/>
    <w:rsid w:val="002510EF"/>
    <w:rsid w:val="0025135D"/>
    <w:rsid w:val="00251436"/>
    <w:rsid w:val="00251491"/>
    <w:rsid w:val="002519AA"/>
    <w:rsid w:val="00251A06"/>
    <w:rsid w:val="00252468"/>
    <w:rsid w:val="00252920"/>
    <w:rsid w:val="00252C08"/>
    <w:rsid w:val="00252C2A"/>
    <w:rsid w:val="00253263"/>
    <w:rsid w:val="002534BD"/>
    <w:rsid w:val="00253D6B"/>
    <w:rsid w:val="00253E28"/>
    <w:rsid w:val="00253EFD"/>
    <w:rsid w:val="0025441D"/>
    <w:rsid w:val="002545C5"/>
    <w:rsid w:val="00254A55"/>
    <w:rsid w:val="0025506F"/>
    <w:rsid w:val="00255225"/>
    <w:rsid w:val="00255B33"/>
    <w:rsid w:val="00256645"/>
    <w:rsid w:val="002567EA"/>
    <w:rsid w:val="0025715D"/>
    <w:rsid w:val="0025730E"/>
    <w:rsid w:val="002574DE"/>
    <w:rsid w:val="00257574"/>
    <w:rsid w:val="0025763D"/>
    <w:rsid w:val="00257F38"/>
    <w:rsid w:val="0026013A"/>
    <w:rsid w:val="002609DB"/>
    <w:rsid w:val="002618E1"/>
    <w:rsid w:val="00261B4C"/>
    <w:rsid w:val="00261B97"/>
    <w:rsid w:val="00261C15"/>
    <w:rsid w:val="00261C7A"/>
    <w:rsid w:val="00261E87"/>
    <w:rsid w:val="002620C5"/>
    <w:rsid w:val="002622C7"/>
    <w:rsid w:val="0026250C"/>
    <w:rsid w:val="00262C6A"/>
    <w:rsid w:val="002637C7"/>
    <w:rsid w:val="002644C1"/>
    <w:rsid w:val="002645C9"/>
    <w:rsid w:val="00264721"/>
    <w:rsid w:val="00264789"/>
    <w:rsid w:val="00264B40"/>
    <w:rsid w:val="00265CB5"/>
    <w:rsid w:val="00266834"/>
    <w:rsid w:val="00267010"/>
    <w:rsid w:val="0026788C"/>
    <w:rsid w:val="002679D8"/>
    <w:rsid w:val="00267F70"/>
    <w:rsid w:val="0027058E"/>
    <w:rsid w:val="00270A99"/>
    <w:rsid w:val="00270BF9"/>
    <w:rsid w:val="0027101D"/>
    <w:rsid w:val="002710D3"/>
    <w:rsid w:val="0027164E"/>
    <w:rsid w:val="00271C86"/>
    <w:rsid w:val="00271D5A"/>
    <w:rsid w:val="00272682"/>
    <w:rsid w:val="0027277B"/>
    <w:rsid w:val="002734B7"/>
    <w:rsid w:val="00273891"/>
    <w:rsid w:val="002739C4"/>
    <w:rsid w:val="002743AC"/>
    <w:rsid w:val="0027475A"/>
    <w:rsid w:val="002748B2"/>
    <w:rsid w:val="00274A43"/>
    <w:rsid w:val="00274B38"/>
    <w:rsid w:val="00274DC2"/>
    <w:rsid w:val="00275832"/>
    <w:rsid w:val="002759F0"/>
    <w:rsid w:val="00275E42"/>
    <w:rsid w:val="002762FA"/>
    <w:rsid w:val="002768AC"/>
    <w:rsid w:val="00276C61"/>
    <w:rsid w:val="00276F6B"/>
    <w:rsid w:val="002774AC"/>
    <w:rsid w:val="00280062"/>
    <w:rsid w:val="0028019C"/>
    <w:rsid w:val="00280241"/>
    <w:rsid w:val="00280DE1"/>
    <w:rsid w:val="00280FE2"/>
    <w:rsid w:val="00281167"/>
    <w:rsid w:val="002817CB"/>
    <w:rsid w:val="0028186E"/>
    <w:rsid w:val="0028209A"/>
    <w:rsid w:val="002821A0"/>
    <w:rsid w:val="0028275C"/>
    <w:rsid w:val="00283048"/>
    <w:rsid w:val="00283509"/>
    <w:rsid w:val="002839BD"/>
    <w:rsid w:val="00283B10"/>
    <w:rsid w:val="00284235"/>
    <w:rsid w:val="0028441E"/>
    <w:rsid w:val="002847CB"/>
    <w:rsid w:val="00284AC5"/>
    <w:rsid w:val="00285050"/>
    <w:rsid w:val="002855E9"/>
    <w:rsid w:val="002855FE"/>
    <w:rsid w:val="00285604"/>
    <w:rsid w:val="00285CE5"/>
    <w:rsid w:val="00286B20"/>
    <w:rsid w:val="002872A8"/>
    <w:rsid w:val="00287362"/>
    <w:rsid w:val="00287504"/>
    <w:rsid w:val="00287890"/>
    <w:rsid w:val="00290C9E"/>
    <w:rsid w:val="00291069"/>
    <w:rsid w:val="002916F9"/>
    <w:rsid w:val="00291B9E"/>
    <w:rsid w:val="0029216A"/>
    <w:rsid w:val="0029259D"/>
    <w:rsid w:val="00293428"/>
    <w:rsid w:val="002935D8"/>
    <w:rsid w:val="00293607"/>
    <w:rsid w:val="002936D8"/>
    <w:rsid w:val="00293B3A"/>
    <w:rsid w:val="00293CF1"/>
    <w:rsid w:val="0029406B"/>
    <w:rsid w:val="00294A3C"/>
    <w:rsid w:val="002953D0"/>
    <w:rsid w:val="002958B8"/>
    <w:rsid w:val="00296126"/>
    <w:rsid w:val="002966C0"/>
    <w:rsid w:val="0029783F"/>
    <w:rsid w:val="00297D27"/>
    <w:rsid w:val="00297F42"/>
    <w:rsid w:val="002A036F"/>
    <w:rsid w:val="002A06E4"/>
    <w:rsid w:val="002A0BE1"/>
    <w:rsid w:val="002A1E05"/>
    <w:rsid w:val="002A2259"/>
    <w:rsid w:val="002A2281"/>
    <w:rsid w:val="002A27FB"/>
    <w:rsid w:val="002A2930"/>
    <w:rsid w:val="002A346B"/>
    <w:rsid w:val="002A3705"/>
    <w:rsid w:val="002A3CD1"/>
    <w:rsid w:val="002A5665"/>
    <w:rsid w:val="002A57FC"/>
    <w:rsid w:val="002A5BCD"/>
    <w:rsid w:val="002A66B6"/>
    <w:rsid w:val="002A6780"/>
    <w:rsid w:val="002A6807"/>
    <w:rsid w:val="002A7210"/>
    <w:rsid w:val="002A76C4"/>
    <w:rsid w:val="002A7788"/>
    <w:rsid w:val="002A788E"/>
    <w:rsid w:val="002B0481"/>
    <w:rsid w:val="002B0521"/>
    <w:rsid w:val="002B171A"/>
    <w:rsid w:val="002B1C39"/>
    <w:rsid w:val="002B20E1"/>
    <w:rsid w:val="002B2FA4"/>
    <w:rsid w:val="002B31AA"/>
    <w:rsid w:val="002B33BA"/>
    <w:rsid w:val="002B39CE"/>
    <w:rsid w:val="002B3CA9"/>
    <w:rsid w:val="002B3DDF"/>
    <w:rsid w:val="002B3F5D"/>
    <w:rsid w:val="002B4499"/>
    <w:rsid w:val="002B502F"/>
    <w:rsid w:val="002B5248"/>
    <w:rsid w:val="002B56AD"/>
    <w:rsid w:val="002B5CDA"/>
    <w:rsid w:val="002B5E37"/>
    <w:rsid w:val="002B61EA"/>
    <w:rsid w:val="002B6466"/>
    <w:rsid w:val="002B66D6"/>
    <w:rsid w:val="002B71C1"/>
    <w:rsid w:val="002B738F"/>
    <w:rsid w:val="002B74AA"/>
    <w:rsid w:val="002B7712"/>
    <w:rsid w:val="002B7A94"/>
    <w:rsid w:val="002C010D"/>
    <w:rsid w:val="002C01F8"/>
    <w:rsid w:val="002C05E8"/>
    <w:rsid w:val="002C05F8"/>
    <w:rsid w:val="002C06EB"/>
    <w:rsid w:val="002C18CD"/>
    <w:rsid w:val="002C1FDE"/>
    <w:rsid w:val="002C2D1F"/>
    <w:rsid w:val="002C2EFD"/>
    <w:rsid w:val="002C3215"/>
    <w:rsid w:val="002C333D"/>
    <w:rsid w:val="002C3B8B"/>
    <w:rsid w:val="002C4BFD"/>
    <w:rsid w:val="002C4EC9"/>
    <w:rsid w:val="002C5FFC"/>
    <w:rsid w:val="002C65D9"/>
    <w:rsid w:val="002C66BE"/>
    <w:rsid w:val="002C6778"/>
    <w:rsid w:val="002C6CC1"/>
    <w:rsid w:val="002C71F2"/>
    <w:rsid w:val="002C72FD"/>
    <w:rsid w:val="002C7524"/>
    <w:rsid w:val="002C77D0"/>
    <w:rsid w:val="002C7948"/>
    <w:rsid w:val="002C79DD"/>
    <w:rsid w:val="002C7CB8"/>
    <w:rsid w:val="002C7DD9"/>
    <w:rsid w:val="002D01C8"/>
    <w:rsid w:val="002D0358"/>
    <w:rsid w:val="002D069F"/>
    <w:rsid w:val="002D0AC5"/>
    <w:rsid w:val="002D0B5E"/>
    <w:rsid w:val="002D0C4F"/>
    <w:rsid w:val="002D0C86"/>
    <w:rsid w:val="002D0F17"/>
    <w:rsid w:val="002D0FCD"/>
    <w:rsid w:val="002D11AA"/>
    <w:rsid w:val="002D1D6D"/>
    <w:rsid w:val="002D1EF8"/>
    <w:rsid w:val="002D26B0"/>
    <w:rsid w:val="002D298D"/>
    <w:rsid w:val="002D30F0"/>
    <w:rsid w:val="002D31AC"/>
    <w:rsid w:val="002D31DE"/>
    <w:rsid w:val="002D38E1"/>
    <w:rsid w:val="002D420F"/>
    <w:rsid w:val="002D4AFA"/>
    <w:rsid w:val="002D5038"/>
    <w:rsid w:val="002D53BE"/>
    <w:rsid w:val="002D577A"/>
    <w:rsid w:val="002D57AD"/>
    <w:rsid w:val="002D5905"/>
    <w:rsid w:val="002D6629"/>
    <w:rsid w:val="002D688E"/>
    <w:rsid w:val="002D74A6"/>
    <w:rsid w:val="002D7F82"/>
    <w:rsid w:val="002E08E7"/>
    <w:rsid w:val="002E0901"/>
    <w:rsid w:val="002E0DD6"/>
    <w:rsid w:val="002E182B"/>
    <w:rsid w:val="002E1884"/>
    <w:rsid w:val="002E18ED"/>
    <w:rsid w:val="002E1AA7"/>
    <w:rsid w:val="002E1E9C"/>
    <w:rsid w:val="002E20FE"/>
    <w:rsid w:val="002E218A"/>
    <w:rsid w:val="002E2669"/>
    <w:rsid w:val="002E2D55"/>
    <w:rsid w:val="002E2DFD"/>
    <w:rsid w:val="002E304B"/>
    <w:rsid w:val="002E351B"/>
    <w:rsid w:val="002E3DF1"/>
    <w:rsid w:val="002E425B"/>
    <w:rsid w:val="002E4504"/>
    <w:rsid w:val="002E452F"/>
    <w:rsid w:val="002E4C45"/>
    <w:rsid w:val="002E5C0C"/>
    <w:rsid w:val="002E6745"/>
    <w:rsid w:val="002E68A0"/>
    <w:rsid w:val="002E7254"/>
    <w:rsid w:val="002E7A85"/>
    <w:rsid w:val="002F0DE5"/>
    <w:rsid w:val="002F1139"/>
    <w:rsid w:val="002F1B13"/>
    <w:rsid w:val="002F1CF9"/>
    <w:rsid w:val="002F1D63"/>
    <w:rsid w:val="002F2273"/>
    <w:rsid w:val="002F2952"/>
    <w:rsid w:val="002F2B00"/>
    <w:rsid w:val="002F3263"/>
    <w:rsid w:val="002F3356"/>
    <w:rsid w:val="002F3559"/>
    <w:rsid w:val="002F3AEF"/>
    <w:rsid w:val="002F3BA2"/>
    <w:rsid w:val="002F3D33"/>
    <w:rsid w:val="002F43CA"/>
    <w:rsid w:val="002F453A"/>
    <w:rsid w:val="002F46D2"/>
    <w:rsid w:val="002F49E3"/>
    <w:rsid w:val="002F4E80"/>
    <w:rsid w:val="002F5526"/>
    <w:rsid w:val="002F556E"/>
    <w:rsid w:val="002F5719"/>
    <w:rsid w:val="002F5774"/>
    <w:rsid w:val="002F596D"/>
    <w:rsid w:val="002F5C6C"/>
    <w:rsid w:val="002F6054"/>
    <w:rsid w:val="002F6268"/>
    <w:rsid w:val="002F667E"/>
    <w:rsid w:val="002F6C34"/>
    <w:rsid w:val="002F70A1"/>
    <w:rsid w:val="002F7959"/>
    <w:rsid w:val="002F7B5B"/>
    <w:rsid w:val="002F7EE9"/>
    <w:rsid w:val="003001C0"/>
    <w:rsid w:val="003002D5"/>
    <w:rsid w:val="00300395"/>
    <w:rsid w:val="00300549"/>
    <w:rsid w:val="00300599"/>
    <w:rsid w:val="00300700"/>
    <w:rsid w:val="003007EE"/>
    <w:rsid w:val="00300BF0"/>
    <w:rsid w:val="0030108F"/>
    <w:rsid w:val="0030121C"/>
    <w:rsid w:val="003013BA"/>
    <w:rsid w:val="00301835"/>
    <w:rsid w:val="0030187F"/>
    <w:rsid w:val="0030203D"/>
    <w:rsid w:val="003024E6"/>
    <w:rsid w:val="00302565"/>
    <w:rsid w:val="0030288C"/>
    <w:rsid w:val="00302B99"/>
    <w:rsid w:val="00302DD6"/>
    <w:rsid w:val="00302EC6"/>
    <w:rsid w:val="00303677"/>
    <w:rsid w:val="003036C5"/>
    <w:rsid w:val="003036FE"/>
    <w:rsid w:val="00303A52"/>
    <w:rsid w:val="00303B59"/>
    <w:rsid w:val="00303DF9"/>
    <w:rsid w:val="0030592B"/>
    <w:rsid w:val="00305D99"/>
    <w:rsid w:val="00305E05"/>
    <w:rsid w:val="0030609E"/>
    <w:rsid w:val="00307097"/>
    <w:rsid w:val="003073CF"/>
    <w:rsid w:val="00307887"/>
    <w:rsid w:val="00307D19"/>
    <w:rsid w:val="003102E7"/>
    <w:rsid w:val="0031036F"/>
    <w:rsid w:val="00310D52"/>
    <w:rsid w:val="00310D77"/>
    <w:rsid w:val="0031108A"/>
    <w:rsid w:val="003111AA"/>
    <w:rsid w:val="00311F74"/>
    <w:rsid w:val="00312CF8"/>
    <w:rsid w:val="00313D4D"/>
    <w:rsid w:val="00313DA5"/>
    <w:rsid w:val="00313F8C"/>
    <w:rsid w:val="00314424"/>
    <w:rsid w:val="00314695"/>
    <w:rsid w:val="0031503A"/>
    <w:rsid w:val="0031510F"/>
    <w:rsid w:val="003151FE"/>
    <w:rsid w:val="0031522A"/>
    <w:rsid w:val="00315309"/>
    <w:rsid w:val="00315FB7"/>
    <w:rsid w:val="003162B7"/>
    <w:rsid w:val="00316908"/>
    <w:rsid w:val="0031698E"/>
    <w:rsid w:val="00316A9D"/>
    <w:rsid w:val="00316E34"/>
    <w:rsid w:val="00317612"/>
    <w:rsid w:val="00317844"/>
    <w:rsid w:val="00317A9C"/>
    <w:rsid w:val="003201A5"/>
    <w:rsid w:val="0032085D"/>
    <w:rsid w:val="00320A89"/>
    <w:rsid w:val="0032168B"/>
    <w:rsid w:val="00321DA1"/>
    <w:rsid w:val="00322649"/>
    <w:rsid w:val="00322730"/>
    <w:rsid w:val="00322784"/>
    <w:rsid w:val="00322E98"/>
    <w:rsid w:val="003230E0"/>
    <w:rsid w:val="003236B5"/>
    <w:rsid w:val="00323A4A"/>
    <w:rsid w:val="003243DE"/>
    <w:rsid w:val="0032452D"/>
    <w:rsid w:val="00324932"/>
    <w:rsid w:val="00324999"/>
    <w:rsid w:val="00324E09"/>
    <w:rsid w:val="00324F84"/>
    <w:rsid w:val="00325354"/>
    <w:rsid w:val="00325ED1"/>
    <w:rsid w:val="0032636A"/>
    <w:rsid w:val="0032642A"/>
    <w:rsid w:val="003267EB"/>
    <w:rsid w:val="003277FD"/>
    <w:rsid w:val="00327ACA"/>
    <w:rsid w:val="00327BBE"/>
    <w:rsid w:val="00327C7E"/>
    <w:rsid w:val="00330097"/>
    <w:rsid w:val="00330A69"/>
    <w:rsid w:val="0033157E"/>
    <w:rsid w:val="00331901"/>
    <w:rsid w:val="00332B6E"/>
    <w:rsid w:val="00332BC0"/>
    <w:rsid w:val="00332BC2"/>
    <w:rsid w:val="00332BFD"/>
    <w:rsid w:val="00332FF1"/>
    <w:rsid w:val="00333076"/>
    <w:rsid w:val="003347D0"/>
    <w:rsid w:val="00334BF8"/>
    <w:rsid w:val="00334DA6"/>
    <w:rsid w:val="00334FB5"/>
    <w:rsid w:val="00335A64"/>
    <w:rsid w:val="00335AB4"/>
    <w:rsid w:val="00335E77"/>
    <w:rsid w:val="003362FB"/>
    <w:rsid w:val="0033689B"/>
    <w:rsid w:val="003370A5"/>
    <w:rsid w:val="00337219"/>
    <w:rsid w:val="00337462"/>
    <w:rsid w:val="00337868"/>
    <w:rsid w:val="00337FE4"/>
    <w:rsid w:val="00340955"/>
    <w:rsid w:val="00340AB2"/>
    <w:rsid w:val="00342AD5"/>
    <w:rsid w:val="00342B86"/>
    <w:rsid w:val="00342D76"/>
    <w:rsid w:val="003432F9"/>
    <w:rsid w:val="00343711"/>
    <w:rsid w:val="003437C3"/>
    <w:rsid w:val="00343883"/>
    <w:rsid w:val="00343D4B"/>
    <w:rsid w:val="0034400F"/>
    <w:rsid w:val="00344C8F"/>
    <w:rsid w:val="00345204"/>
    <w:rsid w:val="00345D1D"/>
    <w:rsid w:val="00345E0A"/>
    <w:rsid w:val="00345E82"/>
    <w:rsid w:val="00345EC7"/>
    <w:rsid w:val="003460FB"/>
    <w:rsid w:val="00346387"/>
    <w:rsid w:val="003467E9"/>
    <w:rsid w:val="00346F0A"/>
    <w:rsid w:val="0034706C"/>
    <w:rsid w:val="003472D5"/>
    <w:rsid w:val="003472FC"/>
    <w:rsid w:val="003476CA"/>
    <w:rsid w:val="003476D1"/>
    <w:rsid w:val="00347958"/>
    <w:rsid w:val="00347A13"/>
    <w:rsid w:val="00347FA1"/>
    <w:rsid w:val="003502AA"/>
    <w:rsid w:val="003507DC"/>
    <w:rsid w:val="0035082E"/>
    <w:rsid w:val="003508DB"/>
    <w:rsid w:val="0035093D"/>
    <w:rsid w:val="00350CA7"/>
    <w:rsid w:val="00351062"/>
    <w:rsid w:val="00352836"/>
    <w:rsid w:val="00352944"/>
    <w:rsid w:val="00352AC1"/>
    <w:rsid w:val="00352F7B"/>
    <w:rsid w:val="003530EC"/>
    <w:rsid w:val="00353CB9"/>
    <w:rsid w:val="00354401"/>
    <w:rsid w:val="0035479A"/>
    <w:rsid w:val="00354812"/>
    <w:rsid w:val="00354D0F"/>
    <w:rsid w:val="00355648"/>
    <w:rsid w:val="003556C5"/>
    <w:rsid w:val="00355C6B"/>
    <w:rsid w:val="00356239"/>
    <w:rsid w:val="00356662"/>
    <w:rsid w:val="0035686A"/>
    <w:rsid w:val="00356F38"/>
    <w:rsid w:val="00356F8B"/>
    <w:rsid w:val="003575B7"/>
    <w:rsid w:val="003579F1"/>
    <w:rsid w:val="00357E65"/>
    <w:rsid w:val="00357F36"/>
    <w:rsid w:val="00360000"/>
    <w:rsid w:val="003607A0"/>
    <w:rsid w:val="00360951"/>
    <w:rsid w:val="00360DE8"/>
    <w:rsid w:val="00360EA8"/>
    <w:rsid w:val="00361885"/>
    <w:rsid w:val="003621C8"/>
    <w:rsid w:val="003622BB"/>
    <w:rsid w:val="00362534"/>
    <w:rsid w:val="00362E17"/>
    <w:rsid w:val="003635C0"/>
    <w:rsid w:val="00363AD9"/>
    <w:rsid w:val="00363C5B"/>
    <w:rsid w:val="00364667"/>
    <w:rsid w:val="003647E2"/>
    <w:rsid w:val="00364B09"/>
    <w:rsid w:val="00364BF5"/>
    <w:rsid w:val="0036534D"/>
    <w:rsid w:val="0036625E"/>
    <w:rsid w:val="00366722"/>
    <w:rsid w:val="00366BCA"/>
    <w:rsid w:val="00366EED"/>
    <w:rsid w:val="0036761D"/>
    <w:rsid w:val="003701E3"/>
    <w:rsid w:val="0037024E"/>
    <w:rsid w:val="00370474"/>
    <w:rsid w:val="0037058D"/>
    <w:rsid w:val="00370896"/>
    <w:rsid w:val="003708E0"/>
    <w:rsid w:val="003709A9"/>
    <w:rsid w:val="00370FDA"/>
    <w:rsid w:val="00371145"/>
    <w:rsid w:val="00371445"/>
    <w:rsid w:val="0037150F"/>
    <w:rsid w:val="00371A4B"/>
    <w:rsid w:val="00372517"/>
    <w:rsid w:val="003728E0"/>
    <w:rsid w:val="00372988"/>
    <w:rsid w:val="00372B37"/>
    <w:rsid w:val="00372E10"/>
    <w:rsid w:val="00372E96"/>
    <w:rsid w:val="0037311F"/>
    <w:rsid w:val="0037333F"/>
    <w:rsid w:val="00374BA4"/>
    <w:rsid w:val="0037665A"/>
    <w:rsid w:val="003767E3"/>
    <w:rsid w:val="00376A5A"/>
    <w:rsid w:val="00376F88"/>
    <w:rsid w:val="00377062"/>
    <w:rsid w:val="003775FF"/>
    <w:rsid w:val="00377B51"/>
    <w:rsid w:val="00377FED"/>
    <w:rsid w:val="0038010F"/>
    <w:rsid w:val="0038047A"/>
    <w:rsid w:val="00380F89"/>
    <w:rsid w:val="00381693"/>
    <w:rsid w:val="0038192C"/>
    <w:rsid w:val="00381AD3"/>
    <w:rsid w:val="00381E62"/>
    <w:rsid w:val="0038210E"/>
    <w:rsid w:val="00382A7C"/>
    <w:rsid w:val="00382B79"/>
    <w:rsid w:val="00383554"/>
    <w:rsid w:val="003837BC"/>
    <w:rsid w:val="003838E8"/>
    <w:rsid w:val="00383E67"/>
    <w:rsid w:val="0038416A"/>
    <w:rsid w:val="00384202"/>
    <w:rsid w:val="00384245"/>
    <w:rsid w:val="003843EC"/>
    <w:rsid w:val="00384AC0"/>
    <w:rsid w:val="00384AD5"/>
    <w:rsid w:val="00385999"/>
    <w:rsid w:val="00385EFA"/>
    <w:rsid w:val="00386019"/>
    <w:rsid w:val="003862BB"/>
    <w:rsid w:val="0038631D"/>
    <w:rsid w:val="003864FE"/>
    <w:rsid w:val="00386AC9"/>
    <w:rsid w:val="00387756"/>
    <w:rsid w:val="00390284"/>
    <w:rsid w:val="00390C14"/>
    <w:rsid w:val="00390F2D"/>
    <w:rsid w:val="003913B7"/>
    <w:rsid w:val="00391A93"/>
    <w:rsid w:val="0039231E"/>
    <w:rsid w:val="003927E8"/>
    <w:rsid w:val="00392910"/>
    <w:rsid w:val="00393110"/>
    <w:rsid w:val="003935C3"/>
    <w:rsid w:val="00393855"/>
    <w:rsid w:val="0039390D"/>
    <w:rsid w:val="00393F8C"/>
    <w:rsid w:val="00394973"/>
    <w:rsid w:val="003949F9"/>
    <w:rsid w:val="00394D8E"/>
    <w:rsid w:val="00395817"/>
    <w:rsid w:val="00395919"/>
    <w:rsid w:val="0039592E"/>
    <w:rsid w:val="00395CF6"/>
    <w:rsid w:val="00395F97"/>
    <w:rsid w:val="003960C5"/>
    <w:rsid w:val="003960D4"/>
    <w:rsid w:val="00396314"/>
    <w:rsid w:val="003964E1"/>
    <w:rsid w:val="00396A97"/>
    <w:rsid w:val="00396D89"/>
    <w:rsid w:val="0039750E"/>
    <w:rsid w:val="003976AA"/>
    <w:rsid w:val="003A06D4"/>
    <w:rsid w:val="003A0FB7"/>
    <w:rsid w:val="003A127C"/>
    <w:rsid w:val="003A1419"/>
    <w:rsid w:val="003A153C"/>
    <w:rsid w:val="003A15C4"/>
    <w:rsid w:val="003A2BA6"/>
    <w:rsid w:val="003A345C"/>
    <w:rsid w:val="003A3612"/>
    <w:rsid w:val="003A36CD"/>
    <w:rsid w:val="003A36E8"/>
    <w:rsid w:val="003A5920"/>
    <w:rsid w:val="003A5FAD"/>
    <w:rsid w:val="003A61FE"/>
    <w:rsid w:val="003A646D"/>
    <w:rsid w:val="003A655B"/>
    <w:rsid w:val="003A67B4"/>
    <w:rsid w:val="003A6860"/>
    <w:rsid w:val="003A6912"/>
    <w:rsid w:val="003A6951"/>
    <w:rsid w:val="003A700A"/>
    <w:rsid w:val="003A71A0"/>
    <w:rsid w:val="003A79ED"/>
    <w:rsid w:val="003A7D7A"/>
    <w:rsid w:val="003B06CD"/>
    <w:rsid w:val="003B09E8"/>
    <w:rsid w:val="003B12B5"/>
    <w:rsid w:val="003B145F"/>
    <w:rsid w:val="003B162B"/>
    <w:rsid w:val="003B1AD9"/>
    <w:rsid w:val="003B205F"/>
    <w:rsid w:val="003B20EC"/>
    <w:rsid w:val="003B24E8"/>
    <w:rsid w:val="003B27B1"/>
    <w:rsid w:val="003B2B70"/>
    <w:rsid w:val="003B30AD"/>
    <w:rsid w:val="003B342A"/>
    <w:rsid w:val="003B3903"/>
    <w:rsid w:val="003B3960"/>
    <w:rsid w:val="003B3983"/>
    <w:rsid w:val="003B435A"/>
    <w:rsid w:val="003B444F"/>
    <w:rsid w:val="003B4CF4"/>
    <w:rsid w:val="003B4D1F"/>
    <w:rsid w:val="003B4F62"/>
    <w:rsid w:val="003B534E"/>
    <w:rsid w:val="003B5C38"/>
    <w:rsid w:val="003B65F7"/>
    <w:rsid w:val="003B6F09"/>
    <w:rsid w:val="003B766E"/>
    <w:rsid w:val="003B76A4"/>
    <w:rsid w:val="003B783B"/>
    <w:rsid w:val="003B78B3"/>
    <w:rsid w:val="003B7B3B"/>
    <w:rsid w:val="003C0602"/>
    <w:rsid w:val="003C081F"/>
    <w:rsid w:val="003C0D71"/>
    <w:rsid w:val="003C0E66"/>
    <w:rsid w:val="003C11C6"/>
    <w:rsid w:val="003C1625"/>
    <w:rsid w:val="003C1953"/>
    <w:rsid w:val="003C2077"/>
    <w:rsid w:val="003C26CB"/>
    <w:rsid w:val="003C2891"/>
    <w:rsid w:val="003C36E5"/>
    <w:rsid w:val="003C3FAE"/>
    <w:rsid w:val="003C44D5"/>
    <w:rsid w:val="003C4A64"/>
    <w:rsid w:val="003C4B1C"/>
    <w:rsid w:val="003C4CF3"/>
    <w:rsid w:val="003C4E9D"/>
    <w:rsid w:val="003C5EB5"/>
    <w:rsid w:val="003C5FA6"/>
    <w:rsid w:val="003C6418"/>
    <w:rsid w:val="003C643B"/>
    <w:rsid w:val="003C6613"/>
    <w:rsid w:val="003C66ED"/>
    <w:rsid w:val="003C73BF"/>
    <w:rsid w:val="003C7859"/>
    <w:rsid w:val="003C78EC"/>
    <w:rsid w:val="003C7A98"/>
    <w:rsid w:val="003C7C25"/>
    <w:rsid w:val="003C7D6A"/>
    <w:rsid w:val="003C7E8E"/>
    <w:rsid w:val="003D00FC"/>
    <w:rsid w:val="003D0562"/>
    <w:rsid w:val="003D0787"/>
    <w:rsid w:val="003D0C53"/>
    <w:rsid w:val="003D14A8"/>
    <w:rsid w:val="003D1E34"/>
    <w:rsid w:val="003D23C2"/>
    <w:rsid w:val="003D2404"/>
    <w:rsid w:val="003D27ED"/>
    <w:rsid w:val="003D4C64"/>
    <w:rsid w:val="003D5922"/>
    <w:rsid w:val="003D5A1C"/>
    <w:rsid w:val="003D600C"/>
    <w:rsid w:val="003D617A"/>
    <w:rsid w:val="003D64BC"/>
    <w:rsid w:val="003D69F9"/>
    <w:rsid w:val="003D6BA8"/>
    <w:rsid w:val="003D6C37"/>
    <w:rsid w:val="003D6D21"/>
    <w:rsid w:val="003D779A"/>
    <w:rsid w:val="003D7B1A"/>
    <w:rsid w:val="003E0524"/>
    <w:rsid w:val="003E1118"/>
    <w:rsid w:val="003E151E"/>
    <w:rsid w:val="003E1746"/>
    <w:rsid w:val="003E1E73"/>
    <w:rsid w:val="003E258A"/>
    <w:rsid w:val="003E2B2E"/>
    <w:rsid w:val="003E30B1"/>
    <w:rsid w:val="003E3441"/>
    <w:rsid w:val="003E3711"/>
    <w:rsid w:val="003E38DE"/>
    <w:rsid w:val="003E3E24"/>
    <w:rsid w:val="003E3FFD"/>
    <w:rsid w:val="003E40C8"/>
    <w:rsid w:val="003E4210"/>
    <w:rsid w:val="003E442C"/>
    <w:rsid w:val="003E4796"/>
    <w:rsid w:val="003E4EEB"/>
    <w:rsid w:val="003E5839"/>
    <w:rsid w:val="003E5C4E"/>
    <w:rsid w:val="003E6C10"/>
    <w:rsid w:val="003E7B6C"/>
    <w:rsid w:val="003E7DC2"/>
    <w:rsid w:val="003E7F53"/>
    <w:rsid w:val="003F08F8"/>
    <w:rsid w:val="003F0B98"/>
    <w:rsid w:val="003F0F69"/>
    <w:rsid w:val="003F103F"/>
    <w:rsid w:val="003F111A"/>
    <w:rsid w:val="003F1BDE"/>
    <w:rsid w:val="003F1C04"/>
    <w:rsid w:val="003F1FBE"/>
    <w:rsid w:val="003F214B"/>
    <w:rsid w:val="003F2B42"/>
    <w:rsid w:val="003F2FEE"/>
    <w:rsid w:val="003F3C92"/>
    <w:rsid w:val="003F40CE"/>
    <w:rsid w:val="003F4796"/>
    <w:rsid w:val="003F48C9"/>
    <w:rsid w:val="003F49CC"/>
    <w:rsid w:val="003F4C09"/>
    <w:rsid w:val="003F5065"/>
    <w:rsid w:val="003F50AC"/>
    <w:rsid w:val="003F5157"/>
    <w:rsid w:val="003F54E2"/>
    <w:rsid w:val="003F54F7"/>
    <w:rsid w:val="003F55A4"/>
    <w:rsid w:val="003F57FD"/>
    <w:rsid w:val="003F6A5C"/>
    <w:rsid w:val="003F6ED9"/>
    <w:rsid w:val="003F7040"/>
    <w:rsid w:val="003F752C"/>
    <w:rsid w:val="003F79EB"/>
    <w:rsid w:val="00400142"/>
    <w:rsid w:val="004007A8"/>
    <w:rsid w:val="00400A37"/>
    <w:rsid w:val="00400C9C"/>
    <w:rsid w:val="004013D0"/>
    <w:rsid w:val="00401A8C"/>
    <w:rsid w:val="00401B3E"/>
    <w:rsid w:val="004027CF"/>
    <w:rsid w:val="00402907"/>
    <w:rsid w:val="00403B9B"/>
    <w:rsid w:val="00403ED4"/>
    <w:rsid w:val="004041CD"/>
    <w:rsid w:val="0040424E"/>
    <w:rsid w:val="004054D5"/>
    <w:rsid w:val="00406027"/>
    <w:rsid w:val="00406705"/>
    <w:rsid w:val="00406981"/>
    <w:rsid w:val="00406F53"/>
    <w:rsid w:val="004074B2"/>
    <w:rsid w:val="0040754F"/>
    <w:rsid w:val="00407D89"/>
    <w:rsid w:val="004101B1"/>
    <w:rsid w:val="00410A95"/>
    <w:rsid w:val="00410B89"/>
    <w:rsid w:val="00410B94"/>
    <w:rsid w:val="00410C05"/>
    <w:rsid w:val="004110EE"/>
    <w:rsid w:val="00411AEB"/>
    <w:rsid w:val="0041253E"/>
    <w:rsid w:val="00412E34"/>
    <w:rsid w:val="00413E2C"/>
    <w:rsid w:val="004146B9"/>
    <w:rsid w:val="00414A07"/>
    <w:rsid w:val="00414AA8"/>
    <w:rsid w:val="00415F03"/>
    <w:rsid w:val="00416C05"/>
    <w:rsid w:val="00416C3F"/>
    <w:rsid w:val="00416C83"/>
    <w:rsid w:val="00417216"/>
    <w:rsid w:val="0041749A"/>
    <w:rsid w:val="004176F6"/>
    <w:rsid w:val="00417CD1"/>
    <w:rsid w:val="00417D55"/>
    <w:rsid w:val="0042019F"/>
    <w:rsid w:val="00420666"/>
    <w:rsid w:val="00420B24"/>
    <w:rsid w:val="00421203"/>
    <w:rsid w:val="00421377"/>
    <w:rsid w:val="00421F9B"/>
    <w:rsid w:val="00422327"/>
    <w:rsid w:val="004227F9"/>
    <w:rsid w:val="004230E4"/>
    <w:rsid w:val="00423B88"/>
    <w:rsid w:val="00423E2C"/>
    <w:rsid w:val="00424906"/>
    <w:rsid w:val="0042491D"/>
    <w:rsid w:val="00424BA9"/>
    <w:rsid w:val="00425288"/>
    <w:rsid w:val="004254A6"/>
    <w:rsid w:val="0042558C"/>
    <w:rsid w:val="00425814"/>
    <w:rsid w:val="004258FC"/>
    <w:rsid w:val="00425EB4"/>
    <w:rsid w:val="004262D3"/>
    <w:rsid w:val="00426798"/>
    <w:rsid w:val="004267DD"/>
    <w:rsid w:val="004269F1"/>
    <w:rsid w:val="00426B56"/>
    <w:rsid w:val="00426D37"/>
    <w:rsid w:val="00426F4A"/>
    <w:rsid w:val="00427236"/>
    <w:rsid w:val="004275FE"/>
    <w:rsid w:val="00430155"/>
    <w:rsid w:val="0043020C"/>
    <w:rsid w:val="00430672"/>
    <w:rsid w:val="0043077C"/>
    <w:rsid w:val="00430BAD"/>
    <w:rsid w:val="004310C3"/>
    <w:rsid w:val="00431133"/>
    <w:rsid w:val="0043116A"/>
    <w:rsid w:val="00431289"/>
    <w:rsid w:val="004319BA"/>
    <w:rsid w:val="00431A2E"/>
    <w:rsid w:val="00431B14"/>
    <w:rsid w:val="00431B19"/>
    <w:rsid w:val="004331B9"/>
    <w:rsid w:val="0043381B"/>
    <w:rsid w:val="004338FA"/>
    <w:rsid w:val="00434709"/>
    <w:rsid w:val="00434F3C"/>
    <w:rsid w:val="00434FEC"/>
    <w:rsid w:val="004356C0"/>
    <w:rsid w:val="0043583C"/>
    <w:rsid w:val="00435AD4"/>
    <w:rsid w:val="00435F63"/>
    <w:rsid w:val="00436729"/>
    <w:rsid w:val="00436887"/>
    <w:rsid w:val="00437144"/>
    <w:rsid w:val="0043743E"/>
    <w:rsid w:val="004374C1"/>
    <w:rsid w:val="004374D4"/>
    <w:rsid w:val="0044044A"/>
    <w:rsid w:val="00440B65"/>
    <w:rsid w:val="00440F4D"/>
    <w:rsid w:val="004417B1"/>
    <w:rsid w:val="004419A1"/>
    <w:rsid w:val="00441BDB"/>
    <w:rsid w:val="00441CEC"/>
    <w:rsid w:val="00441F93"/>
    <w:rsid w:val="004422AC"/>
    <w:rsid w:val="00442A0E"/>
    <w:rsid w:val="00442A37"/>
    <w:rsid w:val="00442A85"/>
    <w:rsid w:val="00443036"/>
    <w:rsid w:val="00444007"/>
    <w:rsid w:val="00444294"/>
    <w:rsid w:val="00444405"/>
    <w:rsid w:val="00444513"/>
    <w:rsid w:val="00444621"/>
    <w:rsid w:val="00444705"/>
    <w:rsid w:val="00444B39"/>
    <w:rsid w:val="00444CD5"/>
    <w:rsid w:val="004452D8"/>
    <w:rsid w:val="004455A0"/>
    <w:rsid w:val="00445ED3"/>
    <w:rsid w:val="00446328"/>
    <w:rsid w:val="00446405"/>
    <w:rsid w:val="004465EC"/>
    <w:rsid w:val="00446A3F"/>
    <w:rsid w:val="00446B48"/>
    <w:rsid w:val="00446B4A"/>
    <w:rsid w:val="0044705E"/>
    <w:rsid w:val="004477EA"/>
    <w:rsid w:val="00447CEE"/>
    <w:rsid w:val="00447F04"/>
    <w:rsid w:val="004501BD"/>
    <w:rsid w:val="00450459"/>
    <w:rsid w:val="00450540"/>
    <w:rsid w:val="0045177C"/>
    <w:rsid w:val="004519FE"/>
    <w:rsid w:val="00451F3C"/>
    <w:rsid w:val="0045233C"/>
    <w:rsid w:val="004528A0"/>
    <w:rsid w:val="0045292B"/>
    <w:rsid w:val="0045296A"/>
    <w:rsid w:val="00452BD4"/>
    <w:rsid w:val="00452C98"/>
    <w:rsid w:val="00453512"/>
    <w:rsid w:val="00454F31"/>
    <w:rsid w:val="004553AB"/>
    <w:rsid w:val="00455689"/>
    <w:rsid w:val="00455690"/>
    <w:rsid w:val="00455DF8"/>
    <w:rsid w:val="00455F0A"/>
    <w:rsid w:val="0045626A"/>
    <w:rsid w:val="004562C0"/>
    <w:rsid w:val="00456A72"/>
    <w:rsid w:val="0045795A"/>
    <w:rsid w:val="00457D3B"/>
    <w:rsid w:val="004607D5"/>
    <w:rsid w:val="00460FAC"/>
    <w:rsid w:val="004614B0"/>
    <w:rsid w:val="00461744"/>
    <w:rsid w:val="00461ABE"/>
    <w:rsid w:val="00461BCE"/>
    <w:rsid w:val="004624B9"/>
    <w:rsid w:val="00463A74"/>
    <w:rsid w:val="00463B64"/>
    <w:rsid w:val="00463ED2"/>
    <w:rsid w:val="004644C3"/>
    <w:rsid w:val="004644F7"/>
    <w:rsid w:val="00464745"/>
    <w:rsid w:val="00464B6A"/>
    <w:rsid w:val="004652D8"/>
    <w:rsid w:val="0046543F"/>
    <w:rsid w:val="0046563C"/>
    <w:rsid w:val="00465722"/>
    <w:rsid w:val="00465DA3"/>
    <w:rsid w:val="004664B7"/>
    <w:rsid w:val="004664BF"/>
    <w:rsid w:val="00466879"/>
    <w:rsid w:val="00466B3F"/>
    <w:rsid w:val="00466C35"/>
    <w:rsid w:val="0046718D"/>
    <w:rsid w:val="004671ED"/>
    <w:rsid w:val="00467541"/>
    <w:rsid w:val="004677ED"/>
    <w:rsid w:val="004679EE"/>
    <w:rsid w:val="00467A1B"/>
    <w:rsid w:val="00470CE5"/>
    <w:rsid w:val="00471203"/>
    <w:rsid w:val="00471575"/>
    <w:rsid w:val="00471CA9"/>
    <w:rsid w:val="00472ADB"/>
    <w:rsid w:val="00472B81"/>
    <w:rsid w:val="004730F8"/>
    <w:rsid w:val="0047356F"/>
    <w:rsid w:val="00473680"/>
    <w:rsid w:val="00473684"/>
    <w:rsid w:val="004739C6"/>
    <w:rsid w:val="00473AB9"/>
    <w:rsid w:val="00474FB8"/>
    <w:rsid w:val="00475854"/>
    <w:rsid w:val="00475892"/>
    <w:rsid w:val="00475948"/>
    <w:rsid w:val="00475DA9"/>
    <w:rsid w:val="00476B99"/>
    <w:rsid w:val="00476BE2"/>
    <w:rsid w:val="00476E71"/>
    <w:rsid w:val="00477C25"/>
    <w:rsid w:val="00477DD6"/>
    <w:rsid w:val="00480082"/>
    <w:rsid w:val="00480682"/>
    <w:rsid w:val="00480EA5"/>
    <w:rsid w:val="00481585"/>
    <w:rsid w:val="004815C6"/>
    <w:rsid w:val="004823DA"/>
    <w:rsid w:val="00482909"/>
    <w:rsid w:val="00482971"/>
    <w:rsid w:val="00482C28"/>
    <w:rsid w:val="00482DDE"/>
    <w:rsid w:val="00482E2A"/>
    <w:rsid w:val="00483AEA"/>
    <w:rsid w:val="00483E27"/>
    <w:rsid w:val="00483FA8"/>
    <w:rsid w:val="0048409E"/>
    <w:rsid w:val="00484396"/>
    <w:rsid w:val="0048463F"/>
    <w:rsid w:val="00484C9B"/>
    <w:rsid w:val="00485012"/>
    <w:rsid w:val="0048543D"/>
    <w:rsid w:val="00485C6F"/>
    <w:rsid w:val="00485F1E"/>
    <w:rsid w:val="00486597"/>
    <w:rsid w:val="0048692F"/>
    <w:rsid w:val="00486DF1"/>
    <w:rsid w:val="00487325"/>
    <w:rsid w:val="00487DB1"/>
    <w:rsid w:val="00487E66"/>
    <w:rsid w:val="004919C7"/>
    <w:rsid w:val="00491CAD"/>
    <w:rsid w:val="00492D6E"/>
    <w:rsid w:val="00494114"/>
    <w:rsid w:val="0049454D"/>
    <w:rsid w:val="00494A7D"/>
    <w:rsid w:val="0049511B"/>
    <w:rsid w:val="00496A59"/>
    <w:rsid w:val="00496CFB"/>
    <w:rsid w:val="00496DF2"/>
    <w:rsid w:val="004972C4"/>
    <w:rsid w:val="004A0863"/>
    <w:rsid w:val="004A08E6"/>
    <w:rsid w:val="004A0DEB"/>
    <w:rsid w:val="004A0EBC"/>
    <w:rsid w:val="004A1209"/>
    <w:rsid w:val="004A125A"/>
    <w:rsid w:val="004A1370"/>
    <w:rsid w:val="004A15D2"/>
    <w:rsid w:val="004A1A51"/>
    <w:rsid w:val="004A26FB"/>
    <w:rsid w:val="004A2BEE"/>
    <w:rsid w:val="004A2E0C"/>
    <w:rsid w:val="004A3772"/>
    <w:rsid w:val="004A3BDA"/>
    <w:rsid w:val="004A4055"/>
    <w:rsid w:val="004A41A6"/>
    <w:rsid w:val="004A427A"/>
    <w:rsid w:val="004A43E8"/>
    <w:rsid w:val="004A4BA3"/>
    <w:rsid w:val="004A504C"/>
    <w:rsid w:val="004A55CD"/>
    <w:rsid w:val="004A5C2D"/>
    <w:rsid w:val="004A5DB6"/>
    <w:rsid w:val="004A5E47"/>
    <w:rsid w:val="004A632B"/>
    <w:rsid w:val="004A642D"/>
    <w:rsid w:val="004A67C2"/>
    <w:rsid w:val="004A6985"/>
    <w:rsid w:val="004A6A36"/>
    <w:rsid w:val="004A750F"/>
    <w:rsid w:val="004A7546"/>
    <w:rsid w:val="004A77AE"/>
    <w:rsid w:val="004B03FA"/>
    <w:rsid w:val="004B04C0"/>
    <w:rsid w:val="004B0609"/>
    <w:rsid w:val="004B0A82"/>
    <w:rsid w:val="004B129F"/>
    <w:rsid w:val="004B1808"/>
    <w:rsid w:val="004B21FC"/>
    <w:rsid w:val="004B2633"/>
    <w:rsid w:val="004B2F80"/>
    <w:rsid w:val="004B34A7"/>
    <w:rsid w:val="004B3B82"/>
    <w:rsid w:val="004B49BB"/>
    <w:rsid w:val="004B516E"/>
    <w:rsid w:val="004B5202"/>
    <w:rsid w:val="004B561E"/>
    <w:rsid w:val="004B5C8F"/>
    <w:rsid w:val="004B624A"/>
    <w:rsid w:val="004B6946"/>
    <w:rsid w:val="004B69B7"/>
    <w:rsid w:val="004B6A30"/>
    <w:rsid w:val="004B6C19"/>
    <w:rsid w:val="004B6F6B"/>
    <w:rsid w:val="004B7828"/>
    <w:rsid w:val="004B7844"/>
    <w:rsid w:val="004B7E7B"/>
    <w:rsid w:val="004C027C"/>
    <w:rsid w:val="004C0438"/>
    <w:rsid w:val="004C1025"/>
    <w:rsid w:val="004C104E"/>
    <w:rsid w:val="004C12D7"/>
    <w:rsid w:val="004C16F9"/>
    <w:rsid w:val="004C21E8"/>
    <w:rsid w:val="004C2299"/>
    <w:rsid w:val="004C23D9"/>
    <w:rsid w:val="004C29FC"/>
    <w:rsid w:val="004C2E9F"/>
    <w:rsid w:val="004C2F97"/>
    <w:rsid w:val="004C3A17"/>
    <w:rsid w:val="004C3D33"/>
    <w:rsid w:val="004C446A"/>
    <w:rsid w:val="004C4C27"/>
    <w:rsid w:val="004C4F6F"/>
    <w:rsid w:val="004C533C"/>
    <w:rsid w:val="004C5433"/>
    <w:rsid w:val="004C580D"/>
    <w:rsid w:val="004C5978"/>
    <w:rsid w:val="004C77A9"/>
    <w:rsid w:val="004C7A57"/>
    <w:rsid w:val="004C7A7B"/>
    <w:rsid w:val="004C7BAA"/>
    <w:rsid w:val="004C7E6D"/>
    <w:rsid w:val="004C7F96"/>
    <w:rsid w:val="004D013C"/>
    <w:rsid w:val="004D08C5"/>
    <w:rsid w:val="004D0BB1"/>
    <w:rsid w:val="004D19B6"/>
    <w:rsid w:val="004D1A3E"/>
    <w:rsid w:val="004D1D3A"/>
    <w:rsid w:val="004D1E8E"/>
    <w:rsid w:val="004D1EFF"/>
    <w:rsid w:val="004D235E"/>
    <w:rsid w:val="004D266B"/>
    <w:rsid w:val="004D277A"/>
    <w:rsid w:val="004D2B47"/>
    <w:rsid w:val="004D2E3E"/>
    <w:rsid w:val="004D2FC9"/>
    <w:rsid w:val="004D3521"/>
    <w:rsid w:val="004D39C1"/>
    <w:rsid w:val="004D3ACC"/>
    <w:rsid w:val="004D3B6C"/>
    <w:rsid w:val="004D3CE6"/>
    <w:rsid w:val="004D4A62"/>
    <w:rsid w:val="004D5019"/>
    <w:rsid w:val="004D54C1"/>
    <w:rsid w:val="004D5540"/>
    <w:rsid w:val="004D555A"/>
    <w:rsid w:val="004D576D"/>
    <w:rsid w:val="004D64FC"/>
    <w:rsid w:val="004D6B4E"/>
    <w:rsid w:val="004D7723"/>
    <w:rsid w:val="004D79FA"/>
    <w:rsid w:val="004D7ECE"/>
    <w:rsid w:val="004E0052"/>
    <w:rsid w:val="004E011D"/>
    <w:rsid w:val="004E0313"/>
    <w:rsid w:val="004E0961"/>
    <w:rsid w:val="004E0CD0"/>
    <w:rsid w:val="004E1E22"/>
    <w:rsid w:val="004E2604"/>
    <w:rsid w:val="004E2A06"/>
    <w:rsid w:val="004E2C86"/>
    <w:rsid w:val="004E2C98"/>
    <w:rsid w:val="004E2DD1"/>
    <w:rsid w:val="004E316C"/>
    <w:rsid w:val="004E32FC"/>
    <w:rsid w:val="004E3571"/>
    <w:rsid w:val="004E35E1"/>
    <w:rsid w:val="004E3DD6"/>
    <w:rsid w:val="004E426D"/>
    <w:rsid w:val="004E4A17"/>
    <w:rsid w:val="004E4B5C"/>
    <w:rsid w:val="004E4EC8"/>
    <w:rsid w:val="004E578A"/>
    <w:rsid w:val="004E61D5"/>
    <w:rsid w:val="004E6447"/>
    <w:rsid w:val="004E6D6B"/>
    <w:rsid w:val="004E6EF1"/>
    <w:rsid w:val="004E7ABA"/>
    <w:rsid w:val="004E7B65"/>
    <w:rsid w:val="004E7CDA"/>
    <w:rsid w:val="004F03CD"/>
    <w:rsid w:val="004F092D"/>
    <w:rsid w:val="004F09B7"/>
    <w:rsid w:val="004F0ED9"/>
    <w:rsid w:val="004F0FC7"/>
    <w:rsid w:val="004F1305"/>
    <w:rsid w:val="004F23D5"/>
    <w:rsid w:val="004F3232"/>
    <w:rsid w:val="004F3259"/>
    <w:rsid w:val="004F3547"/>
    <w:rsid w:val="004F3DEC"/>
    <w:rsid w:val="004F4443"/>
    <w:rsid w:val="004F456C"/>
    <w:rsid w:val="004F4AFD"/>
    <w:rsid w:val="004F4C77"/>
    <w:rsid w:val="004F57FA"/>
    <w:rsid w:val="004F5BD4"/>
    <w:rsid w:val="004F66E4"/>
    <w:rsid w:val="004F68D7"/>
    <w:rsid w:val="004F6932"/>
    <w:rsid w:val="00500449"/>
    <w:rsid w:val="00500A63"/>
    <w:rsid w:val="0050147F"/>
    <w:rsid w:val="0050188B"/>
    <w:rsid w:val="00501E2A"/>
    <w:rsid w:val="00502714"/>
    <w:rsid w:val="00502C9A"/>
    <w:rsid w:val="00502CD4"/>
    <w:rsid w:val="00503B1B"/>
    <w:rsid w:val="00505474"/>
    <w:rsid w:val="00505959"/>
    <w:rsid w:val="00505A1D"/>
    <w:rsid w:val="00505D87"/>
    <w:rsid w:val="00506643"/>
    <w:rsid w:val="005066B7"/>
    <w:rsid w:val="00506B98"/>
    <w:rsid w:val="005071A1"/>
    <w:rsid w:val="005074A6"/>
    <w:rsid w:val="00507B38"/>
    <w:rsid w:val="00510704"/>
    <w:rsid w:val="00510AAF"/>
    <w:rsid w:val="0051155F"/>
    <w:rsid w:val="00511F0B"/>
    <w:rsid w:val="00512861"/>
    <w:rsid w:val="00512A53"/>
    <w:rsid w:val="00512FE2"/>
    <w:rsid w:val="00513052"/>
    <w:rsid w:val="0051368C"/>
    <w:rsid w:val="005136C4"/>
    <w:rsid w:val="00513D3E"/>
    <w:rsid w:val="00513F49"/>
    <w:rsid w:val="00514268"/>
    <w:rsid w:val="005144F7"/>
    <w:rsid w:val="00514B8C"/>
    <w:rsid w:val="00514E1A"/>
    <w:rsid w:val="005158B6"/>
    <w:rsid w:val="00515ADF"/>
    <w:rsid w:val="00515B87"/>
    <w:rsid w:val="00516168"/>
    <w:rsid w:val="0051629E"/>
    <w:rsid w:val="005165E3"/>
    <w:rsid w:val="005167FB"/>
    <w:rsid w:val="00516FD5"/>
    <w:rsid w:val="005178FA"/>
    <w:rsid w:val="005179A0"/>
    <w:rsid w:val="00517AF9"/>
    <w:rsid w:val="00521237"/>
    <w:rsid w:val="00521D17"/>
    <w:rsid w:val="00521FFE"/>
    <w:rsid w:val="005223F9"/>
    <w:rsid w:val="005227E4"/>
    <w:rsid w:val="00522BEB"/>
    <w:rsid w:val="00523626"/>
    <w:rsid w:val="00523858"/>
    <w:rsid w:val="00523E37"/>
    <w:rsid w:val="00523FA9"/>
    <w:rsid w:val="0052457D"/>
    <w:rsid w:val="005249D1"/>
    <w:rsid w:val="00524C58"/>
    <w:rsid w:val="00524E81"/>
    <w:rsid w:val="005250E8"/>
    <w:rsid w:val="005253F0"/>
    <w:rsid w:val="005254F1"/>
    <w:rsid w:val="00525595"/>
    <w:rsid w:val="00525663"/>
    <w:rsid w:val="00525668"/>
    <w:rsid w:val="005256D7"/>
    <w:rsid w:val="005257A1"/>
    <w:rsid w:val="005257B9"/>
    <w:rsid w:val="005258FE"/>
    <w:rsid w:val="0052594F"/>
    <w:rsid w:val="0052641E"/>
    <w:rsid w:val="00526519"/>
    <w:rsid w:val="00526709"/>
    <w:rsid w:val="00526BA3"/>
    <w:rsid w:val="005272FB"/>
    <w:rsid w:val="00527870"/>
    <w:rsid w:val="00527F2F"/>
    <w:rsid w:val="00530CD7"/>
    <w:rsid w:val="00530F8F"/>
    <w:rsid w:val="005310C4"/>
    <w:rsid w:val="005310DD"/>
    <w:rsid w:val="005312B4"/>
    <w:rsid w:val="005312E8"/>
    <w:rsid w:val="005320AA"/>
    <w:rsid w:val="005322EB"/>
    <w:rsid w:val="00532A2F"/>
    <w:rsid w:val="0053311E"/>
    <w:rsid w:val="005333B9"/>
    <w:rsid w:val="00533601"/>
    <w:rsid w:val="005338C9"/>
    <w:rsid w:val="0053399F"/>
    <w:rsid w:val="00534548"/>
    <w:rsid w:val="00534596"/>
    <w:rsid w:val="00534FBF"/>
    <w:rsid w:val="005351FE"/>
    <w:rsid w:val="005361FC"/>
    <w:rsid w:val="00536745"/>
    <w:rsid w:val="005369CC"/>
    <w:rsid w:val="00536C3A"/>
    <w:rsid w:val="0053743F"/>
    <w:rsid w:val="005374BF"/>
    <w:rsid w:val="0053758A"/>
    <w:rsid w:val="00537F59"/>
    <w:rsid w:val="0054005C"/>
    <w:rsid w:val="00540536"/>
    <w:rsid w:val="00540ABF"/>
    <w:rsid w:val="00540EC2"/>
    <w:rsid w:val="00541104"/>
    <w:rsid w:val="005411CA"/>
    <w:rsid w:val="00541D30"/>
    <w:rsid w:val="005424D3"/>
    <w:rsid w:val="00543112"/>
    <w:rsid w:val="00543510"/>
    <w:rsid w:val="0054381B"/>
    <w:rsid w:val="00543BD3"/>
    <w:rsid w:val="00543C28"/>
    <w:rsid w:val="00543CDC"/>
    <w:rsid w:val="00544EEC"/>
    <w:rsid w:val="00545A2F"/>
    <w:rsid w:val="00545E8E"/>
    <w:rsid w:val="00546259"/>
    <w:rsid w:val="0054625F"/>
    <w:rsid w:val="00546D01"/>
    <w:rsid w:val="00547273"/>
    <w:rsid w:val="0054742D"/>
    <w:rsid w:val="005474EF"/>
    <w:rsid w:val="00547936"/>
    <w:rsid w:val="00547E76"/>
    <w:rsid w:val="00550066"/>
    <w:rsid w:val="0055029A"/>
    <w:rsid w:val="005502B1"/>
    <w:rsid w:val="00550674"/>
    <w:rsid w:val="00550B10"/>
    <w:rsid w:val="005517ED"/>
    <w:rsid w:val="00551A92"/>
    <w:rsid w:val="00552211"/>
    <w:rsid w:val="00552760"/>
    <w:rsid w:val="00552951"/>
    <w:rsid w:val="00552BE0"/>
    <w:rsid w:val="00552EEA"/>
    <w:rsid w:val="00552FA5"/>
    <w:rsid w:val="0055359F"/>
    <w:rsid w:val="00553AF8"/>
    <w:rsid w:val="0055430E"/>
    <w:rsid w:val="00554478"/>
    <w:rsid w:val="005544A1"/>
    <w:rsid w:val="00554804"/>
    <w:rsid w:val="00554CAF"/>
    <w:rsid w:val="00554ED3"/>
    <w:rsid w:val="00555958"/>
    <w:rsid w:val="005559E5"/>
    <w:rsid w:val="00555B4B"/>
    <w:rsid w:val="00555C5A"/>
    <w:rsid w:val="00556302"/>
    <w:rsid w:val="00556974"/>
    <w:rsid w:val="00556A04"/>
    <w:rsid w:val="00556F49"/>
    <w:rsid w:val="0055706F"/>
    <w:rsid w:val="005576AE"/>
    <w:rsid w:val="00557919"/>
    <w:rsid w:val="005579E0"/>
    <w:rsid w:val="00557ADA"/>
    <w:rsid w:val="00557B1C"/>
    <w:rsid w:val="00557DDE"/>
    <w:rsid w:val="00557F8D"/>
    <w:rsid w:val="005605DC"/>
    <w:rsid w:val="00560BED"/>
    <w:rsid w:val="00560F11"/>
    <w:rsid w:val="0056113C"/>
    <w:rsid w:val="00561873"/>
    <w:rsid w:val="005621E8"/>
    <w:rsid w:val="00562648"/>
    <w:rsid w:val="005629EE"/>
    <w:rsid w:val="005636AC"/>
    <w:rsid w:val="0056381B"/>
    <w:rsid w:val="005640E5"/>
    <w:rsid w:val="00564410"/>
    <w:rsid w:val="005645B3"/>
    <w:rsid w:val="00564A48"/>
    <w:rsid w:val="00564BE6"/>
    <w:rsid w:val="00564FFB"/>
    <w:rsid w:val="00565657"/>
    <w:rsid w:val="005659DD"/>
    <w:rsid w:val="00565C4C"/>
    <w:rsid w:val="0056610A"/>
    <w:rsid w:val="00566214"/>
    <w:rsid w:val="00566220"/>
    <w:rsid w:val="0056686A"/>
    <w:rsid w:val="00566A0E"/>
    <w:rsid w:val="00566A43"/>
    <w:rsid w:val="00566C27"/>
    <w:rsid w:val="0056773F"/>
    <w:rsid w:val="00567AA6"/>
    <w:rsid w:val="00567EA2"/>
    <w:rsid w:val="00567F6C"/>
    <w:rsid w:val="00570307"/>
    <w:rsid w:val="00570494"/>
    <w:rsid w:val="0057075D"/>
    <w:rsid w:val="005707D1"/>
    <w:rsid w:val="00570828"/>
    <w:rsid w:val="005709DC"/>
    <w:rsid w:val="00571025"/>
    <w:rsid w:val="00571496"/>
    <w:rsid w:val="0057149F"/>
    <w:rsid w:val="00571589"/>
    <w:rsid w:val="005716BF"/>
    <w:rsid w:val="00571775"/>
    <w:rsid w:val="005717AA"/>
    <w:rsid w:val="005719FA"/>
    <w:rsid w:val="00572711"/>
    <w:rsid w:val="00572EC4"/>
    <w:rsid w:val="005731C3"/>
    <w:rsid w:val="00573717"/>
    <w:rsid w:val="00573BE5"/>
    <w:rsid w:val="005744AE"/>
    <w:rsid w:val="0057563F"/>
    <w:rsid w:val="00575EBB"/>
    <w:rsid w:val="005762A1"/>
    <w:rsid w:val="005765DE"/>
    <w:rsid w:val="005767D1"/>
    <w:rsid w:val="005768C0"/>
    <w:rsid w:val="00576921"/>
    <w:rsid w:val="00576C29"/>
    <w:rsid w:val="00576C97"/>
    <w:rsid w:val="0057723C"/>
    <w:rsid w:val="00577BC6"/>
    <w:rsid w:val="00577EA6"/>
    <w:rsid w:val="00577FCF"/>
    <w:rsid w:val="00580471"/>
    <w:rsid w:val="005806CD"/>
    <w:rsid w:val="00580BE8"/>
    <w:rsid w:val="00581A11"/>
    <w:rsid w:val="00581FB6"/>
    <w:rsid w:val="0058202C"/>
    <w:rsid w:val="0058225B"/>
    <w:rsid w:val="005823BC"/>
    <w:rsid w:val="00582AEF"/>
    <w:rsid w:val="00582EF2"/>
    <w:rsid w:val="0058393D"/>
    <w:rsid w:val="005846F7"/>
    <w:rsid w:val="005848CF"/>
    <w:rsid w:val="00584951"/>
    <w:rsid w:val="00584C45"/>
    <w:rsid w:val="00585645"/>
    <w:rsid w:val="0058574F"/>
    <w:rsid w:val="005857AC"/>
    <w:rsid w:val="005862CB"/>
    <w:rsid w:val="005869A4"/>
    <w:rsid w:val="00587082"/>
    <w:rsid w:val="0058735A"/>
    <w:rsid w:val="005878E3"/>
    <w:rsid w:val="00590EBE"/>
    <w:rsid w:val="00591A0E"/>
    <w:rsid w:val="005924BB"/>
    <w:rsid w:val="0059278A"/>
    <w:rsid w:val="00592FB0"/>
    <w:rsid w:val="005931BC"/>
    <w:rsid w:val="005934F7"/>
    <w:rsid w:val="00593A79"/>
    <w:rsid w:val="00593B2E"/>
    <w:rsid w:val="0059437D"/>
    <w:rsid w:val="00594ADD"/>
    <w:rsid w:val="0059514D"/>
    <w:rsid w:val="00595548"/>
    <w:rsid w:val="00595616"/>
    <w:rsid w:val="00595C4F"/>
    <w:rsid w:val="00595E1B"/>
    <w:rsid w:val="00596789"/>
    <w:rsid w:val="005977E3"/>
    <w:rsid w:val="00597E0E"/>
    <w:rsid w:val="00597FE1"/>
    <w:rsid w:val="005A0370"/>
    <w:rsid w:val="005A0495"/>
    <w:rsid w:val="005A084A"/>
    <w:rsid w:val="005A0B57"/>
    <w:rsid w:val="005A10AD"/>
    <w:rsid w:val="005A1D7E"/>
    <w:rsid w:val="005A1E33"/>
    <w:rsid w:val="005A20D8"/>
    <w:rsid w:val="005A2394"/>
    <w:rsid w:val="005A349F"/>
    <w:rsid w:val="005A39F8"/>
    <w:rsid w:val="005A3DA8"/>
    <w:rsid w:val="005A4FDD"/>
    <w:rsid w:val="005A50E2"/>
    <w:rsid w:val="005A535B"/>
    <w:rsid w:val="005A5CDF"/>
    <w:rsid w:val="005A5CFB"/>
    <w:rsid w:val="005A63E4"/>
    <w:rsid w:val="005A658E"/>
    <w:rsid w:val="005A6600"/>
    <w:rsid w:val="005A708A"/>
    <w:rsid w:val="005A7838"/>
    <w:rsid w:val="005A7846"/>
    <w:rsid w:val="005A7CC3"/>
    <w:rsid w:val="005A7D19"/>
    <w:rsid w:val="005B069A"/>
    <w:rsid w:val="005B099E"/>
    <w:rsid w:val="005B116A"/>
    <w:rsid w:val="005B1567"/>
    <w:rsid w:val="005B1C3C"/>
    <w:rsid w:val="005B1C70"/>
    <w:rsid w:val="005B2629"/>
    <w:rsid w:val="005B264C"/>
    <w:rsid w:val="005B272D"/>
    <w:rsid w:val="005B2C1D"/>
    <w:rsid w:val="005B2E23"/>
    <w:rsid w:val="005B2FE7"/>
    <w:rsid w:val="005B3996"/>
    <w:rsid w:val="005B3F3D"/>
    <w:rsid w:val="005B46D2"/>
    <w:rsid w:val="005B4E30"/>
    <w:rsid w:val="005B62B0"/>
    <w:rsid w:val="005B6914"/>
    <w:rsid w:val="005B6BB6"/>
    <w:rsid w:val="005B6BFE"/>
    <w:rsid w:val="005B6CB3"/>
    <w:rsid w:val="005B6DF5"/>
    <w:rsid w:val="005B7241"/>
    <w:rsid w:val="005B73ED"/>
    <w:rsid w:val="005B757C"/>
    <w:rsid w:val="005B7AB4"/>
    <w:rsid w:val="005C0014"/>
    <w:rsid w:val="005C08CA"/>
    <w:rsid w:val="005C1055"/>
    <w:rsid w:val="005C13E8"/>
    <w:rsid w:val="005C1817"/>
    <w:rsid w:val="005C1D00"/>
    <w:rsid w:val="005C2192"/>
    <w:rsid w:val="005C22DC"/>
    <w:rsid w:val="005C23E4"/>
    <w:rsid w:val="005C250A"/>
    <w:rsid w:val="005C2D72"/>
    <w:rsid w:val="005C2FEA"/>
    <w:rsid w:val="005C3578"/>
    <w:rsid w:val="005C3965"/>
    <w:rsid w:val="005C47A7"/>
    <w:rsid w:val="005C4E01"/>
    <w:rsid w:val="005C4FD2"/>
    <w:rsid w:val="005C5916"/>
    <w:rsid w:val="005C59D0"/>
    <w:rsid w:val="005C5F11"/>
    <w:rsid w:val="005C653B"/>
    <w:rsid w:val="005C6D4C"/>
    <w:rsid w:val="005C6FAE"/>
    <w:rsid w:val="005C712E"/>
    <w:rsid w:val="005C7366"/>
    <w:rsid w:val="005C7CCD"/>
    <w:rsid w:val="005D014C"/>
    <w:rsid w:val="005D02E5"/>
    <w:rsid w:val="005D07EE"/>
    <w:rsid w:val="005D0949"/>
    <w:rsid w:val="005D0E6E"/>
    <w:rsid w:val="005D16F6"/>
    <w:rsid w:val="005D1BDC"/>
    <w:rsid w:val="005D1C50"/>
    <w:rsid w:val="005D272E"/>
    <w:rsid w:val="005D277B"/>
    <w:rsid w:val="005D2882"/>
    <w:rsid w:val="005D2E4B"/>
    <w:rsid w:val="005D2F50"/>
    <w:rsid w:val="005D2FB3"/>
    <w:rsid w:val="005D3463"/>
    <w:rsid w:val="005D3C32"/>
    <w:rsid w:val="005D3D87"/>
    <w:rsid w:val="005D4288"/>
    <w:rsid w:val="005D4565"/>
    <w:rsid w:val="005D45C9"/>
    <w:rsid w:val="005D49FE"/>
    <w:rsid w:val="005D573E"/>
    <w:rsid w:val="005D5F44"/>
    <w:rsid w:val="005D60AD"/>
    <w:rsid w:val="005D6AE6"/>
    <w:rsid w:val="005D6E5E"/>
    <w:rsid w:val="005D7B9B"/>
    <w:rsid w:val="005D7D3B"/>
    <w:rsid w:val="005D7F95"/>
    <w:rsid w:val="005E00E9"/>
    <w:rsid w:val="005E0C3C"/>
    <w:rsid w:val="005E105E"/>
    <w:rsid w:val="005E159F"/>
    <w:rsid w:val="005E23B6"/>
    <w:rsid w:val="005E2A89"/>
    <w:rsid w:val="005E33D8"/>
    <w:rsid w:val="005E3A5D"/>
    <w:rsid w:val="005E4093"/>
    <w:rsid w:val="005E4330"/>
    <w:rsid w:val="005E4402"/>
    <w:rsid w:val="005E4960"/>
    <w:rsid w:val="005E4999"/>
    <w:rsid w:val="005E4FED"/>
    <w:rsid w:val="005E5948"/>
    <w:rsid w:val="005E5D01"/>
    <w:rsid w:val="005E61DC"/>
    <w:rsid w:val="005E6427"/>
    <w:rsid w:val="005E6DDE"/>
    <w:rsid w:val="005E6FF6"/>
    <w:rsid w:val="005E70FE"/>
    <w:rsid w:val="005E78DA"/>
    <w:rsid w:val="005E7D64"/>
    <w:rsid w:val="005F00EF"/>
    <w:rsid w:val="005F0806"/>
    <w:rsid w:val="005F080C"/>
    <w:rsid w:val="005F0EB9"/>
    <w:rsid w:val="005F12CF"/>
    <w:rsid w:val="005F12E6"/>
    <w:rsid w:val="005F2276"/>
    <w:rsid w:val="005F2279"/>
    <w:rsid w:val="005F2397"/>
    <w:rsid w:val="005F2743"/>
    <w:rsid w:val="005F2E29"/>
    <w:rsid w:val="005F3020"/>
    <w:rsid w:val="005F3287"/>
    <w:rsid w:val="005F3E91"/>
    <w:rsid w:val="005F4091"/>
    <w:rsid w:val="005F40A3"/>
    <w:rsid w:val="005F4170"/>
    <w:rsid w:val="005F4682"/>
    <w:rsid w:val="005F4EA4"/>
    <w:rsid w:val="005F500F"/>
    <w:rsid w:val="005F5C1E"/>
    <w:rsid w:val="005F5E97"/>
    <w:rsid w:val="005F657E"/>
    <w:rsid w:val="005F682A"/>
    <w:rsid w:val="005F7557"/>
    <w:rsid w:val="005F77E1"/>
    <w:rsid w:val="005F78E6"/>
    <w:rsid w:val="005F7B96"/>
    <w:rsid w:val="005F7C74"/>
    <w:rsid w:val="005F7DEB"/>
    <w:rsid w:val="0060077C"/>
    <w:rsid w:val="0060105D"/>
    <w:rsid w:val="00601226"/>
    <w:rsid w:val="006017A8"/>
    <w:rsid w:val="00601A68"/>
    <w:rsid w:val="00601B57"/>
    <w:rsid w:val="006029A9"/>
    <w:rsid w:val="006034B4"/>
    <w:rsid w:val="00603596"/>
    <w:rsid w:val="00603F43"/>
    <w:rsid w:val="00604565"/>
    <w:rsid w:val="0060484B"/>
    <w:rsid w:val="00604960"/>
    <w:rsid w:val="0060569C"/>
    <w:rsid w:val="00605960"/>
    <w:rsid w:val="00605A83"/>
    <w:rsid w:val="0060638A"/>
    <w:rsid w:val="0060677C"/>
    <w:rsid w:val="00606C1A"/>
    <w:rsid w:val="006072E9"/>
    <w:rsid w:val="006075D5"/>
    <w:rsid w:val="006077E9"/>
    <w:rsid w:val="00610174"/>
    <w:rsid w:val="00610370"/>
    <w:rsid w:val="006103D5"/>
    <w:rsid w:val="00610710"/>
    <w:rsid w:val="00610D59"/>
    <w:rsid w:val="006112B0"/>
    <w:rsid w:val="0061140C"/>
    <w:rsid w:val="00611448"/>
    <w:rsid w:val="006118FD"/>
    <w:rsid w:val="00611AAC"/>
    <w:rsid w:val="00611DD9"/>
    <w:rsid w:val="00612378"/>
    <w:rsid w:val="006130C2"/>
    <w:rsid w:val="00613505"/>
    <w:rsid w:val="00613A9D"/>
    <w:rsid w:val="00613E87"/>
    <w:rsid w:val="00614A80"/>
    <w:rsid w:val="00614BB4"/>
    <w:rsid w:val="00615043"/>
    <w:rsid w:val="006151CF"/>
    <w:rsid w:val="00615301"/>
    <w:rsid w:val="0061545D"/>
    <w:rsid w:val="00615B8F"/>
    <w:rsid w:val="00615E0B"/>
    <w:rsid w:val="00616911"/>
    <w:rsid w:val="00616AB9"/>
    <w:rsid w:val="00616AFF"/>
    <w:rsid w:val="00616B80"/>
    <w:rsid w:val="00617118"/>
    <w:rsid w:val="00617386"/>
    <w:rsid w:val="0061741B"/>
    <w:rsid w:val="00620D6B"/>
    <w:rsid w:val="00620FAD"/>
    <w:rsid w:val="006213DB"/>
    <w:rsid w:val="006214C3"/>
    <w:rsid w:val="00621732"/>
    <w:rsid w:val="00621738"/>
    <w:rsid w:val="006225E1"/>
    <w:rsid w:val="0062382B"/>
    <w:rsid w:val="0062475E"/>
    <w:rsid w:val="006248C8"/>
    <w:rsid w:val="00624D4B"/>
    <w:rsid w:val="00624D99"/>
    <w:rsid w:val="006251BB"/>
    <w:rsid w:val="0062527A"/>
    <w:rsid w:val="00625375"/>
    <w:rsid w:val="006253EB"/>
    <w:rsid w:val="0062573E"/>
    <w:rsid w:val="00625851"/>
    <w:rsid w:val="00626175"/>
    <w:rsid w:val="00626775"/>
    <w:rsid w:val="00626AF8"/>
    <w:rsid w:val="00626CA6"/>
    <w:rsid w:val="00626CD2"/>
    <w:rsid w:val="00626D29"/>
    <w:rsid w:val="00626F51"/>
    <w:rsid w:val="00627185"/>
    <w:rsid w:val="00627D97"/>
    <w:rsid w:val="00630793"/>
    <w:rsid w:val="006309F2"/>
    <w:rsid w:val="006310A4"/>
    <w:rsid w:val="00631665"/>
    <w:rsid w:val="006318DC"/>
    <w:rsid w:val="0063192E"/>
    <w:rsid w:val="00631C0A"/>
    <w:rsid w:val="00632735"/>
    <w:rsid w:val="006328DF"/>
    <w:rsid w:val="00632CFA"/>
    <w:rsid w:val="006335FF"/>
    <w:rsid w:val="00633ABF"/>
    <w:rsid w:val="0063435A"/>
    <w:rsid w:val="006357CC"/>
    <w:rsid w:val="00635BA0"/>
    <w:rsid w:val="006360B2"/>
    <w:rsid w:val="00636C6F"/>
    <w:rsid w:val="006377D7"/>
    <w:rsid w:val="00637A5E"/>
    <w:rsid w:val="00637B24"/>
    <w:rsid w:val="00637DB0"/>
    <w:rsid w:val="00637E9A"/>
    <w:rsid w:val="0064044A"/>
    <w:rsid w:val="00640640"/>
    <w:rsid w:val="00640833"/>
    <w:rsid w:val="00640A7D"/>
    <w:rsid w:val="0064115F"/>
    <w:rsid w:val="00641EDB"/>
    <w:rsid w:val="00641FF8"/>
    <w:rsid w:val="00642003"/>
    <w:rsid w:val="00642774"/>
    <w:rsid w:val="0064299A"/>
    <w:rsid w:val="0064302E"/>
    <w:rsid w:val="006431CD"/>
    <w:rsid w:val="00643482"/>
    <w:rsid w:val="00643D0D"/>
    <w:rsid w:val="00643E26"/>
    <w:rsid w:val="006448C5"/>
    <w:rsid w:val="006449EA"/>
    <w:rsid w:val="00644C3C"/>
    <w:rsid w:val="00644D4B"/>
    <w:rsid w:val="00645083"/>
    <w:rsid w:val="00645676"/>
    <w:rsid w:val="0064597F"/>
    <w:rsid w:val="00645A1D"/>
    <w:rsid w:val="00645DCF"/>
    <w:rsid w:val="006461E6"/>
    <w:rsid w:val="00646677"/>
    <w:rsid w:val="0064679C"/>
    <w:rsid w:val="00646BF7"/>
    <w:rsid w:val="006470CC"/>
    <w:rsid w:val="006479F0"/>
    <w:rsid w:val="006503E2"/>
    <w:rsid w:val="006509C3"/>
    <w:rsid w:val="00650C47"/>
    <w:rsid w:val="00651481"/>
    <w:rsid w:val="006516B5"/>
    <w:rsid w:val="00651905"/>
    <w:rsid w:val="00652062"/>
    <w:rsid w:val="006521ED"/>
    <w:rsid w:val="0065273D"/>
    <w:rsid w:val="00653BC6"/>
    <w:rsid w:val="00653E84"/>
    <w:rsid w:val="00654019"/>
    <w:rsid w:val="00654972"/>
    <w:rsid w:val="00654A6E"/>
    <w:rsid w:val="00654D45"/>
    <w:rsid w:val="0065519F"/>
    <w:rsid w:val="006556BE"/>
    <w:rsid w:val="006558C4"/>
    <w:rsid w:val="00655963"/>
    <w:rsid w:val="00656031"/>
    <w:rsid w:val="00656236"/>
    <w:rsid w:val="0065645D"/>
    <w:rsid w:val="006565DF"/>
    <w:rsid w:val="00656CE0"/>
    <w:rsid w:val="00656F45"/>
    <w:rsid w:val="0065715A"/>
    <w:rsid w:val="0065748D"/>
    <w:rsid w:val="006577DA"/>
    <w:rsid w:val="00657A86"/>
    <w:rsid w:val="00657E29"/>
    <w:rsid w:val="00657F1C"/>
    <w:rsid w:val="00660039"/>
    <w:rsid w:val="0066016B"/>
    <w:rsid w:val="0066024C"/>
    <w:rsid w:val="00660DDE"/>
    <w:rsid w:val="0066137E"/>
    <w:rsid w:val="00662812"/>
    <w:rsid w:val="00662E34"/>
    <w:rsid w:val="00662FBF"/>
    <w:rsid w:val="006631DF"/>
    <w:rsid w:val="006634A6"/>
    <w:rsid w:val="00663B4A"/>
    <w:rsid w:val="00663C82"/>
    <w:rsid w:val="00664138"/>
    <w:rsid w:val="00664721"/>
    <w:rsid w:val="006649F3"/>
    <w:rsid w:val="00664B9D"/>
    <w:rsid w:val="006663A2"/>
    <w:rsid w:val="006666B4"/>
    <w:rsid w:val="006669B5"/>
    <w:rsid w:val="006669EA"/>
    <w:rsid w:val="00666D97"/>
    <w:rsid w:val="0066739D"/>
    <w:rsid w:val="0067012E"/>
    <w:rsid w:val="0067188D"/>
    <w:rsid w:val="00671D34"/>
    <w:rsid w:val="00672232"/>
    <w:rsid w:val="006726A8"/>
    <w:rsid w:val="00672E3F"/>
    <w:rsid w:val="0067335A"/>
    <w:rsid w:val="00673CB7"/>
    <w:rsid w:val="0067444B"/>
    <w:rsid w:val="006744FD"/>
    <w:rsid w:val="0067510F"/>
    <w:rsid w:val="006756F1"/>
    <w:rsid w:val="0067585F"/>
    <w:rsid w:val="00675ACE"/>
    <w:rsid w:val="00675D35"/>
    <w:rsid w:val="00675EA8"/>
    <w:rsid w:val="00676495"/>
    <w:rsid w:val="00677161"/>
    <w:rsid w:val="006773CF"/>
    <w:rsid w:val="006778E8"/>
    <w:rsid w:val="00677984"/>
    <w:rsid w:val="00677F2D"/>
    <w:rsid w:val="00680007"/>
    <w:rsid w:val="00680A6F"/>
    <w:rsid w:val="00681035"/>
    <w:rsid w:val="0068160A"/>
    <w:rsid w:val="0068169D"/>
    <w:rsid w:val="00681B49"/>
    <w:rsid w:val="00681BC9"/>
    <w:rsid w:val="00681D13"/>
    <w:rsid w:val="00681DBB"/>
    <w:rsid w:val="00681F87"/>
    <w:rsid w:val="00682B70"/>
    <w:rsid w:val="00682C92"/>
    <w:rsid w:val="0068427C"/>
    <w:rsid w:val="00684283"/>
    <w:rsid w:val="006844BD"/>
    <w:rsid w:val="00684C90"/>
    <w:rsid w:val="00685177"/>
    <w:rsid w:val="00685B92"/>
    <w:rsid w:val="00685FEF"/>
    <w:rsid w:val="00686160"/>
    <w:rsid w:val="00686511"/>
    <w:rsid w:val="006865B0"/>
    <w:rsid w:val="00686850"/>
    <w:rsid w:val="00686C60"/>
    <w:rsid w:val="006872F2"/>
    <w:rsid w:val="00690175"/>
    <w:rsid w:val="00690723"/>
    <w:rsid w:val="00690820"/>
    <w:rsid w:val="00690B64"/>
    <w:rsid w:val="00690E76"/>
    <w:rsid w:val="006915A0"/>
    <w:rsid w:val="0069166A"/>
    <w:rsid w:val="006919E9"/>
    <w:rsid w:val="00692EE6"/>
    <w:rsid w:val="00693054"/>
    <w:rsid w:val="006930D7"/>
    <w:rsid w:val="006931B7"/>
    <w:rsid w:val="006934B9"/>
    <w:rsid w:val="00693A16"/>
    <w:rsid w:val="00693D8F"/>
    <w:rsid w:val="00693F6C"/>
    <w:rsid w:val="00694625"/>
    <w:rsid w:val="00694B6B"/>
    <w:rsid w:val="00694BB7"/>
    <w:rsid w:val="00694FFE"/>
    <w:rsid w:val="0069524C"/>
    <w:rsid w:val="00695537"/>
    <w:rsid w:val="00695610"/>
    <w:rsid w:val="00695F83"/>
    <w:rsid w:val="006960D2"/>
    <w:rsid w:val="00696296"/>
    <w:rsid w:val="006963F2"/>
    <w:rsid w:val="00696BF5"/>
    <w:rsid w:val="006971E0"/>
    <w:rsid w:val="0069742F"/>
    <w:rsid w:val="006979D6"/>
    <w:rsid w:val="006A1028"/>
    <w:rsid w:val="006A15E2"/>
    <w:rsid w:val="006A1AA9"/>
    <w:rsid w:val="006A2214"/>
    <w:rsid w:val="006A2A9C"/>
    <w:rsid w:val="006A326B"/>
    <w:rsid w:val="006A32EB"/>
    <w:rsid w:val="006A3505"/>
    <w:rsid w:val="006A3ACE"/>
    <w:rsid w:val="006A3D6F"/>
    <w:rsid w:val="006A4130"/>
    <w:rsid w:val="006A4417"/>
    <w:rsid w:val="006A4DCC"/>
    <w:rsid w:val="006A5DE6"/>
    <w:rsid w:val="006A6A5C"/>
    <w:rsid w:val="006A6A8C"/>
    <w:rsid w:val="006A6F66"/>
    <w:rsid w:val="006A6FAF"/>
    <w:rsid w:val="006A70F5"/>
    <w:rsid w:val="006A7297"/>
    <w:rsid w:val="006A768D"/>
    <w:rsid w:val="006A7BE3"/>
    <w:rsid w:val="006A7C51"/>
    <w:rsid w:val="006A7D04"/>
    <w:rsid w:val="006B0BB0"/>
    <w:rsid w:val="006B0BB4"/>
    <w:rsid w:val="006B0BC7"/>
    <w:rsid w:val="006B0FBF"/>
    <w:rsid w:val="006B127D"/>
    <w:rsid w:val="006B14F6"/>
    <w:rsid w:val="006B184B"/>
    <w:rsid w:val="006B1BDF"/>
    <w:rsid w:val="006B1F05"/>
    <w:rsid w:val="006B31A2"/>
    <w:rsid w:val="006B39B6"/>
    <w:rsid w:val="006B3CB6"/>
    <w:rsid w:val="006B3E9E"/>
    <w:rsid w:val="006B41EB"/>
    <w:rsid w:val="006B43EB"/>
    <w:rsid w:val="006B50F7"/>
    <w:rsid w:val="006B5147"/>
    <w:rsid w:val="006B5309"/>
    <w:rsid w:val="006B53D7"/>
    <w:rsid w:val="006B5635"/>
    <w:rsid w:val="006B58C0"/>
    <w:rsid w:val="006B5A4D"/>
    <w:rsid w:val="006B5FE9"/>
    <w:rsid w:val="006B6312"/>
    <w:rsid w:val="006B6B13"/>
    <w:rsid w:val="006B6D53"/>
    <w:rsid w:val="006B7238"/>
    <w:rsid w:val="006B72BC"/>
    <w:rsid w:val="006B73A2"/>
    <w:rsid w:val="006B7495"/>
    <w:rsid w:val="006B7AEC"/>
    <w:rsid w:val="006B7FBA"/>
    <w:rsid w:val="006C001C"/>
    <w:rsid w:val="006C0127"/>
    <w:rsid w:val="006C0676"/>
    <w:rsid w:val="006C0FC3"/>
    <w:rsid w:val="006C1584"/>
    <w:rsid w:val="006C15B9"/>
    <w:rsid w:val="006C201A"/>
    <w:rsid w:val="006C211E"/>
    <w:rsid w:val="006C221D"/>
    <w:rsid w:val="006C2531"/>
    <w:rsid w:val="006C2AFD"/>
    <w:rsid w:val="006C343F"/>
    <w:rsid w:val="006C378B"/>
    <w:rsid w:val="006C4419"/>
    <w:rsid w:val="006C468C"/>
    <w:rsid w:val="006C4D75"/>
    <w:rsid w:val="006C4E7A"/>
    <w:rsid w:val="006C4FB7"/>
    <w:rsid w:val="006C5267"/>
    <w:rsid w:val="006C533A"/>
    <w:rsid w:val="006C549A"/>
    <w:rsid w:val="006C5638"/>
    <w:rsid w:val="006C58CD"/>
    <w:rsid w:val="006C5C5E"/>
    <w:rsid w:val="006C5F5F"/>
    <w:rsid w:val="006C61E4"/>
    <w:rsid w:val="006C6951"/>
    <w:rsid w:val="006C76C3"/>
    <w:rsid w:val="006C7958"/>
    <w:rsid w:val="006D0923"/>
    <w:rsid w:val="006D0AE7"/>
    <w:rsid w:val="006D139D"/>
    <w:rsid w:val="006D13A3"/>
    <w:rsid w:val="006D19A9"/>
    <w:rsid w:val="006D223D"/>
    <w:rsid w:val="006D23EE"/>
    <w:rsid w:val="006D24EE"/>
    <w:rsid w:val="006D2598"/>
    <w:rsid w:val="006D285D"/>
    <w:rsid w:val="006D2C57"/>
    <w:rsid w:val="006D3402"/>
    <w:rsid w:val="006D3D2B"/>
    <w:rsid w:val="006D3F88"/>
    <w:rsid w:val="006D40D1"/>
    <w:rsid w:val="006D436C"/>
    <w:rsid w:val="006D4539"/>
    <w:rsid w:val="006D47AF"/>
    <w:rsid w:val="006D4CAA"/>
    <w:rsid w:val="006D51ED"/>
    <w:rsid w:val="006D57B3"/>
    <w:rsid w:val="006D58FC"/>
    <w:rsid w:val="006D5912"/>
    <w:rsid w:val="006D6298"/>
    <w:rsid w:val="006D6B10"/>
    <w:rsid w:val="006D70E4"/>
    <w:rsid w:val="006D72B9"/>
    <w:rsid w:val="006D75E9"/>
    <w:rsid w:val="006D7673"/>
    <w:rsid w:val="006D7835"/>
    <w:rsid w:val="006D7B89"/>
    <w:rsid w:val="006D7C77"/>
    <w:rsid w:val="006D7F13"/>
    <w:rsid w:val="006E008A"/>
    <w:rsid w:val="006E083D"/>
    <w:rsid w:val="006E20A1"/>
    <w:rsid w:val="006E21DB"/>
    <w:rsid w:val="006E28C2"/>
    <w:rsid w:val="006E2AA5"/>
    <w:rsid w:val="006E2AB1"/>
    <w:rsid w:val="006E304E"/>
    <w:rsid w:val="006E3818"/>
    <w:rsid w:val="006E3C11"/>
    <w:rsid w:val="006E463A"/>
    <w:rsid w:val="006E46FE"/>
    <w:rsid w:val="006E48FC"/>
    <w:rsid w:val="006E4B70"/>
    <w:rsid w:val="006E4E1C"/>
    <w:rsid w:val="006E4F4E"/>
    <w:rsid w:val="006E5B5F"/>
    <w:rsid w:val="006E62D6"/>
    <w:rsid w:val="006E6392"/>
    <w:rsid w:val="006E69D5"/>
    <w:rsid w:val="006E793F"/>
    <w:rsid w:val="006E7DF1"/>
    <w:rsid w:val="006E7FCB"/>
    <w:rsid w:val="006F00DE"/>
    <w:rsid w:val="006F0CCA"/>
    <w:rsid w:val="006F10B2"/>
    <w:rsid w:val="006F11D4"/>
    <w:rsid w:val="006F17E6"/>
    <w:rsid w:val="006F1D89"/>
    <w:rsid w:val="006F1DC0"/>
    <w:rsid w:val="006F21C0"/>
    <w:rsid w:val="006F23AE"/>
    <w:rsid w:val="006F247A"/>
    <w:rsid w:val="006F27CD"/>
    <w:rsid w:val="006F3483"/>
    <w:rsid w:val="006F3896"/>
    <w:rsid w:val="006F40DE"/>
    <w:rsid w:val="006F60F8"/>
    <w:rsid w:val="006F62D9"/>
    <w:rsid w:val="006F6659"/>
    <w:rsid w:val="006F740E"/>
    <w:rsid w:val="006F7840"/>
    <w:rsid w:val="006F7915"/>
    <w:rsid w:val="006F7A62"/>
    <w:rsid w:val="006F7ACB"/>
    <w:rsid w:val="006F7BD8"/>
    <w:rsid w:val="006F7FA5"/>
    <w:rsid w:val="007000F6"/>
    <w:rsid w:val="0070036B"/>
    <w:rsid w:val="00701919"/>
    <w:rsid w:val="00702879"/>
    <w:rsid w:val="0070321D"/>
    <w:rsid w:val="00703379"/>
    <w:rsid w:val="007038CA"/>
    <w:rsid w:val="007043AE"/>
    <w:rsid w:val="007045BD"/>
    <w:rsid w:val="00704EF8"/>
    <w:rsid w:val="007050E0"/>
    <w:rsid w:val="0070560A"/>
    <w:rsid w:val="007061DD"/>
    <w:rsid w:val="0070646A"/>
    <w:rsid w:val="00707230"/>
    <w:rsid w:val="0070742C"/>
    <w:rsid w:val="00707536"/>
    <w:rsid w:val="00707B38"/>
    <w:rsid w:val="00707CC8"/>
    <w:rsid w:val="007100EF"/>
    <w:rsid w:val="007104B1"/>
    <w:rsid w:val="00711788"/>
    <w:rsid w:val="00711C04"/>
    <w:rsid w:val="00712165"/>
    <w:rsid w:val="007128E2"/>
    <w:rsid w:val="0071358A"/>
    <w:rsid w:val="007135E1"/>
    <w:rsid w:val="007139C4"/>
    <w:rsid w:val="00713CA6"/>
    <w:rsid w:val="0071406D"/>
    <w:rsid w:val="0071413A"/>
    <w:rsid w:val="00714177"/>
    <w:rsid w:val="00714A50"/>
    <w:rsid w:val="0071535B"/>
    <w:rsid w:val="00715C40"/>
    <w:rsid w:val="00715DE6"/>
    <w:rsid w:val="00715FAF"/>
    <w:rsid w:val="007165A2"/>
    <w:rsid w:val="0071678E"/>
    <w:rsid w:val="00716E12"/>
    <w:rsid w:val="00716E50"/>
    <w:rsid w:val="00716F1E"/>
    <w:rsid w:val="00716F2A"/>
    <w:rsid w:val="0071756B"/>
    <w:rsid w:val="007179B7"/>
    <w:rsid w:val="00717A63"/>
    <w:rsid w:val="00717FBE"/>
    <w:rsid w:val="0072005D"/>
    <w:rsid w:val="007203A5"/>
    <w:rsid w:val="00720470"/>
    <w:rsid w:val="007206AE"/>
    <w:rsid w:val="00720930"/>
    <w:rsid w:val="00720ED5"/>
    <w:rsid w:val="00721D21"/>
    <w:rsid w:val="00721DC9"/>
    <w:rsid w:val="007220D1"/>
    <w:rsid w:val="00722455"/>
    <w:rsid w:val="00722575"/>
    <w:rsid w:val="0072287D"/>
    <w:rsid w:val="00722DDF"/>
    <w:rsid w:val="00722EF8"/>
    <w:rsid w:val="00722F93"/>
    <w:rsid w:val="00723601"/>
    <w:rsid w:val="00723A4D"/>
    <w:rsid w:val="00723AB0"/>
    <w:rsid w:val="00723B86"/>
    <w:rsid w:val="007241CF"/>
    <w:rsid w:val="007242CB"/>
    <w:rsid w:val="00724D3E"/>
    <w:rsid w:val="00724EF0"/>
    <w:rsid w:val="00725495"/>
    <w:rsid w:val="00726596"/>
    <w:rsid w:val="00726B18"/>
    <w:rsid w:val="00726EBA"/>
    <w:rsid w:val="00727FA8"/>
    <w:rsid w:val="0073031F"/>
    <w:rsid w:val="0073046A"/>
    <w:rsid w:val="00730BA9"/>
    <w:rsid w:val="00730C23"/>
    <w:rsid w:val="00730DC5"/>
    <w:rsid w:val="00730E9F"/>
    <w:rsid w:val="00731254"/>
    <w:rsid w:val="00731867"/>
    <w:rsid w:val="00731A78"/>
    <w:rsid w:val="00732045"/>
    <w:rsid w:val="007322D4"/>
    <w:rsid w:val="00732423"/>
    <w:rsid w:val="007334A7"/>
    <w:rsid w:val="0073366F"/>
    <w:rsid w:val="00733B72"/>
    <w:rsid w:val="00733DFB"/>
    <w:rsid w:val="0073453A"/>
    <w:rsid w:val="007352F5"/>
    <w:rsid w:val="007353F1"/>
    <w:rsid w:val="0073587A"/>
    <w:rsid w:val="00735ABA"/>
    <w:rsid w:val="00735FD8"/>
    <w:rsid w:val="00736A3A"/>
    <w:rsid w:val="007375E3"/>
    <w:rsid w:val="0073790F"/>
    <w:rsid w:val="00737FE7"/>
    <w:rsid w:val="007407B4"/>
    <w:rsid w:val="00740AAA"/>
    <w:rsid w:val="0074129A"/>
    <w:rsid w:val="0074164F"/>
    <w:rsid w:val="00741BA8"/>
    <w:rsid w:val="007429E2"/>
    <w:rsid w:val="00742A6E"/>
    <w:rsid w:val="00743771"/>
    <w:rsid w:val="007439F3"/>
    <w:rsid w:val="00743AD9"/>
    <w:rsid w:val="0074428E"/>
    <w:rsid w:val="007442E5"/>
    <w:rsid w:val="00744D1E"/>
    <w:rsid w:val="00744DE9"/>
    <w:rsid w:val="00744EC4"/>
    <w:rsid w:val="0074555F"/>
    <w:rsid w:val="0074581A"/>
    <w:rsid w:val="007458A2"/>
    <w:rsid w:val="00745BA9"/>
    <w:rsid w:val="00745C7B"/>
    <w:rsid w:val="00746A23"/>
    <w:rsid w:val="00746EDD"/>
    <w:rsid w:val="00747410"/>
    <w:rsid w:val="00747737"/>
    <w:rsid w:val="00747FE2"/>
    <w:rsid w:val="007500FA"/>
    <w:rsid w:val="0075030F"/>
    <w:rsid w:val="0075076A"/>
    <w:rsid w:val="00750808"/>
    <w:rsid w:val="00751386"/>
    <w:rsid w:val="00751620"/>
    <w:rsid w:val="00751710"/>
    <w:rsid w:val="0075173F"/>
    <w:rsid w:val="00751BE2"/>
    <w:rsid w:val="007521EB"/>
    <w:rsid w:val="00752208"/>
    <w:rsid w:val="007528CA"/>
    <w:rsid w:val="00752977"/>
    <w:rsid w:val="00752EF3"/>
    <w:rsid w:val="00753955"/>
    <w:rsid w:val="00753EB5"/>
    <w:rsid w:val="00754444"/>
    <w:rsid w:val="00754849"/>
    <w:rsid w:val="0075497D"/>
    <w:rsid w:val="00754F35"/>
    <w:rsid w:val="007551BB"/>
    <w:rsid w:val="00755DB8"/>
    <w:rsid w:val="0075651E"/>
    <w:rsid w:val="00756616"/>
    <w:rsid w:val="00756736"/>
    <w:rsid w:val="007568CE"/>
    <w:rsid w:val="00756BE6"/>
    <w:rsid w:val="00757229"/>
    <w:rsid w:val="00757586"/>
    <w:rsid w:val="00757634"/>
    <w:rsid w:val="00757CDF"/>
    <w:rsid w:val="00757E06"/>
    <w:rsid w:val="00757E67"/>
    <w:rsid w:val="00760260"/>
    <w:rsid w:val="00760B9A"/>
    <w:rsid w:val="00761030"/>
    <w:rsid w:val="00761BF7"/>
    <w:rsid w:val="00761FBD"/>
    <w:rsid w:val="007620D4"/>
    <w:rsid w:val="00762210"/>
    <w:rsid w:val="00762580"/>
    <w:rsid w:val="00762D6D"/>
    <w:rsid w:val="0076314D"/>
    <w:rsid w:val="007631BD"/>
    <w:rsid w:val="00763FFC"/>
    <w:rsid w:val="00764103"/>
    <w:rsid w:val="0076432D"/>
    <w:rsid w:val="00764732"/>
    <w:rsid w:val="00764904"/>
    <w:rsid w:val="00764B07"/>
    <w:rsid w:val="00764DE2"/>
    <w:rsid w:val="007650EA"/>
    <w:rsid w:val="00765822"/>
    <w:rsid w:val="0076589E"/>
    <w:rsid w:val="00765AC5"/>
    <w:rsid w:val="007662D1"/>
    <w:rsid w:val="007665F6"/>
    <w:rsid w:val="00766638"/>
    <w:rsid w:val="007670E1"/>
    <w:rsid w:val="00767396"/>
    <w:rsid w:val="007677B5"/>
    <w:rsid w:val="00767AF4"/>
    <w:rsid w:val="00770F32"/>
    <w:rsid w:val="007712B3"/>
    <w:rsid w:val="0077171B"/>
    <w:rsid w:val="00771859"/>
    <w:rsid w:val="007723C2"/>
    <w:rsid w:val="007724F5"/>
    <w:rsid w:val="00772D53"/>
    <w:rsid w:val="00773809"/>
    <w:rsid w:val="00774C58"/>
    <w:rsid w:val="0077501D"/>
    <w:rsid w:val="00775608"/>
    <w:rsid w:val="00775665"/>
    <w:rsid w:val="007757D5"/>
    <w:rsid w:val="00775806"/>
    <w:rsid w:val="00775AFC"/>
    <w:rsid w:val="00775B35"/>
    <w:rsid w:val="00775C9F"/>
    <w:rsid w:val="00775D88"/>
    <w:rsid w:val="007760F0"/>
    <w:rsid w:val="00776684"/>
    <w:rsid w:val="00776DCF"/>
    <w:rsid w:val="007770F0"/>
    <w:rsid w:val="007802AA"/>
    <w:rsid w:val="007802B3"/>
    <w:rsid w:val="00780BEB"/>
    <w:rsid w:val="00780DCC"/>
    <w:rsid w:val="007810A6"/>
    <w:rsid w:val="00781323"/>
    <w:rsid w:val="007813B5"/>
    <w:rsid w:val="00781523"/>
    <w:rsid w:val="00781ADA"/>
    <w:rsid w:val="007829E9"/>
    <w:rsid w:val="00782B72"/>
    <w:rsid w:val="00783078"/>
    <w:rsid w:val="007830BF"/>
    <w:rsid w:val="007831E0"/>
    <w:rsid w:val="00783301"/>
    <w:rsid w:val="00783308"/>
    <w:rsid w:val="0078353F"/>
    <w:rsid w:val="0078375A"/>
    <w:rsid w:val="007840AE"/>
    <w:rsid w:val="00784F4B"/>
    <w:rsid w:val="00785F85"/>
    <w:rsid w:val="00785FE6"/>
    <w:rsid w:val="00786613"/>
    <w:rsid w:val="007868A9"/>
    <w:rsid w:val="00786907"/>
    <w:rsid w:val="00786F66"/>
    <w:rsid w:val="007873CC"/>
    <w:rsid w:val="00787D13"/>
    <w:rsid w:val="0079005F"/>
    <w:rsid w:val="0079081E"/>
    <w:rsid w:val="0079257A"/>
    <w:rsid w:val="007929DE"/>
    <w:rsid w:val="00792A51"/>
    <w:rsid w:val="00792C34"/>
    <w:rsid w:val="0079388D"/>
    <w:rsid w:val="00793951"/>
    <w:rsid w:val="007939F0"/>
    <w:rsid w:val="00793A57"/>
    <w:rsid w:val="00793D65"/>
    <w:rsid w:val="00793E98"/>
    <w:rsid w:val="007940D2"/>
    <w:rsid w:val="0079471E"/>
    <w:rsid w:val="00794B52"/>
    <w:rsid w:val="00794F00"/>
    <w:rsid w:val="007954A5"/>
    <w:rsid w:val="0079671C"/>
    <w:rsid w:val="00797937"/>
    <w:rsid w:val="00797C59"/>
    <w:rsid w:val="00797FA0"/>
    <w:rsid w:val="007A04C9"/>
    <w:rsid w:val="007A0650"/>
    <w:rsid w:val="007A1096"/>
    <w:rsid w:val="007A1578"/>
    <w:rsid w:val="007A1AB3"/>
    <w:rsid w:val="007A1EEE"/>
    <w:rsid w:val="007A2068"/>
    <w:rsid w:val="007A26D9"/>
    <w:rsid w:val="007A2B10"/>
    <w:rsid w:val="007A2C4A"/>
    <w:rsid w:val="007A2E55"/>
    <w:rsid w:val="007A32D2"/>
    <w:rsid w:val="007A4A8C"/>
    <w:rsid w:val="007A4A9B"/>
    <w:rsid w:val="007A4DF7"/>
    <w:rsid w:val="007A52A3"/>
    <w:rsid w:val="007A531C"/>
    <w:rsid w:val="007A5662"/>
    <w:rsid w:val="007A58A4"/>
    <w:rsid w:val="007A5E5B"/>
    <w:rsid w:val="007A6206"/>
    <w:rsid w:val="007A6366"/>
    <w:rsid w:val="007A6EE7"/>
    <w:rsid w:val="007A6F64"/>
    <w:rsid w:val="007A74B9"/>
    <w:rsid w:val="007A7541"/>
    <w:rsid w:val="007A75AA"/>
    <w:rsid w:val="007A7858"/>
    <w:rsid w:val="007A7E4B"/>
    <w:rsid w:val="007B062B"/>
    <w:rsid w:val="007B065D"/>
    <w:rsid w:val="007B072C"/>
    <w:rsid w:val="007B08E2"/>
    <w:rsid w:val="007B1DFC"/>
    <w:rsid w:val="007B3A61"/>
    <w:rsid w:val="007B4AA9"/>
    <w:rsid w:val="007B5442"/>
    <w:rsid w:val="007B638C"/>
    <w:rsid w:val="007B6427"/>
    <w:rsid w:val="007B6A7D"/>
    <w:rsid w:val="007B700E"/>
    <w:rsid w:val="007B7146"/>
    <w:rsid w:val="007B7383"/>
    <w:rsid w:val="007B7BEC"/>
    <w:rsid w:val="007C0128"/>
    <w:rsid w:val="007C07BA"/>
    <w:rsid w:val="007C0D9D"/>
    <w:rsid w:val="007C17B2"/>
    <w:rsid w:val="007C1DD1"/>
    <w:rsid w:val="007C1E90"/>
    <w:rsid w:val="007C26CE"/>
    <w:rsid w:val="007C27DC"/>
    <w:rsid w:val="007C2D7F"/>
    <w:rsid w:val="007C3227"/>
    <w:rsid w:val="007C3326"/>
    <w:rsid w:val="007C3A49"/>
    <w:rsid w:val="007C411D"/>
    <w:rsid w:val="007C44A6"/>
    <w:rsid w:val="007C46DB"/>
    <w:rsid w:val="007C4DE6"/>
    <w:rsid w:val="007C4E0F"/>
    <w:rsid w:val="007C5A67"/>
    <w:rsid w:val="007C5DC8"/>
    <w:rsid w:val="007C6021"/>
    <w:rsid w:val="007C6292"/>
    <w:rsid w:val="007C65CA"/>
    <w:rsid w:val="007C66F1"/>
    <w:rsid w:val="007C6733"/>
    <w:rsid w:val="007C759B"/>
    <w:rsid w:val="007C77E1"/>
    <w:rsid w:val="007C7B1F"/>
    <w:rsid w:val="007C7B3D"/>
    <w:rsid w:val="007D03E0"/>
    <w:rsid w:val="007D050A"/>
    <w:rsid w:val="007D0A80"/>
    <w:rsid w:val="007D0BEF"/>
    <w:rsid w:val="007D0F4B"/>
    <w:rsid w:val="007D155C"/>
    <w:rsid w:val="007D1917"/>
    <w:rsid w:val="007D1C2D"/>
    <w:rsid w:val="007D2B33"/>
    <w:rsid w:val="007D2B87"/>
    <w:rsid w:val="007D2DFF"/>
    <w:rsid w:val="007D2EDE"/>
    <w:rsid w:val="007D3AC6"/>
    <w:rsid w:val="007D3B70"/>
    <w:rsid w:val="007D3D9C"/>
    <w:rsid w:val="007D4294"/>
    <w:rsid w:val="007D4CFB"/>
    <w:rsid w:val="007D4FDD"/>
    <w:rsid w:val="007D5400"/>
    <w:rsid w:val="007D61F1"/>
    <w:rsid w:val="007D638D"/>
    <w:rsid w:val="007D639B"/>
    <w:rsid w:val="007D671E"/>
    <w:rsid w:val="007D717B"/>
    <w:rsid w:val="007E0014"/>
    <w:rsid w:val="007E0A6E"/>
    <w:rsid w:val="007E1540"/>
    <w:rsid w:val="007E24A9"/>
    <w:rsid w:val="007E284F"/>
    <w:rsid w:val="007E2DD7"/>
    <w:rsid w:val="007E3072"/>
    <w:rsid w:val="007E31BE"/>
    <w:rsid w:val="007E356E"/>
    <w:rsid w:val="007E3654"/>
    <w:rsid w:val="007E3656"/>
    <w:rsid w:val="007E3D46"/>
    <w:rsid w:val="007E3D9C"/>
    <w:rsid w:val="007E3EA5"/>
    <w:rsid w:val="007E408A"/>
    <w:rsid w:val="007E4367"/>
    <w:rsid w:val="007E4888"/>
    <w:rsid w:val="007E4E6D"/>
    <w:rsid w:val="007E4F8D"/>
    <w:rsid w:val="007E50FA"/>
    <w:rsid w:val="007E5274"/>
    <w:rsid w:val="007E6DCD"/>
    <w:rsid w:val="007E701A"/>
    <w:rsid w:val="007E7084"/>
    <w:rsid w:val="007E7353"/>
    <w:rsid w:val="007E7F09"/>
    <w:rsid w:val="007F045C"/>
    <w:rsid w:val="007F0B34"/>
    <w:rsid w:val="007F13F8"/>
    <w:rsid w:val="007F1B66"/>
    <w:rsid w:val="007F1CEC"/>
    <w:rsid w:val="007F1F20"/>
    <w:rsid w:val="007F1F9E"/>
    <w:rsid w:val="007F2355"/>
    <w:rsid w:val="007F2831"/>
    <w:rsid w:val="007F28AB"/>
    <w:rsid w:val="007F2F91"/>
    <w:rsid w:val="007F3598"/>
    <w:rsid w:val="007F3F47"/>
    <w:rsid w:val="007F3F83"/>
    <w:rsid w:val="007F448F"/>
    <w:rsid w:val="007F4804"/>
    <w:rsid w:val="007F48CA"/>
    <w:rsid w:val="007F5989"/>
    <w:rsid w:val="007F5D48"/>
    <w:rsid w:val="007F60B4"/>
    <w:rsid w:val="007F6906"/>
    <w:rsid w:val="007F69C5"/>
    <w:rsid w:val="007F6FB4"/>
    <w:rsid w:val="007F707F"/>
    <w:rsid w:val="007F7E5D"/>
    <w:rsid w:val="008001C7"/>
    <w:rsid w:val="00800E54"/>
    <w:rsid w:val="00801788"/>
    <w:rsid w:val="008018B3"/>
    <w:rsid w:val="008019B8"/>
    <w:rsid w:val="00801E46"/>
    <w:rsid w:val="00802395"/>
    <w:rsid w:val="00802BF8"/>
    <w:rsid w:val="00802C53"/>
    <w:rsid w:val="00802EAE"/>
    <w:rsid w:val="00803665"/>
    <w:rsid w:val="008036C2"/>
    <w:rsid w:val="00804088"/>
    <w:rsid w:val="0080443B"/>
    <w:rsid w:val="008048CD"/>
    <w:rsid w:val="00804E2C"/>
    <w:rsid w:val="00805AA6"/>
    <w:rsid w:val="00805B98"/>
    <w:rsid w:val="00806170"/>
    <w:rsid w:val="00806632"/>
    <w:rsid w:val="008068E8"/>
    <w:rsid w:val="00806935"/>
    <w:rsid w:val="00806A49"/>
    <w:rsid w:val="00807169"/>
    <w:rsid w:val="00807870"/>
    <w:rsid w:val="0081130E"/>
    <w:rsid w:val="00811417"/>
    <w:rsid w:val="00811504"/>
    <w:rsid w:val="008120D5"/>
    <w:rsid w:val="0081270F"/>
    <w:rsid w:val="00812A0C"/>
    <w:rsid w:val="00813886"/>
    <w:rsid w:val="00813AEF"/>
    <w:rsid w:val="00813BE5"/>
    <w:rsid w:val="00813F30"/>
    <w:rsid w:val="00814C24"/>
    <w:rsid w:val="0081540D"/>
    <w:rsid w:val="0081573B"/>
    <w:rsid w:val="008158FC"/>
    <w:rsid w:val="00815E28"/>
    <w:rsid w:val="0081655C"/>
    <w:rsid w:val="00816C50"/>
    <w:rsid w:val="00816CB2"/>
    <w:rsid w:val="008174F5"/>
    <w:rsid w:val="00817D17"/>
    <w:rsid w:val="00817FE8"/>
    <w:rsid w:val="00820389"/>
    <w:rsid w:val="0082045E"/>
    <w:rsid w:val="00820A88"/>
    <w:rsid w:val="00821370"/>
    <w:rsid w:val="008213C6"/>
    <w:rsid w:val="0082188B"/>
    <w:rsid w:val="008222E6"/>
    <w:rsid w:val="00822BDA"/>
    <w:rsid w:val="00823C36"/>
    <w:rsid w:val="00823EB1"/>
    <w:rsid w:val="00824CE0"/>
    <w:rsid w:val="00824D84"/>
    <w:rsid w:val="00825336"/>
    <w:rsid w:val="008257D2"/>
    <w:rsid w:val="00825D89"/>
    <w:rsid w:val="008260A7"/>
    <w:rsid w:val="008261FD"/>
    <w:rsid w:val="008266A8"/>
    <w:rsid w:val="00826ADE"/>
    <w:rsid w:val="00827111"/>
    <w:rsid w:val="008275EE"/>
    <w:rsid w:val="008278AF"/>
    <w:rsid w:val="008302BE"/>
    <w:rsid w:val="0083073B"/>
    <w:rsid w:val="00830AD3"/>
    <w:rsid w:val="00830E1E"/>
    <w:rsid w:val="00830E4E"/>
    <w:rsid w:val="008311EC"/>
    <w:rsid w:val="00831587"/>
    <w:rsid w:val="008316FB"/>
    <w:rsid w:val="00831997"/>
    <w:rsid w:val="0083203B"/>
    <w:rsid w:val="00832500"/>
    <w:rsid w:val="0083261B"/>
    <w:rsid w:val="00832675"/>
    <w:rsid w:val="0083350C"/>
    <w:rsid w:val="00833CD6"/>
    <w:rsid w:val="00834362"/>
    <w:rsid w:val="008343EA"/>
    <w:rsid w:val="0083479F"/>
    <w:rsid w:val="00835235"/>
    <w:rsid w:val="008355B3"/>
    <w:rsid w:val="0083696A"/>
    <w:rsid w:val="00836A99"/>
    <w:rsid w:val="00836F0F"/>
    <w:rsid w:val="00836F1B"/>
    <w:rsid w:val="0083711B"/>
    <w:rsid w:val="00837198"/>
    <w:rsid w:val="00837464"/>
    <w:rsid w:val="00837577"/>
    <w:rsid w:val="008379B7"/>
    <w:rsid w:val="00837C41"/>
    <w:rsid w:val="00840A65"/>
    <w:rsid w:val="00840AAF"/>
    <w:rsid w:val="0084156D"/>
    <w:rsid w:val="0084160A"/>
    <w:rsid w:val="00841756"/>
    <w:rsid w:val="00841AB6"/>
    <w:rsid w:val="00841BD5"/>
    <w:rsid w:val="00841CD9"/>
    <w:rsid w:val="00841EA4"/>
    <w:rsid w:val="00841EB2"/>
    <w:rsid w:val="00842244"/>
    <w:rsid w:val="00842393"/>
    <w:rsid w:val="0084255B"/>
    <w:rsid w:val="00842992"/>
    <w:rsid w:val="00842D71"/>
    <w:rsid w:val="00843249"/>
    <w:rsid w:val="008437A2"/>
    <w:rsid w:val="008437B9"/>
    <w:rsid w:val="0084427E"/>
    <w:rsid w:val="00844296"/>
    <w:rsid w:val="008446BA"/>
    <w:rsid w:val="00844D0D"/>
    <w:rsid w:val="00844D82"/>
    <w:rsid w:val="008451FF"/>
    <w:rsid w:val="00845DD2"/>
    <w:rsid w:val="008463D5"/>
    <w:rsid w:val="00846CB3"/>
    <w:rsid w:val="00846F5B"/>
    <w:rsid w:val="0084716F"/>
    <w:rsid w:val="00847209"/>
    <w:rsid w:val="00847297"/>
    <w:rsid w:val="00847413"/>
    <w:rsid w:val="00847A80"/>
    <w:rsid w:val="00847AA4"/>
    <w:rsid w:val="00847FA4"/>
    <w:rsid w:val="00850928"/>
    <w:rsid w:val="00850D78"/>
    <w:rsid w:val="0085101D"/>
    <w:rsid w:val="008512B6"/>
    <w:rsid w:val="0085143C"/>
    <w:rsid w:val="00851A6E"/>
    <w:rsid w:val="00851B9B"/>
    <w:rsid w:val="00851F39"/>
    <w:rsid w:val="008520CF"/>
    <w:rsid w:val="0085238C"/>
    <w:rsid w:val="00852CF1"/>
    <w:rsid w:val="00852DB1"/>
    <w:rsid w:val="00852E33"/>
    <w:rsid w:val="00853559"/>
    <w:rsid w:val="008536C5"/>
    <w:rsid w:val="00853AED"/>
    <w:rsid w:val="00853E11"/>
    <w:rsid w:val="00853FB0"/>
    <w:rsid w:val="00854A5D"/>
    <w:rsid w:val="008553A9"/>
    <w:rsid w:val="008560AB"/>
    <w:rsid w:val="008564CF"/>
    <w:rsid w:val="00856A39"/>
    <w:rsid w:val="00856E88"/>
    <w:rsid w:val="008572B5"/>
    <w:rsid w:val="00857352"/>
    <w:rsid w:val="00857881"/>
    <w:rsid w:val="00857C2B"/>
    <w:rsid w:val="00857C9A"/>
    <w:rsid w:val="0086047A"/>
    <w:rsid w:val="008608D5"/>
    <w:rsid w:val="00860D6C"/>
    <w:rsid w:val="00861377"/>
    <w:rsid w:val="0086155A"/>
    <w:rsid w:val="00861886"/>
    <w:rsid w:val="00861A79"/>
    <w:rsid w:val="00861B02"/>
    <w:rsid w:val="00861B14"/>
    <w:rsid w:val="00861D6A"/>
    <w:rsid w:val="00862058"/>
    <w:rsid w:val="00862857"/>
    <w:rsid w:val="00862C53"/>
    <w:rsid w:val="00862EF5"/>
    <w:rsid w:val="00863235"/>
    <w:rsid w:val="008632BA"/>
    <w:rsid w:val="008638E9"/>
    <w:rsid w:val="00863B3D"/>
    <w:rsid w:val="00863C82"/>
    <w:rsid w:val="0086430D"/>
    <w:rsid w:val="008645D7"/>
    <w:rsid w:val="00864649"/>
    <w:rsid w:val="008648BF"/>
    <w:rsid w:val="00864EA7"/>
    <w:rsid w:val="0086508B"/>
    <w:rsid w:val="00865205"/>
    <w:rsid w:val="0086618C"/>
    <w:rsid w:val="008669E9"/>
    <w:rsid w:val="00866B0F"/>
    <w:rsid w:val="00866BE1"/>
    <w:rsid w:val="00867153"/>
    <w:rsid w:val="0087006E"/>
    <w:rsid w:val="00870CC0"/>
    <w:rsid w:val="00870F07"/>
    <w:rsid w:val="00871351"/>
    <w:rsid w:val="00871794"/>
    <w:rsid w:val="00871B78"/>
    <w:rsid w:val="0087216E"/>
    <w:rsid w:val="00872959"/>
    <w:rsid w:val="008731FC"/>
    <w:rsid w:val="00873452"/>
    <w:rsid w:val="0087379A"/>
    <w:rsid w:val="00873CB6"/>
    <w:rsid w:val="00874F6E"/>
    <w:rsid w:val="00875ACE"/>
    <w:rsid w:val="00875C6E"/>
    <w:rsid w:val="00875CA7"/>
    <w:rsid w:val="0087612A"/>
    <w:rsid w:val="00876516"/>
    <w:rsid w:val="008769AE"/>
    <w:rsid w:val="00876DDB"/>
    <w:rsid w:val="0087754A"/>
    <w:rsid w:val="00877873"/>
    <w:rsid w:val="008779BF"/>
    <w:rsid w:val="00877B0E"/>
    <w:rsid w:val="00877D75"/>
    <w:rsid w:val="00877E61"/>
    <w:rsid w:val="0088032D"/>
    <w:rsid w:val="00880E17"/>
    <w:rsid w:val="008814C5"/>
    <w:rsid w:val="008816EB"/>
    <w:rsid w:val="00881702"/>
    <w:rsid w:val="0088191D"/>
    <w:rsid w:val="00882016"/>
    <w:rsid w:val="00882B01"/>
    <w:rsid w:val="00882B15"/>
    <w:rsid w:val="00883B50"/>
    <w:rsid w:val="00883C4D"/>
    <w:rsid w:val="00883F00"/>
    <w:rsid w:val="00883F92"/>
    <w:rsid w:val="008845BB"/>
    <w:rsid w:val="00884788"/>
    <w:rsid w:val="00884801"/>
    <w:rsid w:val="00884AF0"/>
    <w:rsid w:val="00884D48"/>
    <w:rsid w:val="00884EFF"/>
    <w:rsid w:val="008851E2"/>
    <w:rsid w:val="008851EA"/>
    <w:rsid w:val="00885455"/>
    <w:rsid w:val="008854E7"/>
    <w:rsid w:val="008857B1"/>
    <w:rsid w:val="00885DE5"/>
    <w:rsid w:val="00885E9D"/>
    <w:rsid w:val="00886119"/>
    <w:rsid w:val="00886A32"/>
    <w:rsid w:val="00886ACA"/>
    <w:rsid w:val="00886BF6"/>
    <w:rsid w:val="0088718E"/>
    <w:rsid w:val="0088782B"/>
    <w:rsid w:val="00887BB9"/>
    <w:rsid w:val="00887DCF"/>
    <w:rsid w:val="008906B8"/>
    <w:rsid w:val="00890999"/>
    <w:rsid w:val="00891167"/>
    <w:rsid w:val="00891268"/>
    <w:rsid w:val="00891863"/>
    <w:rsid w:val="00891DA2"/>
    <w:rsid w:val="0089206F"/>
    <w:rsid w:val="00892191"/>
    <w:rsid w:val="00892B10"/>
    <w:rsid w:val="00892BC4"/>
    <w:rsid w:val="00892DAE"/>
    <w:rsid w:val="00892FB8"/>
    <w:rsid w:val="008934AC"/>
    <w:rsid w:val="00893A2C"/>
    <w:rsid w:val="00893A62"/>
    <w:rsid w:val="00893D59"/>
    <w:rsid w:val="008943EB"/>
    <w:rsid w:val="0089458D"/>
    <w:rsid w:val="008949B6"/>
    <w:rsid w:val="0089509D"/>
    <w:rsid w:val="008963EC"/>
    <w:rsid w:val="0089654E"/>
    <w:rsid w:val="00896768"/>
    <w:rsid w:val="00896F84"/>
    <w:rsid w:val="00897194"/>
    <w:rsid w:val="00897450"/>
    <w:rsid w:val="008979A5"/>
    <w:rsid w:val="00897F19"/>
    <w:rsid w:val="008A0418"/>
    <w:rsid w:val="008A09A9"/>
    <w:rsid w:val="008A0ECC"/>
    <w:rsid w:val="008A0FE2"/>
    <w:rsid w:val="008A1271"/>
    <w:rsid w:val="008A130A"/>
    <w:rsid w:val="008A160B"/>
    <w:rsid w:val="008A1800"/>
    <w:rsid w:val="008A1E0E"/>
    <w:rsid w:val="008A20E9"/>
    <w:rsid w:val="008A21D0"/>
    <w:rsid w:val="008A251B"/>
    <w:rsid w:val="008A2879"/>
    <w:rsid w:val="008A315C"/>
    <w:rsid w:val="008A3506"/>
    <w:rsid w:val="008A39B2"/>
    <w:rsid w:val="008A3F4E"/>
    <w:rsid w:val="008A3FDD"/>
    <w:rsid w:val="008A43A1"/>
    <w:rsid w:val="008A44AB"/>
    <w:rsid w:val="008A48E1"/>
    <w:rsid w:val="008A4FBD"/>
    <w:rsid w:val="008A5A3A"/>
    <w:rsid w:val="008A5C8E"/>
    <w:rsid w:val="008A5DEF"/>
    <w:rsid w:val="008A603E"/>
    <w:rsid w:val="008A64E9"/>
    <w:rsid w:val="008A66B7"/>
    <w:rsid w:val="008A6954"/>
    <w:rsid w:val="008A7296"/>
    <w:rsid w:val="008A7F37"/>
    <w:rsid w:val="008B034C"/>
    <w:rsid w:val="008B035C"/>
    <w:rsid w:val="008B0511"/>
    <w:rsid w:val="008B0681"/>
    <w:rsid w:val="008B174B"/>
    <w:rsid w:val="008B18CF"/>
    <w:rsid w:val="008B1A26"/>
    <w:rsid w:val="008B1F0C"/>
    <w:rsid w:val="008B20ED"/>
    <w:rsid w:val="008B224F"/>
    <w:rsid w:val="008B228C"/>
    <w:rsid w:val="008B253D"/>
    <w:rsid w:val="008B2C64"/>
    <w:rsid w:val="008B2F46"/>
    <w:rsid w:val="008B38CC"/>
    <w:rsid w:val="008B3B0D"/>
    <w:rsid w:val="008B3D2E"/>
    <w:rsid w:val="008B3EF0"/>
    <w:rsid w:val="008B411E"/>
    <w:rsid w:val="008B42A8"/>
    <w:rsid w:val="008B434B"/>
    <w:rsid w:val="008B453F"/>
    <w:rsid w:val="008B4858"/>
    <w:rsid w:val="008B4B73"/>
    <w:rsid w:val="008B53C7"/>
    <w:rsid w:val="008B5B98"/>
    <w:rsid w:val="008B612B"/>
    <w:rsid w:val="008B68EB"/>
    <w:rsid w:val="008B6C3C"/>
    <w:rsid w:val="008B6D81"/>
    <w:rsid w:val="008B74F7"/>
    <w:rsid w:val="008B7C3B"/>
    <w:rsid w:val="008C0288"/>
    <w:rsid w:val="008C059C"/>
    <w:rsid w:val="008C0BD4"/>
    <w:rsid w:val="008C1112"/>
    <w:rsid w:val="008C190D"/>
    <w:rsid w:val="008C1BA2"/>
    <w:rsid w:val="008C22B9"/>
    <w:rsid w:val="008C23D5"/>
    <w:rsid w:val="008C2516"/>
    <w:rsid w:val="008C2764"/>
    <w:rsid w:val="008C27D2"/>
    <w:rsid w:val="008C30ED"/>
    <w:rsid w:val="008C3D9A"/>
    <w:rsid w:val="008C4DAB"/>
    <w:rsid w:val="008C54C6"/>
    <w:rsid w:val="008C5D7C"/>
    <w:rsid w:val="008C6485"/>
    <w:rsid w:val="008C6713"/>
    <w:rsid w:val="008C6E59"/>
    <w:rsid w:val="008C730A"/>
    <w:rsid w:val="008C75B0"/>
    <w:rsid w:val="008C7F8A"/>
    <w:rsid w:val="008D00DD"/>
    <w:rsid w:val="008D0198"/>
    <w:rsid w:val="008D01D8"/>
    <w:rsid w:val="008D04AB"/>
    <w:rsid w:val="008D04AC"/>
    <w:rsid w:val="008D0C40"/>
    <w:rsid w:val="008D1130"/>
    <w:rsid w:val="008D24BD"/>
    <w:rsid w:val="008D2839"/>
    <w:rsid w:val="008D2B22"/>
    <w:rsid w:val="008D2E84"/>
    <w:rsid w:val="008D3059"/>
    <w:rsid w:val="008D326F"/>
    <w:rsid w:val="008D34E3"/>
    <w:rsid w:val="008D361C"/>
    <w:rsid w:val="008D3764"/>
    <w:rsid w:val="008D3BA0"/>
    <w:rsid w:val="008D3BA8"/>
    <w:rsid w:val="008D3E6E"/>
    <w:rsid w:val="008D3FCA"/>
    <w:rsid w:val="008D4196"/>
    <w:rsid w:val="008D48BD"/>
    <w:rsid w:val="008D49C5"/>
    <w:rsid w:val="008D4CD4"/>
    <w:rsid w:val="008D4F10"/>
    <w:rsid w:val="008D5872"/>
    <w:rsid w:val="008D58E1"/>
    <w:rsid w:val="008D5A7E"/>
    <w:rsid w:val="008D6153"/>
    <w:rsid w:val="008D621E"/>
    <w:rsid w:val="008D6237"/>
    <w:rsid w:val="008D66DB"/>
    <w:rsid w:val="008D6865"/>
    <w:rsid w:val="008D6C77"/>
    <w:rsid w:val="008D75F6"/>
    <w:rsid w:val="008D7912"/>
    <w:rsid w:val="008D7DA6"/>
    <w:rsid w:val="008E0048"/>
    <w:rsid w:val="008E00CD"/>
    <w:rsid w:val="008E07EB"/>
    <w:rsid w:val="008E0CDB"/>
    <w:rsid w:val="008E1250"/>
    <w:rsid w:val="008E19E0"/>
    <w:rsid w:val="008E1B85"/>
    <w:rsid w:val="008E1CD8"/>
    <w:rsid w:val="008E1FA4"/>
    <w:rsid w:val="008E21A7"/>
    <w:rsid w:val="008E26A2"/>
    <w:rsid w:val="008E26B1"/>
    <w:rsid w:val="008E328E"/>
    <w:rsid w:val="008E32FE"/>
    <w:rsid w:val="008E37DB"/>
    <w:rsid w:val="008E3800"/>
    <w:rsid w:val="008E38C1"/>
    <w:rsid w:val="008E3B9C"/>
    <w:rsid w:val="008E3DDF"/>
    <w:rsid w:val="008E4238"/>
    <w:rsid w:val="008E426B"/>
    <w:rsid w:val="008E5190"/>
    <w:rsid w:val="008E5A84"/>
    <w:rsid w:val="008E5C53"/>
    <w:rsid w:val="008E5F6F"/>
    <w:rsid w:val="008E7A36"/>
    <w:rsid w:val="008E7F76"/>
    <w:rsid w:val="008F04EA"/>
    <w:rsid w:val="008F058E"/>
    <w:rsid w:val="008F093C"/>
    <w:rsid w:val="008F0E77"/>
    <w:rsid w:val="008F1090"/>
    <w:rsid w:val="008F15DA"/>
    <w:rsid w:val="008F1802"/>
    <w:rsid w:val="008F1D94"/>
    <w:rsid w:val="008F20A3"/>
    <w:rsid w:val="008F229A"/>
    <w:rsid w:val="008F248F"/>
    <w:rsid w:val="008F27A5"/>
    <w:rsid w:val="008F2B7A"/>
    <w:rsid w:val="008F3B4C"/>
    <w:rsid w:val="008F3DE9"/>
    <w:rsid w:val="008F4024"/>
    <w:rsid w:val="008F405C"/>
    <w:rsid w:val="008F45C9"/>
    <w:rsid w:val="008F45D7"/>
    <w:rsid w:val="008F49A3"/>
    <w:rsid w:val="008F4B3E"/>
    <w:rsid w:val="008F5752"/>
    <w:rsid w:val="008F5955"/>
    <w:rsid w:val="008F5D53"/>
    <w:rsid w:val="008F5F59"/>
    <w:rsid w:val="008F603C"/>
    <w:rsid w:val="008F61CC"/>
    <w:rsid w:val="008F6CA0"/>
    <w:rsid w:val="008F723C"/>
    <w:rsid w:val="008F74FE"/>
    <w:rsid w:val="0090029D"/>
    <w:rsid w:val="0090042F"/>
    <w:rsid w:val="0090084E"/>
    <w:rsid w:val="0090088E"/>
    <w:rsid w:val="00900C27"/>
    <w:rsid w:val="009014FE"/>
    <w:rsid w:val="00901907"/>
    <w:rsid w:val="00901E37"/>
    <w:rsid w:val="00902019"/>
    <w:rsid w:val="00902028"/>
    <w:rsid w:val="009021D6"/>
    <w:rsid w:val="0090241A"/>
    <w:rsid w:val="00902970"/>
    <w:rsid w:val="00903623"/>
    <w:rsid w:val="00903C09"/>
    <w:rsid w:val="00903E9F"/>
    <w:rsid w:val="00904013"/>
    <w:rsid w:val="00904E9F"/>
    <w:rsid w:val="009056AD"/>
    <w:rsid w:val="009066E6"/>
    <w:rsid w:val="0090758E"/>
    <w:rsid w:val="009078AA"/>
    <w:rsid w:val="00907FA2"/>
    <w:rsid w:val="0091062F"/>
    <w:rsid w:val="009106DE"/>
    <w:rsid w:val="00910717"/>
    <w:rsid w:val="00910CEC"/>
    <w:rsid w:val="00910D43"/>
    <w:rsid w:val="00910F4E"/>
    <w:rsid w:val="0091121A"/>
    <w:rsid w:val="00911996"/>
    <w:rsid w:val="0091216D"/>
    <w:rsid w:val="00912470"/>
    <w:rsid w:val="00912903"/>
    <w:rsid w:val="0091292D"/>
    <w:rsid w:val="00912C8D"/>
    <w:rsid w:val="00912CBA"/>
    <w:rsid w:val="00912ED4"/>
    <w:rsid w:val="00913596"/>
    <w:rsid w:val="0091364F"/>
    <w:rsid w:val="0091385B"/>
    <w:rsid w:val="00913D9C"/>
    <w:rsid w:val="00913E9F"/>
    <w:rsid w:val="00913F5A"/>
    <w:rsid w:val="00914068"/>
    <w:rsid w:val="0091475B"/>
    <w:rsid w:val="009147F0"/>
    <w:rsid w:val="0091529E"/>
    <w:rsid w:val="00915637"/>
    <w:rsid w:val="00915AF2"/>
    <w:rsid w:val="00915C76"/>
    <w:rsid w:val="00915FFE"/>
    <w:rsid w:val="0091637E"/>
    <w:rsid w:val="0091651E"/>
    <w:rsid w:val="00916630"/>
    <w:rsid w:val="0091679E"/>
    <w:rsid w:val="009168B0"/>
    <w:rsid w:val="009171EC"/>
    <w:rsid w:val="0091752C"/>
    <w:rsid w:val="0091789C"/>
    <w:rsid w:val="00920B53"/>
    <w:rsid w:val="00920CF7"/>
    <w:rsid w:val="009210D7"/>
    <w:rsid w:val="0092138D"/>
    <w:rsid w:val="0092174E"/>
    <w:rsid w:val="00921AD3"/>
    <w:rsid w:val="00921AE9"/>
    <w:rsid w:val="009224D0"/>
    <w:rsid w:val="009225D8"/>
    <w:rsid w:val="00922688"/>
    <w:rsid w:val="00922828"/>
    <w:rsid w:val="009228F5"/>
    <w:rsid w:val="00922C2C"/>
    <w:rsid w:val="00922F57"/>
    <w:rsid w:val="00923000"/>
    <w:rsid w:val="00923475"/>
    <w:rsid w:val="009237DD"/>
    <w:rsid w:val="00923BD1"/>
    <w:rsid w:val="009246D0"/>
    <w:rsid w:val="00924908"/>
    <w:rsid w:val="00925182"/>
    <w:rsid w:val="009253EC"/>
    <w:rsid w:val="00925400"/>
    <w:rsid w:val="00925812"/>
    <w:rsid w:val="0092617C"/>
    <w:rsid w:val="009261A4"/>
    <w:rsid w:val="00926C40"/>
    <w:rsid w:val="00926DF3"/>
    <w:rsid w:val="00926EFB"/>
    <w:rsid w:val="00927176"/>
    <w:rsid w:val="0092752B"/>
    <w:rsid w:val="00927A7D"/>
    <w:rsid w:val="00927A7F"/>
    <w:rsid w:val="00927BB5"/>
    <w:rsid w:val="00927CA0"/>
    <w:rsid w:val="00927D71"/>
    <w:rsid w:val="00927E33"/>
    <w:rsid w:val="00930F50"/>
    <w:rsid w:val="00931633"/>
    <w:rsid w:val="00931988"/>
    <w:rsid w:val="00931CD3"/>
    <w:rsid w:val="00931DF8"/>
    <w:rsid w:val="009329C8"/>
    <w:rsid w:val="00933025"/>
    <w:rsid w:val="0093376B"/>
    <w:rsid w:val="00933BF1"/>
    <w:rsid w:val="00933CD2"/>
    <w:rsid w:val="009348AE"/>
    <w:rsid w:val="00934AFC"/>
    <w:rsid w:val="00934B05"/>
    <w:rsid w:val="00935607"/>
    <w:rsid w:val="00935A6D"/>
    <w:rsid w:val="00935A9E"/>
    <w:rsid w:val="00935CBF"/>
    <w:rsid w:val="0093628A"/>
    <w:rsid w:val="009363BB"/>
    <w:rsid w:val="0093653A"/>
    <w:rsid w:val="00936776"/>
    <w:rsid w:val="00936957"/>
    <w:rsid w:val="00936A8E"/>
    <w:rsid w:val="00936D41"/>
    <w:rsid w:val="00937E35"/>
    <w:rsid w:val="00940007"/>
    <w:rsid w:val="00940387"/>
    <w:rsid w:val="00940704"/>
    <w:rsid w:val="009407DB"/>
    <w:rsid w:val="00940F5E"/>
    <w:rsid w:val="00941445"/>
    <w:rsid w:val="00941BC8"/>
    <w:rsid w:val="00941F7E"/>
    <w:rsid w:val="0094235A"/>
    <w:rsid w:val="009424AC"/>
    <w:rsid w:val="009424F3"/>
    <w:rsid w:val="00942A56"/>
    <w:rsid w:val="00943227"/>
    <w:rsid w:val="0094369D"/>
    <w:rsid w:val="00943A97"/>
    <w:rsid w:val="00943DB4"/>
    <w:rsid w:val="00945125"/>
    <w:rsid w:val="00945668"/>
    <w:rsid w:val="00946396"/>
    <w:rsid w:val="009475B2"/>
    <w:rsid w:val="00947703"/>
    <w:rsid w:val="00947875"/>
    <w:rsid w:val="00947CE8"/>
    <w:rsid w:val="00950569"/>
    <w:rsid w:val="009507F4"/>
    <w:rsid w:val="00950860"/>
    <w:rsid w:val="00950906"/>
    <w:rsid w:val="009509DA"/>
    <w:rsid w:val="00950C8F"/>
    <w:rsid w:val="00951D90"/>
    <w:rsid w:val="009520F7"/>
    <w:rsid w:val="00952379"/>
    <w:rsid w:val="00952537"/>
    <w:rsid w:val="0095262D"/>
    <w:rsid w:val="009528D4"/>
    <w:rsid w:val="00952CB6"/>
    <w:rsid w:val="00953145"/>
    <w:rsid w:val="00953EC4"/>
    <w:rsid w:val="009543AC"/>
    <w:rsid w:val="009548FA"/>
    <w:rsid w:val="0095568D"/>
    <w:rsid w:val="00955A23"/>
    <w:rsid w:val="00955B54"/>
    <w:rsid w:val="009560EF"/>
    <w:rsid w:val="0095610C"/>
    <w:rsid w:val="00956397"/>
    <w:rsid w:val="009563A2"/>
    <w:rsid w:val="0095737B"/>
    <w:rsid w:val="00957D21"/>
    <w:rsid w:val="009606E3"/>
    <w:rsid w:val="00960D12"/>
    <w:rsid w:val="00960EC4"/>
    <w:rsid w:val="00961CAE"/>
    <w:rsid w:val="00961D9E"/>
    <w:rsid w:val="0096283C"/>
    <w:rsid w:val="00962A33"/>
    <w:rsid w:val="00962E53"/>
    <w:rsid w:val="00962E97"/>
    <w:rsid w:val="0096305E"/>
    <w:rsid w:val="009630E5"/>
    <w:rsid w:val="009632DE"/>
    <w:rsid w:val="009633CD"/>
    <w:rsid w:val="009638DD"/>
    <w:rsid w:val="00963AD8"/>
    <w:rsid w:val="009642B7"/>
    <w:rsid w:val="00964F6F"/>
    <w:rsid w:val="00965123"/>
    <w:rsid w:val="009652FE"/>
    <w:rsid w:val="0096574C"/>
    <w:rsid w:val="00965858"/>
    <w:rsid w:val="0096593C"/>
    <w:rsid w:val="00965B94"/>
    <w:rsid w:val="00966219"/>
    <w:rsid w:val="00966323"/>
    <w:rsid w:val="00966A84"/>
    <w:rsid w:val="00966E91"/>
    <w:rsid w:val="0096740E"/>
    <w:rsid w:val="009676C5"/>
    <w:rsid w:val="00970331"/>
    <w:rsid w:val="00970362"/>
    <w:rsid w:val="009708C1"/>
    <w:rsid w:val="00970DEF"/>
    <w:rsid w:val="00970DFC"/>
    <w:rsid w:val="00970FC6"/>
    <w:rsid w:val="00971263"/>
    <w:rsid w:val="0097136C"/>
    <w:rsid w:val="00971BEC"/>
    <w:rsid w:val="009720DD"/>
    <w:rsid w:val="00972CFB"/>
    <w:rsid w:val="00972E62"/>
    <w:rsid w:val="00973094"/>
    <w:rsid w:val="009737D1"/>
    <w:rsid w:val="00973991"/>
    <w:rsid w:val="00973A1A"/>
    <w:rsid w:val="00973EE0"/>
    <w:rsid w:val="00973F70"/>
    <w:rsid w:val="00974637"/>
    <w:rsid w:val="0097512A"/>
    <w:rsid w:val="009758D7"/>
    <w:rsid w:val="00975901"/>
    <w:rsid w:val="0097608C"/>
    <w:rsid w:val="00976533"/>
    <w:rsid w:val="009765AA"/>
    <w:rsid w:val="00976A11"/>
    <w:rsid w:val="00976C46"/>
    <w:rsid w:val="00976DE3"/>
    <w:rsid w:val="00977719"/>
    <w:rsid w:val="00977755"/>
    <w:rsid w:val="009806A6"/>
    <w:rsid w:val="00980C94"/>
    <w:rsid w:val="00980CAF"/>
    <w:rsid w:val="00981D91"/>
    <w:rsid w:val="00982528"/>
    <w:rsid w:val="00982B40"/>
    <w:rsid w:val="00982E7A"/>
    <w:rsid w:val="00982E9F"/>
    <w:rsid w:val="0098399F"/>
    <w:rsid w:val="00984732"/>
    <w:rsid w:val="0098537C"/>
    <w:rsid w:val="00986F9E"/>
    <w:rsid w:val="0098700C"/>
    <w:rsid w:val="0098759F"/>
    <w:rsid w:val="00987839"/>
    <w:rsid w:val="00987AE9"/>
    <w:rsid w:val="00987B4A"/>
    <w:rsid w:val="00987CD7"/>
    <w:rsid w:val="00987D9E"/>
    <w:rsid w:val="009912D6"/>
    <w:rsid w:val="00991A2F"/>
    <w:rsid w:val="00991AAF"/>
    <w:rsid w:val="00992C5B"/>
    <w:rsid w:val="009935C2"/>
    <w:rsid w:val="009935F5"/>
    <w:rsid w:val="009936F9"/>
    <w:rsid w:val="00993F93"/>
    <w:rsid w:val="009948C6"/>
    <w:rsid w:val="0099522E"/>
    <w:rsid w:val="00995B30"/>
    <w:rsid w:val="0099604B"/>
    <w:rsid w:val="009965EE"/>
    <w:rsid w:val="009966D3"/>
    <w:rsid w:val="00996865"/>
    <w:rsid w:val="00996C1A"/>
    <w:rsid w:val="009970D5"/>
    <w:rsid w:val="009979DA"/>
    <w:rsid w:val="00997F4B"/>
    <w:rsid w:val="009A03E8"/>
    <w:rsid w:val="009A076B"/>
    <w:rsid w:val="009A07BA"/>
    <w:rsid w:val="009A087D"/>
    <w:rsid w:val="009A08CA"/>
    <w:rsid w:val="009A0F5C"/>
    <w:rsid w:val="009A113A"/>
    <w:rsid w:val="009A1319"/>
    <w:rsid w:val="009A1DCD"/>
    <w:rsid w:val="009A2034"/>
    <w:rsid w:val="009A20AB"/>
    <w:rsid w:val="009A212E"/>
    <w:rsid w:val="009A256B"/>
    <w:rsid w:val="009A25C6"/>
    <w:rsid w:val="009A302E"/>
    <w:rsid w:val="009A3707"/>
    <w:rsid w:val="009A3746"/>
    <w:rsid w:val="009A3865"/>
    <w:rsid w:val="009A407B"/>
    <w:rsid w:val="009A5475"/>
    <w:rsid w:val="009A54B4"/>
    <w:rsid w:val="009A6165"/>
    <w:rsid w:val="009A61F2"/>
    <w:rsid w:val="009A62CE"/>
    <w:rsid w:val="009A758C"/>
    <w:rsid w:val="009A79B9"/>
    <w:rsid w:val="009B0065"/>
    <w:rsid w:val="009B0180"/>
    <w:rsid w:val="009B0DA1"/>
    <w:rsid w:val="009B1112"/>
    <w:rsid w:val="009B115D"/>
    <w:rsid w:val="009B19D9"/>
    <w:rsid w:val="009B1D6D"/>
    <w:rsid w:val="009B209B"/>
    <w:rsid w:val="009B2912"/>
    <w:rsid w:val="009B2CD8"/>
    <w:rsid w:val="009B2D90"/>
    <w:rsid w:val="009B2EFA"/>
    <w:rsid w:val="009B3195"/>
    <w:rsid w:val="009B36DA"/>
    <w:rsid w:val="009B3D99"/>
    <w:rsid w:val="009B400E"/>
    <w:rsid w:val="009B422B"/>
    <w:rsid w:val="009B574F"/>
    <w:rsid w:val="009B62EB"/>
    <w:rsid w:val="009B638B"/>
    <w:rsid w:val="009B6EF6"/>
    <w:rsid w:val="009B6F79"/>
    <w:rsid w:val="009B72CD"/>
    <w:rsid w:val="009C0259"/>
    <w:rsid w:val="009C097D"/>
    <w:rsid w:val="009C0ED0"/>
    <w:rsid w:val="009C1287"/>
    <w:rsid w:val="009C170E"/>
    <w:rsid w:val="009C1811"/>
    <w:rsid w:val="009C24D3"/>
    <w:rsid w:val="009C2559"/>
    <w:rsid w:val="009C259B"/>
    <w:rsid w:val="009C2882"/>
    <w:rsid w:val="009C297F"/>
    <w:rsid w:val="009C37A8"/>
    <w:rsid w:val="009C3F1B"/>
    <w:rsid w:val="009C433E"/>
    <w:rsid w:val="009C4F52"/>
    <w:rsid w:val="009C5340"/>
    <w:rsid w:val="009C54A9"/>
    <w:rsid w:val="009C6127"/>
    <w:rsid w:val="009C665F"/>
    <w:rsid w:val="009C6A70"/>
    <w:rsid w:val="009C7573"/>
    <w:rsid w:val="009C7EBA"/>
    <w:rsid w:val="009D027C"/>
    <w:rsid w:val="009D0650"/>
    <w:rsid w:val="009D06BA"/>
    <w:rsid w:val="009D09AE"/>
    <w:rsid w:val="009D0B3E"/>
    <w:rsid w:val="009D0B5E"/>
    <w:rsid w:val="009D0BBA"/>
    <w:rsid w:val="009D0F1F"/>
    <w:rsid w:val="009D2268"/>
    <w:rsid w:val="009D23A1"/>
    <w:rsid w:val="009D23FA"/>
    <w:rsid w:val="009D295B"/>
    <w:rsid w:val="009D327F"/>
    <w:rsid w:val="009D3807"/>
    <w:rsid w:val="009D3A4A"/>
    <w:rsid w:val="009D4196"/>
    <w:rsid w:val="009D4660"/>
    <w:rsid w:val="009D490C"/>
    <w:rsid w:val="009D4AE8"/>
    <w:rsid w:val="009D51FE"/>
    <w:rsid w:val="009D5871"/>
    <w:rsid w:val="009D5E58"/>
    <w:rsid w:val="009D5F49"/>
    <w:rsid w:val="009D6041"/>
    <w:rsid w:val="009D63E8"/>
    <w:rsid w:val="009D6695"/>
    <w:rsid w:val="009D69DE"/>
    <w:rsid w:val="009D6A6E"/>
    <w:rsid w:val="009D6C99"/>
    <w:rsid w:val="009D6DC0"/>
    <w:rsid w:val="009D7381"/>
    <w:rsid w:val="009D777B"/>
    <w:rsid w:val="009E02F9"/>
    <w:rsid w:val="009E058F"/>
    <w:rsid w:val="009E0B1C"/>
    <w:rsid w:val="009E0D24"/>
    <w:rsid w:val="009E0E97"/>
    <w:rsid w:val="009E0F5E"/>
    <w:rsid w:val="009E1537"/>
    <w:rsid w:val="009E180A"/>
    <w:rsid w:val="009E1977"/>
    <w:rsid w:val="009E1C29"/>
    <w:rsid w:val="009E2EBF"/>
    <w:rsid w:val="009E3445"/>
    <w:rsid w:val="009E3861"/>
    <w:rsid w:val="009E3BED"/>
    <w:rsid w:val="009E3F2F"/>
    <w:rsid w:val="009E41DC"/>
    <w:rsid w:val="009E43FC"/>
    <w:rsid w:val="009E4B89"/>
    <w:rsid w:val="009E57A7"/>
    <w:rsid w:val="009E5B69"/>
    <w:rsid w:val="009E5BAB"/>
    <w:rsid w:val="009E5C54"/>
    <w:rsid w:val="009E5DBA"/>
    <w:rsid w:val="009E5DCB"/>
    <w:rsid w:val="009E5EA6"/>
    <w:rsid w:val="009E6C62"/>
    <w:rsid w:val="009E7755"/>
    <w:rsid w:val="009E7BBC"/>
    <w:rsid w:val="009E7BF6"/>
    <w:rsid w:val="009E7C02"/>
    <w:rsid w:val="009F04B2"/>
    <w:rsid w:val="009F0FA7"/>
    <w:rsid w:val="009F16A9"/>
    <w:rsid w:val="009F19C3"/>
    <w:rsid w:val="009F1CE1"/>
    <w:rsid w:val="009F2575"/>
    <w:rsid w:val="009F3919"/>
    <w:rsid w:val="009F3C76"/>
    <w:rsid w:val="009F3E9F"/>
    <w:rsid w:val="009F40AF"/>
    <w:rsid w:val="009F44C1"/>
    <w:rsid w:val="009F4761"/>
    <w:rsid w:val="009F49DB"/>
    <w:rsid w:val="009F4C3A"/>
    <w:rsid w:val="009F4C88"/>
    <w:rsid w:val="009F5014"/>
    <w:rsid w:val="009F5613"/>
    <w:rsid w:val="009F5946"/>
    <w:rsid w:val="009F5D5E"/>
    <w:rsid w:val="009F5E15"/>
    <w:rsid w:val="009F6430"/>
    <w:rsid w:val="009F6550"/>
    <w:rsid w:val="009F6611"/>
    <w:rsid w:val="009F6F39"/>
    <w:rsid w:val="009F7347"/>
    <w:rsid w:val="009F7352"/>
    <w:rsid w:val="009F7715"/>
    <w:rsid w:val="009F7830"/>
    <w:rsid w:val="009F7FE4"/>
    <w:rsid w:val="00A00260"/>
    <w:rsid w:val="00A00496"/>
    <w:rsid w:val="00A004E4"/>
    <w:rsid w:val="00A01030"/>
    <w:rsid w:val="00A014E2"/>
    <w:rsid w:val="00A01892"/>
    <w:rsid w:val="00A01968"/>
    <w:rsid w:val="00A02317"/>
    <w:rsid w:val="00A02541"/>
    <w:rsid w:val="00A0274F"/>
    <w:rsid w:val="00A0286A"/>
    <w:rsid w:val="00A029E3"/>
    <w:rsid w:val="00A02E4A"/>
    <w:rsid w:val="00A02F3F"/>
    <w:rsid w:val="00A0315B"/>
    <w:rsid w:val="00A037C2"/>
    <w:rsid w:val="00A03868"/>
    <w:rsid w:val="00A0412E"/>
    <w:rsid w:val="00A04540"/>
    <w:rsid w:val="00A04A84"/>
    <w:rsid w:val="00A04B0E"/>
    <w:rsid w:val="00A04D7F"/>
    <w:rsid w:val="00A04E8D"/>
    <w:rsid w:val="00A05242"/>
    <w:rsid w:val="00A0538C"/>
    <w:rsid w:val="00A05438"/>
    <w:rsid w:val="00A056FB"/>
    <w:rsid w:val="00A05A2E"/>
    <w:rsid w:val="00A05C7F"/>
    <w:rsid w:val="00A05CB8"/>
    <w:rsid w:val="00A06C78"/>
    <w:rsid w:val="00A07081"/>
    <w:rsid w:val="00A074F0"/>
    <w:rsid w:val="00A07E5D"/>
    <w:rsid w:val="00A107BA"/>
    <w:rsid w:val="00A10DD0"/>
    <w:rsid w:val="00A11194"/>
    <w:rsid w:val="00A1137B"/>
    <w:rsid w:val="00A11815"/>
    <w:rsid w:val="00A11C33"/>
    <w:rsid w:val="00A12625"/>
    <w:rsid w:val="00A12BDE"/>
    <w:rsid w:val="00A12C01"/>
    <w:rsid w:val="00A12E32"/>
    <w:rsid w:val="00A130EE"/>
    <w:rsid w:val="00A14607"/>
    <w:rsid w:val="00A14806"/>
    <w:rsid w:val="00A14930"/>
    <w:rsid w:val="00A14F2D"/>
    <w:rsid w:val="00A14FDF"/>
    <w:rsid w:val="00A15108"/>
    <w:rsid w:val="00A15632"/>
    <w:rsid w:val="00A157A1"/>
    <w:rsid w:val="00A161A5"/>
    <w:rsid w:val="00A167ED"/>
    <w:rsid w:val="00A170F1"/>
    <w:rsid w:val="00A1764B"/>
    <w:rsid w:val="00A176E5"/>
    <w:rsid w:val="00A17C06"/>
    <w:rsid w:val="00A17D66"/>
    <w:rsid w:val="00A17FEA"/>
    <w:rsid w:val="00A209B2"/>
    <w:rsid w:val="00A2177F"/>
    <w:rsid w:val="00A21A8A"/>
    <w:rsid w:val="00A21EFA"/>
    <w:rsid w:val="00A22173"/>
    <w:rsid w:val="00A223C7"/>
    <w:rsid w:val="00A230DF"/>
    <w:rsid w:val="00A2330B"/>
    <w:rsid w:val="00A238E1"/>
    <w:rsid w:val="00A23911"/>
    <w:rsid w:val="00A23CF8"/>
    <w:rsid w:val="00A2403F"/>
    <w:rsid w:val="00A2418C"/>
    <w:rsid w:val="00A241D3"/>
    <w:rsid w:val="00A24A53"/>
    <w:rsid w:val="00A24EE0"/>
    <w:rsid w:val="00A25A99"/>
    <w:rsid w:val="00A25AB4"/>
    <w:rsid w:val="00A25AE3"/>
    <w:rsid w:val="00A25E04"/>
    <w:rsid w:val="00A261ED"/>
    <w:rsid w:val="00A2629B"/>
    <w:rsid w:val="00A26FF6"/>
    <w:rsid w:val="00A27826"/>
    <w:rsid w:val="00A278DE"/>
    <w:rsid w:val="00A27BA0"/>
    <w:rsid w:val="00A27FE0"/>
    <w:rsid w:val="00A30892"/>
    <w:rsid w:val="00A311EA"/>
    <w:rsid w:val="00A31F55"/>
    <w:rsid w:val="00A3231E"/>
    <w:rsid w:val="00A3259B"/>
    <w:rsid w:val="00A3294A"/>
    <w:rsid w:val="00A32996"/>
    <w:rsid w:val="00A33508"/>
    <w:rsid w:val="00A33E13"/>
    <w:rsid w:val="00A342DE"/>
    <w:rsid w:val="00A349DA"/>
    <w:rsid w:val="00A34EC6"/>
    <w:rsid w:val="00A3575A"/>
    <w:rsid w:val="00A358CE"/>
    <w:rsid w:val="00A35AD2"/>
    <w:rsid w:val="00A36363"/>
    <w:rsid w:val="00A36AD0"/>
    <w:rsid w:val="00A374A0"/>
    <w:rsid w:val="00A37530"/>
    <w:rsid w:val="00A40128"/>
    <w:rsid w:val="00A411F1"/>
    <w:rsid w:val="00A413B6"/>
    <w:rsid w:val="00A415AE"/>
    <w:rsid w:val="00A418DC"/>
    <w:rsid w:val="00A41A24"/>
    <w:rsid w:val="00A41B36"/>
    <w:rsid w:val="00A41BE7"/>
    <w:rsid w:val="00A41C15"/>
    <w:rsid w:val="00A41D3C"/>
    <w:rsid w:val="00A42194"/>
    <w:rsid w:val="00A425DB"/>
    <w:rsid w:val="00A42ABE"/>
    <w:rsid w:val="00A430CF"/>
    <w:rsid w:val="00A431F7"/>
    <w:rsid w:val="00A434F2"/>
    <w:rsid w:val="00A435B0"/>
    <w:rsid w:val="00A43A32"/>
    <w:rsid w:val="00A43A4C"/>
    <w:rsid w:val="00A43DDB"/>
    <w:rsid w:val="00A43FEF"/>
    <w:rsid w:val="00A44135"/>
    <w:rsid w:val="00A44977"/>
    <w:rsid w:val="00A4518F"/>
    <w:rsid w:val="00A4651C"/>
    <w:rsid w:val="00A4691F"/>
    <w:rsid w:val="00A46F40"/>
    <w:rsid w:val="00A4757F"/>
    <w:rsid w:val="00A4786F"/>
    <w:rsid w:val="00A4797F"/>
    <w:rsid w:val="00A50337"/>
    <w:rsid w:val="00A50DE5"/>
    <w:rsid w:val="00A512C9"/>
    <w:rsid w:val="00A512FC"/>
    <w:rsid w:val="00A5134C"/>
    <w:rsid w:val="00A518E2"/>
    <w:rsid w:val="00A519A7"/>
    <w:rsid w:val="00A51E9E"/>
    <w:rsid w:val="00A51FB5"/>
    <w:rsid w:val="00A52119"/>
    <w:rsid w:val="00A5222B"/>
    <w:rsid w:val="00A52274"/>
    <w:rsid w:val="00A5238F"/>
    <w:rsid w:val="00A528D3"/>
    <w:rsid w:val="00A5351A"/>
    <w:rsid w:val="00A53617"/>
    <w:rsid w:val="00A53C1B"/>
    <w:rsid w:val="00A541E1"/>
    <w:rsid w:val="00A545A9"/>
    <w:rsid w:val="00A54A10"/>
    <w:rsid w:val="00A54FA3"/>
    <w:rsid w:val="00A5527B"/>
    <w:rsid w:val="00A553F3"/>
    <w:rsid w:val="00A555AA"/>
    <w:rsid w:val="00A555E7"/>
    <w:rsid w:val="00A55B7B"/>
    <w:rsid w:val="00A55C57"/>
    <w:rsid w:val="00A55D37"/>
    <w:rsid w:val="00A55D82"/>
    <w:rsid w:val="00A55F5F"/>
    <w:rsid w:val="00A56033"/>
    <w:rsid w:val="00A569B2"/>
    <w:rsid w:val="00A56AFB"/>
    <w:rsid w:val="00A5703A"/>
    <w:rsid w:val="00A57232"/>
    <w:rsid w:val="00A5738A"/>
    <w:rsid w:val="00A57E82"/>
    <w:rsid w:val="00A60671"/>
    <w:rsid w:val="00A609FF"/>
    <w:rsid w:val="00A60DA5"/>
    <w:rsid w:val="00A61137"/>
    <w:rsid w:val="00A613C1"/>
    <w:rsid w:val="00A6165B"/>
    <w:rsid w:val="00A61953"/>
    <w:rsid w:val="00A6199A"/>
    <w:rsid w:val="00A61D02"/>
    <w:rsid w:val="00A621CC"/>
    <w:rsid w:val="00A62AD0"/>
    <w:rsid w:val="00A62C9E"/>
    <w:rsid w:val="00A636F9"/>
    <w:rsid w:val="00A6392B"/>
    <w:rsid w:val="00A639FD"/>
    <w:rsid w:val="00A64A18"/>
    <w:rsid w:val="00A64B4E"/>
    <w:rsid w:val="00A6500C"/>
    <w:rsid w:val="00A6563D"/>
    <w:rsid w:val="00A65BA0"/>
    <w:rsid w:val="00A661D2"/>
    <w:rsid w:val="00A66390"/>
    <w:rsid w:val="00A664B5"/>
    <w:rsid w:val="00A66766"/>
    <w:rsid w:val="00A66BB9"/>
    <w:rsid w:val="00A66D2E"/>
    <w:rsid w:val="00A674B5"/>
    <w:rsid w:val="00A678C0"/>
    <w:rsid w:val="00A679E5"/>
    <w:rsid w:val="00A67FDA"/>
    <w:rsid w:val="00A7026E"/>
    <w:rsid w:val="00A703E6"/>
    <w:rsid w:val="00A7048E"/>
    <w:rsid w:val="00A70A27"/>
    <w:rsid w:val="00A70FF4"/>
    <w:rsid w:val="00A718EE"/>
    <w:rsid w:val="00A71C09"/>
    <w:rsid w:val="00A71E24"/>
    <w:rsid w:val="00A720F3"/>
    <w:rsid w:val="00A72136"/>
    <w:rsid w:val="00A7284B"/>
    <w:rsid w:val="00A729F2"/>
    <w:rsid w:val="00A72CF3"/>
    <w:rsid w:val="00A74326"/>
    <w:rsid w:val="00A746E4"/>
    <w:rsid w:val="00A747FD"/>
    <w:rsid w:val="00A751D7"/>
    <w:rsid w:val="00A7551F"/>
    <w:rsid w:val="00A75A0C"/>
    <w:rsid w:val="00A76610"/>
    <w:rsid w:val="00A767E8"/>
    <w:rsid w:val="00A77546"/>
    <w:rsid w:val="00A776C3"/>
    <w:rsid w:val="00A77D28"/>
    <w:rsid w:val="00A803DE"/>
    <w:rsid w:val="00A80AFC"/>
    <w:rsid w:val="00A80DC2"/>
    <w:rsid w:val="00A81063"/>
    <w:rsid w:val="00A81229"/>
    <w:rsid w:val="00A81D43"/>
    <w:rsid w:val="00A82190"/>
    <w:rsid w:val="00A82D3D"/>
    <w:rsid w:val="00A83129"/>
    <w:rsid w:val="00A83B20"/>
    <w:rsid w:val="00A83ED9"/>
    <w:rsid w:val="00A84118"/>
    <w:rsid w:val="00A849FC"/>
    <w:rsid w:val="00A84D27"/>
    <w:rsid w:val="00A856D2"/>
    <w:rsid w:val="00A85791"/>
    <w:rsid w:val="00A85C24"/>
    <w:rsid w:val="00A85E94"/>
    <w:rsid w:val="00A860CB"/>
    <w:rsid w:val="00A8629D"/>
    <w:rsid w:val="00A8664D"/>
    <w:rsid w:val="00A86F94"/>
    <w:rsid w:val="00A875F1"/>
    <w:rsid w:val="00A87965"/>
    <w:rsid w:val="00A87CA3"/>
    <w:rsid w:val="00A901FE"/>
    <w:rsid w:val="00A90AA4"/>
    <w:rsid w:val="00A9185F"/>
    <w:rsid w:val="00A91AAC"/>
    <w:rsid w:val="00A91FB1"/>
    <w:rsid w:val="00A9285B"/>
    <w:rsid w:val="00A92D3D"/>
    <w:rsid w:val="00A92D92"/>
    <w:rsid w:val="00A93397"/>
    <w:rsid w:val="00A9340D"/>
    <w:rsid w:val="00A94098"/>
    <w:rsid w:val="00A94110"/>
    <w:rsid w:val="00A9469D"/>
    <w:rsid w:val="00A94847"/>
    <w:rsid w:val="00A94885"/>
    <w:rsid w:val="00A9495B"/>
    <w:rsid w:val="00A94B7F"/>
    <w:rsid w:val="00A94D08"/>
    <w:rsid w:val="00A95546"/>
    <w:rsid w:val="00A956DE"/>
    <w:rsid w:val="00A960B7"/>
    <w:rsid w:val="00A9624E"/>
    <w:rsid w:val="00A96381"/>
    <w:rsid w:val="00A963DA"/>
    <w:rsid w:val="00A96712"/>
    <w:rsid w:val="00A96BDA"/>
    <w:rsid w:val="00A96CBF"/>
    <w:rsid w:val="00A97389"/>
    <w:rsid w:val="00A9762C"/>
    <w:rsid w:val="00A9775F"/>
    <w:rsid w:val="00A978D7"/>
    <w:rsid w:val="00A97AC5"/>
    <w:rsid w:val="00A97DC6"/>
    <w:rsid w:val="00A97F4B"/>
    <w:rsid w:val="00AA01EE"/>
    <w:rsid w:val="00AA02A6"/>
    <w:rsid w:val="00AA0747"/>
    <w:rsid w:val="00AA0E46"/>
    <w:rsid w:val="00AA18E0"/>
    <w:rsid w:val="00AA1C48"/>
    <w:rsid w:val="00AA20CD"/>
    <w:rsid w:val="00AA22F0"/>
    <w:rsid w:val="00AA233E"/>
    <w:rsid w:val="00AA2BEA"/>
    <w:rsid w:val="00AA3172"/>
    <w:rsid w:val="00AA36FE"/>
    <w:rsid w:val="00AA3AD7"/>
    <w:rsid w:val="00AA4275"/>
    <w:rsid w:val="00AA44F1"/>
    <w:rsid w:val="00AA487A"/>
    <w:rsid w:val="00AA4918"/>
    <w:rsid w:val="00AA52E8"/>
    <w:rsid w:val="00AA52FE"/>
    <w:rsid w:val="00AA554C"/>
    <w:rsid w:val="00AA6183"/>
    <w:rsid w:val="00AA66D3"/>
    <w:rsid w:val="00AA6814"/>
    <w:rsid w:val="00AA686F"/>
    <w:rsid w:val="00AA697A"/>
    <w:rsid w:val="00AA6B38"/>
    <w:rsid w:val="00AA71B9"/>
    <w:rsid w:val="00AA78EE"/>
    <w:rsid w:val="00AA7C2E"/>
    <w:rsid w:val="00AA7CF2"/>
    <w:rsid w:val="00AB077C"/>
    <w:rsid w:val="00AB10FB"/>
    <w:rsid w:val="00AB1124"/>
    <w:rsid w:val="00AB147E"/>
    <w:rsid w:val="00AB1C7C"/>
    <w:rsid w:val="00AB21D1"/>
    <w:rsid w:val="00AB23FC"/>
    <w:rsid w:val="00AB24EF"/>
    <w:rsid w:val="00AB285B"/>
    <w:rsid w:val="00AB2E45"/>
    <w:rsid w:val="00AB2F8A"/>
    <w:rsid w:val="00AB312A"/>
    <w:rsid w:val="00AB32C2"/>
    <w:rsid w:val="00AB3D82"/>
    <w:rsid w:val="00AB4042"/>
    <w:rsid w:val="00AB40A1"/>
    <w:rsid w:val="00AB40FC"/>
    <w:rsid w:val="00AB41BC"/>
    <w:rsid w:val="00AB4328"/>
    <w:rsid w:val="00AB496C"/>
    <w:rsid w:val="00AB4C0D"/>
    <w:rsid w:val="00AB4C7F"/>
    <w:rsid w:val="00AB5557"/>
    <w:rsid w:val="00AB5DE7"/>
    <w:rsid w:val="00AB64F8"/>
    <w:rsid w:val="00AB6D09"/>
    <w:rsid w:val="00AB6DD0"/>
    <w:rsid w:val="00AB7525"/>
    <w:rsid w:val="00AB764D"/>
    <w:rsid w:val="00AC02F5"/>
    <w:rsid w:val="00AC091F"/>
    <w:rsid w:val="00AC0E9E"/>
    <w:rsid w:val="00AC11C6"/>
    <w:rsid w:val="00AC229E"/>
    <w:rsid w:val="00AC27B3"/>
    <w:rsid w:val="00AC295A"/>
    <w:rsid w:val="00AC2EEE"/>
    <w:rsid w:val="00AC31CC"/>
    <w:rsid w:val="00AC3228"/>
    <w:rsid w:val="00AC353D"/>
    <w:rsid w:val="00AC3647"/>
    <w:rsid w:val="00AC386D"/>
    <w:rsid w:val="00AC3B39"/>
    <w:rsid w:val="00AC3CE1"/>
    <w:rsid w:val="00AC3DB9"/>
    <w:rsid w:val="00AC45AB"/>
    <w:rsid w:val="00AC4CB6"/>
    <w:rsid w:val="00AC4FCB"/>
    <w:rsid w:val="00AC5467"/>
    <w:rsid w:val="00AC5D4C"/>
    <w:rsid w:val="00AC63E2"/>
    <w:rsid w:val="00AC72FA"/>
    <w:rsid w:val="00AC765D"/>
    <w:rsid w:val="00AC7884"/>
    <w:rsid w:val="00AC79BE"/>
    <w:rsid w:val="00AD024F"/>
    <w:rsid w:val="00AD0D82"/>
    <w:rsid w:val="00AD153C"/>
    <w:rsid w:val="00AD199B"/>
    <w:rsid w:val="00AD1B9D"/>
    <w:rsid w:val="00AD1BCA"/>
    <w:rsid w:val="00AD224E"/>
    <w:rsid w:val="00AD3524"/>
    <w:rsid w:val="00AD376B"/>
    <w:rsid w:val="00AD3EAE"/>
    <w:rsid w:val="00AD3EB3"/>
    <w:rsid w:val="00AD3F33"/>
    <w:rsid w:val="00AD3F98"/>
    <w:rsid w:val="00AD49C8"/>
    <w:rsid w:val="00AD49E9"/>
    <w:rsid w:val="00AD5F54"/>
    <w:rsid w:val="00AD6C8F"/>
    <w:rsid w:val="00AD6ED0"/>
    <w:rsid w:val="00AD6FA1"/>
    <w:rsid w:val="00AD722B"/>
    <w:rsid w:val="00AD7311"/>
    <w:rsid w:val="00AD7900"/>
    <w:rsid w:val="00AD7CD6"/>
    <w:rsid w:val="00AE0C89"/>
    <w:rsid w:val="00AE189C"/>
    <w:rsid w:val="00AE1AA4"/>
    <w:rsid w:val="00AE1CA2"/>
    <w:rsid w:val="00AE20C9"/>
    <w:rsid w:val="00AE20D8"/>
    <w:rsid w:val="00AE2C8D"/>
    <w:rsid w:val="00AE3457"/>
    <w:rsid w:val="00AE42DE"/>
    <w:rsid w:val="00AE4C85"/>
    <w:rsid w:val="00AE5542"/>
    <w:rsid w:val="00AE570D"/>
    <w:rsid w:val="00AE63FB"/>
    <w:rsid w:val="00AE65FA"/>
    <w:rsid w:val="00AE6631"/>
    <w:rsid w:val="00AE682A"/>
    <w:rsid w:val="00AE6A90"/>
    <w:rsid w:val="00AE7DF5"/>
    <w:rsid w:val="00AF00BB"/>
    <w:rsid w:val="00AF0225"/>
    <w:rsid w:val="00AF02DB"/>
    <w:rsid w:val="00AF0B8B"/>
    <w:rsid w:val="00AF0E08"/>
    <w:rsid w:val="00AF12BA"/>
    <w:rsid w:val="00AF1540"/>
    <w:rsid w:val="00AF16D3"/>
    <w:rsid w:val="00AF1840"/>
    <w:rsid w:val="00AF1F6D"/>
    <w:rsid w:val="00AF2613"/>
    <w:rsid w:val="00AF37B9"/>
    <w:rsid w:val="00AF3812"/>
    <w:rsid w:val="00AF38EE"/>
    <w:rsid w:val="00AF3A05"/>
    <w:rsid w:val="00AF3B62"/>
    <w:rsid w:val="00AF3BB0"/>
    <w:rsid w:val="00AF4099"/>
    <w:rsid w:val="00AF410B"/>
    <w:rsid w:val="00AF43C3"/>
    <w:rsid w:val="00AF457D"/>
    <w:rsid w:val="00AF4E35"/>
    <w:rsid w:val="00AF559C"/>
    <w:rsid w:val="00AF5B81"/>
    <w:rsid w:val="00AF5F13"/>
    <w:rsid w:val="00AF6107"/>
    <w:rsid w:val="00AF616D"/>
    <w:rsid w:val="00AF65D4"/>
    <w:rsid w:val="00AF681E"/>
    <w:rsid w:val="00AF6A27"/>
    <w:rsid w:val="00AF709E"/>
    <w:rsid w:val="00AF735F"/>
    <w:rsid w:val="00AF7BA1"/>
    <w:rsid w:val="00AF7C51"/>
    <w:rsid w:val="00B009EC"/>
    <w:rsid w:val="00B00ADB"/>
    <w:rsid w:val="00B00DCA"/>
    <w:rsid w:val="00B00E95"/>
    <w:rsid w:val="00B011D2"/>
    <w:rsid w:val="00B01AA9"/>
    <w:rsid w:val="00B01C44"/>
    <w:rsid w:val="00B01D95"/>
    <w:rsid w:val="00B02477"/>
    <w:rsid w:val="00B02A2F"/>
    <w:rsid w:val="00B02CCF"/>
    <w:rsid w:val="00B03940"/>
    <w:rsid w:val="00B03DEC"/>
    <w:rsid w:val="00B03F5C"/>
    <w:rsid w:val="00B0487A"/>
    <w:rsid w:val="00B04887"/>
    <w:rsid w:val="00B04EEE"/>
    <w:rsid w:val="00B05197"/>
    <w:rsid w:val="00B052D3"/>
    <w:rsid w:val="00B05402"/>
    <w:rsid w:val="00B05451"/>
    <w:rsid w:val="00B055C4"/>
    <w:rsid w:val="00B056CC"/>
    <w:rsid w:val="00B05A99"/>
    <w:rsid w:val="00B078DD"/>
    <w:rsid w:val="00B07D0E"/>
    <w:rsid w:val="00B07FCF"/>
    <w:rsid w:val="00B10214"/>
    <w:rsid w:val="00B1030A"/>
    <w:rsid w:val="00B10764"/>
    <w:rsid w:val="00B107A4"/>
    <w:rsid w:val="00B10851"/>
    <w:rsid w:val="00B108A3"/>
    <w:rsid w:val="00B10C6E"/>
    <w:rsid w:val="00B11170"/>
    <w:rsid w:val="00B111CB"/>
    <w:rsid w:val="00B11596"/>
    <w:rsid w:val="00B120CE"/>
    <w:rsid w:val="00B127AB"/>
    <w:rsid w:val="00B12B1D"/>
    <w:rsid w:val="00B13513"/>
    <w:rsid w:val="00B13BAA"/>
    <w:rsid w:val="00B13FF5"/>
    <w:rsid w:val="00B15D94"/>
    <w:rsid w:val="00B15F74"/>
    <w:rsid w:val="00B16019"/>
    <w:rsid w:val="00B167EE"/>
    <w:rsid w:val="00B17146"/>
    <w:rsid w:val="00B175D3"/>
    <w:rsid w:val="00B1768A"/>
    <w:rsid w:val="00B17707"/>
    <w:rsid w:val="00B17737"/>
    <w:rsid w:val="00B177BD"/>
    <w:rsid w:val="00B200A1"/>
    <w:rsid w:val="00B2087E"/>
    <w:rsid w:val="00B2114E"/>
    <w:rsid w:val="00B21DB6"/>
    <w:rsid w:val="00B21DC9"/>
    <w:rsid w:val="00B222FD"/>
    <w:rsid w:val="00B22C75"/>
    <w:rsid w:val="00B230A2"/>
    <w:rsid w:val="00B23533"/>
    <w:rsid w:val="00B23543"/>
    <w:rsid w:val="00B23A60"/>
    <w:rsid w:val="00B23A86"/>
    <w:rsid w:val="00B23C08"/>
    <w:rsid w:val="00B24468"/>
    <w:rsid w:val="00B2492D"/>
    <w:rsid w:val="00B2508F"/>
    <w:rsid w:val="00B258F5"/>
    <w:rsid w:val="00B25D4E"/>
    <w:rsid w:val="00B2628F"/>
    <w:rsid w:val="00B26760"/>
    <w:rsid w:val="00B26E8C"/>
    <w:rsid w:val="00B27C36"/>
    <w:rsid w:val="00B27F91"/>
    <w:rsid w:val="00B30A80"/>
    <w:rsid w:val="00B32DC0"/>
    <w:rsid w:val="00B33184"/>
    <w:rsid w:val="00B3338A"/>
    <w:rsid w:val="00B33546"/>
    <w:rsid w:val="00B33571"/>
    <w:rsid w:val="00B3367A"/>
    <w:rsid w:val="00B34194"/>
    <w:rsid w:val="00B34318"/>
    <w:rsid w:val="00B34A98"/>
    <w:rsid w:val="00B35AFF"/>
    <w:rsid w:val="00B35D3F"/>
    <w:rsid w:val="00B36067"/>
    <w:rsid w:val="00B3641C"/>
    <w:rsid w:val="00B364CD"/>
    <w:rsid w:val="00B36AC0"/>
    <w:rsid w:val="00B37750"/>
    <w:rsid w:val="00B40A29"/>
    <w:rsid w:val="00B41494"/>
    <w:rsid w:val="00B416BF"/>
    <w:rsid w:val="00B41A92"/>
    <w:rsid w:val="00B41E41"/>
    <w:rsid w:val="00B41E84"/>
    <w:rsid w:val="00B42565"/>
    <w:rsid w:val="00B425B7"/>
    <w:rsid w:val="00B426A0"/>
    <w:rsid w:val="00B429A4"/>
    <w:rsid w:val="00B429D1"/>
    <w:rsid w:val="00B42F57"/>
    <w:rsid w:val="00B432FF"/>
    <w:rsid w:val="00B4399A"/>
    <w:rsid w:val="00B43E87"/>
    <w:rsid w:val="00B44B61"/>
    <w:rsid w:val="00B44BA2"/>
    <w:rsid w:val="00B45274"/>
    <w:rsid w:val="00B45334"/>
    <w:rsid w:val="00B45416"/>
    <w:rsid w:val="00B4596F"/>
    <w:rsid w:val="00B4598A"/>
    <w:rsid w:val="00B459A5"/>
    <w:rsid w:val="00B45E31"/>
    <w:rsid w:val="00B45E8E"/>
    <w:rsid w:val="00B46213"/>
    <w:rsid w:val="00B46425"/>
    <w:rsid w:val="00B465E7"/>
    <w:rsid w:val="00B4663D"/>
    <w:rsid w:val="00B46853"/>
    <w:rsid w:val="00B46B9F"/>
    <w:rsid w:val="00B46DC6"/>
    <w:rsid w:val="00B46E74"/>
    <w:rsid w:val="00B46FCA"/>
    <w:rsid w:val="00B4734D"/>
    <w:rsid w:val="00B47358"/>
    <w:rsid w:val="00B4753E"/>
    <w:rsid w:val="00B504A2"/>
    <w:rsid w:val="00B50815"/>
    <w:rsid w:val="00B5089F"/>
    <w:rsid w:val="00B50D79"/>
    <w:rsid w:val="00B50E7C"/>
    <w:rsid w:val="00B5124B"/>
    <w:rsid w:val="00B515ED"/>
    <w:rsid w:val="00B51E45"/>
    <w:rsid w:val="00B51EA0"/>
    <w:rsid w:val="00B522AF"/>
    <w:rsid w:val="00B524CD"/>
    <w:rsid w:val="00B52848"/>
    <w:rsid w:val="00B53274"/>
    <w:rsid w:val="00B532EF"/>
    <w:rsid w:val="00B54866"/>
    <w:rsid w:val="00B54DC9"/>
    <w:rsid w:val="00B54E2E"/>
    <w:rsid w:val="00B553A9"/>
    <w:rsid w:val="00B55602"/>
    <w:rsid w:val="00B55907"/>
    <w:rsid w:val="00B55CE4"/>
    <w:rsid w:val="00B55E51"/>
    <w:rsid w:val="00B5653E"/>
    <w:rsid w:val="00B565D4"/>
    <w:rsid w:val="00B56721"/>
    <w:rsid w:val="00B571DE"/>
    <w:rsid w:val="00B572CD"/>
    <w:rsid w:val="00B57841"/>
    <w:rsid w:val="00B57901"/>
    <w:rsid w:val="00B601C3"/>
    <w:rsid w:val="00B60A53"/>
    <w:rsid w:val="00B623A1"/>
    <w:rsid w:val="00B62DF9"/>
    <w:rsid w:val="00B630DA"/>
    <w:rsid w:val="00B631C2"/>
    <w:rsid w:val="00B633B6"/>
    <w:rsid w:val="00B634D2"/>
    <w:rsid w:val="00B63E39"/>
    <w:rsid w:val="00B63FB9"/>
    <w:rsid w:val="00B64523"/>
    <w:rsid w:val="00B64B77"/>
    <w:rsid w:val="00B64C79"/>
    <w:rsid w:val="00B65091"/>
    <w:rsid w:val="00B6516C"/>
    <w:rsid w:val="00B65E0E"/>
    <w:rsid w:val="00B67173"/>
    <w:rsid w:val="00B6736F"/>
    <w:rsid w:val="00B67438"/>
    <w:rsid w:val="00B675DE"/>
    <w:rsid w:val="00B67D60"/>
    <w:rsid w:val="00B70812"/>
    <w:rsid w:val="00B70D74"/>
    <w:rsid w:val="00B70E4F"/>
    <w:rsid w:val="00B70F82"/>
    <w:rsid w:val="00B71281"/>
    <w:rsid w:val="00B71365"/>
    <w:rsid w:val="00B71A03"/>
    <w:rsid w:val="00B72028"/>
    <w:rsid w:val="00B72272"/>
    <w:rsid w:val="00B722B6"/>
    <w:rsid w:val="00B725D3"/>
    <w:rsid w:val="00B72D6C"/>
    <w:rsid w:val="00B733A0"/>
    <w:rsid w:val="00B7358C"/>
    <w:rsid w:val="00B73DEC"/>
    <w:rsid w:val="00B74103"/>
    <w:rsid w:val="00B7412C"/>
    <w:rsid w:val="00B74B2B"/>
    <w:rsid w:val="00B74BB7"/>
    <w:rsid w:val="00B74FEF"/>
    <w:rsid w:val="00B751B4"/>
    <w:rsid w:val="00B751C9"/>
    <w:rsid w:val="00B757AF"/>
    <w:rsid w:val="00B75976"/>
    <w:rsid w:val="00B75FC5"/>
    <w:rsid w:val="00B761B7"/>
    <w:rsid w:val="00B76501"/>
    <w:rsid w:val="00B7682B"/>
    <w:rsid w:val="00B76962"/>
    <w:rsid w:val="00B7703D"/>
    <w:rsid w:val="00B80AB8"/>
    <w:rsid w:val="00B8127D"/>
    <w:rsid w:val="00B8136F"/>
    <w:rsid w:val="00B81920"/>
    <w:rsid w:val="00B83112"/>
    <w:rsid w:val="00B83391"/>
    <w:rsid w:val="00B837D0"/>
    <w:rsid w:val="00B8395F"/>
    <w:rsid w:val="00B839D0"/>
    <w:rsid w:val="00B83CF1"/>
    <w:rsid w:val="00B83E4C"/>
    <w:rsid w:val="00B84698"/>
    <w:rsid w:val="00B84DA7"/>
    <w:rsid w:val="00B84F39"/>
    <w:rsid w:val="00B85889"/>
    <w:rsid w:val="00B85A12"/>
    <w:rsid w:val="00B8628D"/>
    <w:rsid w:val="00B86A96"/>
    <w:rsid w:val="00B86C85"/>
    <w:rsid w:val="00B86CAB"/>
    <w:rsid w:val="00B86D06"/>
    <w:rsid w:val="00B86D1B"/>
    <w:rsid w:val="00B873B3"/>
    <w:rsid w:val="00B8749B"/>
    <w:rsid w:val="00B87E39"/>
    <w:rsid w:val="00B90B07"/>
    <w:rsid w:val="00B91284"/>
    <w:rsid w:val="00B91588"/>
    <w:rsid w:val="00B91D2F"/>
    <w:rsid w:val="00B91E06"/>
    <w:rsid w:val="00B91FCC"/>
    <w:rsid w:val="00B93007"/>
    <w:rsid w:val="00B93DF6"/>
    <w:rsid w:val="00B946D6"/>
    <w:rsid w:val="00B94AE1"/>
    <w:rsid w:val="00B95D87"/>
    <w:rsid w:val="00B95F78"/>
    <w:rsid w:val="00B96498"/>
    <w:rsid w:val="00B967CB"/>
    <w:rsid w:val="00B96E88"/>
    <w:rsid w:val="00B978AF"/>
    <w:rsid w:val="00B97AFA"/>
    <w:rsid w:val="00B97B45"/>
    <w:rsid w:val="00B97F84"/>
    <w:rsid w:val="00BA01CD"/>
    <w:rsid w:val="00BA05BE"/>
    <w:rsid w:val="00BA065C"/>
    <w:rsid w:val="00BA0943"/>
    <w:rsid w:val="00BA0A10"/>
    <w:rsid w:val="00BA168F"/>
    <w:rsid w:val="00BA16DE"/>
    <w:rsid w:val="00BA1FEC"/>
    <w:rsid w:val="00BA2796"/>
    <w:rsid w:val="00BA27AC"/>
    <w:rsid w:val="00BA2E42"/>
    <w:rsid w:val="00BA2ED0"/>
    <w:rsid w:val="00BA2FEC"/>
    <w:rsid w:val="00BA3FA3"/>
    <w:rsid w:val="00BA42F4"/>
    <w:rsid w:val="00BA42FE"/>
    <w:rsid w:val="00BA50A6"/>
    <w:rsid w:val="00BA5688"/>
    <w:rsid w:val="00BA5827"/>
    <w:rsid w:val="00BA5938"/>
    <w:rsid w:val="00BA5AE7"/>
    <w:rsid w:val="00BA5D0B"/>
    <w:rsid w:val="00BA5F74"/>
    <w:rsid w:val="00BA5FDC"/>
    <w:rsid w:val="00BA7588"/>
    <w:rsid w:val="00BA77A0"/>
    <w:rsid w:val="00BA796D"/>
    <w:rsid w:val="00BA7B8D"/>
    <w:rsid w:val="00BA7C1C"/>
    <w:rsid w:val="00BB06B3"/>
    <w:rsid w:val="00BB0740"/>
    <w:rsid w:val="00BB10AA"/>
    <w:rsid w:val="00BB160D"/>
    <w:rsid w:val="00BB1A0B"/>
    <w:rsid w:val="00BB1C0C"/>
    <w:rsid w:val="00BB20E6"/>
    <w:rsid w:val="00BB2514"/>
    <w:rsid w:val="00BB287F"/>
    <w:rsid w:val="00BB3591"/>
    <w:rsid w:val="00BB3707"/>
    <w:rsid w:val="00BB3C3B"/>
    <w:rsid w:val="00BB49FA"/>
    <w:rsid w:val="00BB4B73"/>
    <w:rsid w:val="00BB4C9D"/>
    <w:rsid w:val="00BB50C4"/>
    <w:rsid w:val="00BB5156"/>
    <w:rsid w:val="00BB6C90"/>
    <w:rsid w:val="00BB7E78"/>
    <w:rsid w:val="00BB7FA9"/>
    <w:rsid w:val="00BC06B5"/>
    <w:rsid w:val="00BC08F1"/>
    <w:rsid w:val="00BC0C24"/>
    <w:rsid w:val="00BC0E7E"/>
    <w:rsid w:val="00BC0E8E"/>
    <w:rsid w:val="00BC106C"/>
    <w:rsid w:val="00BC1361"/>
    <w:rsid w:val="00BC176F"/>
    <w:rsid w:val="00BC1EE1"/>
    <w:rsid w:val="00BC2687"/>
    <w:rsid w:val="00BC27FC"/>
    <w:rsid w:val="00BC2A28"/>
    <w:rsid w:val="00BC3E19"/>
    <w:rsid w:val="00BC5492"/>
    <w:rsid w:val="00BC54EB"/>
    <w:rsid w:val="00BC56F9"/>
    <w:rsid w:val="00BC62EC"/>
    <w:rsid w:val="00BC63A9"/>
    <w:rsid w:val="00BC6A20"/>
    <w:rsid w:val="00BC72DC"/>
    <w:rsid w:val="00BC7DB1"/>
    <w:rsid w:val="00BC7E29"/>
    <w:rsid w:val="00BC7E6A"/>
    <w:rsid w:val="00BC7FBD"/>
    <w:rsid w:val="00BC7FF3"/>
    <w:rsid w:val="00BD0514"/>
    <w:rsid w:val="00BD0D55"/>
    <w:rsid w:val="00BD12DE"/>
    <w:rsid w:val="00BD1AF0"/>
    <w:rsid w:val="00BD20DE"/>
    <w:rsid w:val="00BD288E"/>
    <w:rsid w:val="00BD28C1"/>
    <w:rsid w:val="00BD305B"/>
    <w:rsid w:val="00BD33CF"/>
    <w:rsid w:val="00BD37BE"/>
    <w:rsid w:val="00BD3840"/>
    <w:rsid w:val="00BD3ABD"/>
    <w:rsid w:val="00BD408B"/>
    <w:rsid w:val="00BD424C"/>
    <w:rsid w:val="00BD461D"/>
    <w:rsid w:val="00BD4B28"/>
    <w:rsid w:val="00BD5089"/>
    <w:rsid w:val="00BD5111"/>
    <w:rsid w:val="00BD61DC"/>
    <w:rsid w:val="00BD620B"/>
    <w:rsid w:val="00BD62AC"/>
    <w:rsid w:val="00BD68FB"/>
    <w:rsid w:val="00BD6FD4"/>
    <w:rsid w:val="00BD7129"/>
    <w:rsid w:val="00BD72CB"/>
    <w:rsid w:val="00BD7724"/>
    <w:rsid w:val="00BD7A0F"/>
    <w:rsid w:val="00BD7B5A"/>
    <w:rsid w:val="00BD7CA8"/>
    <w:rsid w:val="00BE08E2"/>
    <w:rsid w:val="00BE0BAD"/>
    <w:rsid w:val="00BE1127"/>
    <w:rsid w:val="00BE1529"/>
    <w:rsid w:val="00BE15C6"/>
    <w:rsid w:val="00BE2B08"/>
    <w:rsid w:val="00BE36FB"/>
    <w:rsid w:val="00BE387F"/>
    <w:rsid w:val="00BE41ED"/>
    <w:rsid w:val="00BE4D0E"/>
    <w:rsid w:val="00BE51F1"/>
    <w:rsid w:val="00BE589A"/>
    <w:rsid w:val="00BE5BE4"/>
    <w:rsid w:val="00BE5D23"/>
    <w:rsid w:val="00BE5F93"/>
    <w:rsid w:val="00BE64BC"/>
    <w:rsid w:val="00BE6FB1"/>
    <w:rsid w:val="00BE7085"/>
    <w:rsid w:val="00BE75DF"/>
    <w:rsid w:val="00BE7818"/>
    <w:rsid w:val="00BE7889"/>
    <w:rsid w:val="00BF067F"/>
    <w:rsid w:val="00BF06B1"/>
    <w:rsid w:val="00BF07DD"/>
    <w:rsid w:val="00BF1021"/>
    <w:rsid w:val="00BF11F6"/>
    <w:rsid w:val="00BF1688"/>
    <w:rsid w:val="00BF1F5B"/>
    <w:rsid w:val="00BF20BE"/>
    <w:rsid w:val="00BF276A"/>
    <w:rsid w:val="00BF29E7"/>
    <w:rsid w:val="00BF2BEF"/>
    <w:rsid w:val="00BF2CAC"/>
    <w:rsid w:val="00BF2F49"/>
    <w:rsid w:val="00BF311C"/>
    <w:rsid w:val="00BF3340"/>
    <w:rsid w:val="00BF3A14"/>
    <w:rsid w:val="00BF3E2E"/>
    <w:rsid w:val="00BF4106"/>
    <w:rsid w:val="00BF4195"/>
    <w:rsid w:val="00BF42A3"/>
    <w:rsid w:val="00BF4305"/>
    <w:rsid w:val="00BF519A"/>
    <w:rsid w:val="00BF523A"/>
    <w:rsid w:val="00BF5514"/>
    <w:rsid w:val="00BF58CB"/>
    <w:rsid w:val="00BF6019"/>
    <w:rsid w:val="00BF61E0"/>
    <w:rsid w:val="00BF7007"/>
    <w:rsid w:val="00BF72F7"/>
    <w:rsid w:val="00BF75BD"/>
    <w:rsid w:val="00BF75C1"/>
    <w:rsid w:val="00BF7EB7"/>
    <w:rsid w:val="00C00113"/>
    <w:rsid w:val="00C0050F"/>
    <w:rsid w:val="00C00900"/>
    <w:rsid w:val="00C00B0E"/>
    <w:rsid w:val="00C00B86"/>
    <w:rsid w:val="00C01437"/>
    <w:rsid w:val="00C01C4F"/>
    <w:rsid w:val="00C02331"/>
    <w:rsid w:val="00C02A4B"/>
    <w:rsid w:val="00C02C5F"/>
    <w:rsid w:val="00C03264"/>
    <w:rsid w:val="00C03490"/>
    <w:rsid w:val="00C03926"/>
    <w:rsid w:val="00C03CA6"/>
    <w:rsid w:val="00C03E62"/>
    <w:rsid w:val="00C041A8"/>
    <w:rsid w:val="00C042A8"/>
    <w:rsid w:val="00C04CC3"/>
    <w:rsid w:val="00C04D61"/>
    <w:rsid w:val="00C053A6"/>
    <w:rsid w:val="00C057AA"/>
    <w:rsid w:val="00C05B35"/>
    <w:rsid w:val="00C05C07"/>
    <w:rsid w:val="00C05D00"/>
    <w:rsid w:val="00C05DE1"/>
    <w:rsid w:val="00C06123"/>
    <w:rsid w:val="00C0627E"/>
    <w:rsid w:val="00C07855"/>
    <w:rsid w:val="00C079CD"/>
    <w:rsid w:val="00C07C0D"/>
    <w:rsid w:val="00C07C11"/>
    <w:rsid w:val="00C07EE6"/>
    <w:rsid w:val="00C10448"/>
    <w:rsid w:val="00C10FD4"/>
    <w:rsid w:val="00C11604"/>
    <w:rsid w:val="00C1160D"/>
    <w:rsid w:val="00C12466"/>
    <w:rsid w:val="00C13675"/>
    <w:rsid w:val="00C13926"/>
    <w:rsid w:val="00C13986"/>
    <w:rsid w:val="00C13D66"/>
    <w:rsid w:val="00C14461"/>
    <w:rsid w:val="00C1450A"/>
    <w:rsid w:val="00C148BE"/>
    <w:rsid w:val="00C14937"/>
    <w:rsid w:val="00C149F4"/>
    <w:rsid w:val="00C14A11"/>
    <w:rsid w:val="00C14ED6"/>
    <w:rsid w:val="00C15334"/>
    <w:rsid w:val="00C153C5"/>
    <w:rsid w:val="00C154E2"/>
    <w:rsid w:val="00C1584A"/>
    <w:rsid w:val="00C15AF5"/>
    <w:rsid w:val="00C1616C"/>
    <w:rsid w:val="00C16377"/>
    <w:rsid w:val="00C164E0"/>
    <w:rsid w:val="00C17967"/>
    <w:rsid w:val="00C17EFC"/>
    <w:rsid w:val="00C20D29"/>
    <w:rsid w:val="00C212CF"/>
    <w:rsid w:val="00C2142A"/>
    <w:rsid w:val="00C2193B"/>
    <w:rsid w:val="00C219A1"/>
    <w:rsid w:val="00C21C0A"/>
    <w:rsid w:val="00C2291F"/>
    <w:rsid w:val="00C22995"/>
    <w:rsid w:val="00C22E67"/>
    <w:rsid w:val="00C23E36"/>
    <w:rsid w:val="00C23EA0"/>
    <w:rsid w:val="00C23FAB"/>
    <w:rsid w:val="00C2457E"/>
    <w:rsid w:val="00C24CCA"/>
    <w:rsid w:val="00C258CC"/>
    <w:rsid w:val="00C25B22"/>
    <w:rsid w:val="00C262CF"/>
    <w:rsid w:val="00C266B1"/>
    <w:rsid w:val="00C267CA"/>
    <w:rsid w:val="00C26BE1"/>
    <w:rsid w:val="00C26D41"/>
    <w:rsid w:val="00C26E2F"/>
    <w:rsid w:val="00C2726B"/>
    <w:rsid w:val="00C273A6"/>
    <w:rsid w:val="00C275EE"/>
    <w:rsid w:val="00C27A8F"/>
    <w:rsid w:val="00C27FD0"/>
    <w:rsid w:val="00C30994"/>
    <w:rsid w:val="00C309E1"/>
    <w:rsid w:val="00C30AAA"/>
    <w:rsid w:val="00C30AEA"/>
    <w:rsid w:val="00C30FE5"/>
    <w:rsid w:val="00C31252"/>
    <w:rsid w:val="00C31A9D"/>
    <w:rsid w:val="00C31C03"/>
    <w:rsid w:val="00C31D8D"/>
    <w:rsid w:val="00C32107"/>
    <w:rsid w:val="00C3293C"/>
    <w:rsid w:val="00C32D9E"/>
    <w:rsid w:val="00C3332F"/>
    <w:rsid w:val="00C33337"/>
    <w:rsid w:val="00C33874"/>
    <w:rsid w:val="00C33DFA"/>
    <w:rsid w:val="00C34085"/>
    <w:rsid w:val="00C34279"/>
    <w:rsid w:val="00C34C07"/>
    <w:rsid w:val="00C35077"/>
    <w:rsid w:val="00C3549C"/>
    <w:rsid w:val="00C35D89"/>
    <w:rsid w:val="00C36287"/>
    <w:rsid w:val="00C36681"/>
    <w:rsid w:val="00C367B4"/>
    <w:rsid w:val="00C36AB7"/>
    <w:rsid w:val="00C36E3D"/>
    <w:rsid w:val="00C36F51"/>
    <w:rsid w:val="00C373A1"/>
    <w:rsid w:val="00C377F2"/>
    <w:rsid w:val="00C37813"/>
    <w:rsid w:val="00C37E6E"/>
    <w:rsid w:val="00C40352"/>
    <w:rsid w:val="00C40899"/>
    <w:rsid w:val="00C41251"/>
    <w:rsid w:val="00C41577"/>
    <w:rsid w:val="00C41C62"/>
    <w:rsid w:val="00C41E3F"/>
    <w:rsid w:val="00C421E8"/>
    <w:rsid w:val="00C42201"/>
    <w:rsid w:val="00C4233E"/>
    <w:rsid w:val="00C42494"/>
    <w:rsid w:val="00C42DA6"/>
    <w:rsid w:val="00C42EA2"/>
    <w:rsid w:val="00C4360F"/>
    <w:rsid w:val="00C43CE6"/>
    <w:rsid w:val="00C43DF4"/>
    <w:rsid w:val="00C44536"/>
    <w:rsid w:val="00C447D3"/>
    <w:rsid w:val="00C44833"/>
    <w:rsid w:val="00C44DAD"/>
    <w:rsid w:val="00C4533E"/>
    <w:rsid w:val="00C4623F"/>
    <w:rsid w:val="00C463D4"/>
    <w:rsid w:val="00C46550"/>
    <w:rsid w:val="00C473C9"/>
    <w:rsid w:val="00C473CC"/>
    <w:rsid w:val="00C47A48"/>
    <w:rsid w:val="00C50416"/>
    <w:rsid w:val="00C511F5"/>
    <w:rsid w:val="00C516F4"/>
    <w:rsid w:val="00C51CA3"/>
    <w:rsid w:val="00C52256"/>
    <w:rsid w:val="00C52344"/>
    <w:rsid w:val="00C524F2"/>
    <w:rsid w:val="00C525E4"/>
    <w:rsid w:val="00C53323"/>
    <w:rsid w:val="00C54760"/>
    <w:rsid w:val="00C547AA"/>
    <w:rsid w:val="00C54B4A"/>
    <w:rsid w:val="00C54BB7"/>
    <w:rsid w:val="00C54CFB"/>
    <w:rsid w:val="00C55755"/>
    <w:rsid w:val="00C55772"/>
    <w:rsid w:val="00C55FBF"/>
    <w:rsid w:val="00C56B19"/>
    <w:rsid w:val="00C56FA6"/>
    <w:rsid w:val="00C573B7"/>
    <w:rsid w:val="00C603BB"/>
    <w:rsid w:val="00C603D1"/>
    <w:rsid w:val="00C605C6"/>
    <w:rsid w:val="00C606AC"/>
    <w:rsid w:val="00C60A2D"/>
    <w:rsid w:val="00C60BF8"/>
    <w:rsid w:val="00C60C69"/>
    <w:rsid w:val="00C616AD"/>
    <w:rsid w:val="00C618A5"/>
    <w:rsid w:val="00C61900"/>
    <w:rsid w:val="00C619E4"/>
    <w:rsid w:val="00C621B2"/>
    <w:rsid w:val="00C62352"/>
    <w:rsid w:val="00C6435B"/>
    <w:rsid w:val="00C64430"/>
    <w:rsid w:val="00C6481F"/>
    <w:rsid w:val="00C64DED"/>
    <w:rsid w:val="00C65061"/>
    <w:rsid w:val="00C653A0"/>
    <w:rsid w:val="00C654D9"/>
    <w:rsid w:val="00C657D0"/>
    <w:rsid w:val="00C65893"/>
    <w:rsid w:val="00C65EA7"/>
    <w:rsid w:val="00C66235"/>
    <w:rsid w:val="00C6655B"/>
    <w:rsid w:val="00C6667E"/>
    <w:rsid w:val="00C6670B"/>
    <w:rsid w:val="00C66D91"/>
    <w:rsid w:val="00C66ED5"/>
    <w:rsid w:val="00C67285"/>
    <w:rsid w:val="00C6775C"/>
    <w:rsid w:val="00C67B54"/>
    <w:rsid w:val="00C67F6E"/>
    <w:rsid w:val="00C707F6"/>
    <w:rsid w:val="00C7081B"/>
    <w:rsid w:val="00C70AAA"/>
    <w:rsid w:val="00C70E4E"/>
    <w:rsid w:val="00C714F2"/>
    <w:rsid w:val="00C71ABA"/>
    <w:rsid w:val="00C71ECA"/>
    <w:rsid w:val="00C71F9D"/>
    <w:rsid w:val="00C72012"/>
    <w:rsid w:val="00C721C2"/>
    <w:rsid w:val="00C727D2"/>
    <w:rsid w:val="00C72EE6"/>
    <w:rsid w:val="00C733B3"/>
    <w:rsid w:val="00C73CA8"/>
    <w:rsid w:val="00C74086"/>
    <w:rsid w:val="00C744B6"/>
    <w:rsid w:val="00C75B39"/>
    <w:rsid w:val="00C765FB"/>
    <w:rsid w:val="00C76816"/>
    <w:rsid w:val="00C76895"/>
    <w:rsid w:val="00C77442"/>
    <w:rsid w:val="00C80326"/>
    <w:rsid w:val="00C80584"/>
    <w:rsid w:val="00C80790"/>
    <w:rsid w:val="00C80CBD"/>
    <w:rsid w:val="00C80FAE"/>
    <w:rsid w:val="00C81086"/>
    <w:rsid w:val="00C813B8"/>
    <w:rsid w:val="00C82003"/>
    <w:rsid w:val="00C82018"/>
    <w:rsid w:val="00C8282B"/>
    <w:rsid w:val="00C828A9"/>
    <w:rsid w:val="00C83445"/>
    <w:rsid w:val="00C84133"/>
    <w:rsid w:val="00C848D7"/>
    <w:rsid w:val="00C84923"/>
    <w:rsid w:val="00C85444"/>
    <w:rsid w:val="00C8549D"/>
    <w:rsid w:val="00C85592"/>
    <w:rsid w:val="00C85704"/>
    <w:rsid w:val="00C8611B"/>
    <w:rsid w:val="00C866C7"/>
    <w:rsid w:val="00C867EF"/>
    <w:rsid w:val="00C86B19"/>
    <w:rsid w:val="00C86E27"/>
    <w:rsid w:val="00C87932"/>
    <w:rsid w:val="00C87C39"/>
    <w:rsid w:val="00C9013C"/>
    <w:rsid w:val="00C901A6"/>
    <w:rsid w:val="00C91018"/>
    <w:rsid w:val="00C91EF6"/>
    <w:rsid w:val="00C92083"/>
    <w:rsid w:val="00C92939"/>
    <w:rsid w:val="00C92C9D"/>
    <w:rsid w:val="00C92F12"/>
    <w:rsid w:val="00C92F48"/>
    <w:rsid w:val="00C93622"/>
    <w:rsid w:val="00C93722"/>
    <w:rsid w:val="00C93B15"/>
    <w:rsid w:val="00C94930"/>
    <w:rsid w:val="00C94A21"/>
    <w:rsid w:val="00C94A51"/>
    <w:rsid w:val="00C94CCF"/>
    <w:rsid w:val="00C94F13"/>
    <w:rsid w:val="00C9514B"/>
    <w:rsid w:val="00C95A16"/>
    <w:rsid w:val="00C95B81"/>
    <w:rsid w:val="00C96C32"/>
    <w:rsid w:val="00C96D4E"/>
    <w:rsid w:val="00C96F23"/>
    <w:rsid w:val="00C97108"/>
    <w:rsid w:val="00C97233"/>
    <w:rsid w:val="00C97BAE"/>
    <w:rsid w:val="00CA03B9"/>
    <w:rsid w:val="00CA11C0"/>
    <w:rsid w:val="00CA11E1"/>
    <w:rsid w:val="00CA12A7"/>
    <w:rsid w:val="00CA141C"/>
    <w:rsid w:val="00CA2693"/>
    <w:rsid w:val="00CA28B4"/>
    <w:rsid w:val="00CA290A"/>
    <w:rsid w:val="00CA33CB"/>
    <w:rsid w:val="00CA3820"/>
    <w:rsid w:val="00CA4187"/>
    <w:rsid w:val="00CA4291"/>
    <w:rsid w:val="00CA4AD8"/>
    <w:rsid w:val="00CA4C43"/>
    <w:rsid w:val="00CA4FB5"/>
    <w:rsid w:val="00CA555B"/>
    <w:rsid w:val="00CA64C6"/>
    <w:rsid w:val="00CA696D"/>
    <w:rsid w:val="00CA6EB3"/>
    <w:rsid w:val="00CA7183"/>
    <w:rsid w:val="00CA7394"/>
    <w:rsid w:val="00CA7506"/>
    <w:rsid w:val="00CA7AA5"/>
    <w:rsid w:val="00CA7B76"/>
    <w:rsid w:val="00CB0BC0"/>
    <w:rsid w:val="00CB0D18"/>
    <w:rsid w:val="00CB1088"/>
    <w:rsid w:val="00CB1625"/>
    <w:rsid w:val="00CB1D19"/>
    <w:rsid w:val="00CB1F82"/>
    <w:rsid w:val="00CB22B3"/>
    <w:rsid w:val="00CB28A0"/>
    <w:rsid w:val="00CB39F6"/>
    <w:rsid w:val="00CB3B2D"/>
    <w:rsid w:val="00CB3B39"/>
    <w:rsid w:val="00CB455B"/>
    <w:rsid w:val="00CB49E0"/>
    <w:rsid w:val="00CB50A7"/>
    <w:rsid w:val="00CB57B3"/>
    <w:rsid w:val="00CB57BA"/>
    <w:rsid w:val="00CB5CEF"/>
    <w:rsid w:val="00CB5F3F"/>
    <w:rsid w:val="00CB6276"/>
    <w:rsid w:val="00CB655D"/>
    <w:rsid w:val="00CB6893"/>
    <w:rsid w:val="00CB6D0A"/>
    <w:rsid w:val="00CB71AF"/>
    <w:rsid w:val="00CB775F"/>
    <w:rsid w:val="00CB797A"/>
    <w:rsid w:val="00CB79C5"/>
    <w:rsid w:val="00CB79FC"/>
    <w:rsid w:val="00CC0440"/>
    <w:rsid w:val="00CC06EA"/>
    <w:rsid w:val="00CC085F"/>
    <w:rsid w:val="00CC0D48"/>
    <w:rsid w:val="00CC0E23"/>
    <w:rsid w:val="00CC0ED7"/>
    <w:rsid w:val="00CC1FE6"/>
    <w:rsid w:val="00CC2609"/>
    <w:rsid w:val="00CC27F9"/>
    <w:rsid w:val="00CC2904"/>
    <w:rsid w:val="00CC2DFC"/>
    <w:rsid w:val="00CC31F7"/>
    <w:rsid w:val="00CC3BA5"/>
    <w:rsid w:val="00CC3DA3"/>
    <w:rsid w:val="00CC4D4E"/>
    <w:rsid w:val="00CC56FF"/>
    <w:rsid w:val="00CC581B"/>
    <w:rsid w:val="00CC5E21"/>
    <w:rsid w:val="00CC66A8"/>
    <w:rsid w:val="00CC6AE5"/>
    <w:rsid w:val="00CC7042"/>
    <w:rsid w:val="00CD017E"/>
    <w:rsid w:val="00CD08BD"/>
    <w:rsid w:val="00CD0BEA"/>
    <w:rsid w:val="00CD0E8C"/>
    <w:rsid w:val="00CD130B"/>
    <w:rsid w:val="00CD1B0A"/>
    <w:rsid w:val="00CD1B0B"/>
    <w:rsid w:val="00CD301E"/>
    <w:rsid w:val="00CD44A8"/>
    <w:rsid w:val="00CD4C64"/>
    <w:rsid w:val="00CD526F"/>
    <w:rsid w:val="00CD5366"/>
    <w:rsid w:val="00CD5C84"/>
    <w:rsid w:val="00CD5DCE"/>
    <w:rsid w:val="00CD70AB"/>
    <w:rsid w:val="00CD7CD4"/>
    <w:rsid w:val="00CE00AC"/>
    <w:rsid w:val="00CE0328"/>
    <w:rsid w:val="00CE03C7"/>
    <w:rsid w:val="00CE0AAA"/>
    <w:rsid w:val="00CE0D6D"/>
    <w:rsid w:val="00CE0F39"/>
    <w:rsid w:val="00CE0F95"/>
    <w:rsid w:val="00CE12E3"/>
    <w:rsid w:val="00CE14C9"/>
    <w:rsid w:val="00CE19CB"/>
    <w:rsid w:val="00CE1BE3"/>
    <w:rsid w:val="00CE1EDF"/>
    <w:rsid w:val="00CE2710"/>
    <w:rsid w:val="00CE28A1"/>
    <w:rsid w:val="00CE33A8"/>
    <w:rsid w:val="00CE3C53"/>
    <w:rsid w:val="00CE4A80"/>
    <w:rsid w:val="00CE4C8B"/>
    <w:rsid w:val="00CE5012"/>
    <w:rsid w:val="00CE57B5"/>
    <w:rsid w:val="00CE5DA5"/>
    <w:rsid w:val="00CE5E14"/>
    <w:rsid w:val="00CE616F"/>
    <w:rsid w:val="00CE64B3"/>
    <w:rsid w:val="00CE65E2"/>
    <w:rsid w:val="00CE7194"/>
    <w:rsid w:val="00CE772F"/>
    <w:rsid w:val="00CE77E3"/>
    <w:rsid w:val="00CE793E"/>
    <w:rsid w:val="00CF0976"/>
    <w:rsid w:val="00CF0988"/>
    <w:rsid w:val="00CF0E9B"/>
    <w:rsid w:val="00CF13D3"/>
    <w:rsid w:val="00CF146C"/>
    <w:rsid w:val="00CF1744"/>
    <w:rsid w:val="00CF1F61"/>
    <w:rsid w:val="00CF1F68"/>
    <w:rsid w:val="00CF1FB3"/>
    <w:rsid w:val="00CF21D9"/>
    <w:rsid w:val="00CF2546"/>
    <w:rsid w:val="00CF285B"/>
    <w:rsid w:val="00CF2C23"/>
    <w:rsid w:val="00CF2DBF"/>
    <w:rsid w:val="00CF2DCE"/>
    <w:rsid w:val="00CF2FCF"/>
    <w:rsid w:val="00CF3113"/>
    <w:rsid w:val="00CF486D"/>
    <w:rsid w:val="00CF4A0C"/>
    <w:rsid w:val="00CF4FAF"/>
    <w:rsid w:val="00CF50B7"/>
    <w:rsid w:val="00CF5239"/>
    <w:rsid w:val="00CF59EE"/>
    <w:rsid w:val="00CF5CEA"/>
    <w:rsid w:val="00CF6676"/>
    <w:rsid w:val="00CF6931"/>
    <w:rsid w:val="00CF70E7"/>
    <w:rsid w:val="00CF70F6"/>
    <w:rsid w:val="00CF7860"/>
    <w:rsid w:val="00CF7CC6"/>
    <w:rsid w:val="00D00444"/>
    <w:rsid w:val="00D00917"/>
    <w:rsid w:val="00D00C0F"/>
    <w:rsid w:val="00D01565"/>
    <w:rsid w:val="00D01F50"/>
    <w:rsid w:val="00D028E3"/>
    <w:rsid w:val="00D02A57"/>
    <w:rsid w:val="00D03322"/>
    <w:rsid w:val="00D03729"/>
    <w:rsid w:val="00D03849"/>
    <w:rsid w:val="00D03F21"/>
    <w:rsid w:val="00D0401C"/>
    <w:rsid w:val="00D0415C"/>
    <w:rsid w:val="00D04689"/>
    <w:rsid w:val="00D04BE9"/>
    <w:rsid w:val="00D04C76"/>
    <w:rsid w:val="00D04CCE"/>
    <w:rsid w:val="00D04CE3"/>
    <w:rsid w:val="00D04E14"/>
    <w:rsid w:val="00D06E41"/>
    <w:rsid w:val="00D07279"/>
    <w:rsid w:val="00D072D0"/>
    <w:rsid w:val="00D0792A"/>
    <w:rsid w:val="00D07AF4"/>
    <w:rsid w:val="00D07C1A"/>
    <w:rsid w:val="00D106DC"/>
    <w:rsid w:val="00D10EF0"/>
    <w:rsid w:val="00D11093"/>
    <w:rsid w:val="00D110FF"/>
    <w:rsid w:val="00D11B45"/>
    <w:rsid w:val="00D11B68"/>
    <w:rsid w:val="00D12A23"/>
    <w:rsid w:val="00D12D7B"/>
    <w:rsid w:val="00D12DCF"/>
    <w:rsid w:val="00D130B5"/>
    <w:rsid w:val="00D13151"/>
    <w:rsid w:val="00D13777"/>
    <w:rsid w:val="00D13C45"/>
    <w:rsid w:val="00D13F7A"/>
    <w:rsid w:val="00D141F1"/>
    <w:rsid w:val="00D14281"/>
    <w:rsid w:val="00D144F3"/>
    <w:rsid w:val="00D145A2"/>
    <w:rsid w:val="00D1490E"/>
    <w:rsid w:val="00D15268"/>
    <w:rsid w:val="00D152AA"/>
    <w:rsid w:val="00D154B3"/>
    <w:rsid w:val="00D15C44"/>
    <w:rsid w:val="00D16625"/>
    <w:rsid w:val="00D173D1"/>
    <w:rsid w:val="00D17BBB"/>
    <w:rsid w:val="00D20349"/>
    <w:rsid w:val="00D20B8D"/>
    <w:rsid w:val="00D20E94"/>
    <w:rsid w:val="00D20EB3"/>
    <w:rsid w:val="00D21418"/>
    <w:rsid w:val="00D21AE5"/>
    <w:rsid w:val="00D21B5E"/>
    <w:rsid w:val="00D21E9B"/>
    <w:rsid w:val="00D21EBC"/>
    <w:rsid w:val="00D220A6"/>
    <w:rsid w:val="00D22190"/>
    <w:rsid w:val="00D22CB0"/>
    <w:rsid w:val="00D235A1"/>
    <w:rsid w:val="00D2482F"/>
    <w:rsid w:val="00D248F2"/>
    <w:rsid w:val="00D24D23"/>
    <w:rsid w:val="00D24F3A"/>
    <w:rsid w:val="00D252D6"/>
    <w:rsid w:val="00D2599F"/>
    <w:rsid w:val="00D25AC1"/>
    <w:rsid w:val="00D25F42"/>
    <w:rsid w:val="00D26251"/>
    <w:rsid w:val="00D266DD"/>
    <w:rsid w:val="00D268BD"/>
    <w:rsid w:val="00D2690B"/>
    <w:rsid w:val="00D26994"/>
    <w:rsid w:val="00D26DAB"/>
    <w:rsid w:val="00D26FBC"/>
    <w:rsid w:val="00D270C0"/>
    <w:rsid w:val="00D272C2"/>
    <w:rsid w:val="00D2790D"/>
    <w:rsid w:val="00D27BA1"/>
    <w:rsid w:val="00D27CB1"/>
    <w:rsid w:val="00D27FA9"/>
    <w:rsid w:val="00D306BC"/>
    <w:rsid w:val="00D307E8"/>
    <w:rsid w:val="00D30989"/>
    <w:rsid w:val="00D30C0A"/>
    <w:rsid w:val="00D30D53"/>
    <w:rsid w:val="00D31140"/>
    <w:rsid w:val="00D31AAD"/>
    <w:rsid w:val="00D31F11"/>
    <w:rsid w:val="00D32075"/>
    <w:rsid w:val="00D323A2"/>
    <w:rsid w:val="00D3274A"/>
    <w:rsid w:val="00D3286E"/>
    <w:rsid w:val="00D32B1A"/>
    <w:rsid w:val="00D32C05"/>
    <w:rsid w:val="00D33547"/>
    <w:rsid w:val="00D33619"/>
    <w:rsid w:val="00D33D6F"/>
    <w:rsid w:val="00D33E50"/>
    <w:rsid w:val="00D33FBF"/>
    <w:rsid w:val="00D340D7"/>
    <w:rsid w:val="00D34254"/>
    <w:rsid w:val="00D34CA9"/>
    <w:rsid w:val="00D35D3F"/>
    <w:rsid w:val="00D3613D"/>
    <w:rsid w:val="00D362DF"/>
    <w:rsid w:val="00D36447"/>
    <w:rsid w:val="00D36468"/>
    <w:rsid w:val="00D36CF8"/>
    <w:rsid w:val="00D36FCB"/>
    <w:rsid w:val="00D37112"/>
    <w:rsid w:val="00D37185"/>
    <w:rsid w:val="00D37AF4"/>
    <w:rsid w:val="00D40679"/>
    <w:rsid w:val="00D40787"/>
    <w:rsid w:val="00D4101E"/>
    <w:rsid w:val="00D411B3"/>
    <w:rsid w:val="00D416A7"/>
    <w:rsid w:val="00D41BB0"/>
    <w:rsid w:val="00D4234E"/>
    <w:rsid w:val="00D42E9A"/>
    <w:rsid w:val="00D43C45"/>
    <w:rsid w:val="00D45813"/>
    <w:rsid w:val="00D4591F"/>
    <w:rsid w:val="00D45D28"/>
    <w:rsid w:val="00D45D2D"/>
    <w:rsid w:val="00D4684F"/>
    <w:rsid w:val="00D46A88"/>
    <w:rsid w:val="00D46DFB"/>
    <w:rsid w:val="00D46FE5"/>
    <w:rsid w:val="00D4755F"/>
    <w:rsid w:val="00D47686"/>
    <w:rsid w:val="00D47C74"/>
    <w:rsid w:val="00D50055"/>
    <w:rsid w:val="00D50C71"/>
    <w:rsid w:val="00D50CBC"/>
    <w:rsid w:val="00D50F3C"/>
    <w:rsid w:val="00D516A2"/>
    <w:rsid w:val="00D5198A"/>
    <w:rsid w:val="00D52A0D"/>
    <w:rsid w:val="00D52ADA"/>
    <w:rsid w:val="00D532C1"/>
    <w:rsid w:val="00D5333C"/>
    <w:rsid w:val="00D53A61"/>
    <w:rsid w:val="00D545B0"/>
    <w:rsid w:val="00D545C5"/>
    <w:rsid w:val="00D54928"/>
    <w:rsid w:val="00D54E0B"/>
    <w:rsid w:val="00D55729"/>
    <w:rsid w:val="00D55749"/>
    <w:rsid w:val="00D5579B"/>
    <w:rsid w:val="00D570A0"/>
    <w:rsid w:val="00D571C5"/>
    <w:rsid w:val="00D57251"/>
    <w:rsid w:val="00D600A5"/>
    <w:rsid w:val="00D603C5"/>
    <w:rsid w:val="00D607D4"/>
    <w:rsid w:val="00D61290"/>
    <w:rsid w:val="00D61983"/>
    <w:rsid w:val="00D61988"/>
    <w:rsid w:val="00D61A50"/>
    <w:rsid w:val="00D61B5A"/>
    <w:rsid w:val="00D61E20"/>
    <w:rsid w:val="00D62169"/>
    <w:rsid w:val="00D628E1"/>
    <w:rsid w:val="00D62B82"/>
    <w:rsid w:val="00D62ECB"/>
    <w:rsid w:val="00D62FDE"/>
    <w:rsid w:val="00D63114"/>
    <w:rsid w:val="00D63ED1"/>
    <w:rsid w:val="00D64419"/>
    <w:rsid w:val="00D64734"/>
    <w:rsid w:val="00D647F9"/>
    <w:rsid w:val="00D64BAB"/>
    <w:rsid w:val="00D64E97"/>
    <w:rsid w:val="00D650C0"/>
    <w:rsid w:val="00D6517C"/>
    <w:rsid w:val="00D65F4C"/>
    <w:rsid w:val="00D6600C"/>
    <w:rsid w:val="00D66187"/>
    <w:rsid w:val="00D66440"/>
    <w:rsid w:val="00D66D63"/>
    <w:rsid w:val="00D66F09"/>
    <w:rsid w:val="00D67A42"/>
    <w:rsid w:val="00D67DB6"/>
    <w:rsid w:val="00D705AD"/>
    <w:rsid w:val="00D70688"/>
    <w:rsid w:val="00D70F6D"/>
    <w:rsid w:val="00D7177D"/>
    <w:rsid w:val="00D71E63"/>
    <w:rsid w:val="00D727FE"/>
    <w:rsid w:val="00D72829"/>
    <w:rsid w:val="00D72A43"/>
    <w:rsid w:val="00D72BEE"/>
    <w:rsid w:val="00D72D26"/>
    <w:rsid w:val="00D735F1"/>
    <w:rsid w:val="00D73C25"/>
    <w:rsid w:val="00D748C8"/>
    <w:rsid w:val="00D74C2B"/>
    <w:rsid w:val="00D75D0F"/>
    <w:rsid w:val="00D75E40"/>
    <w:rsid w:val="00D75EE7"/>
    <w:rsid w:val="00D76097"/>
    <w:rsid w:val="00D7621B"/>
    <w:rsid w:val="00D76243"/>
    <w:rsid w:val="00D76370"/>
    <w:rsid w:val="00D76F11"/>
    <w:rsid w:val="00D76F23"/>
    <w:rsid w:val="00D77348"/>
    <w:rsid w:val="00D774DE"/>
    <w:rsid w:val="00D77865"/>
    <w:rsid w:val="00D77D3A"/>
    <w:rsid w:val="00D8103D"/>
    <w:rsid w:val="00D81569"/>
    <w:rsid w:val="00D81E43"/>
    <w:rsid w:val="00D8335F"/>
    <w:rsid w:val="00D838EC"/>
    <w:rsid w:val="00D844FD"/>
    <w:rsid w:val="00D84806"/>
    <w:rsid w:val="00D849B1"/>
    <w:rsid w:val="00D84DD8"/>
    <w:rsid w:val="00D8537C"/>
    <w:rsid w:val="00D854DD"/>
    <w:rsid w:val="00D85823"/>
    <w:rsid w:val="00D85FAB"/>
    <w:rsid w:val="00D8653F"/>
    <w:rsid w:val="00D86623"/>
    <w:rsid w:val="00D86A7E"/>
    <w:rsid w:val="00D8704F"/>
    <w:rsid w:val="00D87742"/>
    <w:rsid w:val="00D87AA7"/>
    <w:rsid w:val="00D87B3E"/>
    <w:rsid w:val="00D87E77"/>
    <w:rsid w:val="00D90200"/>
    <w:rsid w:val="00D90C30"/>
    <w:rsid w:val="00D90F9B"/>
    <w:rsid w:val="00D91306"/>
    <w:rsid w:val="00D91683"/>
    <w:rsid w:val="00D917EB"/>
    <w:rsid w:val="00D919C5"/>
    <w:rsid w:val="00D91C8E"/>
    <w:rsid w:val="00D923D9"/>
    <w:rsid w:val="00D9250B"/>
    <w:rsid w:val="00D926A7"/>
    <w:rsid w:val="00D92D72"/>
    <w:rsid w:val="00D93AD3"/>
    <w:rsid w:val="00D93F41"/>
    <w:rsid w:val="00D940C8"/>
    <w:rsid w:val="00D95423"/>
    <w:rsid w:val="00D95829"/>
    <w:rsid w:val="00D95D49"/>
    <w:rsid w:val="00D95EE5"/>
    <w:rsid w:val="00D95FF9"/>
    <w:rsid w:val="00D9647E"/>
    <w:rsid w:val="00D964C9"/>
    <w:rsid w:val="00D96723"/>
    <w:rsid w:val="00D969A7"/>
    <w:rsid w:val="00D974AE"/>
    <w:rsid w:val="00D974B3"/>
    <w:rsid w:val="00D974E9"/>
    <w:rsid w:val="00D9755C"/>
    <w:rsid w:val="00D97748"/>
    <w:rsid w:val="00DA02DB"/>
    <w:rsid w:val="00DA0A39"/>
    <w:rsid w:val="00DA0BDE"/>
    <w:rsid w:val="00DA0DC2"/>
    <w:rsid w:val="00DA1323"/>
    <w:rsid w:val="00DA160E"/>
    <w:rsid w:val="00DA277B"/>
    <w:rsid w:val="00DA302A"/>
    <w:rsid w:val="00DA305F"/>
    <w:rsid w:val="00DA3473"/>
    <w:rsid w:val="00DA3554"/>
    <w:rsid w:val="00DA3DD0"/>
    <w:rsid w:val="00DA4098"/>
    <w:rsid w:val="00DA45DD"/>
    <w:rsid w:val="00DA5004"/>
    <w:rsid w:val="00DA5392"/>
    <w:rsid w:val="00DA58AB"/>
    <w:rsid w:val="00DA59D4"/>
    <w:rsid w:val="00DA6111"/>
    <w:rsid w:val="00DA646B"/>
    <w:rsid w:val="00DA681D"/>
    <w:rsid w:val="00DA6843"/>
    <w:rsid w:val="00DA687F"/>
    <w:rsid w:val="00DA6D78"/>
    <w:rsid w:val="00DA7156"/>
    <w:rsid w:val="00DA77DC"/>
    <w:rsid w:val="00DA7B1B"/>
    <w:rsid w:val="00DA7C82"/>
    <w:rsid w:val="00DB02F6"/>
    <w:rsid w:val="00DB04B9"/>
    <w:rsid w:val="00DB10CD"/>
    <w:rsid w:val="00DB1364"/>
    <w:rsid w:val="00DB170B"/>
    <w:rsid w:val="00DB1D3F"/>
    <w:rsid w:val="00DB2355"/>
    <w:rsid w:val="00DB243E"/>
    <w:rsid w:val="00DB246F"/>
    <w:rsid w:val="00DB28CE"/>
    <w:rsid w:val="00DB2CA2"/>
    <w:rsid w:val="00DB34F0"/>
    <w:rsid w:val="00DB37FC"/>
    <w:rsid w:val="00DB3A3B"/>
    <w:rsid w:val="00DB3E0B"/>
    <w:rsid w:val="00DB47FB"/>
    <w:rsid w:val="00DB4A6A"/>
    <w:rsid w:val="00DB4A6C"/>
    <w:rsid w:val="00DB5122"/>
    <w:rsid w:val="00DB57EC"/>
    <w:rsid w:val="00DB5A7C"/>
    <w:rsid w:val="00DB5CD7"/>
    <w:rsid w:val="00DB606E"/>
    <w:rsid w:val="00DB6149"/>
    <w:rsid w:val="00DB6963"/>
    <w:rsid w:val="00DB6E1F"/>
    <w:rsid w:val="00DB6EA4"/>
    <w:rsid w:val="00DB70A8"/>
    <w:rsid w:val="00DB771B"/>
    <w:rsid w:val="00DB77CF"/>
    <w:rsid w:val="00DB7872"/>
    <w:rsid w:val="00DC0088"/>
    <w:rsid w:val="00DC036C"/>
    <w:rsid w:val="00DC0428"/>
    <w:rsid w:val="00DC0D73"/>
    <w:rsid w:val="00DC0F68"/>
    <w:rsid w:val="00DC10BA"/>
    <w:rsid w:val="00DC14BC"/>
    <w:rsid w:val="00DC16A3"/>
    <w:rsid w:val="00DC17B2"/>
    <w:rsid w:val="00DC17ED"/>
    <w:rsid w:val="00DC1BBB"/>
    <w:rsid w:val="00DC2000"/>
    <w:rsid w:val="00DC213E"/>
    <w:rsid w:val="00DC2913"/>
    <w:rsid w:val="00DC29C9"/>
    <w:rsid w:val="00DC38FA"/>
    <w:rsid w:val="00DC3F80"/>
    <w:rsid w:val="00DC5086"/>
    <w:rsid w:val="00DC53C6"/>
    <w:rsid w:val="00DC6DDC"/>
    <w:rsid w:val="00DC73FC"/>
    <w:rsid w:val="00DC792E"/>
    <w:rsid w:val="00DC7BF1"/>
    <w:rsid w:val="00DC7E43"/>
    <w:rsid w:val="00DC7FAD"/>
    <w:rsid w:val="00DD03ED"/>
    <w:rsid w:val="00DD063C"/>
    <w:rsid w:val="00DD0824"/>
    <w:rsid w:val="00DD0AA6"/>
    <w:rsid w:val="00DD0BC9"/>
    <w:rsid w:val="00DD0ED4"/>
    <w:rsid w:val="00DD106C"/>
    <w:rsid w:val="00DD1337"/>
    <w:rsid w:val="00DD1FCC"/>
    <w:rsid w:val="00DD1FFB"/>
    <w:rsid w:val="00DD21F7"/>
    <w:rsid w:val="00DD23A2"/>
    <w:rsid w:val="00DD25BE"/>
    <w:rsid w:val="00DD2B6C"/>
    <w:rsid w:val="00DD2E15"/>
    <w:rsid w:val="00DD2F13"/>
    <w:rsid w:val="00DD305E"/>
    <w:rsid w:val="00DD3574"/>
    <w:rsid w:val="00DD36B7"/>
    <w:rsid w:val="00DD36B8"/>
    <w:rsid w:val="00DD3A73"/>
    <w:rsid w:val="00DD3D27"/>
    <w:rsid w:val="00DD3FAA"/>
    <w:rsid w:val="00DD4296"/>
    <w:rsid w:val="00DD43B8"/>
    <w:rsid w:val="00DD442D"/>
    <w:rsid w:val="00DD47FC"/>
    <w:rsid w:val="00DD4914"/>
    <w:rsid w:val="00DD4921"/>
    <w:rsid w:val="00DD4EC6"/>
    <w:rsid w:val="00DD50F4"/>
    <w:rsid w:val="00DD5339"/>
    <w:rsid w:val="00DD5420"/>
    <w:rsid w:val="00DD5A71"/>
    <w:rsid w:val="00DD5CD7"/>
    <w:rsid w:val="00DD64F9"/>
    <w:rsid w:val="00DD659B"/>
    <w:rsid w:val="00DD686E"/>
    <w:rsid w:val="00DD6FAB"/>
    <w:rsid w:val="00DD77EA"/>
    <w:rsid w:val="00DE0007"/>
    <w:rsid w:val="00DE02FA"/>
    <w:rsid w:val="00DE0BB7"/>
    <w:rsid w:val="00DE0E74"/>
    <w:rsid w:val="00DE1932"/>
    <w:rsid w:val="00DE1D84"/>
    <w:rsid w:val="00DE21B1"/>
    <w:rsid w:val="00DE25D7"/>
    <w:rsid w:val="00DE2B2E"/>
    <w:rsid w:val="00DE2D56"/>
    <w:rsid w:val="00DE3058"/>
    <w:rsid w:val="00DE36C1"/>
    <w:rsid w:val="00DE3AD7"/>
    <w:rsid w:val="00DE3BB3"/>
    <w:rsid w:val="00DE3E3F"/>
    <w:rsid w:val="00DE4007"/>
    <w:rsid w:val="00DE4B76"/>
    <w:rsid w:val="00DE4B95"/>
    <w:rsid w:val="00DE55E8"/>
    <w:rsid w:val="00DE5751"/>
    <w:rsid w:val="00DE5CEC"/>
    <w:rsid w:val="00DE63ED"/>
    <w:rsid w:val="00DE63FF"/>
    <w:rsid w:val="00DE6ABB"/>
    <w:rsid w:val="00DE6B95"/>
    <w:rsid w:val="00DE6F00"/>
    <w:rsid w:val="00DE6F20"/>
    <w:rsid w:val="00DE733D"/>
    <w:rsid w:val="00DE739F"/>
    <w:rsid w:val="00DF004A"/>
    <w:rsid w:val="00DF00C8"/>
    <w:rsid w:val="00DF06C0"/>
    <w:rsid w:val="00DF1500"/>
    <w:rsid w:val="00DF153C"/>
    <w:rsid w:val="00DF1697"/>
    <w:rsid w:val="00DF195B"/>
    <w:rsid w:val="00DF284A"/>
    <w:rsid w:val="00DF2BFE"/>
    <w:rsid w:val="00DF2C56"/>
    <w:rsid w:val="00DF2C63"/>
    <w:rsid w:val="00DF39AB"/>
    <w:rsid w:val="00DF3BBA"/>
    <w:rsid w:val="00DF3D04"/>
    <w:rsid w:val="00DF402C"/>
    <w:rsid w:val="00DF4415"/>
    <w:rsid w:val="00DF4E70"/>
    <w:rsid w:val="00DF55BA"/>
    <w:rsid w:val="00DF58FA"/>
    <w:rsid w:val="00DF6012"/>
    <w:rsid w:val="00DF6E0B"/>
    <w:rsid w:val="00DF7239"/>
    <w:rsid w:val="00DF78BE"/>
    <w:rsid w:val="00E0018D"/>
    <w:rsid w:val="00E00612"/>
    <w:rsid w:val="00E00957"/>
    <w:rsid w:val="00E01387"/>
    <w:rsid w:val="00E01413"/>
    <w:rsid w:val="00E017CF"/>
    <w:rsid w:val="00E01F2F"/>
    <w:rsid w:val="00E02785"/>
    <w:rsid w:val="00E0286E"/>
    <w:rsid w:val="00E029FC"/>
    <w:rsid w:val="00E02B4E"/>
    <w:rsid w:val="00E033BB"/>
    <w:rsid w:val="00E039CF"/>
    <w:rsid w:val="00E03B74"/>
    <w:rsid w:val="00E03BE5"/>
    <w:rsid w:val="00E03C99"/>
    <w:rsid w:val="00E048A5"/>
    <w:rsid w:val="00E04FE7"/>
    <w:rsid w:val="00E0550D"/>
    <w:rsid w:val="00E05AF0"/>
    <w:rsid w:val="00E05DB1"/>
    <w:rsid w:val="00E061EF"/>
    <w:rsid w:val="00E068EB"/>
    <w:rsid w:val="00E07003"/>
    <w:rsid w:val="00E07826"/>
    <w:rsid w:val="00E10084"/>
    <w:rsid w:val="00E1015F"/>
    <w:rsid w:val="00E1016C"/>
    <w:rsid w:val="00E10273"/>
    <w:rsid w:val="00E104CC"/>
    <w:rsid w:val="00E10F5B"/>
    <w:rsid w:val="00E113F9"/>
    <w:rsid w:val="00E122C5"/>
    <w:rsid w:val="00E1258D"/>
    <w:rsid w:val="00E126AC"/>
    <w:rsid w:val="00E12759"/>
    <w:rsid w:val="00E131A7"/>
    <w:rsid w:val="00E1356F"/>
    <w:rsid w:val="00E13735"/>
    <w:rsid w:val="00E13955"/>
    <w:rsid w:val="00E13F4A"/>
    <w:rsid w:val="00E13FB1"/>
    <w:rsid w:val="00E1420F"/>
    <w:rsid w:val="00E15796"/>
    <w:rsid w:val="00E15ADE"/>
    <w:rsid w:val="00E16546"/>
    <w:rsid w:val="00E1664B"/>
    <w:rsid w:val="00E16D8A"/>
    <w:rsid w:val="00E171B0"/>
    <w:rsid w:val="00E1754A"/>
    <w:rsid w:val="00E17766"/>
    <w:rsid w:val="00E17891"/>
    <w:rsid w:val="00E178B3"/>
    <w:rsid w:val="00E17BD2"/>
    <w:rsid w:val="00E20151"/>
    <w:rsid w:val="00E20A52"/>
    <w:rsid w:val="00E20E8B"/>
    <w:rsid w:val="00E211C9"/>
    <w:rsid w:val="00E213A1"/>
    <w:rsid w:val="00E21ABF"/>
    <w:rsid w:val="00E223E1"/>
    <w:rsid w:val="00E22ECB"/>
    <w:rsid w:val="00E232BB"/>
    <w:rsid w:val="00E237AC"/>
    <w:rsid w:val="00E239AA"/>
    <w:rsid w:val="00E23C2F"/>
    <w:rsid w:val="00E24098"/>
    <w:rsid w:val="00E24389"/>
    <w:rsid w:val="00E243FD"/>
    <w:rsid w:val="00E24731"/>
    <w:rsid w:val="00E24A76"/>
    <w:rsid w:val="00E25F33"/>
    <w:rsid w:val="00E2701F"/>
    <w:rsid w:val="00E27193"/>
    <w:rsid w:val="00E2773A"/>
    <w:rsid w:val="00E3177A"/>
    <w:rsid w:val="00E32160"/>
    <w:rsid w:val="00E32305"/>
    <w:rsid w:val="00E32306"/>
    <w:rsid w:val="00E32786"/>
    <w:rsid w:val="00E3290E"/>
    <w:rsid w:val="00E32A2B"/>
    <w:rsid w:val="00E32C50"/>
    <w:rsid w:val="00E32D7F"/>
    <w:rsid w:val="00E33757"/>
    <w:rsid w:val="00E33830"/>
    <w:rsid w:val="00E33E02"/>
    <w:rsid w:val="00E33E07"/>
    <w:rsid w:val="00E34701"/>
    <w:rsid w:val="00E34C94"/>
    <w:rsid w:val="00E3535A"/>
    <w:rsid w:val="00E356E1"/>
    <w:rsid w:val="00E35844"/>
    <w:rsid w:val="00E35ADA"/>
    <w:rsid w:val="00E361A2"/>
    <w:rsid w:val="00E36822"/>
    <w:rsid w:val="00E36A98"/>
    <w:rsid w:val="00E37612"/>
    <w:rsid w:val="00E37B57"/>
    <w:rsid w:val="00E37F80"/>
    <w:rsid w:val="00E407E4"/>
    <w:rsid w:val="00E40D01"/>
    <w:rsid w:val="00E41146"/>
    <w:rsid w:val="00E4178C"/>
    <w:rsid w:val="00E42281"/>
    <w:rsid w:val="00E42A3F"/>
    <w:rsid w:val="00E4300E"/>
    <w:rsid w:val="00E434BD"/>
    <w:rsid w:val="00E43D63"/>
    <w:rsid w:val="00E44116"/>
    <w:rsid w:val="00E44154"/>
    <w:rsid w:val="00E44374"/>
    <w:rsid w:val="00E446F5"/>
    <w:rsid w:val="00E44981"/>
    <w:rsid w:val="00E44D50"/>
    <w:rsid w:val="00E4514C"/>
    <w:rsid w:val="00E451A0"/>
    <w:rsid w:val="00E45E87"/>
    <w:rsid w:val="00E46837"/>
    <w:rsid w:val="00E470CA"/>
    <w:rsid w:val="00E47583"/>
    <w:rsid w:val="00E477E7"/>
    <w:rsid w:val="00E4799B"/>
    <w:rsid w:val="00E50B9B"/>
    <w:rsid w:val="00E521A8"/>
    <w:rsid w:val="00E521F3"/>
    <w:rsid w:val="00E527A5"/>
    <w:rsid w:val="00E52B94"/>
    <w:rsid w:val="00E52CFF"/>
    <w:rsid w:val="00E5371C"/>
    <w:rsid w:val="00E537C0"/>
    <w:rsid w:val="00E5382E"/>
    <w:rsid w:val="00E53950"/>
    <w:rsid w:val="00E546CB"/>
    <w:rsid w:val="00E54C72"/>
    <w:rsid w:val="00E54D12"/>
    <w:rsid w:val="00E55117"/>
    <w:rsid w:val="00E559C8"/>
    <w:rsid w:val="00E55DCF"/>
    <w:rsid w:val="00E5605D"/>
    <w:rsid w:val="00E56142"/>
    <w:rsid w:val="00E565D1"/>
    <w:rsid w:val="00E57003"/>
    <w:rsid w:val="00E5712E"/>
    <w:rsid w:val="00E57647"/>
    <w:rsid w:val="00E577C1"/>
    <w:rsid w:val="00E578E3"/>
    <w:rsid w:val="00E60743"/>
    <w:rsid w:val="00E60933"/>
    <w:rsid w:val="00E60A80"/>
    <w:rsid w:val="00E610E8"/>
    <w:rsid w:val="00E614E9"/>
    <w:rsid w:val="00E6158D"/>
    <w:rsid w:val="00E61630"/>
    <w:rsid w:val="00E61BCF"/>
    <w:rsid w:val="00E62052"/>
    <w:rsid w:val="00E621D2"/>
    <w:rsid w:val="00E62B97"/>
    <w:rsid w:val="00E62C0C"/>
    <w:rsid w:val="00E62E3D"/>
    <w:rsid w:val="00E6384C"/>
    <w:rsid w:val="00E63E2E"/>
    <w:rsid w:val="00E64010"/>
    <w:rsid w:val="00E6403D"/>
    <w:rsid w:val="00E643DE"/>
    <w:rsid w:val="00E6480A"/>
    <w:rsid w:val="00E64CFB"/>
    <w:rsid w:val="00E64CFF"/>
    <w:rsid w:val="00E64E35"/>
    <w:rsid w:val="00E64EF4"/>
    <w:rsid w:val="00E650CE"/>
    <w:rsid w:val="00E65494"/>
    <w:rsid w:val="00E65805"/>
    <w:rsid w:val="00E65ECB"/>
    <w:rsid w:val="00E65F41"/>
    <w:rsid w:val="00E66060"/>
    <w:rsid w:val="00E661BD"/>
    <w:rsid w:val="00E6628E"/>
    <w:rsid w:val="00E664E5"/>
    <w:rsid w:val="00E6695B"/>
    <w:rsid w:val="00E67755"/>
    <w:rsid w:val="00E70746"/>
    <w:rsid w:val="00E70FED"/>
    <w:rsid w:val="00E7148D"/>
    <w:rsid w:val="00E7225E"/>
    <w:rsid w:val="00E72976"/>
    <w:rsid w:val="00E72A57"/>
    <w:rsid w:val="00E72DE5"/>
    <w:rsid w:val="00E733A6"/>
    <w:rsid w:val="00E7365F"/>
    <w:rsid w:val="00E736B9"/>
    <w:rsid w:val="00E73764"/>
    <w:rsid w:val="00E7398A"/>
    <w:rsid w:val="00E73A8E"/>
    <w:rsid w:val="00E73AEB"/>
    <w:rsid w:val="00E73C51"/>
    <w:rsid w:val="00E74063"/>
    <w:rsid w:val="00E75490"/>
    <w:rsid w:val="00E75E7D"/>
    <w:rsid w:val="00E7624E"/>
    <w:rsid w:val="00E765C2"/>
    <w:rsid w:val="00E76661"/>
    <w:rsid w:val="00E76803"/>
    <w:rsid w:val="00E76845"/>
    <w:rsid w:val="00E76E33"/>
    <w:rsid w:val="00E77A87"/>
    <w:rsid w:val="00E77ECD"/>
    <w:rsid w:val="00E81178"/>
    <w:rsid w:val="00E8276C"/>
    <w:rsid w:val="00E827AD"/>
    <w:rsid w:val="00E82A82"/>
    <w:rsid w:val="00E82DE9"/>
    <w:rsid w:val="00E8313F"/>
    <w:rsid w:val="00E834C8"/>
    <w:rsid w:val="00E83BAE"/>
    <w:rsid w:val="00E83D54"/>
    <w:rsid w:val="00E83EE3"/>
    <w:rsid w:val="00E8425B"/>
    <w:rsid w:val="00E84EF1"/>
    <w:rsid w:val="00E854E3"/>
    <w:rsid w:val="00E85819"/>
    <w:rsid w:val="00E85922"/>
    <w:rsid w:val="00E86389"/>
    <w:rsid w:val="00E868F4"/>
    <w:rsid w:val="00E86B2E"/>
    <w:rsid w:val="00E8702D"/>
    <w:rsid w:val="00E87B49"/>
    <w:rsid w:val="00E90203"/>
    <w:rsid w:val="00E9028F"/>
    <w:rsid w:val="00E90870"/>
    <w:rsid w:val="00E90996"/>
    <w:rsid w:val="00E90AF1"/>
    <w:rsid w:val="00E90BE4"/>
    <w:rsid w:val="00E91735"/>
    <w:rsid w:val="00E91C1E"/>
    <w:rsid w:val="00E91F76"/>
    <w:rsid w:val="00E926A8"/>
    <w:rsid w:val="00E926B5"/>
    <w:rsid w:val="00E932A4"/>
    <w:rsid w:val="00E93BFF"/>
    <w:rsid w:val="00E93F80"/>
    <w:rsid w:val="00E9416D"/>
    <w:rsid w:val="00E9463E"/>
    <w:rsid w:val="00E94A74"/>
    <w:rsid w:val="00E94EEE"/>
    <w:rsid w:val="00E9524C"/>
    <w:rsid w:val="00E956DC"/>
    <w:rsid w:val="00E958BB"/>
    <w:rsid w:val="00E95AEB"/>
    <w:rsid w:val="00E95AF3"/>
    <w:rsid w:val="00E96450"/>
    <w:rsid w:val="00E96669"/>
    <w:rsid w:val="00E9721D"/>
    <w:rsid w:val="00E9724E"/>
    <w:rsid w:val="00E9763A"/>
    <w:rsid w:val="00E977B4"/>
    <w:rsid w:val="00E97AF7"/>
    <w:rsid w:val="00E97DBD"/>
    <w:rsid w:val="00EA0028"/>
    <w:rsid w:val="00EA00CD"/>
    <w:rsid w:val="00EA0270"/>
    <w:rsid w:val="00EA081E"/>
    <w:rsid w:val="00EA08DB"/>
    <w:rsid w:val="00EA0906"/>
    <w:rsid w:val="00EA0A7A"/>
    <w:rsid w:val="00EA0B6E"/>
    <w:rsid w:val="00EA0D66"/>
    <w:rsid w:val="00EA11E2"/>
    <w:rsid w:val="00EA1454"/>
    <w:rsid w:val="00EA181F"/>
    <w:rsid w:val="00EA19F8"/>
    <w:rsid w:val="00EA2371"/>
    <w:rsid w:val="00EA2689"/>
    <w:rsid w:val="00EA2BD0"/>
    <w:rsid w:val="00EA2E46"/>
    <w:rsid w:val="00EA36BE"/>
    <w:rsid w:val="00EA39F8"/>
    <w:rsid w:val="00EA3E63"/>
    <w:rsid w:val="00EA43A0"/>
    <w:rsid w:val="00EA44DB"/>
    <w:rsid w:val="00EA4913"/>
    <w:rsid w:val="00EA495A"/>
    <w:rsid w:val="00EA4EE6"/>
    <w:rsid w:val="00EA4F24"/>
    <w:rsid w:val="00EA5089"/>
    <w:rsid w:val="00EA510F"/>
    <w:rsid w:val="00EA5581"/>
    <w:rsid w:val="00EA5A57"/>
    <w:rsid w:val="00EA5AB8"/>
    <w:rsid w:val="00EA5F9A"/>
    <w:rsid w:val="00EA6230"/>
    <w:rsid w:val="00EA6367"/>
    <w:rsid w:val="00EA6753"/>
    <w:rsid w:val="00EA6D48"/>
    <w:rsid w:val="00EA6FFB"/>
    <w:rsid w:val="00EA7545"/>
    <w:rsid w:val="00EA7CD9"/>
    <w:rsid w:val="00EA7CFA"/>
    <w:rsid w:val="00EA7E52"/>
    <w:rsid w:val="00EA7F00"/>
    <w:rsid w:val="00EB0061"/>
    <w:rsid w:val="00EB0761"/>
    <w:rsid w:val="00EB13DD"/>
    <w:rsid w:val="00EB1EB9"/>
    <w:rsid w:val="00EB2033"/>
    <w:rsid w:val="00EB261D"/>
    <w:rsid w:val="00EB2695"/>
    <w:rsid w:val="00EB2842"/>
    <w:rsid w:val="00EB28EE"/>
    <w:rsid w:val="00EB2B88"/>
    <w:rsid w:val="00EB3124"/>
    <w:rsid w:val="00EB3382"/>
    <w:rsid w:val="00EB390D"/>
    <w:rsid w:val="00EB3D92"/>
    <w:rsid w:val="00EB4130"/>
    <w:rsid w:val="00EB41EE"/>
    <w:rsid w:val="00EB4A0E"/>
    <w:rsid w:val="00EB4EC6"/>
    <w:rsid w:val="00EB5627"/>
    <w:rsid w:val="00EB5CD4"/>
    <w:rsid w:val="00EB5F89"/>
    <w:rsid w:val="00EB61A7"/>
    <w:rsid w:val="00EB6D23"/>
    <w:rsid w:val="00EB767D"/>
    <w:rsid w:val="00EB790D"/>
    <w:rsid w:val="00EB79FA"/>
    <w:rsid w:val="00EC083F"/>
    <w:rsid w:val="00EC0FA5"/>
    <w:rsid w:val="00EC22F0"/>
    <w:rsid w:val="00EC23CE"/>
    <w:rsid w:val="00EC284B"/>
    <w:rsid w:val="00EC2E85"/>
    <w:rsid w:val="00EC3034"/>
    <w:rsid w:val="00EC338D"/>
    <w:rsid w:val="00EC35CB"/>
    <w:rsid w:val="00EC360E"/>
    <w:rsid w:val="00EC4BB6"/>
    <w:rsid w:val="00EC4D0C"/>
    <w:rsid w:val="00EC5897"/>
    <w:rsid w:val="00EC64B0"/>
    <w:rsid w:val="00EC6BD4"/>
    <w:rsid w:val="00EC6EBC"/>
    <w:rsid w:val="00EC724C"/>
    <w:rsid w:val="00EC761F"/>
    <w:rsid w:val="00EC77AC"/>
    <w:rsid w:val="00EC7BEA"/>
    <w:rsid w:val="00EC7E1C"/>
    <w:rsid w:val="00ED027F"/>
    <w:rsid w:val="00ED0831"/>
    <w:rsid w:val="00ED0F7A"/>
    <w:rsid w:val="00ED0FCB"/>
    <w:rsid w:val="00ED13ED"/>
    <w:rsid w:val="00ED1BFF"/>
    <w:rsid w:val="00ED1D87"/>
    <w:rsid w:val="00ED1E1A"/>
    <w:rsid w:val="00ED2C8E"/>
    <w:rsid w:val="00ED2D14"/>
    <w:rsid w:val="00ED2DD3"/>
    <w:rsid w:val="00ED2F39"/>
    <w:rsid w:val="00ED34A0"/>
    <w:rsid w:val="00ED37BD"/>
    <w:rsid w:val="00ED3958"/>
    <w:rsid w:val="00ED3D74"/>
    <w:rsid w:val="00ED4155"/>
    <w:rsid w:val="00ED427B"/>
    <w:rsid w:val="00ED481B"/>
    <w:rsid w:val="00ED495D"/>
    <w:rsid w:val="00ED4BDB"/>
    <w:rsid w:val="00ED4F3C"/>
    <w:rsid w:val="00ED50AE"/>
    <w:rsid w:val="00ED55BA"/>
    <w:rsid w:val="00ED5BAD"/>
    <w:rsid w:val="00ED5D46"/>
    <w:rsid w:val="00ED69F3"/>
    <w:rsid w:val="00ED715D"/>
    <w:rsid w:val="00EE00F8"/>
    <w:rsid w:val="00EE041E"/>
    <w:rsid w:val="00EE0526"/>
    <w:rsid w:val="00EE06AE"/>
    <w:rsid w:val="00EE06C4"/>
    <w:rsid w:val="00EE1358"/>
    <w:rsid w:val="00EE19C8"/>
    <w:rsid w:val="00EE273D"/>
    <w:rsid w:val="00EE27F0"/>
    <w:rsid w:val="00EE281D"/>
    <w:rsid w:val="00EE2A45"/>
    <w:rsid w:val="00EE33C9"/>
    <w:rsid w:val="00EE38E6"/>
    <w:rsid w:val="00EE398B"/>
    <w:rsid w:val="00EE3B4F"/>
    <w:rsid w:val="00EE4885"/>
    <w:rsid w:val="00EE490D"/>
    <w:rsid w:val="00EE4A28"/>
    <w:rsid w:val="00EE56E0"/>
    <w:rsid w:val="00EE6079"/>
    <w:rsid w:val="00EE63CB"/>
    <w:rsid w:val="00EE668E"/>
    <w:rsid w:val="00EE6932"/>
    <w:rsid w:val="00EE6B4E"/>
    <w:rsid w:val="00EE6E53"/>
    <w:rsid w:val="00EE7674"/>
    <w:rsid w:val="00EE7B99"/>
    <w:rsid w:val="00EE7CE6"/>
    <w:rsid w:val="00EE7DC5"/>
    <w:rsid w:val="00EF0B5F"/>
    <w:rsid w:val="00EF10D6"/>
    <w:rsid w:val="00EF2164"/>
    <w:rsid w:val="00EF2E67"/>
    <w:rsid w:val="00EF2E97"/>
    <w:rsid w:val="00EF2F0C"/>
    <w:rsid w:val="00EF31C4"/>
    <w:rsid w:val="00EF36E7"/>
    <w:rsid w:val="00EF377C"/>
    <w:rsid w:val="00EF3A1D"/>
    <w:rsid w:val="00EF3B7B"/>
    <w:rsid w:val="00EF3D0E"/>
    <w:rsid w:val="00EF3D63"/>
    <w:rsid w:val="00EF4811"/>
    <w:rsid w:val="00EF5413"/>
    <w:rsid w:val="00EF5690"/>
    <w:rsid w:val="00EF59E8"/>
    <w:rsid w:val="00EF6843"/>
    <w:rsid w:val="00EF6FC3"/>
    <w:rsid w:val="00EF733A"/>
    <w:rsid w:val="00EF7D5D"/>
    <w:rsid w:val="00EF7F6F"/>
    <w:rsid w:val="00F00475"/>
    <w:rsid w:val="00F00F9B"/>
    <w:rsid w:val="00F01059"/>
    <w:rsid w:val="00F01F8A"/>
    <w:rsid w:val="00F032A8"/>
    <w:rsid w:val="00F03956"/>
    <w:rsid w:val="00F03F09"/>
    <w:rsid w:val="00F04579"/>
    <w:rsid w:val="00F048CD"/>
    <w:rsid w:val="00F04D24"/>
    <w:rsid w:val="00F0536B"/>
    <w:rsid w:val="00F058DD"/>
    <w:rsid w:val="00F05C9D"/>
    <w:rsid w:val="00F05E62"/>
    <w:rsid w:val="00F070E7"/>
    <w:rsid w:val="00F071D5"/>
    <w:rsid w:val="00F076EB"/>
    <w:rsid w:val="00F07A15"/>
    <w:rsid w:val="00F07B61"/>
    <w:rsid w:val="00F07EFD"/>
    <w:rsid w:val="00F10A9F"/>
    <w:rsid w:val="00F1119D"/>
    <w:rsid w:val="00F113C9"/>
    <w:rsid w:val="00F11612"/>
    <w:rsid w:val="00F11AA7"/>
    <w:rsid w:val="00F11E36"/>
    <w:rsid w:val="00F12607"/>
    <w:rsid w:val="00F127F4"/>
    <w:rsid w:val="00F1347F"/>
    <w:rsid w:val="00F13BE3"/>
    <w:rsid w:val="00F14733"/>
    <w:rsid w:val="00F14A8A"/>
    <w:rsid w:val="00F14ADF"/>
    <w:rsid w:val="00F156A6"/>
    <w:rsid w:val="00F162AE"/>
    <w:rsid w:val="00F162C1"/>
    <w:rsid w:val="00F1635E"/>
    <w:rsid w:val="00F16839"/>
    <w:rsid w:val="00F16A92"/>
    <w:rsid w:val="00F16AB8"/>
    <w:rsid w:val="00F16FDD"/>
    <w:rsid w:val="00F173CB"/>
    <w:rsid w:val="00F17E65"/>
    <w:rsid w:val="00F202AA"/>
    <w:rsid w:val="00F2035E"/>
    <w:rsid w:val="00F20F24"/>
    <w:rsid w:val="00F2150A"/>
    <w:rsid w:val="00F221EB"/>
    <w:rsid w:val="00F224E6"/>
    <w:rsid w:val="00F22A8B"/>
    <w:rsid w:val="00F22C19"/>
    <w:rsid w:val="00F23306"/>
    <w:rsid w:val="00F237B8"/>
    <w:rsid w:val="00F2384F"/>
    <w:rsid w:val="00F23DD4"/>
    <w:rsid w:val="00F24359"/>
    <w:rsid w:val="00F246AB"/>
    <w:rsid w:val="00F24B49"/>
    <w:rsid w:val="00F252D3"/>
    <w:rsid w:val="00F253AE"/>
    <w:rsid w:val="00F2553B"/>
    <w:rsid w:val="00F2562D"/>
    <w:rsid w:val="00F25BFE"/>
    <w:rsid w:val="00F25C47"/>
    <w:rsid w:val="00F261A4"/>
    <w:rsid w:val="00F2669D"/>
    <w:rsid w:val="00F26B38"/>
    <w:rsid w:val="00F26BAC"/>
    <w:rsid w:val="00F26DAE"/>
    <w:rsid w:val="00F273E1"/>
    <w:rsid w:val="00F30236"/>
    <w:rsid w:val="00F30AA0"/>
    <w:rsid w:val="00F30BE7"/>
    <w:rsid w:val="00F30C33"/>
    <w:rsid w:val="00F313B9"/>
    <w:rsid w:val="00F31401"/>
    <w:rsid w:val="00F31E10"/>
    <w:rsid w:val="00F32112"/>
    <w:rsid w:val="00F324D9"/>
    <w:rsid w:val="00F32B60"/>
    <w:rsid w:val="00F32CC4"/>
    <w:rsid w:val="00F33645"/>
    <w:rsid w:val="00F336E9"/>
    <w:rsid w:val="00F3397F"/>
    <w:rsid w:val="00F339AD"/>
    <w:rsid w:val="00F33C63"/>
    <w:rsid w:val="00F33FD2"/>
    <w:rsid w:val="00F34456"/>
    <w:rsid w:val="00F346DA"/>
    <w:rsid w:val="00F3484D"/>
    <w:rsid w:val="00F34C5F"/>
    <w:rsid w:val="00F352EB"/>
    <w:rsid w:val="00F36083"/>
    <w:rsid w:val="00F36575"/>
    <w:rsid w:val="00F365A3"/>
    <w:rsid w:val="00F366AF"/>
    <w:rsid w:val="00F36B24"/>
    <w:rsid w:val="00F36E9C"/>
    <w:rsid w:val="00F36F24"/>
    <w:rsid w:val="00F373AC"/>
    <w:rsid w:val="00F37515"/>
    <w:rsid w:val="00F37B68"/>
    <w:rsid w:val="00F37C01"/>
    <w:rsid w:val="00F40037"/>
    <w:rsid w:val="00F404E8"/>
    <w:rsid w:val="00F4060C"/>
    <w:rsid w:val="00F40F98"/>
    <w:rsid w:val="00F40FE8"/>
    <w:rsid w:val="00F41253"/>
    <w:rsid w:val="00F41A33"/>
    <w:rsid w:val="00F41BF4"/>
    <w:rsid w:val="00F41E59"/>
    <w:rsid w:val="00F41E9C"/>
    <w:rsid w:val="00F427FC"/>
    <w:rsid w:val="00F428E4"/>
    <w:rsid w:val="00F4424C"/>
    <w:rsid w:val="00F44F5A"/>
    <w:rsid w:val="00F45253"/>
    <w:rsid w:val="00F452B1"/>
    <w:rsid w:val="00F45E2D"/>
    <w:rsid w:val="00F46795"/>
    <w:rsid w:val="00F46FCA"/>
    <w:rsid w:val="00F4707C"/>
    <w:rsid w:val="00F476AD"/>
    <w:rsid w:val="00F47825"/>
    <w:rsid w:val="00F5023C"/>
    <w:rsid w:val="00F5062D"/>
    <w:rsid w:val="00F5069A"/>
    <w:rsid w:val="00F507D5"/>
    <w:rsid w:val="00F50C91"/>
    <w:rsid w:val="00F5102B"/>
    <w:rsid w:val="00F510E4"/>
    <w:rsid w:val="00F513BA"/>
    <w:rsid w:val="00F5149B"/>
    <w:rsid w:val="00F519D0"/>
    <w:rsid w:val="00F51F0C"/>
    <w:rsid w:val="00F5205C"/>
    <w:rsid w:val="00F5222C"/>
    <w:rsid w:val="00F52534"/>
    <w:rsid w:val="00F52690"/>
    <w:rsid w:val="00F52E1B"/>
    <w:rsid w:val="00F53123"/>
    <w:rsid w:val="00F53FC7"/>
    <w:rsid w:val="00F543E8"/>
    <w:rsid w:val="00F54755"/>
    <w:rsid w:val="00F54971"/>
    <w:rsid w:val="00F550CB"/>
    <w:rsid w:val="00F55270"/>
    <w:rsid w:val="00F5558E"/>
    <w:rsid w:val="00F558B1"/>
    <w:rsid w:val="00F56194"/>
    <w:rsid w:val="00F56BBC"/>
    <w:rsid w:val="00F57790"/>
    <w:rsid w:val="00F57CE9"/>
    <w:rsid w:val="00F57ED0"/>
    <w:rsid w:val="00F603DA"/>
    <w:rsid w:val="00F60577"/>
    <w:rsid w:val="00F60B66"/>
    <w:rsid w:val="00F6130F"/>
    <w:rsid w:val="00F615D3"/>
    <w:rsid w:val="00F61752"/>
    <w:rsid w:val="00F61862"/>
    <w:rsid w:val="00F61D65"/>
    <w:rsid w:val="00F6289C"/>
    <w:rsid w:val="00F62BD1"/>
    <w:rsid w:val="00F62E05"/>
    <w:rsid w:val="00F63316"/>
    <w:rsid w:val="00F639D6"/>
    <w:rsid w:val="00F63C82"/>
    <w:rsid w:val="00F63FE6"/>
    <w:rsid w:val="00F63FEB"/>
    <w:rsid w:val="00F640FF"/>
    <w:rsid w:val="00F64451"/>
    <w:rsid w:val="00F645E4"/>
    <w:rsid w:val="00F65431"/>
    <w:rsid w:val="00F65452"/>
    <w:rsid w:val="00F654F0"/>
    <w:rsid w:val="00F6575A"/>
    <w:rsid w:val="00F65C06"/>
    <w:rsid w:val="00F664B8"/>
    <w:rsid w:val="00F668E5"/>
    <w:rsid w:val="00F66EC2"/>
    <w:rsid w:val="00F66FBE"/>
    <w:rsid w:val="00F67560"/>
    <w:rsid w:val="00F67AA9"/>
    <w:rsid w:val="00F701D7"/>
    <w:rsid w:val="00F7176A"/>
    <w:rsid w:val="00F7301F"/>
    <w:rsid w:val="00F736E5"/>
    <w:rsid w:val="00F73F35"/>
    <w:rsid w:val="00F7438B"/>
    <w:rsid w:val="00F745DD"/>
    <w:rsid w:val="00F74E06"/>
    <w:rsid w:val="00F757CC"/>
    <w:rsid w:val="00F7581E"/>
    <w:rsid w:val="00F761B8"/>
    <w:rsid w:val="00F761C2"/>
    <w:rsid w:val="00F7655C"/>
    <w:rsid w:val="00F76BD7"/>
    <w:rsid w:val="00F77427"/>
    <w:rsid w:val="00F77435"/>
    <w:rsid w:val="00F77DB8"/>
    <w:rsid w:val="00F802D5"/>
    <w:rsid w:val="00F804D0"/>
    <w:rsid w:val="00F80CC1"/>
    <w:rsid w:val="00F80E98"/>
    <w:rsid w:val="00F819EA"/>
    <w:rsid w:val="00F820AB"/>
    <w:rsid w:val="00F82A6F"/>
    <w:rsid w:val="00F8406C"/>
    <w:rsid w:val="00F84194"/>
    <w:rsid w:val="00F846AD"/>
    <w:rsid w:val="00F85448"/>
    <w:rsid w:val="00F85C69"/>
    <w:rsid w:val="00F86390"/>
    <w:rsid w:val="00F86988"/>
    <w:rsid w:val="00F86EC8"/>
    <w:rsid w:val="00F878B4"/>
    <w:rsid w:val="00F879BD"/>
    <w:rsid w:val="00F87F6B"/>
    <w:rsid w:val="00F90366"/>
    <w:rsid w:val="00F90415"/>
    <w:rsid w:val="00F90A02"/>
    <w:rsid w:val="00F90C39"/>
    <w:rsid w:val="00F90FB0"/>
    <w:rsid w:val="00F91158"/>
    <w:rsid w:val="00F9129B"/>
    <w:rsid w:val="00F91579"/>
    <w:rsid w:val="00F91F84"/>
    <w:rsid w:val="00F93D1C"/>
    <w:rsid w:val="00F93E0F"/>
    <w:rsid w:val="00F94005"/>
    <w:rsid w:val="00F944B1"/>
    <w:rsid w:val="00F94657"/>
    <w:rsid w:val="00F94815"/>
    <w:rsid w:val="00F948FE"/>
    <w:rsid w:val="00F959C0"/>
    <w:rsid w:val="00F95C94"/>
    <w:rsid w:val="00F95D97"/>
    <w:rsid w:val="00F95F8E"/>
    <w:rsid w:val="00F96251"/>
    <w:rsid w:val="00F96C9F"/>
    <w:rsid w:val="00FA00EF"/>
    <w:rsid w:val="00FA0B0E"/>
    <w:rsid w:val="00FA1274"/>
    <w:rsid w:val="00FA13BC"/>
    <w:rsid w:val="00FA13D6"/>
    <w:rsid w:val="00FA18CB"/>
    <w:rsid w:val="00FA1BD5"/>
    <w:rsid w:val="00FA1BEE"/>
    <w:rsid w:val="00FA287E"/>
    <w:rsid w:val="00FA296D"/>
    <w:rsid w:val="00FA2A20"/>
    <w:rsid w:val="00FA2CA6"/>
    <w:rsid w:val="00FA2F5F"/>
    <w:rsid w:val="00FA34D6"/>
    <w:rsid w:val="00FA3946"/>
    <w:rsid w:val="00FA3DBA"/>
    <w:rsid w:val="00FA45F5"/>
    <w:rsid w:val="00FA50A7"/>
    <w:rsid w:val="00FA51D8"/>
    <w:rsid w:val="00FA5431"/>
    <w:rsid w:val="00FA5494"/>
    <w:rsid w:val="00FA56C7"/>
    <w:rsid w:val="00FA5757"/>
    <w:rsid w:val="00FA615C"/>
    <w:rsid w:val="00FA7907"/>
    <w:rsid w:val="00FB0332"/>
    <w:rsid w:val="00FB0984"/>
    <w:rsid w:val="00FB0E31"/>
    <w:rsid w:val="00FB0F92"/>
    <w:rsid w:val="00FB120B"/>
    <w:rsid w:val="00FB1458"/>
    <w:rsid w:val="00FB1537"/>
    <w:rsid w:val="00FB15F4"/>
    <w:rsid w:val="00FB19C5"/>
    <w:rsid w:val="00FB1CD3"/>
    <w:rsid w:val="00FB28A0"/>
    <w:rsid w:val="00FB2A6E"/>
    <w:rsid w:val="00FB2CE9"/>
    <w:rsid w:val="00FB2E98"/>
    <w:rsid w:val="00FB2F53"/>
    <w:rsid w:val="00FB32B3"/>
    <w:rsid w:val="00FB3B02"/>
    <w:rsid w:val="00FB40DA"/>
    <w:rsid w:val="00FB4708"/>
    <w:rsid w:val="00FB48F0"/>
    <w:rsid w:val="00FB4B44"/>
    <w:rsid w:val="00FB4E5F"/>
    <w:rsid w:val="00FB5305"/>
    <w:rsid w:val="00FB5901"/>
    <w:rsid w:val="00FB605F"/>
    <w:rsid w:val="00FB6353"/>
    <w:rsid w:val="00FB645C"/>
    <w:rsid w:val="00FB6D0F"/>
    <w:rsid w:val="00FC0ABE"/>
    <w:rsid w:val="00FC1519"/>
    <w:rsid w:val="00FC1546"/>
    <w:rsid w:val="00FC17C8"/>
    <w:rsid w:val="00FC1BCD"/>
    <w:rsid w:val="00FC222F"/>
    <w:rsid w:val="00FC2681"/>
    <w:rsid w:val="00FC28E7"/>
    <w:rsid w:val="00FC2F72"/>
    <w:rsid w:val="00FC310D"/>
    <w:rsid w:val="00FC3599"/>
    <w:rsid w:val="00FC4205"/>
    <w:rsid w:val="00FC475C"/>
    <w:rsid w:val="00FC4DF4"/>
    <w:rsid w:val="00FC546A"/>
    <w:rsid w:val="00FC57A4"/>
    <w:rsid w:val="00FC5AB0"/>
    <w:rsid w:val="00FC5C2D"/>
    <w:rsid w:val="00FC6F27"/>
    <w:rsid w:val="00FC70A1"/>
    <w:rsid w:val="00FC787D"/>
    <w:rsid w:val="00FC794F"/>
    <w:rsid w:val="00FD0317"/>
    <w:rsid w:val="00FD066F"/>
    <w:rsid w:val="00FD1580"/>
    <w:rsid w:val="00FD1DD4"/>
    <w:rsid w:val="00FD1FDE"/>
    <w:rsid w:val="00FD2651"/>
    <w:rsid w:val="00FD2878"/>
    <w:rsid w:val="00FD39B9"/>
    <w:rsid w:val="00FD3CC6"/>
    <w:rsid w:val="00FD4616"/>
    <w:rsid w:val="00FD65BE"/>
    <w:rsid w:val="00FD6DF0"/>
    <w:rsid w:val="00FD7013"/>
    <w:rsid w:val="00FD716C"/>
    <w:rsid w:val="00FD728E"/>
    <w:rsid w:val="00FD768A"/>
    <w:rsid w:val="00FD7A37"/>
    <w:rsid w:val="00FE1B1E"/>
    <w:rsid w:val="00FE1F09"/>
    <w:rsid w:val="00FE1FD0"/>
    <w:rsid w:val="00FE2FAC"/>
    <w:rsid w:val="00FE332B"/>
    <w:rsid w:val="00FE3E2D"/>
    <w:rsid w:val="00FE40B9"/>
    <w:rsid w:val="00FE41D8"/>
    <w:rsid w:val="00FE423E"/>
    <w:rsid w:val="00FE4478"/>
    <w:rsid w:val="00FE4873"/>
    <w:rsid w:val="00FE494A"/>
    <w:rsid w:val="00FE4CCD"/>
    <w:rsid w:val="00FE4ED2"/>
    <w:rsid w:val="00FE4F03"/>
    <w:rsid w:val="00FE528A"/>
    <w:rsid w:val="00FE5384"/>
    <w:rsid w:val="00FE5FB5"/>
    <w:rsid w:val="00FE6172"/>
    <w:rsid w:val="00FE62BD"/>
    <w:rsid w:val="00FE62EA"/>
    <w:rsid w:val="00FE69A1"/>
    <w:rsid w:val="00FE6D80"/>
    <w:rsid w:val="00FE716C"/>
    <w:rsid w:val="00FE73AE"/>
    <w:rsid w:val="00FE78F4"/>
    <w:rsid w:val="00FE7AB6"/>
    <w:rsid w:val="00FE7CF8"/>
    <w:rsid w:val="00FF00ED"/>
    <w:rsid w:val="00FF05A8"/>
    <w:rsid w:val="00FF07B2"/>
    <w:rsid w:val="00FF0A93"/>
    <w:rsid w:val="00FF0D5E"/>
    <w:rsid w:val="00FF10ED"/>
    <w:rsid w:val="00FF151D"/>
    <w:rsid w:val="00FF1575"/>
    <w:rsid w:val="00FF1D12"/>
    <w:rsid w:val="00FF20A9"/>
    <w:rsid w:val="00FF26F3"/>
    <w:rsid w:val="00FF2E2F"/>
    <w:rsid w:val="00FF39EE"/>
    <w:rsid w:val="00FF3FF7"/>
    <w:rsid w:val="00FF402D"/>
    <w:rsid w:val="00FF470F"/>
    <w:rsid w:val="00FF47E1"/>
    <w:rsid w:val="00FF4A1A"/>
    <w:rsid w:val="00FF5401"/>
    <w:rsid w:val="00FF5DAE"/>
    <w:rsid w:val="00FF698F"/>
    <w:rsid w:val="00FF7289"/>
    <w:rsid w:val="00FF766E"/>
    <w:rsid w:val="00FF7E5F"/>
    <w:rsid w:val="01D54D29"/>
    <w:rsid w:val="0467436A"/>
    <w:rsid w:val="05490AA2"/>
    <w:rsid w:val="07152288"/>
    <w:rsid w:val="071D6FA1"/>
    <w:rsid w:val="075749F2"/>
    <w:rsid w:val="078334AC"/>
    <w:rsid w:val="07A15C2B"/>
    <w:rsid w:val="0B64148D"/>
    <w:rsid w:val="0C077153"/>
    <w:rsid w:val="0CCA625A"/>
    <w:rsid w:val="0D963D49"/>
    <w:rsid w:val="0E0C354B"/>
    <w:rsid w:val="0E2C181D"/>
    <w:rsid w:val="0FA63AE8"/>
    <w:rsid w:val="0FC315DA"/>
    <w:rsid w:val="10785A6B"/>
    <w:rsid w:val="124B19D9"/>
    <w:rsid w:val="12965CAA"/>
    <w:rsid w:val="12B44B53"/>
    <w:rsid w:val="133862DB"/>
    <w:rsid w:val="13EB422F"/>
    <w:rsid w:val="142521E7"/>
    <w:rsid w:val="1571685D"/>
    <w:rsid w:val="17F40B37"/>
    <w:rsid w:val="18686E58"/>
    <w:rsid w:val="197147C2"/>
    <w:rsid w:val="198E58DA"/>
    <w:rsid w:val="199E6CE8"/>
    <w:rsid w:val="1BA9104C"/>
    <w:rsid w:val="1C8B5978"/>
    <w:rsid w:val="1D1A5FA5"/>
    <w:rsid w:val="1E086BF6"/>
    <w:rsid w:val="1E616200"/>
    <w:rsid w:val="1E866492"/>
    <w:rsid w:val="1F382F47"/>
    <w:rsid w:val="1F9E2435"/>
    <w:rsid w:val="205800FC"/>
    <w:rsid w:val="209B60F9"/>
    <w:rsid w:val="20AC5625"/>
    <w:rsid w:val="22561434"/>
    <w:rsid w:val="22887924"/>
    <w:rsid w:val="23D225AB"/>
    <w:rsid w:val="2440158C"/>
    <w:rsid w:val="24C02232"/>
    <w:rsid w:val="24FD2453"/>
    <w:rsid w:val="25316949"/>
    <w:rsid w:val="263822D5"/>
    <w:rsid w:val="265433C4"/>
    <w:rsid w:val="274E333D"/>
    <w:rsid w:val="27BB57F4"/>
    <w:rsid w:val="282E5270"/>
    <w:rsid w:val="288E047B"/>
    <w:rsid w:val="29216CAE"/>
    <w:rsid w:val="29316C68"/>
    <w:rsid w:val="29485CF7"/>
    <w:rsid w:val="29B04B0F"/>
    <w:rsid w:val="2A311567"/>
    <w:rsid w:val="2A802C5F"/>
    <w:rsid w:val="2AA455CC"/>
    <w:rsid w:val="2B07627E"/>
    <w:rsid w:val="2B195A3A"/>
    <w:rsid w:val="2B7F5652"/>
    <w:rsid w:val="2B890A4E"/>
    <w:rsid w:val="2C320FE7"/>
    <w:rsid w:val="2CA5155E"/>
    <w:rsid w:val="2DBC018C"/>
    <w:rsid w:val="2DC9295C"/>
    <w:rsid w:val="2DEF7707"/>
    <w:rsid w:val="2ECB66AE"/>
    <w:rsid w:val="2F9C5B72"/>
    <w:rsid w:val="30524A47"/>
    <w:rsid w:val="34410A80"/>
    <w:rsid w:val="34F1351D"/>
    <w:rsid w:val="35981C68"/>
    <w:rsid w:val="35E51E02"/>
    <w:rsid w:val="36E8778B"/>
    <w:rsid w:val="374A0C9E"/>
    <w:rsid w:val="376009A4"/>
    <w:rsid w:val="387708F0"/>
    <w:rsid w:val="38A7082A"/>
    <w:rsid w:val="38F93316"/>
    <w:rsid w:val="390042B8"/>
    <w:rsid w:val="39307651"/>
    <w:rsid w:val="39D077A7"/>
    <w:rsid w:val="3AC15E4E"/>
    <w:rsid w:val="3ACD27E7"/>
    <w:rsid w:val="3B1C60C5"/>
    <w:rsid w:val="3C0D4A80"/>
    <w:rsid w:val="3C42536E"/>
    <w:rsid w:val="3F097239"/>
    <w:rsid w:val="3FE42484"/>
    <w:rsid w:val="409915AC"/>
    <w:rsid w:val="40E74664"/>
    <w:rsid w:val="41BD6331"/>
    <w:rsid w:val="41EC5D67"/>
    <w:rsid w:val="42E83E21"/>
    <w:rsid w:val="445D514A"/>
    <w:rsid w:val="44942D26"/>
    <w:rsid w:val="451F752C"/>
    <w:rsid w:val="45241811"/>
    <w:rsid w:val="456F725F"/>
    <w:rsid w:val="45DC1AB0"/>
    <w:rsid w:val="465D516E"/>
    <w:rsid w:val="46E421F8"/>
    <w:rsid w:val="47D05482"/>
    <w:rsid w:val="47E7653F"/>
    <w:rsid w:val="4887210C"/>
    <w:rsid w:val="49936BC1"/>
    <w:rsid w:val="49D555D9"/>
    <w:rsid w:val="4CFE4A4A"/>
    <w:rsid w:val="4D0C15C0"/>
    <w:rsid w:val="4E7869E7"/>
    <w:rsid w:val="4EF45DA8"/>
    <w:rsid w:val="4F297D2E"/>
    <w:rsid w:val="4F93067F"/>
    <w:rsid w:val="506D4B62"/>
    <w:rsid w:val="508400DD"/>
    <w:rsid w:val="509113DD"/>
    <w:rsid w:val="52953BE7"/>
    <w:rsid w:val="52D243B8"/>
    <w:rsid w:val="52D737A7"/>
    <w:rsid w:val="5550766B"/>
    <w:rsid w:val="565B676F"/>
    <w:rsid w:val="573C1A7B"/>
    <w:rsid w:val="58526029"/>
    <w:rsid w:val="58A8020C"/>
    <w:rsid w:val="59020B0E"/>
    <w:rsid w:val="595654C7"/>
    <w:rsid w:val="59726EF4"/>
    <w:rsid w:val="59A86F10"/>
    <w:rsid w:val="5A656CCB"/>
    <w:rsid w:val="5B1E34AF"/>
    <w:rsid w:val="5C776D79"/>
    <w:rsid w:val="5D1D5015"/>
    <w:rsid w:val="5D5E2D0C"/>
    <w:rsid w:val="5E296184"/>
    <w:rsid w:val="5F003FAE"/>
    <w:rsid w:val="5F5263D9"/>
    <w:rsid w:val="601A5C2D"/>
    <w:rsid w:val="602E505D"/>
    <w:rsid w:val="60BA476A"/>
    <w:rsid w:val="60BC74C1"/>
    <w:rsid w:val="61365912"/>
    <w:rsid w:val="6137132D"/>
    <w:rsid w:val="61596754"/>
    <w:rsid w:val="61935A75"/>
    <w:rsid w:val="62892A99"/>
    <w:rsid w:val="62E0455E"/>
    <w:rsid w:val="64A20885"/>
    <w:rsid w:val="64C82DBF"/>
    <w:rsid w:val="65110D9C"/>
    <w:rsid w:val="667F04FF"/>
    <w:rsid w:val="66CC486A"/>
    <w:rsid w:val="676C2557"/>
    <w:rsid w:val="68A47C5C"/>
    <w:rsid w:val="69CF1892"/>
    <w:rsid w:val="6A4D16D9"/>
    <w:rsid w:val="6A8E0F73"/>
    <w:rsid w:val="6A931193"/>
    <w:rsid w:val="6ABA69B3"/>
    <w:rsid w:val="6BCA1813"/>
    <w:rsid w:val="6BCB0C08"/>
    <w:rsid w:val="6D062938"/>
    <w:rsid w:val="6DF96CC6"/>
    <w:rsid w:val="6E15300C"/>
    <w:rsid w:val="6EF6519A"/>
    <w:rsid w:val="6F7F09D1"/>
    <w:rsid w:val="701619AD"/>
    <w:rsid w:val="70716142"/>
    <w:rsid w:val="72587838"/>
    <w:rsid w:val="72A62834"/>
    <w:rsid w:val="73033A87"/>
    <w:rsid w:val="73987317"/>
    <w:rsid w:val="74D81A0A"/>
    <w:rsid w:val="7500110E"/>
    <w:rsid w:val="751B2757"/>
    <w:rsid w:val="769E6DD5"/>
    <w:rsid w:val="77DB46E6"/>
    <w:rsid w:val="782167E4"/>
    <w:rsid w:val="785906C2"/>
    <w:rsid w:val="7968510F"/>
    <w:rsid w:val="7A462427"/>
    <w:rsid w:val="7A4A1CE7"/>
    <w:rsid w:val="7BAB12C3"/>
    <w:rsid w:val="7CF25170"/>
    <w:rsid w:val="7E5C5B71"/>
    <w:rsid w:val="7E837FD4"/>
    <w:rsid w:val="7F0F79DD"/>
    <w:rsid w:val="7F241CCD"/>
    <w:rsid w:val="7F5720D8"/>
    <w:rsid w:val="7FA33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39" w:semiHidden="0" w:name="toc 1"/>
    <w:lsdException w:unhideWhenUsed="0" w:uiPriority="39" w:semiHidden="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qFormat="1" w:unhideWhenUsed="0" w:uiPriority="0" w:semiHidden="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71"/>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85"/>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link w:val="92"/>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213"/>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7">
    <w:name w:val="heading 5"/>
    <w:basedOn w:val="1"/>
    <w:next w:val="1"/>
    <w:link w:val="110"/>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114"/>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link w:val="157"/>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link w:val="97"/>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link w:val="170"/>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3">
    <w:name w:val="Default Paragraph Font"/>
    <w:semiHidden/>
    <w:uiPriority w:val="0"/>
  </w:style>
  <w:style w:type="table" w:default="1" w:styleId="61">
    <w:name w:val="Normal Table"/>
    <w:semiHidden/>
    <w:uiPriority w:val="0"/>
    <w:tblPr>
      <w:tblLayout w:type="fixed"/>
      <w:tblCellMar>
        <w:top w:w="0" w:type="dxa"/>
        <w:left w:w="108" w:type="dxa"/>
        <w:bottom w:w="0" w:type="dxa"/>
        <w:right w:w="108" w:type="dxa"/>
      </w:tblCellMar>
    </w:tblPr>
  </w:style>
  <w:style w:type="paragraph" w:styleId="2">
    <w:name w:val="Body Text"/>
    <w:basedOn w:val="1"/>
    <w:link w:val="122"/>
    <w:uiPriority w:val="0"/>
    <w:pPr>
      <w:jc w:val="center"/>
    </w:pPr>
    <w:rPr>
      <w:rFonts w:ascii="宋体" w:hAnsi="宋体"/>
      <w:b/>
      <w:bCs/>
      <w:color w:val="000000"/>
      <w:sz w:val="72"/>
      <w:szCs w:val="20"/>
    </w:rPr>
  </w:style>
  <w:style w:type="paragraph" w:styleId="12">
    <w:name w:val="toc 7"/>
    <w:basedOn w:val="1"/>
    <w:next w:val="1"/>
    <w:semiHidden/>
    <w:uiPriority w:val="0"/>
    <w:pPr>
      <w:ind w:left="2520" w:leftChars="1200"/>
    </w:pPr>
  </w:style>
  <w:style w:type="paragraph" w:styleId="13">
    <w:name w:val="index 8"/>
    <w:basedOn w:val="1"/>
    <w:next w:val="1"/>
    <w:semiHidden/>
    <w:uiPriority w:val="0"/>
    <w:pPr>
      <w:ind w:left="1400" w:leftChars="1400"/>
    </w:pPr>
  </w:style>
  <w:style w:type="paragraph" w:styleId="14">
    <w:name w:val="List Number"/>
    <w:basedOn w:val="1"/>
    <w:uiPriority w:val="0"/>
    <w:pPr>
      <w:tabs>
        <w:tab w:val="left" w:pos="360"/>
      </w:tabs>
      <w:ind w:left="360" w:hanging="360" w:hangingChars="200"/>
    </w:pPr>
  </w:style>
  <w:style w:type="paragraph" w:styleId="15">
    <w:name w:val="Normal Indent"/>
    <w:basedOn w:val="1"/>
    <w:link w:val="212"/>
    <w:uiPriority w:val="0"/>
    <w:pPr>
      <w:ind w:firstLine="420" w:firstLineChars="200"/>
    </w:pPr>
    <w:rPr>
      <w:sz w:val="28"/>
      <w:szCs w:val="20"/>
    </w:rPr>
  </w:style>
  <w:style w:type="paragraph" w:styleId="16">
    <w:name w:val="caption"/>
    <w:basedOn w:val="1"/>
    <w:next w:val="1"/>
    <w:qFormat/>
    <w:uiPriority w:val="0"/>
    <w:pPr>
      <w:suppressLineNumbers/>
      <w:spacing w:before="120" w:after="120"/>
    </w:pPr>
    <w:rPr>
      <w:rFonts w:cs="Mangal"/>
      <w:i/>
      <w:iCs/>
      <w:color w:val="00000A"/>
      <w:kern w:val="0"/>
      <w:sz w:val="24"/>
    </w:rPr>
  </w:style>
  <w:style w:type="paragraph" w:styleId="17">
    <w:name w:val="index 5"/>
    <w:basedOn w:val="1"/>
    <w:next w:val="1"/>
    <w:semiHidden/>
    <w:uiPriority w:val="0"/>
    <w:pPr>
      <w:ind w:left="800" w:leftChars="800"/>
    </w:pPr>
  </w:style>
  <w:style w:type="paragraph" w:styleId="18">
    <w:name w:val="List Bullet"/>
    <w:basedOn w:val="19"/>
    <w:uiPriority w:val="0"/>
    <w:pPr>
      <w:widowControl/>
      <w:tabs>
        <w:tab w:val="left" w:pos="360"/>
        <w:tab w:val="left" w:pos="420"/>
      </w:tabs>
      <w:adjustRightInd/>
      <w:snapToGrid/>
      <w:ind w:left="360" w:right="720" w:hanging="360"/>
    </w:pPr>
    <w:rPr>
      <w:rFonts w:ascii="Garamond" w:hAnsi="Garamond"/>
      <w:kern w:val="0"/>
      <w:sz w:val="24"/>
      <w:szCs w:val="20"/>
    </w:rPr>
  </w:style>
  <w:style w:type="paragraph" w:styleId="19">
    <w:name w:val="List"/>
    <w:basedOn w:val="1"/>
    <w:uiPriority w:val="0"/>
    <w:pPr>
      <w:tabs>
        <w:tab w:val="left" w:pos="420"/>
      </w:tabs>
      <w:adjustRightInd w:val="0"/>
      <w:snapToGrid w:val="0"/>
      <w:spacing w:line="300" w:lineRule="auto"/>
      <w:ind w:left="840" w:hanging="420"/>
    </w:pPr>
    <w:rPr>
      <w:rFonts w:ascii="Times New Roman" w:hAnsi="Times New Roman"/>
    </w:rPr>
  </w:style>
  <w:style w:type="paragraph" w:styleId="20">
    <w:name w:val="Document Map"/>
    <w:basedOn w:val="1"/>
    <w:link w:val="95"/>
    <w:semiHidden/>
    <w:uiPriority w:val="0"/>
    <w:pPr>
      <w:shd w:val="clear" w:color="auto" w:fill="000080"/>
    </w:pPr>
  </w:style>
  <w:style w:type="paragraph" w:styleId="21">
    <w:name w:val="toa heading"/>
    <w:basedOn w:val="1"/>
    <w:next w:val="1"/>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22">
    <w:name w:val="annotation text"/>
    <w:basedOn w:val="1"/>
    <w:link w:val="163"/>
    <w:semiHidden/>
    <w:uiPriority w:val="0"/>
    <w:pPr>
      <w:jc w:val="left"/>
    </w:pPr>
    <w:rPr>
      <w:szCs w:val="22"/>
    </w:rPr>
  </w:style>
  <w:style w:type="paragraph" w:styleId="23">
    <w:name w:val="index 6"/>
    <w:basedOn w:val="1"/>
    <w:next w:val="1"/>
    <w:semiHidden/>
    <w:uiPriority w:val="0"/>
    <w:pPr>
      <w:ind w:left="1000" w:leftChars="1000"/>
    </w:pPr>
  </w:style>
  <w:style w:type="paragraph" w:styleId="24">
    <w:name w:val="Salutation"/>
    <w:basedOn w:val="1"/>
    <w:next w:val="1"/>
    <w:link w:val="132"/>
    <w:uiPriority w:val="0"/>
    <w:pPr>
      <w:tabs>
        <w:tab w:val="left" w:pos="600"/>
      </w:tabs>
    </w:pPr>
    <w:rPr>
      <w:sz w:val="24"/>
    </w:rPr>
  </w:style>
  <w:style w:type="paragraph" w:styleId="25">
    <w:name w:val="Body Text 3"/>
    <w:basedOn w:val="1"/>
    <w:link w:val="178"/>
    <w:uiPriority w:val="0"/>
    <w:pPr>
      <w:spacing w:after="120" w:line="360" w:lineRule="auto"/>
    </w:pPr>
    <w:rPr>
      <w:kern w:val="0"/>
      <w:sz w:val="16"/>
      <w:szCs w:val="16"/>
    </w:rPr>
  </w:style>
  <w:style w:type="paragraph" w:styleId="26">
    <w:name w:val="Body Text Indent"/>
    <w:basedOn w:val="1"/>
    <w:link w:val="162"/>
    <w:uiPriority w:val="0"/>
    <w:pPr>
      <w:spacing w:line="460" w:lineRule="exact"/>
      <w:ind w:firstLine="482" w:firstLineChars="200"/>
    </w:pPr>
    <w:rPr>
      <w:b/>
      <w:bCs/>
      <w:sz w:val="24"/>
      <w:shd w:val="clear" w:color="auto" w:fill="CCCCCC"/>
    </w:rPr>
  </w:style>
  <w:style w:type="paragraph" w:styleId="27">
    <w:name w:val="List 2"/>
    <w:basedOn w:val="1"/>
    <w:uiPriority w:val="0"/>
    <w:pPr>
      <w:widowControl/>
      <w:ind w:left="100" w:leftChars="200" w:hanging="200" w:hangingChars="200"/>
      <w:jc w:val="left"/>
    </w:pPr>
    <w:rPr>
      <w:rFonts w:ascii="Times New Roman" w:hAnsi="Times New Roman"/>
      <w:kern w:val="0"/>
      <w:szCs w:val="20"/>
    </w:rPr>
  </w:style>
  <w:style w:type="paragraph" w:styleId="28">
    <w:name w:val="Block Text"/>
    <w:basedOn w:val="1"/>
    <w:uiPriority w:val="0"/>
    <w:pPr>
      <w:autoSpaceDE w:val="0"/>
      <w:autoSpaceDN w:val="0"/>
      <w:adjustRightInd w:val="0"/>
      <w:spacing w:after="120"/>
      <w:ind w:left="1440" w:leftChars="700" w:right="1440" w:rightChars="700"/>
      <w:jc w:val="left"/>
    </w:pPr>
    <w:rPr>
      <w:rFonts w:ascii="宋体" w:hAnsi="Times New Roman"/>
      <w:kern w:val="0"/>
      <w:sz w:val="24"/>
    </w:rPr>
  </w:style>
  <w:style w:type="paragraph" w:styleId="29">
    <w:name w:val="index 4"/>
    <w:basedOn w:val="1"/>
    <w:next w:val="1"/>
    <w:semiHidden/>
    <w:uiPriority w:val="0"/>
    <w:pPr>
      <w:ind w:left="600" w:leftChars="600"/>
    </w:pPr>
  </w:style>
  <w:style w:type="paragraph" w:styleId="30">
    <w:name w:val="toc 5"/>
    <w:basedOn w:val="1"/>
    <w:next w:val="1"/>
    <w:semiHidden/>
    <w:uiPriority w:val="0"/>
    <w:pPr>
      <w:ind w:left="1680" w:leftChars="800"/>
    </w:pPr>
  </w:style>
  <w:style w:type="paragraph" w:styleId="31">
    <w:name w:val="toc 3"/>
    <w:basedOn w:val="1"/>
    <w:next w:val="1"/>
    <w:semiHidden/>
    <w:uiPriority w:val="0"/>
    <w:pPr>
      <w:ind w:left="840" w:leftChars="400"/>
    </w:pPr>
  </w:style>
  <w:style w:type="paragraph" w:styleId="32">
    <w:name w:val="Plain Text"/>
    <w:basedOn w:val="1"/>
    <w:link w:val="197"/>
    <w:uiPriority w:val="0"/>
    <w:rPr>
      <w:rFonts w:ascii="宋体" w:hAnsi="Courier New" w:cs="Courier New"/>
      <w:szCs w:val="21"/>
    </w:rPr>
  </w:style>
  <w:style w:type="paragraph" w:styleId="33">
    <w:name w:val="toc 8"/>
    <w:basedOn w:val="1"/>
    <w:next w:val="1"/>
    <w:semiHidden/>
    <w:uiPriority w:val="0"/>
    <w:pPr>
      <w:ind w:left="2940" w:leftChars="1400"/>
    </w:pPr>
  </w:style>
  <w:style w:type="paragraph" w:styleId="34">
    <w:name w:val="index 3"/>
    <w:basedOn w:val="1"/>
    <w:next w:val="1"/>
    <w:semiHidden/>
    <w:uiPriority w:val="0"/>
    <w:pPr>
      <w:ind w:left="400" w:leftChars="400"/>
    </w:pPr>
  </w:style>
  <w:style w:type="paragraph" w:styleId="35">
    <w:name w:val="Date"/>
    <w:basedOn w:val="1"/>
    <w:next w:val="1"/>
    <w:link w:val="82"/>
    <w:uiPriority w:val="0"/>
    <w:pPr>
      <w:ind w:left="100" w:leftChars="2500"/>
    </w:pPr>
  </w:style>
  <w:style w:type="paragraph" w:styleId="36">
    <w:name w:val="Body Text Indent 2"/>
    <w:basedOn w:val="1"/>
    <w:link w:val="195"/>
    <w:uiPriority w:val="0"/>
    <w:pPr>
      <w:spacing w:line="360" w:lineRule="auto"/>
      <w:ind w:firstLine="480"/>
    </w:pPr>
    <w:rPr>
      <w:rFonts w:ascii="宋体" w:eastAsia="新宋体"/>
      <w:sz w:val="24"/>
      <w:szCs w:val="20"/>
    </w:rPr>
  </w:style>
  <w:style w:type="paragraph" w:styleId="37">
    <w:name w:val="endnote text"/>
    <w:basedOn w:val="1"/>
    <w:link w:val="230"/>
    <w:uiPriority w:val="0"/>
    <w:pPr>
      <w:adjustRightInd w:val="0"/>
      <w:spacing w:line="315" w:lineRule="atLeast"/>
      <w:ind w:firstLine="425"/>
      <w:jc w:val="left"/>
      <w:textAlignment w:val="baseline"/>
    </w:pPr>
    <w:rPr>
      <w:rFonts w:ascii="宋体"/>
      <w:kern w:val="0"/>
      <w:sz w:val="24"/>
      <w:szCs w:val="20"/>
    </w:rPr>
  </w:style>
  <w:style w:type="paragraph" w:styleId="38">
    <w:name w:val="Balloon Text"/>
    <w:basedOn w:val="1"/>
    <w:link w:val="88"/>
    <w:semiHidden/>
    <w:uiPriority w:val="0"/>
    <w:rPr>
      <w:sz w:val="18"/>
      <w:szCs w:val="18"/>
    </w:rPr>
  </w:style>
  <w:style w:type="paragraph" w:styleId="39">
    <w:name w:val="footer"/>
    <w:basedOn w:val="1"/>
    <w:link w:val="100"/>
    <w:uiPriority w:val="0"/>
    <w:pPr>
      <w:tabs>
        <w:tab w:val="center" w:pos="4153"/>
        <w:tab w:val="right" w:pos="8306"/>
      </w:tabs>
      <w:snapToGrid w:val="0"/>
      <w:jc w:val="left"/>
    </w:pPr>
    <w:rPr>
      <w:sz w:val="18"/>
      <w:szCs w:val="18"/>
    </w:rPr>
  </w:style>
  <w:style w:type="paragraph" w:styleId="40">
    <w:name w:val="header"/>
    <w:basedOn w:val="1"/>
    <w:link w:val="166"/>
    <w:uiPriority w:val="0"/>
    <w:pPr>
      <w:pBdr>
        <w:bottom w:val="single" w:color="auto" w:sz="6" w:space="1"/>
      </w:pBdr>
      <w:tabs>
        <w:tab w:val="center" w:pos="4153"/>
        <w:tab w:val="right" w:pos="8306"/>
      </w:tabs>
      <w:snapToGrid w:val="0"/>
      <w:jc w:val="center"/>
    </w:pPr>
    <w:rPr>
      <w:sz w:val="18"/>
      <w:szCs w:val="18"/>
    </w:rPr>
  </w:style>
  <w:style w:type="paragraph" w:styleId="41">
    <w:name w:val="toc 1"/>
    <w:basedOn w:val="1"/>
    <w:next w:val="1"/>
    <w:uiPriority w:val="39"/>
    <w:pPr>
      <w:tabs>
        <w:tab w:val="right" w:leader="dot" w:pos="9344"/>
      </w:tabs>
      <w:spacing w:line="460" w:lineRule="exact"/>
    </w:pPr>
    <w:rPr>
      <w:rFonts w:ascii="宋体" w:hAnsi="宋体"/>
      <w:b/>
      <w:bCs/>
      <w:color w:val="000000"/>
      <w:sz w:val="28"/>
      <w:szCs w:val="30"/>
      <w:lang w:val="en-US" w:eastAsia="zh-CN"/>
    </w:rPr>
  </w:style>
  <w:style w:type="paragraph" w:styleId="42">
    <w:name w:val="toc 4"/>
    <w:basedOn w:val="1"/>
    <w:next w:val="1"/>
    <w:semiHidden/>
    <w:uiPriority w:val="0"/>
    <w:pPr>
      <w:ind w:left="1260" w:leftChars="600"/>
    </w:pPr>
  </w:style>
  <w:style w:type="paragraph" w:styleId="43">
    <w:name w:val="index heading"/>
    <w:basedOn w:val="1"/>
    <w:next w:val="44"/>
    <w:semiHidden/>
    <w:uiPriority w:val="0"/>
  </w:style>
  <w:style w:type="paragraph" w:styleId="44">
    <w:name w:val="index 1"/>
    <w:basedOn w:val="1"/>
    <w:next w:val="1"/>
    <w:semiHidden/>
    <w:uiPriority w:val="0"/>
    <w:pPr>
      <w:spacing w:line="560" w:lineRule="exact"/>
    </w:pPr>
    <w:rPr>
      <w:sz w:val="28"/>
    </w:rPr>
  </w:style>
  <w:style w:type="paragraph" w:styleId="45">
    <w:name w:val="footnote text"/>
    <w:basedOn w:val="1"/>
    <w:link w:val="73"/>
    <w:uiPriority w:val="0"/>
    <w:pPr>
      <w:snapToGrid w:val="0"/>
      <w:spacing w:line="360" w:lineRule="auto"/>
      <w:jc w:val="left"/>
    </w:pPr>
    <w:rPr>
      <w:kern w:val="0"/>
      <w:sz w:val="18"/>
      <w:szCs w:val="18"/>
    </w:rPr>
  </w:style>
  <w:style w:type="paragraph" w:styleId="46">
    <w:name w:val="toc 6"/>
    <w:basedOn w:val="1"/>
    <w:next w:val="1"/>
    <w:semiHidden/>
    <w:uiPriority w:val="0"/>
    <w:pPr>
      <w:ind w:left="2100" w:leftChars="1000"/>
    </w:pPr>
  </w:style>
  <w:style w:type="paragraph" w:styleId="47">
    <w:name w:val="Body Text Indent 3"/>
    <w:basedOn w:val="1"/>
    <w:link w:val="194"/>
    <w:uiPriority w:val="0"/>
    <w:pPr>
      <w:spacing w:after="120"/>
      <w:ind w:left="420" w:leftChars="200"/>
    </w:pPr>
    <w:rPr>
      <w:sz w:val="16"/>
      <w:szCs w:val="16"/>
    </w:rPr>
  </w:style>
  <w:style w:type="paragraph" w:styleId="48">
    <w:name w:val="index 7"/>
    <w:basedOn w:val="1"/>
    <w:next w:val="1"/>
    <w:semiHidden/>
    <w:uiPriority w:val="0"/>
    <w:pPr>
      <w:ind w:left="1200" w:leftChars="1200"/>
    </w:pPr>
  </w:style>
  <w:style w:type="paragraph" w:styleId="49">
    <w:name w:val="index 9"/>
    <w:basedOn w:val="1"/>
    <w:next w:val="1"/>
    <w:semiHidden/>
    <w:uiPriority w:val="0"/>
    <w:pPr>
      <w:ind w:left="1600" w:leftChars="1600"/>
    </w:pPr>
  </w:style>
  <w:style w:type="paragraph" w:styleId="50">
    <w:name w:val="table of figures"/>
    <w:basedOn w:val="1"/>
    <w:next w:val="1"/>
    <w:semiHidden/>
    <w:uiPriority w:val="0"/>
    <w:pPr>
      <w:spacing w:line="560" w:lineRule="exact"/>
    </w:pPr>
    <w:rPr>
      <w:b/>
      <w:sz w:val="28"/>
    </w:rPr>
  </w:style>
  <w:style w:type="paragraph" w:styleId="51">
    <w:name w:val="toc 2"/>
    <w:basedOn w:val="1"/>
    <w:next w:val="1"/>
    <w:uiPriority w:val="39"/>
    <w:pPr>
      <w:spacing w:line="400" w:lineRule="exact"/>
      <w:ind w:left="200" w:leftChars="200"/>
    </w:pPr>
    <w:rPr>
      <w:sz w:val="24"/>
    </w:rPr>
  </w:style>
  <w:style w:type="paragraph" w:styleId="52">
    <w:name w:val="toc 9"/>
    <w:basedOn w:val="1"/>
    <w:next w:val="1"/>
    <w:semiHidden/>
    <w:uiPriority w:val="0"/>
    <w:pPr>
      <w:ind w:left="3360" w:leftChars="1600"/>
    </w:pPr>
  </w:style>
  <w:style w:type="paragraph" w:styleId="53">
    <w:name w:val="Body Text 2"/>
    <w:basedOn w:val="1"/>
    <w:link w:val="131"/>
    <w:uiPriority w:val="0"/>
    <w:pPr>
      <w:spacing w:after="120" w:line="480" w:lineRule="auto"/>
    </w:pPr>
  </w:style>
  <w:style w:type="paragraph" w:styleId="54">
    <w:name w:val="HTML Preformatted"/>
    <w:basedOn w:val="1"/>
    <w:link w:val="222"/>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styleId="55">
    <w:name w:val="Normal (Web)"/>
    <w:basedOn w:val="1"/>
    <w:uiPriority w:val="0"/>
    <w:rPr>
      <w:sz w:val="24"/>
    </w:rPr>
  </w:style>
  <w:style w:type="paragraph" w:styleId="56">
    <w:name w:val="index 2"/>
    <w:basedOn w:val="1"/>
    <w:next w:val="1"/>
    <w:semiHidden/>
    <w:uiPriority w:val="0"/>
    <w:pPr>
      <w:spacing w:line="560" w:lineRule="exact"/>
      <w:ind w:left="200" w:leftChars="200"/>
    </w:pPr>
    <w:rPr>
      <w:sz w:val="28"/>
    </w:rPr>
  </w:style>
  <w:style w:type="paragraph" w:styleId="57">
    <w:name w:val="Title"/>
    <w:basedOn w:val="1"/>
    <w:link w:val="119"/>
    <w:qFormat/>
    <w:uiPriority w:val="0"/>
    <w:pPr>
      <w:tabs>
        <w:tab w:val="left" w:pos="420"/>
      </w:tabs>
      <w:adjustRightInd w:val="0"/>
      <w:spacing w:before="120" w:line="360" w:lineRule="auto"/>
      <w:ind w:left="420" w:hanging="420"/>
      <w:textAlignment w:val="baseline"/>
    </w:pPr>
    <w:rPr>
      <w:rFonts w:eastAsia="隶书_GB2312"/>
      <w:b/>
      <w:kern w:val="0"/>
      <w:sz w:val="48"/>
      <w:szCs w:val="20"/>
    </w:rPr>
  </w:style>
  <w:style w:type="paragraph" w:styleId="58">
    <w:name w:val="annotation subject"/>
    <w:basedOn w:val="22"/>
    <w:next w:val="22"/>
    <w:link w:val="206"/>
    <w:uiPriority w:val="0"/>
    <w:rPr>
      <w:rFonts w:ascii="宋体" w:hAnsi="宋体"/>
      <w:b/>
      <w:bCs/>
      <w:sz w:val="28"/>
      <w:szCs w:val="28"/>
    </w:rPr>
  </w:style>
  <w:style w:type="paragraph" w:styleId="59">
    <w:name w:val="Body Text First Indent"/>
    <w:basedOn w:val="2"/>
    <w:link w:val="144"/>
    <w:uiPriority w:val="0"/>
    <w:pPr>
      <w:spacing w:line="360" w:lineRule="auto"/>
      <w:ind w:firstLine="425"/>
      <w:jc w:val="both"/>
    </w:pPr>
    <w:rPr>
      <w:rFonts w:ascii="Calibri" w:hAnsi="Calibri"/>
      <w:b w:val="0"/>
      <w:bCs w:val="0"/>
      <w:color w:val="auto"/>
      <w:kern w:val="0"/>
      <w:sz w:val="24"/>
    </w:rPr>
  </w:style>
  <w:style w:type="paragraph" w:styleId="60">
    <w:name w:val="Body Text First Indent 2"/>
    <w:basedOn w:val="26"/>
    <w:link w:val="231"/>
    <w:uiPriority w:val="0"/>
    <w:pPr>
      <w:snapToGrid w:val="0"/>
      <w:spacing w:after="120" w:line="360" w:lineRule="auto"/>
      <w:ind w:left="420" w:firstLine="420"/>
    </w:pPr>
    <w:rPr>
      <w:rFonts w:ascii="Tahoma" w:hAnsi="Tahoma"/>
      <w:b w:val="0"/>
      <w:bCs w:val="0"/>
      <w:kern w:val="0"/>
      <w:sz w:val="28"/>
      <w:shd w:val="clear" w:color="auto" w:fill="auto"/>
    </w:rPr>
  </w:style>
  <w:style w:type="table" w:styleId="62">
    <w:name w:val="Table Grid"/>
    <w:basedOn w:val="6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64">
    <w:name w:val="Strong"/>
    <w:qFormat/>
    <w:uiPriority w:val="0"/>
    <w:rPr>
      <w:b/>
      <w:bCs/>
    </w:rPr>
  </w:style>
  <w:style w:type="character" w:styleId="65">
    <w:name w:val="endnote reference"/>
    <w:uiPriority w:val="0"/>
    <w:rPr>
      <w:vertAlign w:val="superscript"/>
    </w:rPr>
  </w:style>
  <w:style w:type="character" w:styleId="66">
    <w:name w:val="page number"/>
    <w:basedOn w:val="63"/>
    <w:uiPriority w:val="0"/>
  </w:style>
  <w:style w:type="character" w:styleId="67">
    <w:name w:val="FollowedHyperlink"/>
    <w:uiPriority w:val="0"/>
    <w:rPr>
      <w:color w:val="800080"/>
      <w:u w:val="single"/>
    </w:rPr>
  </w:style>
  <w:style w:type="character" w:styleId="68">
    <w:name w:val="Emphasis"/>
    <w:qFormat/>
    <w:uiPriority w:val="0"/>
    <w:rPr>
      <w:i/>
      <w:iCs/>
    </w:rPr>
  </w:style>
  <w:style w:type="character" w:styleId="69">
    <w:name w:val="Hyperlink"/>
    <w:uiPriority w:val="99"/>
    <w:rPr>
      <w:color w:val="0000FF"/>
      <w:u w:val="single"/>
    </w:rPr>
  </w:style>
  <w:style w:type="character" w:styleId="70">
    <w:name w:val="annotation reference"/>
    <w:uiPriority w:val="0"/>
    <w:rPr>
      <w:sz w:val="21"/>
      <w:szCs w:val="21"/>
    </w:rPr>
  </w:style>
  <w:style w:type="character" w:customStyle="1" w:styleId="71">
    <w:name w:val="标题 1 Char"/>
    <w:basedOn w:val="63"/>
    <w:uiPriority w:val="0"/>
    <w:rPr>
      <w:rFonts w:ascii="Calibri" w:hAnsi="Calibri" w:eastAsia="宋体" w:cs="Times New Roman"/>
      <w:b/>
      <w:bCs/>
      <w:kern w:val="44"/>
      <w:sz w:val="44"/>
      <w:szCs w:val="44"/>
    </w:rPr>
  </w:style>
  <w:style w:type="character" w:customStyle="1" w:styleId="72">
    <w:name w:val="标题 6 Char"/>
    <w:basedOn w:val="63"/>
    <w:uiPriority w:val="0"/>
    <w:rPr>
      <w:rFonts w:ascii="Arial" w:hAnsi="Arial" w:eastAsia="黑体" w:cs="Times New Roman"/>
      <w:b/>
      <w:bCs/>
      <w:sz w:val="24"/>
      <w:szCs w:val="24"/>
      <w:lang w:val="zh-CN" w:eastAsia="zh-CN"/>
    </w:rPr>
  </w:style>
  <w:style w:type="character" w:customStyle="1" w:styleId="73">
    <w:name w:val="脚注文本 Char1"/>
    <w:link w:val="45"/>
    <w:uiPriority w:val="0"/>
    <w:rPr>
      <w:rFonts w:eastAsia="宋体"/>
      <w:sz w:val="18"/>
      <w:szCs w:val="18"/>
      <w:lang w:bidi="ar-SA"/>
    </w:rPr>
  </w:style>
  <w:style w:type="character" w:customStyle="1" w:styleId="74">
    <w:name w:val="Book Title"/>
    <w:basedOn w:val="63"/>
    <w:qFormat/>
    <w:uiPriority w:val="0"/>
    <w:rPr>
      <w:rFonts w:cs="Times New Roman"/>
      <w:b/>
      <w:bCs/>
      <w:smallCaps/>
      <w:spacing w:val="5"/>
    </w:rPr>
  </w:style>
  <w:style w:type="character" w:customStyle="1" w:styleId="75">
    <w:name w:val="样式20 Char"/>
    <w:link w:val="76"/>
    <w:uiPriority w:val="0"/>
    <w:rPr>
      <w:rFonts w:ascii="Arial" w:hAnsi="Arial" w:eastAsia="宋体"/>
      <w:b/>
      <w:bCs/>
      <w:sz w:val="30"/>
      <w:szCs w:val="30"/>
      <w:lang w:bidi="ar-SA"/>
    </w:rPr>
  </w:style>
  <w:style w:type="paragraph" w:customStyle="1" w:styleId="76">
    <w:name w:val="样式20"/>
    <w:basedOn w:val="4"/>
    <w:link w:val="75"/>
    <w:qFormat/>
    <w:uiPriority w:val="0"/>
    <w:pPr>
      <w:numPr>
        <w:ilvl w:val="0"/>
        <w:numId w:val="0"/>
      </w:numPr>
      <w:ind w:left="567" w:hanging="567"/>
    </w:pPr>
    <w:rPr>
      <w:rFonts w:eastAsia="宋体"/>
      <w:kern w:val="0"/>
      <w:sz w:val="30"/>
      <w:szCs w:val="30"/>
    </w:rPr>
  </w:style>
  <w:style w:type="character" w:customStyle="1" w:styleId="77">
    <w:name w:val="纯文本 字符"/>
    <w:qFormat/>
    <w:uiPriority w:val="0"/>
    <w:rPr>
      <w:rFonts w:ascii="宋体" w:hAnsi="Courier New" w:eastAsia="宋体" w:cs="Courier New"/>
      <w:kern w:val="2"/>
      <w:sz w:val="21"/>
      <w:szCs w:val="21"/>
      <w:lang w:val="en-US" w:eastAsia="zh-CN" w:bidi="ar-SA"/>
    </w:rPr>
  </w:style>
  <w:style w:type="character" w:customStyle="1" w:styleId="78">
    <w:name w:val="标题 9 Char"/>
    <w:basedOn w:val="63"/>
    <w:uiPriority w:val="0"/>
    <w:rPr>
      <w:rFonts w:ascii="Arial" w:hAnsi="Arial" w:eastAsia="黑体" w:cs="Times New Roman"/>
      <w:lang w:val="zh-CN" w:eastAsia="zh-CN"/>
    </w:rPr>
  </w:style>
  <w:style w:type="character" w:customStyle="1" w:styleId="79">
    <w:name w:val="表格 Char Char"/>
    <w:link w:val="80"/>
    <w:uiPriority w:val="0"/>
    <w:rPr>
      <w:rFonts w:ascii="宋体" w:hAnsi="宋体" w:eastAsia="宋体"/>
      <w:color w:val="000000"/>
      <w:sz w:val="24"/>
      <w:lang w:bidi="ar-SA"/>
    </w:rPr>
  </w:style>
  <w:style w:type="paragraph" w:customStyle="1" w:styleId="80">
    <w:name w:val="表格"/>
    <w:basedOn w:val="1"/>
    <w:link w:val="79"/>
    <w:uiPriority w:val="0"/>
    <w:pPr>
      <w:autoSpaceDE w:val="0"/>
      <w:autoSpaceDN w:val="0"/>
      <w:adjustRightInd w:val="0"/>
      <w:jc w:val="center"/>
    </w:pPr>
    <w:rPr>
      <w:rFonts w:ascii="宋体" w:hAnsi="宋体"/>
      <w:color w:val="000000"/>
      <w:kern w:val="0"/>
      <w:sz w:val="24"/>
      <w:szCs w:val="20"/>
    </w:rPr>
  </w:style>
  <w:style w:type="character" w:customStyle="1" w:styleId="81">
    <w:name w:val="页脚 Char"/>
    <w:basedOn w:val="63"/>
    <w:uiPriority w:val="0"/>
    <w:rPr>
      <w:sz w:val="18"/>
      <w:szCs w:val="18"/>
    </w:rPr>
  </w:style>
  <w:style w:type="character" w:customStyle="1" w:styleId="82">
    <w:name w:val="日期 Char"/>
    <w:link w:val="35"/>
    <w:uiPriority w:val="0"/>
    <w:rPr>
      <w:rFonts w:ascii="Calibri" w:hAnsi="Calibri" w:eastAsia="宋体"/>
      <w:kern w:val="2"/>
      <w:sz w:val="21"/>
      <w:szCs w:val="24"/>
      <w:lang w:val="en-US" w:eastAsia="zh-CN" w:bidi="ar-SA"/>
    </w:rPr>
  </w:style>
  <w:style w:type="character" w:customStyle="1" w:styleId="83">
    <w:name w:val="Char Char29"/>
    <w:uiPriority w:val="0"/>
    <w:rPr>
      <w:b/>
      <w:bCs/>
      <w:kern w:val="2"/>
      <w:sz w:val="32"/>
      <w:szCs w:val="32"/>
    </w:rPr>
  </w:style>
  <w:style w:type="character" w:customStyle="1" w:styleId="84">
    <w:name w:val="普通文字 Char Char3"/>
    <w:uiPriority w:val="0"/>
    <w:rPr>
      <w:rFonts w:ascii="宋体" w:hAnsi="Courier New" w:eastAsia="宋体" w:cs="Courier New"/>
      <w:kern w:val="2"/>
      <w:sz w:val="21"/>
      <w:szCs w:val="21"/>
      <w:lang w:val="en-US" w:eastAsia="zh-CN" w:bidi="ar-SA"/>
    </w:rPr>
  </w:style>
  <w:style w:type="character" w:customStyle="1" w:styleId="85">
    <w:name w:val="标题 2 Char1"/>
    <w:link w:val="4"/>
    <w:uiPriority w:val="0"/>
    <w:rPr>
      <w:rFonts w:ascii="Arial" w:hAnsi="Arial" w:eastAsia="黑体"/>
      <w:b/>
      <w:bCs/>
      <w:kern w:val="2"/>
      <w:sz w:val="32"/>
      <w:szCs w:val="32"/>
      <w:lang w:val="en-US" w:eastAsia="zh-CN" w:bidi="ar-SA"/>
    </w:rPr>
  </w:style>
  <w:style w:type="character" w:customStyle="1" w:styleId="86">
    <w:name w:val="font21"/>
    <w:basedOn w:val="63"/>
    <w:uiPriority w:val="0"/>
    <w:rPr>
      <w:rFonts w:hint="default" w:ascii="Arial" w:hAnsi="Arial" w:cs="Arial"/>
      <w:color w:val="000000"/>
      <w:sz w:val="22"/>
      <w:szCs w:val="22"/>
      <w:u w:val="none"/>
    </w:rPr>
  </w:style>
  <w:style w:type="character" w:customStyle="1" w:styleId="87">
    <w:name w:val="正文文本缩进 Char"/>
    <w:uiPriority w:val="0"/>
    <w:rPr>
      <w:kern w:val="2"/>
      <w:sz w:val="21"/>
      <w:szCs w:val="24"/>
    </w:rPr>
  </w:style>
  <w:style w:type="character" w:customStyle="1" w:styleId="88">
    <w:name w:val="批注框文本 Char1"/>
    <w:link w:val="38"/>
    <w:uiPriority w:val="0"/>
    <w:rPr>
      <w:rFonts w:eastAsia="宋体"/>
      <w:kern w:val="2"/>
      <w:sz w:val="18"/>
      <w:szCs w:val="18"/>
      <w:lang w:val="en-US" w:eastAsia="zh-CN" w:bidi="ar-SA"/>
    </w:rPr>
  </w:style>
  <w:style w:type="character" w:customStyle="1" w:styleId="89">
    <w:name w:val="3级标题 Char"/>
    <w:link w:val="90"/>
    <w:uiPriority w:val="0"/>
    <w:rPr>
      <w:rFonts w:ascii="Arial" w:hAnsi="Arial" w:eastAsia="黑体"/>
      <w:b/>
      <w:sz w:val="26"/>
      <w:szCs w:val="28"/>
      <w:lang w:bidi="ar-SA"/>
    </w:rPr>
  </w:style>
  <w:style w:type="paragraph" w:customStyle="1" w:styleId="90">
    <w:name w:val="3级标题"/>
    <w:basedOn w:val="1"/>
    <w:link w:val="89"/>
    <w:qFormat/>
    <w:uiPriority w:val="0"/>
    <w:pPr>
      <w:keepNext/>
      <w:keepLines/>
      <w:tabs>
        <w:tab w:val="left" w:pos="1232"/>
      </w:tabs>
      <w:spacing w:before="280" w:after="156" w:line="377" w:lineRule="auto"/>
      <w:jc w:val="left"/>
      <w:outlineLvl w:val="2"/>
    </w:pPr>
    <w:rPr>
      <w:rFonts w:ascii="Arial" w:hAnsi="Arial" w:eastAsia="黑体"/>
      <w:b/>
      <w:kern w:val="0"/>
      <w:sz w:val="26"/>
      <w:szCs w:val="28"/>
    </w:rPr>
  </w:style>
  <w:style w:type="character" w:customStyle="1" w:styleId="91">
    <w:name w:val="Char Char15"/>
    <w:uiPriority w:val="0"/>
    <w:rPr>
      <w:rFonts w:ascii="宋体" w:hAnsi="Courier New" w:eastAsia="宋体"/>
      <w:sz w:val="21"/>
      <w:szCs w:val="21"/>
      <w:lang w:val="en-US" w:eastAsia="zh-CN" w:bidi="ar-SA"/>
    </w:rPr>
  </w:style>
  <w:style w:type="character" w:customStyle="1" w:styleId="92">
    <w:name w:val="标题 3 Char2"/>
    <w:link w:val="5"/>
    <w:uiPriority w:val="0"/>
    <w:rPr>
      <w:rFonts w:eastAsia="宋体"/>
      <w:b/>
      <w:bCs/>
      <w:kern w:val="2"/>
      <w:sz w:val="32"/>
      <w:szCs w:val="32"/>
      <w:lang w:val="en-US" w:eastAsia="zh-CN" w:bidi="ar-SA"/>
    </w:rPr>
  </w:style>
  <w:style w:type="character" w:customStyle="1" w:styleId="93">
    <w:name w:val=" Char Char Char Char Char"/>
    <w:uiPriority w:val="0"/>
    <w:rPr>
      <w:rFonts w:eastAsia="宋体"/>
      <w:kern w:val="2"/>
      <w:sz w:val="21"/>
      <w:lang w:val="en-US" w:eastAsia="zh-CN" w:bidi="ar-SA"/>
    </w:rPr>
  </w:style>
  <w:style w:type="character" w:customStyle="1" w:styleId="94">
    <w:name w:val=" Char Char27"/>
    <w:uiPriority w:val="0"/>
    <w:rPr>
      <w:rFonts w:eastAsia="宋体"/>
      <w:b/>
      <w:bCs/>
      <w:kern w:val="2"/>
      <w:sz w:val="28"/>
      <w:szCs w:val="28"/>
      <w:lang w:val="en-US" w:eastAsia="zh-CN" w:bidi="ar-SA"/>
    </w:rPr>
  </w:style>
  <w:style w:type="character" w:customStyle="1" w:styleId="95">
    <w:name w:val="文档结构图 Char1"/>
    <w:link w:val="20"/>
    <w:uiPriority w:val="0"/>
    <w:rPr>
      <w:rFonts w:eastAsia="宋体"/>
      <w:kern w:val="2"/>
      <w:sz w:val="21"/>
      <w:szCs w:val="24"/>
      <w:lang w:val="en-US" w:eastAsia="zh-CN" w:bidi="ar-SA"/>
    </w:rPr>
  </w:style>
  <w:style w:type="character" w:customStyle="1" w:styleId="96">
    <w:name w:val="标题 4 Char"/>
    <w:basedOn w:val="63"/>
    <w:qFormat/>
    <w:uiPriority w:val="0"/>
    <w:rPr>
      <w:rFonts w:ascii="Arial" w:hAnsi="Arial" w:eastAsia="黑体" w:cs="Times New Roman"/>
      <w:b/>
      <w:bCs/>
      <w:sz w:val="28"/>
      <w:szCs w:val="28"/>
      <w:lang w:val="zh-CN" w:eastAsia="zh-CN"/>
    </w:rPr>
  </w:style>
  <w:style w:type="character" w:customStyle="1" w:styleId="97">
    <w:name w:val="标题 8 Char1"/>
    <w:link w:val="10"/>
    <w:uiPriority w:val="0"/>
    <w:rPr>
      <w:rFonts w:ascii="Arial" w:hAnsi="Arial" w:eastAsia="黑体"/>
      <w:kern w:val="2"/>
      <w:sz w:val="24"/>
      <w:szCs w:val="24"/>
      <w:lang w:val="en-US" w:eastAsia="zh-CN" w:bidi="ar-SA"/>
    </w:rPr>
  </w:style>
  <w:style w:type="character" w:customStyle="1" w:styleId="98">
    <w:name w:val="Char Char6"/>
    <w:uiPriority w:val="0"/>
    <w:rPr>
      <w:sz w:val="21"/>
    </w:rPr>
  </w:style>
  <w:style w:type="character" w:customStyle="1" w:styleId="99">
    <w:name w:val="weby11"/>
    <w:uiPriority w:val="0"/>
    <w:rPr>
      <w:sz w:val="18"/>
      <w:szCs w:val="18"/>
    </w:rPr>
  </w:style>
  <w:style w:type="character" w:customStyle="1" w:styleId="100">
    <w:name w:val="页脚 Char1"/>
    <w:link w:val="39"/>
    <w:uiPriority w:val="0"/>
    <w:rPr>
      <w:rFonts w:eastAsia="宋体"/>
      <w:kern w:val="2"/>
      <w:sz w:val="18"/>
      <w:szCs w:val="18"/>
      <w:lang w:val="en-US" w:eastAsia="zh-CN" w:bidi="ar-SA"/>
    </w:rPr>
  </w:style>
  <w:style w:type="character" w:customStyle="1" w:styleId="101">
    <w:name w:val=" Char Char13"/>
    <w:uiPriority w:val="0"/>
    <w:rPr>
      <w:sz w:val="18"/>
      <w:szCs w:val="18"/>
      <w:lang w:bidi="ar-SA"/>
    </w:rPr>
  </w:style>
  <w:style w:type="character" w:customStyle="1" w:styleId="102">
    <w:name w:val="正文文本缩进 Char1"/>
    <w:basedOn w:val="63"/>
    <w:semiHidden/>
    <w:uiPriority w:val="0"/>
  </w:style>
  <w:style w:type="character" w:customStyle="1" w:styleId="103">
    <w:name w:val="日期 Char1"/>
    <w:basedOn w:val="63"/>
    <w:uiPriority w:val="0"/>
    <w:rPr>
      <w:rFonts w:ascii="Times New Roman" w:hAnsi="Times New Roman" w:eastAsia="宋体" w:cs="Times New Roman"/>
      <w:szCs w:val="24"/>
    </w:rPr>
  </w:style>
  <w:style w:type="character" w:customStyle="1" w:styleId="104">
    <w:name w:val="批注主题 Char"/>
    <w:uiPriority w:val="0"/>
    <w:rPr>
      <w:b/>
      <w:bCs/>
      <w:szCs w:val="24"/>
    </w:rPr>
  </w:style>
  <w:style w:type="character" w:customStyle="1" w:styleId="105">
    <w:name w:val="Char Char2"/>
    <w:uiPriority w:val="0"/>
    <w:rPr>
      <w:rFonts w:ascii="宋体" w:hAnsi="宋体" w:eastAsia="宋体"/>
      <w:lang w:val="en-US" w:eastAsia="zh-CN" w:bidi="ar-SA"/>
    </w:rPr>
  </w:style>
  <w:style w:type="character" w:customStyle="1" w:styleId="106">
    <w:name w:val="正文2 Char"/>
    <w:link w:val="107"/>
    <w:uiPriority w:val="0"/>
    <w:rPr>
      <w:rFonts w:eastAsia="宋体"/>
      <w:kern w:val="2"/>
      <w:sz w:val="24"/>
      <w:lang w:val="en-US" w:eastAsia="zh-CN" w:bidi="ar-SA"/>
    </w:rPr>
  </w:style>
  <w:style w:type="paragraph" w:customStyle="1" w:styleId="107">
    <w:name w:val="正文2"/>
    <w:basedOn w:val="1"/>
    <w:link w:val="106"/>
    <w:uiPriority w:val="0"/>
    <w:pPr>
      <w:spacing w:before="156" w:line="360" w:lineRule="auto"/>
      <w:ind w:firstLine="510" w:firstLineChars="200"/>
    </w:pPr>
    <w:rPr>
      <w:sz w:val="24"/>
      <w:szCs w:val="20"/>
    </w:rPr>
  </w:style>
  <w:style w:type="character" w:customStyle="1" w:styleId="108">
    <w:name w:val="标题 Char1"/>
    <w:basedOn w:val="63"/>
    <w:uiPriority w:val="0"/>
    <w:rPr>
      <w:rFonts w:ascii="Calibri Light" w:hAnsi="Calibri Light" w:eastAsia="宋体" w:cs="Times New Roman"/>
      <w:b/>
      <w:bCs/>
      <w:sz w:val="32"/>
      <w:szCs w:val="32"/>
    </w:rPr>
  </w:style>
  <w:style w:type="character" w:customStyle="1" w:styleId="109">
    <w:name w:val="Char Char"/>
    <w:qFormat/>
    <w:uiPriority w:val="0"/>
    <w:rPr>
      <w:kern w:val="2"/>
      <w:sz w:val="18"/>
      <w:szCs w:val="18"/>
    </w:rPr>
  </w:style>
  <w:style w:type="character" w:customStyle="1" w:styleId="110">
    <w:name w:val="标题 5 Char1"/>
    <w:link w:val="7"/>
    <w:uiPriority w:val="0"/>
    <w:rPr>
      <w:rFonts w:eastAsia="宋体"/>
      <w:b/>
      <w:bCs/>
      <w:kern w:val="2"/>
      <w:sz w:val="28"/>
      <w:szCs w:val="28"/>
      <w:lang w:val="en-US" w:eastAsia="zh-CN" w:bidi="ar-SA"/>
    </w:rPr>
  </w:style>
  <w:style w:type="character" w:customStyle="1" w:styleId="111">
    <w:name w:val="正文文本缩进 2 Char"/>
    <w:qFormat/>
    <w:uiPriority w:val="0"/>
    <w:rPr>
      <w:rFonts w:ascii="宋体" w:eastAsia="新宋体"/>
      <w:sz w:val="24"/>
    </w:rPr>
  </w:style>
  <w:style w:type="character" w:customStyle="1" w:styleId="112">
    <w:name w:val="￥正文 Char"/>
    <w:link w:val="113"/>
    <w:uiPriority w:val="0"/>
    <w:rPr>
      <w:rFonts w:ascii="Calibri" w:hAnsi="Calibri" w:eastAsia="宋体"/>
      <w:sz w:val="24"/>
      <w:lang w:bidi="ar-SA"/>
    </w:rPr>
  </w:style>
  <w:style w:type="paragraph" w:customStyle="1" w:styleId="113">
    <w:name w:val="￥正文"/>
    <w:basedOn w:val="1"/>
    <w:link w:val="112"/>
    <w:qFormat/>
    <w:uiPriority w:val="0"/>
    <w:pPr>
      <w:spacing w:line="360" w:lineRule="auto"/>
      <w:ind w:firstLine="200" w:firstLineChars="200"/>
    </w:pPr>
    <w:rPr>
      <w:kern w:val="0"/>
      <w:sz w:val="24"/>
      <w:szCs w:val="20"/>
    </w:rPr>
  </w:style>
  <w:style w:type="character" w:customStyle="1" w:styleId="114">
    <w:name w:val="标题 6 Char1"/>
    <w:link w:val="8"/>
    <w:uiPriority w:val="0"/>
    <w:rPr>
      <w:rFonts w:ascii="Arial" w:hAnsi="Arial" w:eastAsia="黑体"/>
      <w:b/>
      <w:bCs/>
      <w:kern w:val="2"/>
      <w:sz w:val="24"/>
      <w:szCs w:val="24"/>
      <w:lang w:val="en-US" w:eastAsia="zh-CN" w:bidi="ar-SA"/>
    </w:rPr>
  </w:style>
  <w:style w:type="character" w:customStyle="1" w:styleId="115">
    <w:name w:val="HTML 预设格式 Char1"/>
    <w:basedOn w:val="63"/>
    <w:uiPriority w:val="0"/>
    <w:rPr>
      <w:rFonts w:ascii="Courier New" w:hAnsi="Courier New" w:eastAsia="宋体" w:cs="Courier New"/>
      <w:sz w:val="20"/>
      <w:szCs w:val="20"/>
    </w:rPr>
  </w:style>
  <w:style w:type="character" w:customStyle="1" w:styleId="116">
    <w:name w:val="正文缩进2格 Char"/>
    <w:link w:val="117"/>
    <w:uiPriority w:val="0"/>
    <w:rPr>
      <w:rFonts w:ascii="FangSong_GB2312" w:hAnsi="宋体" w:eastAsia="FangSong_GB2312"/>
      <w:sz w:val="31"/>
      <w:szCs w:val="28"/>
      <w:lang w:bidi="ar-SA"/>
    </w:rPr>
  </w:style>
  <w:style w:type="paragraph" w:customStyle="1" w:styleId="117">
    <w:name w:val="正文缩进2格"/>
    <w:basedOn w:val="1"/>
    <w:link w:val="116"/>
    <w:uiPriority w:val="0"/>
    <w:pPr>
      <w:spacing w:after="120" w:line="600" w:lineRule="exact"/>
      <w:ind w:firstLine="639" w:firstLineChars="206"/>
    </w:pPr>
    <w:rPr>
      <w:rFonts w:ascii="FangSong_GB2312" w:hAnsi="宋体" w:eastAsia="FangSong_GB2312"/>
      <w:kern w:val="0"/>
      <w:sz w:val="31"/>
      <w:szCs w:val="28"/>
    </w:rPr>
  </w:style>
  <w:style w:type="character" w:customStyle="1" w:styleId="118">
    <w:name w:val="正文文字 Char Char2"/>
    <w:uiPriority w:val="0"/>
    <w:rPr>
      <w:rFonts w:ascii="宋体" w:hAnsi="宋体" w:eastAsia="宋体"/>
      <w:b/>
      <w:bCs/>
      <w:color w:val="000000"/>
      <w:kern w:val="2"/>
      <w:sz w:val="72"/>
      <w:lang w:val="en-US" w:eastAsia="zh-CN" w:bidi="ar-SA"/>
    </w:rPr>
  </w:style>
  <w:style w:type="character" w:customStyle="1" w:styleId="119">
    <w:name w:val="标题 Char"/>
    <w:link w:val="57"/>
    <w:uiPriority w:val="0"/>
    <w:rPr>
      <w:rFonts w:ascii="Calibri" w:hAnsi="Calibri" w:eastAsia="隶书_GB2312"/>
      <w:b/>
      <w:sz w:val="48"/>
      <w:lang w:bidi="ar-SA"/>
    </w:rPr>
  </w:style>
  <w:style w:type="character" w:customStyle="1" w:styleId="120">
    <w:name w:val=" Char Char31"/>
    <w:uiPriority w:val="0"/>
    <w:rPr>
      <w:rFonts w:ascii="Arial" w:hAnsi="Arial" w:eastAsia="黑体"/>
      <w:b/>
      <w:bCs/>
      <w:kern w:val="2"/>
      <w:sz w:val="32"/>
      <w:szCs w:val="32"/>
      <w:lang w:val="en-US" w:eastAsia="zh-CN" w:bidi="ar-SA"/>
    </w:rPr>
  </w:style>
  <w:style w:type="character" w:customStyle="1" w:styleId="121">
    <w:name w:val="2nd level Char"/>
    <w:basedOn w:val="63"/>
    <w:uiPriority w:val="0"/>
    <w:rPr>
      <w:rFonts w:ascii="Arial" w:hAnsi="Arial" w:eastAsia="黑体"/>
      <w:b/>
      <w:bCs/>
      <w:kern w:val="2"/>
      <w:sz w:val="32"/>
      <w:szCs w:val="32"/>
      <w:lang w:val="en-US" w:eastAsia="zh-CN" w:bidi="ar-SA"/>
    </w:rPr>
  </w:style>
  <w:style w:type="character" w:customStyle="1" w:styleId="122">
    <w:name w:val="正文文本 Char1"/>
    <w:link w:val="2"/>
    <w:uiPriority w:val="0"/>
    <w:rPr>
      <w:rFonts w:ascii="宋体" w:hAnsi="宋体" w:eastAsia="宋体"/>
      <w:b/>
      <w:bCs/>
      <w:color w:val="000000"/>
      <w:kern w:val="2"/>
      <w:sz w:val="72"/>
      <w:lang w:val="en-US" w:eastAsia="zh-CN" w:bidi="ar-SA"/>
    </w:rPr>
  </w:style>
  <w:style w:type="character" w:customStyle="1" w:styleId="123">
    <w:name w:val="页脚2 Char Char"/>
    <w:link w:val="124"/>
    <w:uiPriority w:val="0"/>
    <w:rPr>
      <w:rFonts w:ascii="宋体" w:hAnsi="宋体"/>
      <w:sz w:val="18"/>
      <w:szCs w:val="18"/>
      <w:lang w:bidi="ar-SA"/>
    </w:rPr>
  </w:style>
  <w:style w:type="paragraph" w:customStyle="1" w:styleId="124">
    <w:name w:val="页脚2"/>
    <w:basedOn w:val="1"/>
    <w:link w:val="123"/>
    <w:uiPriority w:val="0"/>
    <w:pPr>
      <w:widowControl/>
      <w:pBdr>
        <w:top w:val="single" w:color="auto" w:sz="6" w:space="0"/>
      </w:pBdr>
      <w:jc w:val="right"/>
      <w:textAlignment w:val="center"/>
    </w:pPr>
    <w:rPr>
      <w:rFonts w:ascii="宋体" w:hAnsi="宋体"/>
      <w:kern w:val="0"/>
      <w:sz w:val="18"/>
      <w:szCs w:val="18"/>
    </w:rPr>
  </w:style>
  <w:style w:type="character" w:customStyle="1" w:styleId="125">
    <w:name w:val="正文缩进 Char"/>
    <w:uiPriority w:val="0"/>
    <w:rPr>
      <w:rFonts w:ascii="Times New Roman" w:hAnsi="Times New Roman" w:eastAsia="宋体" w:cs="Times New Roman"/>
      <w:sz w:val="28"/>
      <w:szCs w:val="20"/>
      <w:lang w:val="zh-CN" w:eastAsia="zh-CN"/>
    </w:rPr>
  </w:style>
  <w:style w:type="character" w:customStyle="1" w:styleId="126">
    <w:name w:val="标题 5（无编号）（绿盟科技） Char"/>
    <w:link w:val="127"/>
    <w:uiPriority w:val="0"/>
    <w:rPr>
      <w:rFonts w:ascii="Arial" w:hAnsi="Arial" w:eastAsia="黑体"/>
      <w:b/>
      <w:sz w:val="24"/>
      <w:szCs w:val="28"/>
      <w:lang w:bidi="ar-SA"/>
    </w:rPr>
  </w:style>
  <w:style w:type="paragraph" w:customStyle="1" w:styleId="127">
    <w:name w:val="标题 5（无编号）（绿盟科技）"/>
    <w:basedOn w:val="7"/>
    <w:link w:val="126"/>
    <w:qFormat/>
    <w:uiPriority w:val="0"/>
    <w:pPr>
      <w:numPr>
        <w:ilvl w:val="0"/>
        <w:numId w:val="0"/>
      </w:numPr>
      <w:tabs>
        <w:tab w:val="left" w:pos="1232"/>
      </w:tabs>
      <w:spacing w:after="156" w:line="377" w:lineRule="auto"/>
      <w:jc w:val="left"/>
    </w:pPr>
    <w:rPr>
      <w:rFonts w:ascii="Arial" w:hAnsi="Arial" w:eastAsia="黑体"/>
      <w:bCs w:val="0"/>
      <w:kern w:val="0"/>
      <w:sz w:val="24"/>
    </w:rPr>
  </w:style>
  <w:style w:type="character" w:customStyle="1" w:styleId="128">
    <w:name w:val="HTML 预设格式 Char"/>
    <w:uiPriority w:val="0"/>
    <w:rPr>
      <w:rFonts w:ascii="黑体" w:hAnsi="Courier New" w:eastAsia="黑体"/>
    </w:rPr>
  </w:style>
  <w:style w:type="character" w:customStyle="1" w:styleId="129">
    <w:name w:val="纯文本 Char3"/>
    <w:uiPriority w:val="0"/>
    <w:rPr>
      <w:rFonts w:ascii="宋体" w:hAnsi="Courier New" w:eastAsia="宋体" w:cs="Courier New"/>
    </w:rPr>
  </w:style>
  <w:style w:type="character" w:customStyle="1" w:styleId="130">
    <w:name w:val="标题 3 Char1"/>
    <w:uiPriority w:val="0"/>
    <w:rPr>
      <w:rFonts w:ascii="Calibri Light" w:hAnsi="Calibri Light" w:cs="Times New Roman"/>
      <w:b/>
      <w:bCs/>
      <w:sz w:val="30"/>
      <w:szCs w:val="32"/>
      <w:lang w:val="zh-CN" w:eastAsia="zh-CN"/>
    </w:rPr>
  </w:style>
  <w:style w:type="character" w:customStyle="1" w:styleId="131">
    <w:name w:val="正文文本 2 Char"/>
    <w:basedOn w:val="63"/>
    <w:link w:val="53"/>
    <w:uiPriority w:val="0"/>
    <w:rPr>
      <w:rFonts w:ascii="Calibri" w:hAnsi="Calibri" w:eastAsia="宋体"/>
      <w:kern w:val="2"/>
      <w:sz w:val="21"/>
      <w:szCs w:val="24"/>
      <w:lang w:val="en-US" w:eastAsia="zh-CN" w:bidi="ar-SA"/>
    </w:rPr>
  </w:style>
  <w:style w:type="character" w:customStyle="1" w:styleId="132">
    <w:name w:val="称呼 Char"/>
    <w:basedOn w:val="63"/>
    <w:link w:val="24"/>
    <w:uiPriority w:val="0"/>
    <w:rPr>
      <w:rFonts w:ascii="Calibri" w:hAnsi="Calibri" w:eastAsia="宋体"/>
      <w:kern w:val="2"/>
      <w:sz w:val="24"/>
      <w:szCs w:val="24"/>
      <w:lang w:val="en-US" w:eastAsia="zh-CN" w:bidi="ar-SA"/>
    </w:rPr>
  </w:style>
  <w:style w:type="character" w:customStyle="1" w:styleId="133">
    <w:name w:val="纯文本 Char2"/>
    <w:uiPriority w:val="0"/>
    <w:rPr>
      <w:rFonts w:ascii="宋体" w:hAnsi="Courier New" w:eastAsia="宋体" w:cs="Courier New"/>
      <w:kern w:val="2"/>
      <w:sz w:val="21"/>
      <w:szCs w:val="21"/>
      <w:lang w:val="en-US" w:eastAsia="zh-CN" w:bidi="ar-SA"/>
    </w:rPr>
  </w:style>
  <w:style w:type="character" w:customStyle="1" w:styleId="134">
    <w:name w:val="图形名称 Char"/>
    <w:link w:val="135"/>
    <w:uiPriority w:val="0"/>
    <w:rPr>
      <w:rFonts w:ascii="宋体" w:hAnsi="宋体" w:eastAsia="宋体"/>
      <w:b/>
      <w:kern w:val="2"/>
      <w:sz w:val="24"/>
      <w:szCs w:val="21"/>
      <w:lang w:val="en-US" w:eastAsia="zh-CN" w:bidi="ar-SA"/>
    </w:rPr>
  </w:style>
  <w:style w:type="paragraph" w:customStyle="1" w:styleId="135">
    <w:name w:val="图形名称"/>
    <w:basedOn w:val="136"/>
    <w:link w:val="134"/>
    <w:uiPriority w:val="0"/>
    <w:pPr>
      <w:ind w:left="420" w:hanging="420"/>
    </w:pPr>
  </w:style>
  <w:style w:type="paragraph" w:customStyle="1" w:styleId="136">
    <w:name w:val="表格名称"/>
    <w:basedOn w:val="137"/>
    <w:link w:val="214"/>
    <w:uiPriority w:val="0"/>
    <w:pPr>
      <w:spacing w:line="360" w:lineRule="auto"/>
      <w:ind w:left="2940" w:firstLine="0" w:firstLineChars="0"/>
      <w:jc w:val="center"/>
    </w:pPr>
    <w:rPr>
      <w:rFonts w:ascii="宋体" w:hAnsi="宋体"/>
      <w:b/>
      <w:sz w:val="24"/>
      <w:szCs w:val="21"/>
    </w:rPr>
  </w:style>
  <w:style w:type="paragraph" w:styleId="137">
    <w:name w:val="List Paragraph"/>
    <w:basedOn w:val="1"/>
    <w:link w:val="228"/>
    <w:qFormat/>
    <w:uiPriority w:val="0"/>
    <w:pPr>
      <w:ind w:firstLine="420" w:firstLineChars="200"/>
    </w:pPr>
    <w:rPr>
      <w:szCs w:val="22"/>
    </w:rPr>
  </w:style>
  <w:style w:type="character" w:customStyle="1" w:styleId="138">
    <w:name w:val="Char Char17"/>
    <w:uiPriority w:val="0"/>
    <w:rPr>
      <w:kern w:val="2"/>
      <w:sz w:val="18"/>
      <w:szCs w:val="18"/>
    </w:rPr>
  </w:style>
  <w:style w:type="character" w:customStyle="1" w:styleId="139">
    <w:name w:val=" Char Char11"/>
    <w:uiPriority w:val="0"/>
    <w:rPr>
      <w:rFonts w:eastAsia="宋体"/>
      <w:kern w:val="2"/>
      <w:sz w:val="28"/>
      <w:lang w:val="en-US" w:eastAsia="zh-CN" w:bidi="ar-SA"/>
    </w:rPr>
  </w:style>
  <w:style w:type="character" w:customStyle="1" w:styleId="140">
    <w:name w:val="普通文字1 Char2"/>
    <w:uiPriority w:val="0"/>
    <w:rPr>
      <w:rFonts w:ascii="宋体" w:hAnsi="Courier New" w:eastAsia="宋体"/>
      <w:lang w:bidi="ar-SA"/>
    </w:rPr>
  </w:style>
  <w:style w:type="character" w:customStyle="1" w:styleId="141">
    <w:name w:val="keyfeatures1"/>
    <w:uiPriority w:val="0"/>
    <w:rPr>
      <w:rFonts w:hint="default" w:ascii="Arial" w:hAnsi="Arial" w:cs="Arial"/>
      <w:color w:val="003366"/>
      <w:sz w:val="17"/>
      <w:szCs w:val="17"/>
      <w:u w:val="none"/>
    </w:rPr>
  </w:style>
  <w:style w:type="character" w:customStyle="1" w:styleId="142">
    <w:name w:val=" Char Char28"/>
    <w:uiPriority w:val="0"/>
    <w:rPr>
      <w:rFonts w:ascii="Arial" w:hAnsi="Arial" w:eastAsia="黑体"/>
      <w:b/>
      <w:bCs/>
      <w:kern w:val="2"/>
      <w:sz w:val="32"/>
      <w:szCs w:val="32"/>
      <w:lang w:val="en-US" w:eastAsia="zh-CN" w:bidi="ar-SA"/>
    </w:rPr>
  </w:style>
  <w:style w:type="character" w:customStyle="1" w:styleId="143">
    <w:name w:val="尾注文本 Char1"/>
    <w:basedOn w:val="63"/>
    <w:uiPriority w:val="0"/>
    <w:rPr>
      <w:rFonts w:ascii="Times New Roman" w:hAnsi="Times New Roman" w:eastAsia="宋体" w:cs="Times New Roman"/>
      <w:szCs w:val="24"/>
    </w:rPr>
  </w:style>
  <w:style w:type="character" w:customStyle="1" w:styleId="144">
    <w:name w:val="正文首行缩进 Char1"/>
    <w:link w:val="59"/>
    <w:uiPriority w:val="0"/>
    <w:rPr>
      <w:rFonts w:eastAsia="宋体"/>
      <w:sz w:val="24"/>
      <w:lang w:bidi="ar-SA"/>
    </w:rPr>
  </w:style>
  <w:style w:type="character" w:customStyle="1" w:styleId="145">
    <w:name w:val=" Char Char30"/>
    <w:uiPriority w:val="0"/>
    <w:rPr>
      <w:rFonts w:eastAsia="宋体"/>
      <w:b/>
      <w:bCs/>
      <w:kern w:val="2"/>
      <w:sz w:val="32"/>
      <w:szCs w:val="32"/>
      <w:lang w:val="en-US" w:eastAsia="zh-CN" w:bidi="ar-SA"/>
    </w:rPr>
  </w:style>
  <w:style w:type="character" w:customStyle="1" w:styleId="146">
    <w:name w:val="批注主题 Char1"/>
    <w:basedOn w:val="147"/>
    <w:uiPriority w:val="0"/>
    <w:rPr>
      <w:b/>
      <w:bCs/>
    </w:rPr>
  </w:style>
  <w:style w:type="character" w:customStyle="1" w:styleId="147">
    <w:name w:val="批注文字 Char"/>
    <w:basedOn w:val="63"/>
    <w:uiPriority w:val="0"/>
    <w:rPr>
      <w:rFonts w:ascii="Times New Roman" w:hAnsi="Times New Roman" w:eastAsia="宋体" w:cs="Times New Roman"/>
      <w:szCs w:val="24"/>
    </w:rPr>
  </w:style>
  <w:style w:type="character" w:customStyle="1" w:styleId="148">
    <w:name w:val="Char Char Char Char Char"/>
    <w:uiPriority w:val="0"/>
    <w:rPr>
      <w:rFonts w:eastAsia="宋体"/>
      <w:kern w:val="2"/>
      <w:sz w:val="21"/>
      <w:lang w:val="en-US" w:eastAsia="zh-CN" w:bidi="ar-SA"/>
    </w:rPr>
  </w:style>
  <w:style w:type="character" w:customStyle="1" w:styleId="149">
    <w:name w:val="常规 Char"/>
    <w:link w:val="150"/>
    <w:uiPriority w:val="0"/>
    <w:rPr>
      <w:rFonts w:eastAsia="宋体"/>
      <w:szCs w:val="21"/>
      <w:lang w:bidi="ar-SA"/>
    </w:rPr>
  </w:style>
  <w:style w:type="paragraph" w:customStyle="1" w:styleId="150">
    <w:name w:val="常规"/>
    <w:basedOn w:val="1"/>
    <w:link w:val="149"/>
    <w:uiPriority w:val="0"/>
    <w:pPr>
      <w:spacing w:beforeLines="100" w:afterLines="100"/>
      <w:ind w:left="1134"/>
    </w:pPr>
    <w:rPr>
      <w:kern w:val="0"/>
      <w:sz w:val="20"/>
      <w:szCs w:val="21"/>
    </w:rPr>
  </w:style>
  <w:style w:type="character" w:customStyle="1" w:styleId="151">
    <w:name w:val="标题 7 Char"/>
    <w:basedOn w:val="63"/>
    <w:uiPriority w:val="0"/>
    <w:rPr>
      <w:rFonts w:ascii="Times New Roman" w:hAnsi="Times New Roman" w:eastAsia="宋体" w:cs="Times New Roman"/>
      <w:b/>
      <w:bCs/>
      <w:sz w:val="24"/>
      <w:szCs w:val="24"/>
      <w:lang w:val="zh-CN" w:eastAsia="zh-CN"/>
    </w:rPr>
  </w:style>
  <w:style w:type="character" w:customStyle="1" w:styleId="152">
    <w:name w:val="Item List Char"/>
    <w:link w:val="153"/>
    <w:uiPriority w:val="0"/>
    <w:rPr>
      <w:rFonts w:eastAsia="宋体"/>
      <w:szCs w:val="24"/>
      <w:lang w:bidi="ar-SA"/>
    </w:rPr>
  </w:style>
  <w:style w:type="paragraph" w:customStyle="1" w:styleId="153">
    <w:name w:val="Item List"/>
    <w:basedOn w:val="1"/>
    <w:link w:val="152"/>
    <w:uiPriority w:val="0"/>
    <w:pPr>
      <w:tabs>
        <w:tab w:val="left" w:pos="420"/>
        <w:tab w:val="left" w:pos="720"/>
      </w:tabs>
      <w:snapToGrid w:val="0"/>
      <w:spacing w:afterLines="50"/>
      <w:ind w:left="720" w:hanging="360"/>
      <w:jc w:val="left"/>
    </w:pPr>
    <w:rPr>
      <w:kern w:val="0"/>
      <w:sz w:val="20"/>
    </w:rPr>
  </w:style>
  <w:style w:type="character" w:customStyle="1" w:styleId="154">
    <w:name w:val="正文（绿盟科技） Char"/>
    <w:link w:val="155"/>
    <w:locked/>
    <w:uiPriority w:val="0"/>
    <w:rPr>
      <w:rFonts w:eastAsia="Times New Roman"/>
      <w:kern w:val="2"/>
      <w:sz w:val="21"/>
      <w:szCs w:val="21"/>
      <w:lang w:val="en-US" w:eastAsia="zh-CN" w:bidi="ar-SA"/>
    </w:rPr>
  </w:style>
  <w:style w:type="paragraph" w:customStyle="1" w:styleId="155">
    <w:name w:val="正文（绿盟科技）"/>
    <w:link w:val="154"/>
    <w:uiPriority w:val="0"/>
    <w:pPr>
      <w:spacing w:line="300" w:lineRule="auto"/>
    </w:pPr>
    <w:rPr>
      <w:rFonts w:ascii="Calibri" w:hAnsi="Calibri" w:eastAsia="Times New Roman" w:cs="Times New Roman"/>
      <w:kern w:val="2"/>
      <w:sz w:val="21"/>
      <w:szCs w:val="21"/>
      <w:lang w:val="en-US" w:eastAsia="zh-CN" w:bidi="ar-SA"/>
    </w:rPr>
  </w:style>
  <w:style w:type="character" w:customStyle="1" w:styleId="156">
    <w:name w:val="纯文本 字符1"/>
    <w:uiPriority w:val="0"/>
    <w:rPr>
      <w:rFonts w:ascii="宋体" w:hAnsi="Courier New" w:eastAsia="宋体" w:cs="Courier New"/>
      <w:kern w:val="2"/>
      <w:sz w:val="21"/>
      <w:szCs w:val="21"/>
      <w:lang w:val="en-US" w:eastAsia="zh-CN" w:bidi="ar-SA"/>
    </w:rPr>
  </w:style>
  <w:style w:type="character" w:customStyle="1" w:styleId="157">
    <w:name w:val="标题 7 Char1"/>
    <w:link w:val="9"/>
    <w:uiPriority w:val="0"/>
    <w:rPr>
      <w:rFonts w:eastAsia="宋体"/>
      <w:b/>
      <w:bCs/>
      <w:kern w:val="2"/>
      <w:sz w:val="24"/>
      <w:szCs w:val="24"/>
      <w:lang w:val="en-US" w:eastAsia="zh-CN" w:bidi="ar-SA"/>
    </w:rPr>
  </w:style>
  <w:style w:type="character" w:customStyle="1" w:styleId="158">
    <w:name w:val="页眉 Char1"/>
    <w:qFormat/>
    <w:uiPriority w:val="0"/>
    <w:rPr>
      <w:rFonts w:eastAsia="宋体"/>
      <w:sz w:val="18"/>
      <w:szCs w:val="18"/>
    </w:rPr>
  </w:style>
  <w:style w:type="character" w:customStyle="1" w:styleId="159">
    <w:name w:val="样式21 Char"/>
    <w:link w:val="160"/>
    <w:uiPriority w:val="0"/>
    <w:rPr>
      <w:rFonts w:ascii="Arial" w:hAnsi="Arial" w:eastAsia="宋体"/>
      <w:b/>
      <w:sz w:val="28"/>
      <w:szCs w:val="28"/>
      <w:lang w:bidi="ar-SA"/>
    </w:rPr>
  </w:style>
  <w:style w:type="paragraph" w:customStyle="1" w:styleId="160">
    <w:name w:val="样式21"/>
    <w:basedOn w:val="5"/>
    <w:link w:val="159"/>
    <w:qFormat/>
    <w:uiPriority w:val="0"/>
    <w:pPr>
      <w:numPr>
        <w:ilvl w:val="0"/>
        <w:numId w:val="0"/>
      </w:numPr>
      <w:tabs>
        <w:tab w:val="left" w:pos="851"/>
      </w:tabs>
      <w:ind w:left="709" w:hanging="709"/>
    </w:pPr>
    <w:rPr>
      <w:rFonts w:ascii="Arial" w:hAnsi="Arial"/>
      <w:bCs w:val="0"/>
      <w:kern w:val="0"/>
      <w:sz w:val="28"/>
      <w:szCs w:val="28"/>
    </w:rPr>
  </w:style>
  <w:style w:type="character" w:customStyle="1" w:styleId="161">
    <w:name w:val="body tesx Char"/>
    <w:uiPriority w:val="0"/>
    <w:rPr>
      <w:rFonts w:ascii="宋体" w:hAnsi="宋体" w:eastAsia="宋体"/>
      <w:b/>
      <w:bCs/>
      <w:color w:val="000000"/>
      <w:kern w:val="2"/>
      <w:sz w:val="72"/>
      <w:lang w:val="en-US" w:eastAsia="zh-CN" w:bidi="ar-SA"/>
    </w:rPr>
  </w:style>
  <w:style w:type="character" w:customStyle="1" w:styleId="162">
    <w:name w:val="正文文本缩进 Char3"/>
    <w:link w:val="26"/>
    <w:uiPriority w:val="0"/>
    <w:rPr>
      <w:rFonts w:eastAsia="宋体"/>
      <w:b/>
      <w:bCs/>
      <w:kern w:val="2"/>
      <w:sz w:val="24"/>
      <w:szCs w:val="24"/>
      <w:shd w:val="clear" w:color="auto" w:fill="CCCCCC"/>
      <w:lang w:val="en-US" w:eastAsia="zh-CN" w:bidi="ar-SA"/>
    </w:rPr>
  </w:style>
  <w:style w:type="character" w:customStyle="1" w:styleId="163">
    <w:name w:val="批注文字 Char1"/>
    <w:link w:val="22"/>
    <w:semiHidden/>
    <w:uiPriority w:val="0"/>
    <w:rPr>
      <w:rFonts w:eastAsia="宋体"/>
      <w:kern w:val="2"/>
      <w:sz w:val="21"/>
      <w:szCs w:val="22"/>
      <w:lang w:val="en-US" w:eastAsia="zh-CN" w:bidi="ar-SA"/>
    </w:rPr>
  </w:style>
  <w:style w:type="character" w:customStyle="1" w:styleId="164">
    <w:name w:val=" Char Char32"/>
    <w:uiPriority w:val="0"/>
    <w:rPr>
      <w:rFonts w:eastAsia="宋体"/>
      <w:b/>
      <w:bCs/>
      <w:kern w:val="44"/>
      <w:sz w:val="44"/>
      <w:szCs w:val="44"/>
      <w:lang w:val="en-US" w:eastAsia="zh-CN" w:bidi="ar-SA"/>
    </w:rPr>
  </w:style>
  <w:style w:type="character" w:customStyle="1" w:styleId="165">
    <w:name w:val="批注框文本 Char"/>
    <w:semiHidden/>
    <w:uiPriority w:val="0"/>
    <w:rPr>
      <w:rFonts w:eastAsia="宋体"/>
      <w:kern w:val="2"/>
      <w:sz w:val="18"/>
      <w:szCs w:val="18"/>
      <w:lang w:val="en-US" w:eastAsia="zh-CN" w:bidi="ar-SA"/>
    </w:rPr>
  </w:style>
  <w:style w:type="character" w:customStyle="1" w:styleId="166">
    <w:name w:val="页眉 Char2"/>
    <w:link w:val="40"/>
    <w:uiPriority w:val="0"/>
    <w:rPr>
      <w:rFonts w:eastAsia="宋体"/>
      <w:kern w:val="2"/>
      <w:sz w:val="18"/>
      <w:szCs w:val="18"/>
      <w:lang w:val="en-US" w:eastAsia="zh-CN" w:bidi="ar-SA"/>
    </w:rPr>
  </w:style>
  <w:style w:type="character" w:customStyle="1" w:styleId="167">
    <w:name w:val="正文文本缩进 3 Char"/>
    <w:basedOn w:val="63"/>
    <w:uiPriority w:val="0"/>
    <w:rPr>
      <w:rFonts w:ascii="Times New Roman" w:hAnsi="Times New Roman" w:eastAsia="宋体" w:cs="Times New Roman"/>
      <w:sz w:val="16"/>
      <w:szCs w:val="16"/>
      <w:lang w:val="zh-CN" w:eastAsia="zh-CN"/>
    </w:rPr>
  </w:style>
  <w:style w:type="character" w:customStyle="1" w:styleId="168">
    <w:name w:val="style61"/>
    <w:uiPriority w:val="0"/>
    <w:rPr>
      <w:b/>
      <w:bCs/>
    </w:rPr>
  </w:style>
  <w:style w:type="character" w:customStyle="1" w:styleId="169">
    <w:name w:val="正文文本 Char"/>
    <w:uiPriority w:val="0"/>
    <w:rPr>
      <w:rFonts w:ascii="宋体" w:hAnsi="宋体" w:eastAsia="宋体"/>
      <w:b/>
      <w:bCs/>
      <w:color w:val="000000"/>
      <w:sz w:val="72"/>
    </w:rPr>
  </w:style>
  <w:style w:type="character" w:customStyle="1" w:styleId="170">
    <w:name w:val="标题 9 Char1"/>
    <w:link w:val="11"/>
    <w:uiPriority w:val="0"/>
    <w:rPr>
      <w:rFonts w:ascii="Arial" w:hAnsi="Arial" w:eastAsia="黑体"/>
      <w:kern w:val="2"/>
      <w:sz w:val="21"/>
      <w:szCs w:val="21"/>
      <w:lang w:val="en-US" w:eastAsia="zh-CN" w:bidi="ar-SA"/>
    </w:rPr>
  </w:style>
  <w:style w:type="character" w:customStyle="1" w:styleId="171">
    <w:name w:val="标题 1 Char1"/>
    <w:link w:val="3"/>
    <w:uiPriority w:val="0"/>
    <w:rPr>
      <w:rFonts w:ascii="Calibri" w:hAnsi="Calibri" w:eastAsia="宋体"/>
      <w:b/>
      <w:bCs/>
      <w:kern w:val="44"/>
      <w:sz w:val="44"/>
      <w:szCs w:val="44"/>
      <w:lang w:val="en-US" w:eastAsia="zh-CN" w:bidi="ar-SA"/>
    </w:rPr>
  </w:style>
  <w:style w:type="character" w:customStyle="1" w:styleId="172">
    <w:name w:val="Figure Description Char"/>
    <w:link w:val="173"/>
    <w:uiPriority w:val="0"/>
    <w:rPr>
      <w:rFonts w:ascii="Calibri" w:hAnsi="Calibri" w:eastAsia="宋体"/>
      <w:sz w:val="18"/>
      <w:szCs w:val="24"/>
      <w:lang w:eastAsia="en-US" w:bidi="en-US"/>
    </w:rPr>
  </w:style>
  <w:style w:type="paragraph" w:customStyle="1" w:styleId="173">
    <w:name w:val="Figure Description"/>
    <w:basedOn w:val="174"/>
    <w:next w:val="1"/>
    <w:link w:val="172"/>
    <w:uiPriority w:val="0"/>
    <w:pPr>
      <w:tabs>
        <w:tab w:val="left" w:pos="0"/>
      </w:tabs>
      <w:ind w:left="1554" w:hanging="420"/>
    </w:pPr>
    <w:rPr>
      <w:sz w:val="18"/>
    </w:rPr>
  </w:style>
  <w:style w:type="paragraph" w:customStyle="1" w:styleId="174">
    <w:name w:val="Figure"/>
    <w:basedOn w:val="1"/>
    <w:next w:val="173"/>
    <w:link w:val="201"/>
    <w:uiPriority w:val="0"/>
    <w:pPr>
      <w:keepNext/>
      <w:keepLines/>
      <w:widowControl/>
      <w:jc w:val="center"/>
    </w:pPr>
    <w:rPr>
      <w:kern w:val="0"/>
      <w:sz w:val="24"/>
      <w:lang w:eastAsia="en-US" w:bidi="en-US"/>
    </w:rPr>
  </w:style>
  <w:style w:type="character" w:customStyle="1" w:styleId="175">
    <w:name w:val=" Char Char26"/>
    <w:uiPriority w:val="0"/>
    <w:rPr>
      <w:rFonts w:ascii="Arial" w:hAnsi="Arial" w:eastAsia="黑体"/>
      <w:b/>
      <w:bCs/>
      <w:kern w:val="2"/>
      <w:sz w:val="24"/>
      <w:szCs w:val="24"/>
      <w:lang w:val="en-US" w:eastAsia="zh-CN" w:bidi="ar-SA"/>
    </w:rPr>
  </w:style>
  <w:style w:type="character" w:customStyle="1" w:styleId="176">
    <w:name w:val="样式 正文缩进 + 首行缩进:  2 字符 Char"/>
    <w:link w:val="177"/>
    <w:uiPriority w:val="0"/>
    <w:rPr>
      <w:rFonts w:eastAsia="宋体"/>
      <w:sz w:val="24"/>
      <w:lang w:bidi="ar-SA"/>
    </w:rPr>
  </w:style>
  <w:style w:type="paragraph" w:customStyle="1" w:styleId="177">
    <w:name w:val="样式 正文缩进 + 首行缩进:  2 字符"/>
    <w:basedOn w:val="15"/>
    <w:link w:val="176"/>
    <w:uiPriority w:val="0"/>
    <w:pPr>
      <w:spacing w:afterLines="50" w:line="360" w:lineRule="auto"/>
      <w:ind w:firstLine="200"/>
      <w:jc w:val="left"/>
    </w:pPr>
    <w:rPr>
      <w:kern w:val="0"/>
      <w:sz w:val="24"/>
    </w:rPr>
  </w:style>
  <w:style w:type="character" w:customStyle="1" w:styleId="178">
    <w:name w:val="正文文本 3 Char2"/>
    <w:link w:val="25"/>
    <w:uiPriority w:val="0"/>
    <w:rPr>
      <w:rFonts w:eastAsia="宋体"/>
      <w:sz w:val="16"/>
      <w:szCs w:val="16"/>
      <w:lang w:bidi="ar-SA"/>
    </w:rPr>
  </w:style>
  <w:style w:type="character" w:customStyle="1" w:styleId="179">
    <w:name w:val="my正文 Char"/>
    <w:link w:val="180"/>
    <w:uiPriority w:val="0"/>
    <w:rPr>
      <w:rFonts w:ascii="宋体" w:hAnsi="宋体" w:eastAsia="宋体"/>
      <w:sz w:val="24"/>
      <w:szCs w:val="24"/>
      <w:lang w:bidi="ar-SA"/>
    </w:rPr>
  </w:style>
  <w:style w:type="paragraph" w:customStyle="1" w:styleId="180">
    <w:name w:val="my正文"/>
    <w:basedOn w:val="26"/>
    <w:link w:val="179"/>
    <w:uiPriority w:val="0"/>
    <w:pPr>
      <w:spacing w:beforeLines="50" w:line="360" w:lineRule="auto"/>
      <w:ind w:firstLine="540" w:firstLineChars="225"/>
    </w:pPr>
    <w:rPr>
      <w:rFonts w:ascii="宋体" w:hAnsi="宋体"/>
      <w:b w:val="0"/>
      <w:bCs w:val="0"/>
      <w:kern w:val="0"/>
      <w:shd w:val="clear" w:color="auto" w:fill="auto"/>
    </w:rPr>
  </w:style>
  <w:style w:type="character" w:customStyle="1" w:styleId="181">
    <w:name w:val="标题 8 Char"/>
    <w:basedOn w:val="63"/>
    <w:uiPriority w:val="0"/>
    <w:rPr>
      <w:rFonts w:ascii="Arial" w:hAnsi="Arial" w:eastAsia="黑体" w:cs="Times New Roman"/>
      <w:sz w:val="24"/>
      <w:szCs w:val="24"/>
      <w:lang w:val="zh-CN" w:eastAsia="zh-CN"/>
    </w:rPr>
  </w:style>
  <w:style w:type="character" w:customStyle="1" w:styleId="182">
    <w:name w:val="尾注文本 Char"/>
    <w:uiPriority w:val="0"/>
    <w:rPr>
      <w:szCs w:val="24"/>
    </w:rPr>
  </w:style>
  <w:style w:type="character" w:customStyle="1" w:styleId="183">
    <w:name w:val="正文文本 3 Char1"/>
    <w:basedOn w:val="63"/>
    <w:uiPriority w:val="0"/>
    <w:rPr>
      <w:rFonts w:ascii="Times New Roman" w:hAnsi="Times New Roman" w:eastAsia="宋体" w:cs="Times New Roman"/>
      <w:sz w:val="16"/>
      <w:szCs w:val="16"/>
    </w:rPr>
  </w:style>
  <w:style w:type="character" w:customStyle="1" w:styleId="184">
    <w:name w:val="标题 5 Char"/>
    <w:basedOn w:val="63"/>
    <w:uiPriority w:val="0"/>
    <w:rPr>
      <w:rFonts w:ascii="Times New Roman" w:hAnsi="Times New Roman" w:eastAsia="宋体" w:cs="Times New Roman"/>
      <w:b/>
      <w:bCs/>
      <w:sz w:val="28"/>
      <w:szCs w:val="28"/>
      <w:lang w:val="zh-CN" w:eastAsia="zh-CN"/>
    </w:rPr>
  </w:style>
  <w:style w:type="character" w:customStyle="1" w:styleId="185">
    <w:name w:val="Char Char5"/>
    <w:uiPriority w:val="0"/>
    <w:rPr>
      <w:b/>
      <w:bCs/>
      <w:sz w:val="21"/>
    </w:rPr>
  </w:style>
  <w:style w:type="character" w:customStyle="1" w:styleId="186">
    <w:name w:val="正文首行缩进 Char"/>
    <w:basedOn w:val="169"/>
    <w:uiPriority w:val="0"/>
    <w:rPr>
      <w:rFonts w:ascii="Times New Roman" w:hAnsi="Times New Roman" w:cs="Times New Roman"/>
      <w:b w:val="0"/>
      <w:bCs w:val="0"/>
      <w:kern w:val="0"/>
      <w:sz w:val="20"/>
      <w:szCs w:val="20"/>
    </w:rPr>
  </w:style>
  <w:style w:type="character" w:customStyle="1" w:styleId="187">
    <w:name w:val="md"/>
    <w:basedOn w:val="63"/>
    <w:uiPriority w:val="0"/>
  </w:style>
  <w:style w:type="character" w:customStyle="1" w:styleId="188">
    <w:name w:val="普通文字 Char Char4"/>
    <w:uiPriority w:val="0"/>
    <w:rPr>
      <w:rFonts w:ascii="宋体" w:hAnsi="Courier New" w:eastAsia="宋体" w:cs="Courier New"/>
      <w:kern w:val="2"/>
      <w:sz w:val="21"/>
      <w:szCs w:val="21"/>
      <w:lang w:val="en-US" w:eastAsia="zh-CN" w:bidi="ar-SA"/>
    </w:rPr>
  </w:style>
  <w:style w:type="character" w:customStyle="1" w:styleId="189">
    <w:name w:val="DAS正文 Char Char"/>
    <w:uiPriority w:val="0"/>
    <w:rPr>
      <w:rFonts w:ascii="Verdana" w:hAnsi="Verdana" w:eastAsia="宋体"/>
      <w:kern w:val="2"/>
      <w:sz w:val="21"/>
      <w:szCs w:val="21"/>
      <w:lang w:val="en-US" w:eastAsia="zh-CN" w:bidi="ar-SA"/>
    </w:rPr>
  </w:style>
  <w:style w:type="character" w:customStyle="1" w:styleId="190">
    <w:name w:val="Char Char10"/>
    <w:uiPriority w:val="0"/>
    <w:rPr>
      <w:rFonts w:eastAsia="宋体"/>
      <w:lang w:bidi="ar-SA"/>
    </w:rPr>
  </w:style>
  <w:style w:type="character" w:customStyle="1" w:styleId="191">
    <w:name w:val="正文文本缩进 Char2"/>
    <w:uiPriority w:val="0"/>
    <w:rPr>
      <w:rFonts w:eastAsia="宋体"/>
      <w:b/>
      <w:bCs/>
      <w:sz w:val="24"/>
      <w:szCs w:val="24"/>
    </w:rPr>
  </w:style>
  <w:style w:type="character" w:customStyle="1" w:styleId="192">
    <w:name w:val="Char Char13"/>
    <w:uiPriority w:val="0"/>
    <w:rPr>
      <w:sz w:val="18"/>
      <w:szCs w:val="18"/>
      <w:lang w:bidi="ar-SA"/>
    </w:rPr>
  </w:style>
  <w:style w:type="character" w:customStyle="1" w:styleId="193">
    <w:name w:val="正文文字 Char Char"/>
    <w:uiPriority w:val="0"/>
    <w:rPr>
      <w:rFonts w:ascii="宋体" w:hAnsi="宋体"/>
      <w:b/>
      <w:bCs/>
      <w:color w:val="000000"/>
      <w:kern w:val="2"/>
      <w:sz w:val="72"/>
    </w:rPr>
  </w:style>
  <w:style w:type="character" w:customStyle="1" w:styleId="194">
    <w:name w:val="正文文本缩进 3 Char1"/>
    <w:link w:val="47"/>
    <w:uiPriority w:val="0"/>
    <w:rPr>
      <w:rFonts w:eastAsia="宋体"/>
      <w:kern w:val="2"/>
      <w:sz w:val="16"/>
      <w:szCs w:val="16"/>
      <w:lang w:val="en-US" w:eastAsia="zh-CN" w:bidi="ar-SA"/>
    </w:rPr>
  </w:style>
  <w:style w:type="character" w:customStyle="1" w:styleId="195">
    <w:name w:val="正文文本缩进 2 Char1"/>
    <w:link w:val="36"/>
    <w:uiPriority w:val="0"/>
    <w:rPr>
      <w:rFonts w:ascii="宋体" w:eastAsia="新宋体"/>
      <w:kern w:val="2"/>
      <w:sz w:val="24"/>
      <w:lang w:val="en-US" w:eastAsia="zh-CN" w:bidi="ar-SA"/>
    </w:rPr>
  </w:style>
  <w:style w:type="character" w:customStyle="1" w:styleId="196">
    <w:name w:val="Char Char14"/>
    <w:uiPriority w:val="0"/>
    <w:rPr>
      <w:rFonts w:eastAsia="宋体"/>
      <w:lang w:val="en-US" w:eastAsia="zh-CN" w:bidi="ar-SA"/>
    </w:rPr>
  </w:style>
  <w:style w:type="character" w:customStyle="1" w:styleId="197">
    <w:name w:val="纯文本 Char"/>
    <w:link w:val="32"/>
    <w:uiPriority w:val="0"/>
    <w:rPr>
      <w:rFonts w:ascii="宋体" w:hAnsi="Courier New" w:eastAsia="宋体" w:cs="Courier New"/>
      <w:kern w:val="2"/>
      <w:sz w:val="21"/>
      <w:szCs w:val="21"/>
      <w:lang w:val="en-US" w:eastAsia="zh-CN" w:bidi="ar-SA"/>
    </w:rPr>
  </w:style>
  <w:style w:type="character" w:customStyle="1" w:styleId="198">
    <w:name w:val="标题 2 Char"/>
    <w:basedOn w:val="63"/>
    <w:uiPriority w:val="0"/>
    <w:rPr>
      <w:rFonts w:ascii="Calibri Light" w:hAnsi="Calibri Light" w:eastAsia="宋体" w:cs="Times New Roman"/>
      <w:b/>
      <w:bCs/>
      <w:sz w:val="32"/>
      <w:szCs w:val="32"/>
    </w:rPr>
  </w:style>
  <w:style w:type="character" w:customStyle="1" w:styleId="199">
    <w:name w:val="Char Char11"/>
    <w:uiPriority w:val="0"/>
    <w:rPr>
      <w:kern w:val="2"/>
      <w:sz w:val="18"/>
      <w:szCs w:val="18"/>
    </w:rPr>
  </w:style>
  <w:style w:type="character" w:customStyle="1" w:styleId="200">
    <w:name w:val="标题 3 Char"/>
    <w:basedOn w:val="63"/>
    <w:uiPriority w:val="0"/>
    <w:rPr>
      <w:b/>
      <w:bCs/>
      <w:sz w:val="32"/>
      <w:szCs w:val="32"/>
    </w:rPr>
  </w:style>
  <w:style w:type="character" w:customStyle="1" w:styleId="201">
    <w:name w:val="Figure Char"/>
    <w:link w:val="174"/>
    <w:uiPriority w:val="0"/>
    <w:rPr>
      <w:rFonts w:ascii="Calibri" w:hAnsi="Calibri" w:eastAsia="宋体"/>
      <w:sz w:val="24"/>
      <w:szCs w:val="24"/>
      <w:lang w:eastAsia="en-US" w:bidi="en-US"/>
    </w:rPr>
  </w:style>
  <w:style w:type="character" w:customStyle="1" w:styleId="202">
    <w:name w:val="正文首行缩进 2 Char"/>
    <w:uiPriority w:val="0"/>
    <w:rPr>
      <w:rFonts w:ascii="Tahoma" w:hAnsi="Tahoma" w:eastAsia="宋体"/>
      <w:sz w:val="28"/>
      <w:szCs w:val="24"/>
    </w:rPr>
  </w:style>
  <w:style w:type="character" w:customStyle="1" w:styleId="203">
    <w:name w:val=" Char Char10"/>
    <w:uiPriority w:val="0"/>
    <w:rPr>
      <w:rFonts w:eastAsia="宋体"/>
      <w:lang w:bidi="ar-SA"/>
    </w:rPr>
  </w:style>
  <w:style w:type="character" w:customStyle="1" w:styleId="204">
    <w:name w:val="哈哈正文 Char"/>
    <w:link w:val="205"/>
    <w:uiPriority w:val="0"/>
    <w:rPr>
      <w:rFonts w:ascii="宋体" w:hAnsi="宋体"/>
      <w:sz w:val="24"/>
      <w:lang w:bidi="ar-SA"/>
    </w:rPr>
  </w:style>
  <w:style w:type="paragraph" w:customStyle="1" w:styleId="205">
    <w:name w:val="哈哈正文"/>
    <w:basedOn w:val="1"/>
    <w:link w:val="204"/>
    <w:uiPriority w:val="0"/>
    <w:pPr>
      <w:spacing w:line="360" w:lineRule="auto"/>
      <w:ind w:firstLine="200" w:firstLineChars="200"/>
    </w:pPr>
    <w:rPr>
      <w:rFonts w:ascii="宋体" w:hAnsi="宋体"/>
      <w:kern w:val="0"/>
      <w:sz w:val="24"/>
      <w:szCs w:val="20"/>
    </w:rPr>
  </w:style>
  <w:style w:type="character" w:customStyle="1" w:styleId="206">
    <w:name w:val="批注主题 Char2"/>
    <w:link w:val="58"/>
    <w:uiPriority w:val="0"/>
    <w:rPr>
      <w:rFonts w:ascii="宋体" w:hAnsi="宋体" w:eastAsia="宋体"/>
      <w:b/>
      <w:bCs/>
      <w:kern w:val="2"/>
      <w:sz w:val="28"/>
      <w:szCs w:val="28"/>
      <w:lang w:val="en-US" w:eastAsia="zh-CN" w:bidi="ar-SA"/>
    </w:rPr>
  </w:style>
  <w:style w:type="character" w:customStyle="1" w:styleId="207">
    <w:name w:val="正文缩进2格 Char Char"/>
    <w:uiPriority w:val="0"/>
    <w:rPr>
      <w:rFonts w:ascii="FangSong_GB2312" w:hAnsi="宋体" w:eastAsia="FangSong_GB2312"/>
      <w:sz w:val="31"/>
      <w:szCs w:val="28"/>
    </w:rPr>
  </w:style>
  <w:style w:type="character" w:customStyle="1" w:styleId="208">
    <w:name w:val="f141"/>
    <w:uiPriority w:val="0"/>
    <w:rPr>
      <w:sz w:val="21"/>
      <w:szCs w:val="21"/>
    </w:rPr>
  </w:style>
  <w:style w:type="character" w:customStyle="1" w:styleId="209">
    <w:name w:val="纯文本 Char1"/>
    <w:basedOn w:val="63"/>
    <w:uiPriority w:val="99"/>
    <w:rPr>
      <w:rFonts w:ascii="宋体" w:hAnsi="Courier New" w:eastAsia="宋体" w:cs="Courier New"/>
    </w:rPr>
  </w:style>
  <w:style w:type="character" w:customStyle="1" w:styleId="210">
    <w:name w:val=" Char Char29"/>
    <w:uiPriority w:val="0"/>
    <w:rPr>
      <w:b/>
      <w:bCs/>
      <w:kern w:val="2"/>
      <w:sz w:val="32"/>
      <w:szCs w:val="32"/>
    </w:rPr>
  </w:style>
  <w:style w:type="character" w:customStyle="1" w:styleId="211">
    <w:name w:val="脚注文本 Char"/>
    <w:uiPriority w:val="0"/>
    <w:rPr>
      <w:rFonts w:eastAsia="宋体"/>
      <w:sz w:val="18"/>
      <w:szCs w:val="18"/>
    </w:rPr>
  </w:style>
  <w:style w:type="character" w:customStyle="1" w:styleId="212">
    <w:name w:val="正文缩进 Char1"/>
    <w:link w:val="15"/>
    <w:uiPriority w:val="0"/>
    <w:rPr>
      <w:rFonts w:eastAsia="宋体"/>
      <w:kern w:val="2"/>
      <w:sz w:val="28"/>
      <w:lang w:val="en-US" w:eastAsia="zh-CN" w:bidi="ar-SA"/>
    </w:rPr>
  </w:style>
  <w:style w:type="character" w:customStyle="1" w:styleId="213">
    <w:name w:val="标题 4 Char1"/>
    <w:link w:val="6"/>
    <w:uiPriority w:val="0"/>
    <w:rPr>
      <w:rFonts w:ascii="Arial" w:hAnsi="Arial" w:eastAsia="黑体"/>
      <w:b/>
      <w:bCs/>
      <w:kern w:val="2"/>
      <w:sz w:val="28"/>
      <w:szCs w:val="28"/>
      <w:lang w:val="en-US" w:eastAsia="zh-CN" w:bidi="ar-SA"/>
    </w:rPr>
  </w:style>
  <w:style w:type="character" w:customStyle="1" w:styleId="214">
    <w:name w:val="表格名称 Char"/>
    <w:link w:val="136"/>
    <w:uiPriority w:val="0"/>
    <w:rPr>
      <w:rFonts w:ascii="宋体" w:hAnsi="宋体" w:eastAsia="宋体"/>
      <w:b/>
      <w:kern w:val="2"/>
      <w:sz w:val="24"/>
      <w:szCs w:val="21"/>
      <w:lang w:val="en-US" w:eastAsia="zh-CN" w:bidi="ar-SA"/>
    </w:rPr>
  </w:style>
  <w:style w:type="character" w:customStyle="1" w:styleId="215">
    <w:name w:val="列表段落 字符"/>
    <w:link w:val="216"/>
    <w:qFormat/>
    <w:uiPriority w:val="0"/>
    <w:rPr>
      <w:kern w:val="2"/>
      <w:sz w:val="21"/>
      <w:szCs w:val="24"/>
      <w:lang w:bidi="ar-SA"/>
    </w:rPr>
  </w:style>
  <w:style w:type="paragraph" w:customStyle="1" w:styleId="216">
    <w:name w:val="List Paragraph2"/>
    <w:basedOn w:val="1"/>
    <w:link w:val="215"/>
    <w:qFormat/>
    <w:uiPriority w:val="0"/>
    <w:pPr>
      <w:ind w:firstLine="420" w:firstLineChars="200"/>
    </w:pPr>
  </w:style>
  <w:style w:type="character" w:customStyle="1" w:styleId="217">
    <w:name w:val="普通文字 Char Char1"/>
    <w:uiPriority w:val="0"/>
    <w:rPr>
      <w:rFonts w:ascii="宋体" w:hAnsi="Courier New" w:eastAsia="宋体" w:cs="Courier New"/>
      <w:kern w:val="2"/>
      <w:sz w:val="21"/>
      <w:szCs w:val="21"/>
      <w:lang w:val="en-US" w:eastAsia="zh-CN" w:bidi="ar-SA"/>
    </w:rPr>
  </w:style>
  <w:style w:type="character" w:customStyle="1" w:styleId="218">
    <w:name w:val="Char Char18"/>
    <w:uiPriority w:val="0"/>
    <w:rPr>
      <w:rFonts w:eastAsia="宋体"/>
      <w:spacing w:val="12"/>
      <w:kern w:val="2"/>
      <w:sz w:val="18"/>
      <w:lang w:val="en-US" w:eastAsia="zh-CN" w:bidi="ar-SA"/>
    </w:rPr>
  </w:style>
  <w:style w:type="character" w:customStyle="1" w:styleId="219">
    <w:name w:val="Body Char"/>
    <w:link w:val="220"/>
    <w:uiPriority w:val="0"/>
    <w:rPr>
      <w:rFonts w:ascii="Arial" w:hAnsi="Arial" w:eastAsia="宋体"/>
      <w:color w:val="000000"/>
      <w:szCs w:val="24"/>
      <w:lang w:val="en-US" w:eastAsia="zh-CN" w:bidi="ar-SA"/>
    </w:rPr>
  </w:style>
  <w:style w:type="paragraph" w:customStyle="1" w:styleId="220">
    <w:name w:val="Body"/>
    <w:basedOn w:val="1"/>
    <w:link w:val="219"/>
    <w:uiPriority w:val="0"/>
    <w:pPr>
      <w:widowControl/>
      <w:tabs>
        <w:tab w:val="left" w:pos="9255"/>
      </w:tabs>
      <w:spacing w:line="360" w:lineRule="auto"/>
      <w:ind w:firstLine="315" w:firstLineChars="150"/>
      <w:jc w:val="center"/>
    </w:pPr>
    <w:rPr>
      <w:rFonts w:ascii="Arial" w:hAnsi="Arial"/>
      <w:color w:val="000000"/>
      <w:kern w:val="0"/>
      <w:sz w:val="20"/>
    </w:rPr>
  </w:style>
  <w:style w:type="character" w:customStyle="1" w:styleId="221">
    <w:name w:val="Heading 2 Char"/>
    <w:semiHidden/>
    <w:qFormat/>
    <w:locked/>
    <w:uiPriority w:val="0"/>
    <w:rPr>
      <w:rFonts w:ascii="Cambria" w:hAnsi="Cambria" w:eastAsia="宋体" w:cs="Times New Roman"/>
      <w:b/>
      <w:bCs/>
      <w:sz w:val="32"/>
      <w:szCs w:val="32"/>
    </w:rPr>
  </w:style>
  <w:style w:type="character" w:customStyle="1" w:styleId="222">
    <w:name w:val="HTML 预设格式 Char2"/>
    <w:link w:val="54"/>
    <w:uiPriority w:val="0"/>
    <w:rPr>
      <w:rFonts w:ascii="Arial" w:hAnsi="Arial" w:eastAsia="宋体"/>
      <w:sz w:val="24"/>
      <w:lang w:bidi="ar-SA"/>
    </w:rPr>
  </w:style>
  <w:style w:type="character" w:customStyle="1" w:styleId="223">
    <w:name w:val="title1"/>
    <w:uiPriority w:val="0"/>
    <w:rPr>
      <w:rFonts w:hint="eastAsia" w:ascii="宋体" w:hAnsi="宋体" w:eastAsia="宋体"/>
      <w:b/>
      <w:bCs/>
      <w:sz w:val="22"/>
      <w:szCs w:val="22"/>
    </w:rPr>
  </w:style>
  <w:style w:type="character" w:customStyle="1" w:styleId="224">
    <w:name w:val="样式4 Char Char"/>
    <w:link w:val="225"/>
    <w:uiPriority w:val="0"/>
    <w:rPr>
      <w:rFonts w:eastAsia="宋体"/>
      <w:color w:val="000000"/>
      <w:sz w:val="24"/>
      <w:szCs w:val="24"/>
      <w:lang w:bidi="ar-SA"/>
    </w:rPr>
  </w:style>
  <w:style w:type="paragraph" w:customStyle="1" w:styleId="225">
    <w:name w:val="样式4 Char"/>
    <w:basedOn w:val="1"/>
    <w:link w:val="224"/>
    <w:uiPriority w:val="0"/>
    <w:pPr>
      <w:widowControl/>
      <w:spacing w:beforeLines="50" w:afterLines="50" w:line="360" w:lineRule="auto"/>
      <w:ind w:firstLine="480" w:firstLineChars="200"/>
      <w:jc w:val="left"/>
    </w:pPr>
    <w:rPr>
      <w:color w:val="000000"/>
      <w:kern w:val="0"/>
      <w:sz w:val="24"/>
    </w:rPr>
  </w:style>
  <w:style w:type="character" w:customStyle="1" w:styleId="226">
    <w:name w:val="样式23 Char"/>
    <w:link w:val="227"/>
    <w:uiPriority w:val="0"/>
    <w:rPr>
      <w:rFonts w:ascii="Arial" w:hAnsi="Arial" w:eastAsia="黑体"/>
      <w:b/>
      <w:sz w:val="24"/>
      <w:szCs w:val="30"/>
      <w:lang w:bidi="ar-SA"/>
    </w:rPr>
  </w:style>
  <w:style w:type="paragraph" w:customStyle="1" w:styleId="227">
    <w:name w:val="样式23"/>
    <w:basedOn w:val="1"/>
    <w:link w:val="226"/>
    <w:qFormat/>
    <w:uiPriority w:val="0"/>
    <w:pPr>
      <w:keepNext/>
      <w:keepLines/>
      <w:tabs>
        <w:tab w:val="left" w:pos="1232"/>
      </w:tabs>
      <w:spacing w:before="280" w:after="156" w:line="377" w:lineRule="auto"/>
      <w:jc w:val="left"/>
      <w:outlineLvl w:val="3"/>
    </w:pPr>
    <w:rPr>
      <w:rFonts w:ascii="Arial" w:hAnsi="Arial" w:eastAsia="黑体"/>
      <w:b/>
      <w:kern w:val="0"/>
      <w:sz w:val="24"/>
      <w:szCs w:val="30"/>
    </w:rPr>
  </w:style>
  <w:style w:type="character" w:customStyle="1" w:styleId="228">
    <w:name w:val="列出段落 Char"/>
    <w:link w:val="137"/>
    <w:uiPriority w:val="0"/>
    <w:rPr>
      <w:rFonts w:ascii="Calibri" w:hAnsi="Calibri" w:eastAsia="宋体"/>
      <w:kern w:val="2"/>
      <w:sz w:val="21"/>
      <w:szCs w:val="22"/>
      <w:lang w:val="en-US" w:eastAsia="zh-CN" w:bidi="ar-SA"/>
    </w:rPr>
  </w:style>
  <w:style w:type="character" w:customStyle="1" w:styleId="229">
    <w:name w:val="正文文本 3 Char"/>
    <w:uiPriority w:val="0"/>
    <w:rPr>
      <w:rFonts w:ascii="宋体"/>
      <w:b/>
      <w:bCs/>
      <w:color w:val="3366FF"/>
      <w:sz w:val="52"/>
      <w:szCs w:val="52"/>
      <w:lang w:val="zh-CN"/>
    </w:rPr>
  </w:style>
  <w:style w:type="character" w:customStyle="1" w:styleId="230">
    <w:name w:val="尾注文本 Char2"/>
    <w:link w:val="37"/>
    <w:uiPriority w:val="0"/>
    <w:rPr>
      <w:rFonts w:ascii="宋体" w:eastAsia="宋体"/>
      <w:sz w:val="24"/>
      <w:lang w:bidi="ar-SA"/>
    </w:rPr>
  </w:style>
  <w:style w:type="character" w:customStyle="1" w:styleId="231">
    <w:name w:val="正文首行缩进 2 Char1"/>
    <w:link w:val="60"/>
    <w:uiPriority w:val="0"/>
    <w:rPr>
      <w:rFonts w:ascii="Tahoma" w:hAnsi="Tahoma" w:eastAsia="宋体"/>
      <w:sz w:val="28"/>
      <w:szCs w:val="24"/>
      <w:lang w:bidi="ar-SA"/>
    </w:rPr>
  </w:style>
  <w:style w:type="character" w:customStyle="1" w:styleId="232">
    <w:name w:val="Char Char1"/>
    <w:uiPriority w:val="0"/>
    <w:rPr>
      <w:rFonts w:ascii="Arial" w:hAnsi="Arial" w:eastAsia="宋体"/>
      <w:b/>
      <w:bCs/>
      <w:kern w:val="2"/>
      <w:sz w:val="28"/>
      <w:szCs w:val="28"/>
      <w:lang w:val="en-US" w:eastAsia="zh-CN" w:bidi="ar-SA"/>
    </w:rPr>
  </w:style>
  <w:style w:type="character" w:customStyle="1" w:styleId="233">
    <w:name w:val="正文文本 Char2"/>
    <w:uiPriority w:val="0"/>
    <w:rPr>
      <w:rFonts w:ascii="宋体" w:hAnsi="宋体"/>
      <w:b/>
      <w:bCs/>
      <w:color w:val="000000"/>
      <w:kern w:val="2"/>
      <w:sz w:val="72"/>
    </w:rPr>
  </w:style>
  <w:style w:type="character" w:customStyle="1" w:styleId="234">
    <w:name w:val="p105"/>
    <w:basedOn w:val="63"/>
    <w:uiPriority w:val="0"/>
  </w:style>
  <w:style w:type="character" w:customStyle="1" w:styleId="235">
    <w:name w:val="文档结构图 Char"/>
    <w:basedOn w:val="63"/>
    <w:uiPriority w:val="0"/>
    <w:rPr>
      <w:rFonts w:ascii="Times New Roman" w:hAnsi="Times New Roman" w:eastAsia="宋体" w:cs="Times New Roman"/>
      <w:kern w:val="0"/>
      <w:sz w:val="20"/>
      <w:szCs w:val="24"/>
      <w:shd w:val="clear" w:color="auto" w:fill="000080"/>
    </w:rPr>
  </w:style>
  <w:style w:type="character" w:customStyle="1" w:styleId="236">
    <w:name w:val="页眉 Char"/>
    <w:uiPriority w:val="0"/>
    <w:rPr>
      <w:sz w:val="18"/>
      <w:szCs w:val="18"/>
    </w:rPr>
  </w:style>
  <w:style w:type="paragraph" w:customStyle="1" w:styleId="237">
    <w:name w:val="表格名"/>
    <w:basedOn w:val="137"/>
    <w:uiPriority w:val="0"/>
    <w:pPr>
      <w:spacing w:line="360" w:lineRule="auto"/>
      <w:ind w:left="420" w:firstLine="0" w:firstLineChars="0"/>
      <w:jc w:val="center"/>
    </w:pPr>
    <w:rPr>
      <w:rFonts w:ascii="宋体" w:hAnsi="宋体"/>
      <w:b/>
      <w:kern w:val="0"/>
      <w:szCs w:val="21"/>
      <w:lang w:val="en-US" w:eastAsia="zh-CN"/>
    </w:rPr>
  </w:style>
  <w:style w:type="paragraph" w:customStyle="1" w:styleId="238">
    <w:name w:val="正文居中"/>
    <w:basedOn w:val="1"/>
    <w:next w:val="1"/>
    <w:uiPriority w:val="0"/>
    <w:pPr>
      <w:adjustRightInd w:val="0"/>
      <w:snapToGrid w:val="0"/>
      <w:spacing w:line="300" w:lineRule="auto"/>
      <w:jc w:val="center"/>
    </w:pPr>
    <w:rPr>
      <w:rFonts w:ascii="Times New Roman" w:hAnsi="Times New Roman"/>
    </w:rPr>
  </w:style>
  <w:style w:type="paragraph" w:customStyle="1" w:styleId="239">
    <w:name w:val="技术响应1"/>
    <w:basedOn w:val="1"/>
    <w:uiPriority w:val="0"/>
    <w:pPr>
      <w:widowControl/>
      <w:spacing w:line="360" w:lineRule="auto"/>
      <w:ind w:firstLine="588"/>
      <w:jc w:val="center"/>
    </w:pPr>
    <w:rPr>
      <w:rFonts w:ascii="宋体" w:hAnsi="Times New Roman"/>
      <w:b/>
      <w:kern w:val="0"/>
      <w:sz w:val="28"/>
      <w:szCs w:val="20"/>
    </w:rPr>
  </w:style>
  <w:style w:type="paragraph" w:customStyle="1" w:styleId="240">
    <w:name w:val="xl25"/>
    <w:basedOn w:val="1"/>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241">
    <w:name w:val="样式 标题 1H1h1章l1I11st levelHeading 01Header 1Header1Sec...3"/>
    <w:basedOn w:val="3"/>
    <w:uiPriority w:val="0"/>
    <w:pPr>
      <w:numPr>
        <w:numId w:val="0"/>
      </w:numPr>
      <w:spacing w:line="576" w:lineRule="auto"/>
    </w:pPr>
    <w:rPr>
      <w:rFonts w:ascii="黑体" w:hAnsi="黑体" w:eastAsia="黑体" w:cs="宋体"/>
      <w:b w:val="0"/>
      <w:sz w:val="36"/>
      <w:szCs w:val="20"/>
    </w:rPr>
  </w:style>
  <w:style w:type="paragraph" w:customStyle="1" w:styleId="242">
    <w:name w:val="正文（缩进）"/>
    <w:basedOn w:val="1"/>
    <w:uiPriority w:val="0"/>
    <w:pPr>
      <w:spacing w:beforeLines="50" w:afterLines="50" w:line="360" w:lineRule="auto"/>
      <w:ind w:firstLine="480" w:firstLineChars="200"/>
    </w:pPr>
    <w:rPr>
      <w:rFonts w:ascii="Times New Roman" w:hAnsi="Times New Roman"/>
      <w:sz w:val="24"/>
    </w:rPr>
  </w:style>
  <w:style w:type="paragraph" w:customStyle="1" w:styleId="243">
    <w:name w:val="表格文字"/>
    <w:basedOn w:val="1"/>
    <w:uiPriority w:val="0"/>
    <w:pPr>
      <w:spacing w:before="25" w:after="25"/>
      <w:jc w:val="left"/>
    </w:pPr>
    <w:rPr>
      <w:rFonts w:ascii="Times New Roman" w:hAnsi="Times New Roman"/>
      <w:bCs/>
      <w:spacing w:val="10"/>
      <w:kern w:val="0"/>
      <w:sz w:val="24"/>
      <w:szCs w:val="20"/>
    </w:rPr>
  </w:style>
  <w:style w:type="paragraph" w:customStyle="1" w:styleId="244">
    <w:name w:val="正文缩进6格"/>
    <w:basedOn w:val="1"/>
    <w:uiPriority w:val="0"/>
    <w:pPr>
      <w:spacing w:line="600" w:lineRule="exact"/>
      <w:ind w:left="651" w:leftChars="310" w:firstLine="608" w:firstLineChars="196"/>
    </w:pPr>
    <w:rPr>
      <w:rFonts w:ascii="FangSong_GB2312" w:hAnsi="宋体" w:eastAsia="FangSong_GB2312"/>
      <w:color w:val="000000"/>
      <w:kern w:val="0"/>
      <w:sz w:val="31"/>
      <w:szCs w:val="28"/>
    </w:rPr>
  </w:style>
  <w:style w:type="paragraph" w:customStyle="1" w:styleId="245">
    <w:name w:val="样式 标题 3 + 右侧:  0.42 厘米"/>
    <w:basedOn w:val="5"/>
    <w:uiPriority w:val="0"/>
    <w:pPr>
      <w:numPr>
        <w:ilvl w:val="0"/>
        <w:numId w:val="0"/>
      </w:numPr>
      <w:tabs>
        <w:tab w:val="left" w:pos="851"/>
      </w:tabs>
      <w:spacing w:line="413" w:lineRule="auto"/>
    </w:pPr>
    <w:rPr>
      <w:rFonts w:ascii="黑体" w:hAnsi="黑体" w:eastAsia="黑体" w:cs="宋体"/>
      <w:b w:val="0"/>
      <w:bCs w:val="0"/>
      <w:sz w:val="30"/>
      <w:szCs w:val="20"/>
    </w:rPr>
  </w:style>
  <w:style w:type="paragraph" w:customStyle="1" w:styleId="246">
    <w:name w:val="4"/>
    <w:basedOn w:val="20"/>
    <w:uiPriority w:val="0"/>
    <w:rPr>
      <w:rFonts w:ascii="Tahoma" w:hAnsi="Tahoma"/>
      <w:sz w:val="24"/>
    </w:rPr>
  </w:style>
  <w:style w:type="paragraph" w:customStyle="1" w:styleId="247">
    <w:name w:val="Char Char1 Char Char Char Char Char Char"/>
    <w:basedOn w:val="1"/>
    <w:uiPriority w:val="0"/>
    <w:rPr>
      <w:rFonts w:ascii="Times New Roman" w:hAnsi="Times New Roman"/>
      <w:sz w:val="36"/>
    </w:rPr>
  </w:style>
  <w:style w:type="paragraph" w:customStyle="1" w:styleId="248">
    <w:name w:val="xl24"/>
    <w:basedOn w:val="1"/>
    <w:uiPriority w:val="0"/>
    <w:pPr>
      <w:widowControl/>
      <w:spacing w:before="100" w:beforeAutospacing="1" w:after="100" w:afterAutospacing="1"/>
      <w:jc w:val="right"/>
    </w:pPr>
    <w:rPr>
      <w:rFonts w:ascii="宋体" w:hAnsi="宋体"/>
      <w:kern w:val="0"/>
      <w:sz w:val="24"/>
    </w:rPr>
  </w:style>
  <w:style w:type="paragraph" w:customStyle="1" w:styleId="249">
    <w:name w:val=" Char Char Char Char Char Char"/>
    <w:basedOn w:val="20"/>
    <w:uiPriority w:val="0"/>
    <w:rPr>
      <w:rFonts w:ascii="Tahoma" w:hAnsi="Tahoma"/>
      <w:sz w:val="24"/>
    </w:rPr>
  </w:style>
  <w:style w:type="paragraph" w:customStyle="1" w:styleId="250">
    <w:name w:val="Char1 Char Char Char"/>
    <w:basedOn w:val="1"/>
    <w:uiPriority w:val="0"/>
    <w:rPr>
      <w:rFonts w:ascii="Tahoma" w:hAnsi="Tahoma"/>
      <w:sz w:val="24"/>
      <w:szCs w:val="20"/>
    </w:rPr>
  </w:style>
  <w:style w:type="paragraph" w:customStyle="1" w:styleId="251">
    <w:name w:val="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252">
    <w:name w:val="样式1"/>
    <w:basedOn w:val="4"/>
    <w:uiPriority w:val="0"/>
    <w:pPr>
      <w:numPr>
        <w:numId w:val="0"/>
      </w:numPr>
      <w:spacing w:line="413" w:lineRule="auto"/>
      <w:jc w:val="center"/>
    </w:pPr>
    <w:rPr>
      <w:rFonts w:ascii="宋体" w:hAnsi="宋体"/>
      <w:bCs w:val="0"/>
      <w:sz w:val="36"/>
      <w:szCs w:val="20"/>
    </w:rPr>
  </w:style>
  <w:style w:type="paragraph" w:customStyle="1" w:styleId="253">
    <w:name w:val="Char Char Char Char Char Char1 Char"/>
    <w:basedOn w:val="1"/>
    <w:uiPriority w:val="0"/>
    <w:pPr>
      <w:widowControl/>
      <w:spacing w:after="160" w:line="240" w:lineRule="exact"/>
      <w:jc w:val="left"/>
    </w:pPr>
    <w:rPr>
      <w:rFonts w:ascii="Arial" w:hAnsi="Arial" w:eastAsia="楷体_GB2312" w:cs="Verdana"/>
      <w:b/>
      <w:kern w:val="0"/>
      <w:sz w:val="24"/>
      <w:lang w:eastAsia="en-US"/>
    </w:rPr>
  </w:style>
  <w:style w:type="paragraph" w:customStyle="1" w:styleId="254">
    <w:name w:val="Char Char Char Char Char Char"/>
    <w:basedOn w:val="20"/>
    <w:uiPriority w:val="0"/>
    <w:rPr>
      <w:rFonts w:ascii="Tahoma" w:hAnsi="Tahoma"/>
      <w:sz w:val="24"/>
    </w:rPr>
  </w:style>
  <w:style w:type="paragraph" w:customStyle="1" w:styleId="255">
    <w:name w:val="Bullet"/>
    <w:basedOn w:val="1"/>
    <w:uiPriority w:val="0"/>
    <w:pPr>
      <w:tabs>
        <w:tab w:val="left" w:pos="420"/>
      </w:tabs>
      <w:spacing w:line="360" w:lineRule="exact"/>
      <w:ind w:left="420" w:hanging="420"/>
    </w:pPr>
    <w:rPr>
      <w:rFonts w:ascii="Times New Roman" w:hAnsi="Times New Roman"/>
      <w:sz w:val="24"/>
      <w:szCs w:val="20"/>
    </w:rPr>
  </w:style>
  <w:style w:type="paragraph" w:customStyle="1" w:styleId="256">
    <w:name w:val="xl48"/>
    <w:basedOn w:val="1"/>
    <w:uiPriority w:val="0"/>
    <w:pPr>
      <w:widowControl/>
      <w:spacing w:before="100" w:beforeAutospacing="1" w:after="100" w:afterAutospacing="1"/>
      <w:jc w:val="center"/>
      <w:textAlignment w:val="center"/>
    </w:pPr>
    <w:rPr>
      <w:rFonts w:ascii="宋体" w:hAnsi="宋体" w:cs="宋体"/>
      <w:kern w:val="0"/>
      <w:sz w:val="28"/>
      <w:szCs w:val="28"/>
    </w:rPr>
  </w:style>
  <w:style w:type="paragraph" w:customStyle="1" w:styleId="257">
    <w:name w:val="af17cgridlangnp1033langf"/>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258">
    <w:name w:val="表格内容"/>
    <w:basedOn w:val="2"/>
    <w:uiPriority w:val="0"/>
    <w:pPr>
      <w:suppressLineNumbers/>
      <w:suppressAutoHyphens/>
      <w:spacing w:after="120"/>
      <w:jc w:val="left"/>
    </w:pPr>
    <w:rPr>
      <w:rFonts w:ascii="Times New Roman" w:hAnsi="Times New Roman"/>
      <w:b w:val="0"/>
      <w:bCs w:val="0"/>
      <w:color w:val="auto"/>
      <w:kern w:val="0"/>
      <w:sz w:val="24"/>
      <w:szCs w:val="24"/>
      <w:lang w:val="en-US" w:eastAsia="zh-CN"/>
    </w:rPr>
  </w:style>
  <w:style w:type="paragraph" w:customStyle="1" w:styleId="259">
    <w:name w:val="xl26"/>
    <w:basedOn w:val="1"/>
    <w:uiPriority w:val="0"/>
    <w:pPr>
      <w:widowControl/>
      <w:spacing w:before="100" w:beforeAutospacing="1" w:after="100" w:afterAutospacing="1"/>
      <w:jc w:val="center"/>
    </w:pPr>
    <w:rPr>
      <w:rFonts w:hint="eastAsia" w:ascii="FangSong_GB2312" w:hAnsi="宋体" w:eastAsia="FangSong_GB2312"/>
      <w:kern w:val="0"/>
      <w:sz w:val="24"/>
    </w:rPr>
  </w:style>
  <w:style w:type="paragraph" w:customStyle="1" w:styleId="260">
    <w:name w:val="Char Char Char"/>
    <w:basedOn w:val="1"/>
    <w:uiPriority w:val="0"/>
    <w:rPr>
      <w:rFonts w:ascii="Tahoma" w:hAnsi="Tahoma"/>
      <w:sz w:val="24"/>
      <w:szCs w:val="20"/>
    </w:rPr>
  </w:style>
  <w:style w:type="paragraph" w:customStyle="1" w:styleId="261">
    <w:name w:val="样式2"/>
    <w:basedOn w:val="4"/>
    <w:uiPriority w:val="0"/>
    <w:pPr>
      <w:keepLines w:val="0"/>
      <w:numPr>
        <w:ilvl w:val="0"/>
        <w:numId w:val="0"/>
      </w:numPr>
      <w:spacing w:before="0" w:after="0" w:line="360" w:lineRule="auto"/>
      <w:ind w:left="567" w:hanging="567"/>
      <w:jc w:val="left"/>
    </w:pPr>
    <w:rPr>
      <w:rFonts w:ascii="宋体" w:hAnsi="宋体" w:eastAsia="宋体"/>
      <w:bCs w:val="0"/>
      <w:szCs w:val="24"/>
    </w:rPr>
  </w:style>
  <w:style w:type="paragraph" w:customStyle="1" w:styleId="262">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63">
    <w:name w:val="保留正文"/>
    <w:basedOn w:val="2"/>
    <w:uiPriority w:val="0"/>
    <w:pPr>
      <w:keepNext/>
      <w:spacing w:after="160"/>
      <w:jc w:val="both"/>
    </w:pPr>
    <w:rPr>
      <w:rFonts w:ascii="Times New Roman" w:hAnsi="Times New Roman"/>
      <w:b w:val="0"/>
      <w:bCs w:val="0"/>
      <w:color w:val="auto"/>
      <w:kern w:val="0"/>
      <w:sz w:val="20"/>
      <w:szCs w:val="24"/>
      <w:lang w:val="en-US" w:eastAsia="zh-CN"/>
    </w:rPr>
  </w:style>
  <w:style w:type="paragraph" w:customStyle="1" w:styleId="264">
    <w:name w:val="No Spacing"/>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5">
    <w:name w:val="Char3"/>
    <w:basedOn w:val="1"/>
    <w:uiPriority w:val="0"/>
    <w:pPr>
      <w:tabs>
        <w:tab w:val="left" w:pos="360"/>
      </w:tabs>
    </w:pPr>
    <w:rPr>
      <w:rFonts w:ascii="Times New Roman" w:hAnsi="Times New Roman"/>
      <w:sz w:val="24"/>
    </w:rPr>
  </w:style>
  <w:style w:type="paragraph" w:customStyle="1" w:styleId="266">
    <w:name w:val="_Style 2"/>
    <w:basedOn w:val="1"/>
    <w:uiPriority w:val="0"/>
  </w:style>
  <w:style w:type="paragraph" w:customStyle="1" w:styleId="267">
    <w:name w:val="_Style 40"/>
    <w:uiPriority w:val="0"/>
    <w:pPr>
      <w:widowControl w:val="0"/>
      <w:jc w:val="both"/>
    </w:pPr>
    <w:rPr>
      <w:rFonts w:ascii="Calibri" w:hAnsi="Calibri" w:eastAsia="宋体" w:cs="Times New Roman"/>
      <w:kern w:val="2"/>
      <w:sz w:val="21"/>
      <w:szCs w:val="24"/>
      <w:lang w:val="en-US" w:eastAsia="zh-CN" w:bidi="ar-SA"/>
    </w:rPr>
  </w:style>
  <w:style w:type="paragraph" w:customStyle="1" w:styleId="268">
    <w:name w:val="Char2"/>
    <w:basedOn w:val="1"/>
    <w:uiPriority w:val="0"/>
    <w:pPr>
      <w:widowControl/>
      <w:spacing w:after="160" w:line="240" w:lineRule="exact"/>
      <w:jc w:val="left"/>
    </w:pPr>
    <w:rPr>
      <w:rFonts w:ascii="Verdana" w:hAnsi="Verdana" w:eastAsia="FangSong_GB2312"/>
      <w:kern w:val="0"/>
      <w:sz w:val="24"/>
      <w:szCs w:val="20"/>
      <w:lang w:eastAsia="en-US"/>
    </w:rPr>
  </w:style>
  <w:style w:type="paragraph" w:customStyle="1" w:styleId="269">
    <w:name w:val="题注4"/>
    <w:basedOn w:val="1"/>
    <w:next w:val="16"/>
    <w:uiPriority w:val="0"/>
    <w:pPr>
      <w:ind w:left="-132" w:leftChars="-64" w:right="-105" w:rightChars="-50" w:hanging="2"/>
      <w:jc w:val="center"/>
    </w:pPr>
    <w:rPr>
      <w:rFonts w:ascii="Times New Roman" w:hAnsi="Times New Roman"/>
      <w:b/>
      <w:color w:val="FF0000"/>
      <w:szCs w:val="21"/>
      <w:lang w:val="en-GB"/>
    </w:rPr>
  </w:style>
  <w:style w:type="paragraph" w:customStyle="1" w:styleId="270">
    <w:name w:val="表中文字"/>
    <w:basedOn w:val="1"/>
    <w:uiPriority w:val="0"/>
    <w:pPr>
      <w:autoSpaceDE w:val="0"/>
      <w:autoSpaceDN w:val="0"/>
      <w:adjustRightInd w:val="0"/>
      <w:spacing w:line="400" w:lineRule="atLeast"/>
      <w:ind w:left="35" w:leftChars="14" w:hanging="1"/>
      <w:jc w:val="center"/>
      <w:textAlignment w:val="baseline"/>
    </w:pPr>
    <w:rPr>
      <w:rFonts w:ascii="Verdana" w:hAnsi="Verdana"/>
      <w:kern w:val="0"/>
      <w:szCs w:val="28"/>
    </w:rPr>
  </w:style>
  <w:style w:type="paragraph" w:customStyle="1" w:styleId="271">
    <w:name w:val="样式 标题 2H2sect 1.2HD2h2Level 2 Topic Heading2Header 2head..."/>
    <w:basedOn w:val="4"/>
    <w:uiPriority w:val="0"/>
    <w:pPr>
      <w:numPr>
        <w:ilvl w:val="0"/>
        <w:numId w:val="0"/>
      </w:numPr>
      <w:spacing w:line="413" w:lineRule="auto"/>
    </w:pPr>
    <w:rPr>
      <w:rFonts w:ascii="Times New Roman" w:hAnsi="Times New Roman"/>
      <w:b w:val="0"/>
      <w:sz w:val="30"/>
      <w:szCs w:val="30"/>
    </w:rPr>
  </w:style>
  <w:style w:type="paragraph" w:customStyle="1" w:styleId="272">
    <w:name w:val="Char1"/>
    <w:basedOn w:val="20"/>
    <w:uiPriority w:val="0"/>
    <w:rPr>
      <w:rFonts w:ascii="Tahoma" w:hAnsi="Tahoma"/>
      <w:kern w:val="0"/>
      <w:sz w:val="24"/>
    </w:rPr>
  </w:style>
  <w:style w:type="paragraph" w:customStyle="1" w:styleId="273">
    <w:name w:val="列出段落1"/>
    <w:basedOn w:val="1"/>
    <w:qFormat/>
    <w:uiPriority w:val="0"/>
    <w:pPr>
      <w:ind w:firstLine="420" w:firstLineChars="200"/>
    </w:pPr>
  </w:style>
  <w:style w:type="paragraph" w:customStyle="1" w:styleId="274">
    <w:name w:val="标题 3.1"/>
    <w:basedOn w:val="5"/>
    <w:uiPriority w:val="0"/>
    <w:pPr>
      <w:numPr>
        <w:ilvl w:val="0"/>
        <w:numId w:val="0"/>
      </w:numPr>
      <w:tabs>
        <w:tab w:val="left" w:pos="720"/>
        <w:tab w:val="left" w:pos="1440"/>
        <w:tab w:val="left" w:pos="1620"/>
      </w:tabs>
      <w:spacing w:line="600" w:lineRule="exact"/>
    </w:pPr>
    <w:rPr>
      <w:rFonts w:ascii="宋体" w:hAnsi="宋体"/>
      <w:lang w:val="zh-CN"/>
    </w:rPr>
  </w:style>
  <w:style w:type="paragraph" w:customStyle="1" w:styleId="275">
    <w:name w:val="Char Char Char Char Char Char Char"/>
    <w:basedOn w:val="1"/>
    <w:uiPriority w:val="0"/>
    <w:rPr>
      <w:rFonts w:ascii="Times New Roman" w:hAnsi="Times New Roman"/>
      <w:szCs w:val="21"/>
    </w:rPr>
  </w:style>
  <w:style w:type="paragraph" w:customStyle="1" w:styleId="276">
    <w:name w:val="+正文"/>
    <w:basedOn w:val="1"/>
    <w:uiPriority w:val="0"/>
    <w:pPr>
      <w:spacing w:line="360" w:lineRule="auto"/>
      <w:ind w:firstLine="200" w:firstLineChars="200"/>
    </w:pPr>
    <w:rPr>
      <w:sz w:val="24"/>
      <w:szCs w:val="28"/>
    </w:rPr>
  </w:style>
  <w:style w:type="paragraph" w:customStyle="1" w:styleId="277">
    <w:name w:val="Char"/>
    <w:basedOn w:val="1"/>
    <w:uiPriority w:val="0"/>
    <w:rPr>
      <w:rFonts w:ascii="Times New Roman" w:hAnsi="Times New Roman"/>
      <w:szCs w:val="20"/>
    </w:rPr>
  </w:style>
  <w:style w:type="paragraph" w:customStyle="1" w:styleId="278">
    <w:name w:val="封面_项目建设单位"/>
    <w:basedOn w:val="32"/>
    <w:uiPriority w:val="0"/>
    <w:pPr>
      <w:autoSpaceDE w:val="0"/>
      <w:autoSpaceDN w:val="0"/>
      <w:adjustRightInd w:val="0"/>
      <w:spacing w:line="240" w:lineRule="atLeast"/>
      <w:ind w:firstLine="425"/>
      <w:jc w:val="distribute"/>
    </w:pPr>
    <w:rPr>
      <w:rFonts w:ascii="Arial" w:hAnsi="Arial" w:eastAsia="黑体" w:cs="Times New Roman"/>
      <w:color w:val="000000"/>
      <w:kern w:val="0"/>
      <w:sz w:val="32"/>
      <w:szCs w:val="20"/>
      <w:lang w:val="en-US" w:eastAsia="zh-CN"/>
    </w:rPr>
  </w:style>
  <w:style w:type="paragraph" w:customStyle="1" w:styleId="279">
    <w:name w:val="标题51 Char Char Char"/>
    <w:basedOn w:val="7"/>
    <w:next w:val="7"/>
    <w:uiPriority w:val="0"/>
    <w:pPr>
      <w:numPr>
        <w:ilvl w:val="0"/>
        <w:numId w:val="0"/>
      </w:num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280">
    <w:name w:val="TOC Heading"/>
    <w:basedOn w:val="3"/>
    <w:next w:val="1"/>
    <w:qFormat/>
    <w:uiPriority w:val="0"/>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281">
    <w:name w:val="3 Char"/>
    <w:basedOn w:val="1"/>
    <w:uiPriority w:val="0"/>
    <w:pPr>
      <w:widowControl/>
      <w:spacing w:line="400" w:lineRule="exact"/>
      <w:jc w:val="center"/>
    </w:pPr>
    <w:rPr>
      <w:rFonts w:ascii="Verdana" w:hAnsi="Verdana"/>
      <w:kern w:val="0"/>
      <w:szCs w:val="20"/>
      <w:lang w:eastAsia="en-US"/>
    </w:rPr>
  </w:style>
  <w:style w:type="paragraph" w:customStyle="1" w:styleId="282">
    <w:name w:val="TOC Heading1"/>
    <w:basedOn w:val="3"/>
    <w:next w:val="1"/>
    <w:qFormat/>
    <w:uiPriority w:val="0"/>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283">
    <w:name w:val="标题 3.5"/>
    <w:basedOn w:val="5"/>
    <w:uiPriority w:val="0"/>
    <w:pPr>
      <w:keepNext w:val="0"/>
      <w:keepLines w:val="0"/>
      <w:numPr>
        <w:ilvl w:val="0"/>
        <w:numId w:val="0"/>
      </w:numPr>
      <w:tabs>
        <w:tab w:val="left" w:pos="720"/>
      </w:tabs>
      <w:spacing w:before="0" w:after="0" w:line="600" w:lineRule="exact"/>
      <w:outlineLvl w:val="9"/>
    </w:pPr>
    <w:rPr>
      <w:rFonts w:ascii="Times New Roman" w:hAnsi="Times New Roman" w:eastAsia="FangSong_GB2312"/>
      <w:b w:val="0"/>
      <w:bCs w:val="0"/>
      <w:sz w:val="31"/>
      <w:szCs w:val="24"/>
      <w:lang w:val="zh-CN"/>
    </w:rPr>
  </w:style>
  <w:style w:type="paragraph" w:customStyle="1" w:styleId="284">
    <w:name w:val="技术响应2"/>
    <w:basedOn w:val="1"/>
    <w:uiPriority w:val="0"/>
    <w:pPr>
      <w:tabs>
        <w:tab w:val="left" w:pos="420"/>
      </w:tabs>
      <w:ind w:left="420" w:hanging="420"/>
    </w:pPr>
    <w:rPr>
      <w:rFonts w:ascii="宋体" w:hAnsi="宋体"/>
      <w:b/>
      <w:bCs/>
      <w:szCs w:val="20"/>
    </w:rPr>
  </w:style>
  <w:style w:type="paragraph" w:customStyle="1" w:styleId="285">
    <w:name w:val="样式 正文文本 + 宋体 首行缩进:  0.74 厘米 行距: 1.5 倍行距"/>
    <w:basedOn w:val="2"/>
    <w:uiPriority w:val="0"/>
    <w:pPr>
      <w:spacing w:after="120" w:line="360" w:lineRule="auto"/>
      <w:ind w:firstLine="200" w:firstLineChars="200"/>
      <w:jc w:val="both"/>
    </w:pPr>
    <w:rPr>
      <w:rFonts w:ascii="Calibri" w:hAnsi="Calibri"/>
      <w:b w:val="0"/>
      <w:bCs w:val="0"/>
      <w:color w:val="auto"/>
      <w:kern w:val="0"/>
      <w:sz w:val="24"/>
      <w:lang w:val="en-US" w:eastAsia="zh-CN"/>
    </w:rPr>
  </w:style>
  <w:style w:type="paragraph" w:customStyle="1" w:styleId="286">
    <w:name w:val="样式 标题 3Level 3 HeadH3Heading 3 - oldh3sect1.2.3Head33l3..."/>
    <w:basedOn w:val="5"/>
    <w:uiPriority w:val="0"/>
    <w:pPr>
      <w:keepNext w:val="0"/>
      <w:keepLines w:val="0"/>
      <w:numPr>
        <w:ilvl w:val="0"/>
        <w:numId w:val="0"/>
      </w:numPr>
      <w:tabs>
        <w:tab w:val="left" w:pos="720"/>
      </w:tabs>
      <w:spacing w:before="0" w:after="0" w:line="360" w:lineRule="auto"/>
      <w:ind w:left="720" w:hanging="720"/>
    </w:pPr>
    <w:rPr>
      <w:rFonts w:ascii="Times New Roman" w:hAnsi="Times New Roman" w:cs="宋体"/>
      <w:b w:val="0"/>
      <w:bCs w:val="0"/>
      <w:sz w:val="21"/>
      <w:szCs w:val="20"/>
      <w:lang w:val="zh-CN"/>
    </w:rPr>
  </w:style>
  <w:style w:type="paragraph" w:customStyle="1" w:styleId="287">
    <w:name w:val="普通 (Web)"/>
    <w:basedOn w:val="1"/>
    <w:uiPriority w:val="0"/>
    <w:pPr>
      <w:widowControl/>
      <w:spacing w:before="100" w:beforeAutospacing="1" w:after="100" w:afterAutospacing="1"/>
      <w:jc w:val="left"/>
    </w:pPr>
    <w:rPr>
      <w:rFonts w:ascii="宋体" w:hAnsi="宋体"/>
      <w:kern w:val="0"/>
      <w:sz w:val="24"/>
    </w:rPr>
  </w:style>
  <w:style w:type="paragraph" w:customStyle="1" w:styleId="288">
    <w:name w:val="需求书2"/>
    <w:basedOn w:val="1"/>
    <w:uiPriority w:val="0"/>
    <w:rPr>
      <w:rFonts w:ascii="宋体" w:hAnsi="宋体"/>
      <w:spacing w:val="10"/>
      <w:sz w:val="18"/>
      <w:szCs w:val="20"/>
    </w:rPr>
  </w:style>
  <w:style w:type="paragraph" w:customStyle="1" w:styleId="289">
    <w:name w:val="列表段落1"/>
    <w:basedOn w:val="1"/>
    <w:qFormat/>
    <w:uiPriority w:val="0"/>
    <w:pPr>
      <w:ind w:firstLine="420" w:firstLineChars="200"/>
    </w:pPr>
    <w:rPr>
      <w:rFonts w:ascii="等线" w:hAnsi="等线" w:eastAsia="等线"/>
    </w:rPr>
  </w:style>
  <w:style w:type="paragraph" w:customStyle="1" w:styleId="290">
    <w:name w:val="标题 7 New"/>
    <w:basedOn w:val="1"/>
    <w:next w:val="1"/>
    <w:uiPriority w:val="0"/>
    <w:pPr>
      <w:keepNext/>
      <w:keepLines/>
      <w:widowControl/>
      <w:tabs>
        <w:tab w:val="left" w:pos="2520"/>
      </w:tabs>
      <w:spacing w:before="240" w:after="64" w:line="317" w:lineRule="auto"/>
      <w:ind w:left="1296" w:hanging="1296"/>
      <w:jc w:val="left"/>
      <w:outlineLvl w:val="6"/>
    </w:pPr>
    <w:rPr>
      <w:b/>
      <w:kern w:val="0"/>
      <w:sz w:val="24"/>
      <w:szCs w:val="20"/>
    </w:rPr>
  </w:style>
  <w:style w:type="paragraph" w:customStyle="1" w:styleId="291">
    <w:name w:val="Char Char2 Char"/>
    <w:basedOn w:val="1"/>
    <w:uiPriority w:val="0"/>
    <w:rPr>
      <w:rFonts w:ascii="宋体" w:hAnsi="宋体"/>
      <w:b/>
      <w:sz w:val="28"/>
      <w:szCs w:val="28"/>
    </w:rPr>
  </w:style>
  <w:style w:type="paragraph" w:customStyle="1" w:styleId="292">
    <w:name w:val=" Char"/>
    <w:basedOn w:val="1"/>
    <w:uiPriority w:val="0"/>
    <w:rPr>
      <w:szCs w:val="20"/>
    </w:rPr>
  </w:style>
  <w:style w:type="paragraph" w:customStyle="1" w:styleId="293">
    <w:name w:val=" Char Char Char Char"/>
    <w:basedOn w:val="20"/>
    <w:uiPriority w:val="0"/>
    <w:rPr>
      <w:rFonts w:ascii="Tahoma" w:hAnsi="Tahoma"/>
      <w:sz w:val="24"/>
    </w:rPr>
  </w:style>
  <w:style w:type="paragraph" w:customStyle="1" w:styleId="294">
    <w:name w:val="DAS正文"/>
    <w:basedOn w:val="1"/>
    <w:uiPriority w:val="0"/>
    <w:pPr>
      <w:spacing w:line="360" w:lineRule="exact"/>
    </w:pPr>
    <w:rPr>
      <w:rFonts w:ascii="Verdana" w:hAnsi="Verdana"/>
      <w:szCs w:val="21"/>
    </w:rPr>
  </w:style>
  <w:style w:type="paragraph" w:customStyle="1" w:styleId="295">
    <w:name w:val="封面_项目开发单位"/>
    <w:basedOn w:val="32"/>
    <w:uiPriority w:val="0"/>
    <w:pPr>
      <w:autoSpaceDE w:val="0"/>
      <w:autoSpaceDN w:val="0"/>
      <w:adjustRightInd w:val="0"/>
      <w:spacing w:line="240" w:lineRule="atLeast"/>
      <w:ind w:firstLine="425"/>
      <w:jc w:val="center"/>
    </w:pPr>
    <w:rPr>
      <w:rFonts w:ascii="Arial" w:hAnsi="Arial" w:eastAsia="黑体" w:cs="Times New Roman"/>
      <w:b/>
      <w:color w:val="000000"/>
      <w:kern w:val="0"/>
      <w:sz w:val="44"/>
      <w:szCs w:val="20"/>
      <w:lang w:val="en-US" w:eastAsia="zh-CN"/>
    </w:rPr>
  </w:style>
  <w:style w:type="paragraph" w:customStyle="1" w:styleId="296">
    <w:name w:val="trs_editor"/>
    <w:basedOn w:val="1"/>
    <w:uiPriority w:val="0"/>
    <w:pPr>
      <w:widowControl/>
      <w:spacing w:before="100" w:beforeAutospacing="1" w:after="100" w:afterAutospacing="1"/>
      <w:jc w:val="left"/>
    </w:pPr>
    <w:rPr>
      <w:rFonts w:ascii="宋体" w:hAnsi="宋体" w:cs="宋体"/>
      <w:kern w:val="0"/>
      <w:sz w:val="24"/>
    </w:rPr>
  </w:style>
  <w:style w:type="paragraph" w:customStyle="1" w:styleId="297">
    <w:name w:val="样式 标题 1H1h1章l1I11st levelHeading 01Header 1Header1Sec..."/>
    <w:basedOn w:val="3"/>
    <w:uiPriority w:val="0"/>
    <w:pPr>
      <w:numPr>
        <w:numId w:val="0"/>
      </w:numPr>
      <w:spacing w:line="576" w:lineRule="auto"/>
    </w:pPr>
    <w:rPr>
      <w:rFonts w:ascii="黑体" w:hAnsi="黑体" w:eastAsia="黑体" w:cs="宋体"/>
      <w:b w:val="0"/>
      <w:sz w:val="36"/>
      <w:szCs w:val="20"/>
    </w:rPr>
  </w:style>
  <w:style w:type="paragraph" w:customStyle="1" w:styleId="298">
    <w:name w:val="表头"/>
    <w:basedOn w:val="16"/>
    <w:uiPriority w:val="0"/>
    <w:pPr>
      <w:keepNext/>
      <w:keepLines/>
      <w:widowControl/>
      <w:suppressLineNumbers w:val="0"/>
      <w:spacing w:line="300" w:lineRule="auto"/>
      <w:jc w:val="center"/>
      <w:textAlignment w:val="baseline"/>
    </w:pPr>
    <w:rPr>
      <w:rFonts w:ascii="Arial" w:hAnsi="Arial" w:eastAsia="黑体" w:cs="Times New Roman"/>
      <w:i w:val="0"/>
      <w:iCs w:val="0"/>
      <w:color w:val="auto"/>
      <w:sz w:val="21"/>
      <w:szCs w:val="20"/>
    </w:rPr>
  </w:style>
  <w:style w:type="paragraph" w:customStyle="1" w:styleId="299">
    <w:name w:val="Defaul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300">
    <w:name w:val="图注"/>
    <w:basedOn w:val="15"/>
    <w:uiPriority w:val="0"/>
    <w:pPr>
      <w:spacing w:line="360" w:lineRule="auto"/>
      <w:ind w:firstLine="0" w:firstLineChars="0"/>
      <w:jc w:val="center"/>
    </w:pPr>
    <w:rPr>
      <w:rFonts w:ascii="宋体" w:hAnsi="宋体"/>
      <w:kern w:val="0"/>
      <w:sz w:val="24"/>
      <w:szCs w:val="24"/>
      <w:lang w:val="en-US" w:eastAsia="zh-CN"/>
    </w:rPr>
  </w:style>
  <w:style w:type="paragraph" w:customStyle="1" w:styleId="301">
    <w:name w:val="目录"/>
    <w:basedOn w:val="41"/>
    <w:uiPriority w:val="0"/>
    <w:pPr>
      <w:tabs>
        <w:tab w:val="right" w:leader="dot" w:pos="7937"/>
        <w:tab w:val="clear" w:pos="9344"/>
      </w:tabs>
      <w:adjustRightInd w:val="0"/>
      <w:spacing w:before="120" w:after="120" w:line="360" w:lineRule="auto"/>
      <w:jc w:val="center"/>
      <w:textAlignment w:val="baseline"/>
    </w:pPr>
    <w:rPr>
      <w:rFonts w:hAnsi="Times New Roman" w:eastAsia="黑体"/>
      <w:bCs w:val="0"/>
      <w:caps/>
      <w:color w:val="auto"/>
      <w:kern w:val="0"/>
      <w:sz w:val="30"/>
      <w:szCs w:val="20"/>
    </w:rPr>
  </w:style>
  <w:style w:type="paragraph" w:customStyle="1" w:styleId="302">
    <w:name w:val="办公自动化专用标题"/>
    <w:basedOn w:val="57"/>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303">
    <w:name w:val="正文缩进4格"/>
    <w:basedOn w:val="117"/>
    <w:uiPriority w:val="0"/>
    <w:pPr>
      <w:spacing w:after="0"/>
      <w:ind w:left="651" w:leftChars="310" w:firstLine="608" w:firstLineChars="196"/>
    </w:pPr>
    <w:rPr>
      <w:color w:val="000000"/>
      <w:kern w:val="2"/>
    </w:rPr>
  </w:style>
  <w:style w:type="paragraph" w:customStyle="1" w:styleId="304">
    <w:name w:val="样式 正文缩进表正文正文非缩进段1特点ALT+Z水上软件正文不缩进四号特点 Char CharNormal ..."/>
    <w:basedOn w:val="15"/>
    <w:uiPriority w:val="0"/>
    <w:pPr>
      <w:spacing w:line="360" w:lineRule="auto"/>
      <w:ind w:firstLine="560"/>
    </w:pPr>
    <w:rPr>
      <w:rFonts w:eastAsia="FangSong_GB2312" w:cs="宋体"/>
      <w:kern w:val="0"/>
      <w:sz w:val="24"/>
      <w:szCs w:val="24"/>
      <w:lang w:val="en-US" w:eastAsia="zh-CN"/>
    </w:rPr>
  </w:style>
  <w:style w:type="paragraph" w:customStyle="1" w:styleId="305">
    <w:name w:val="默认段落字体 Para Char"/>
    <w:basedOn w:val="1"/>
    <w:uiPriority w:val="0"/>
    <w:pPr>
      <w:adjustRightInd w:val="0"/>
      <w:spacing w:line="360" w:lineRule="auto"/>
    </w:pPr>
    <w:rPr>
      <w:rFonts w:ascii="Times New Roman" w:hAnsi="Times New Roman"/>
      <w:kern w:val="0"/>
      <w:sz w:val="24"/>
      <w:szCs w:val="20"/>
    </w:rPr>
  </w:style>
  <w:style w:type="paragraph" w:customStyle="1" w:styleId="306">
    <w:name w:val="标题5"/>
    <w:basedOn w:val="15"/>
    <w:next w:val="15"/>
    <w:uiPriority w:val="0"/>
    <w:pPr>
      <w:spacing w:line="360" w:lineRule="auto"/>
      <w:ind w:firstLine="0" w:firstLineChars="0"/>
    </w:pPr>
    <w:rPr>
      <w:bCs/>
      <w:kern w:val="0"/>
      <w:sz w:val="30"/>
      <w:lang w:val="en-US" w:eastAsia="zh-CN"/>
    </w:rPr>
  </w:style>
  <w:style w:type="paragraph" w:customStyle="1" w:styleId="307">
    <w:name w:val="部分1"/>
    <w:basedOn w:val="1"/>
    <w:uiPriority w:val="0"/>
    <w:pPr>
      <w:keepNext/>
      <w:pageBreakBefore/>
      <w:tabs>
        <w:tab w:val="left" w:pos="720"/>
      </w:tabs>
      <w:spacing w:line="360" w:lineRule="auto"/>
      <w:jc w:val="center"/>
      <w:outlineLvl w:val="0"/>
    </w:pPr>
    <w:rPr>
      <w:rFonts w:ascii="Times New Roman" w:hAnsi="Times New Roman" w:eastAsia="黑体"/>
      <w:b/>
      <w:kern w:val="44"/>
      <w:sz w:val="36"/>
      <w:szCs w:val="20"/>
    </w:rPr>
  </w:style>
  <w:style w:type="paragraph" w:customStyle="1" w:styleId="308">
    <w:name w:val="单位"/>
    <w:basedOn w:val="1"/>
    <w:uiPriority w:val="0"/>
    <w:pPr>
      <w:adjustRightInd w:val="0"/>
      <w:jc w:val="center"/>
      <w:textAlignment w:val="baseline"/>
    </w:pPr>
    <w:rPr>
      <w:rFonts w:ascii="宋体"/>
      <w:b/>
      <w:kern w:val="0"/>
      <w:sz w:val="32"/>
      <w:szCs w:val="20"/>
    </w:rPr>
  </w:style>
  <w:style w:type="paragraph" w:customStyle="1" w:styleId="309">
    <w:name w:val="p0"/>
    <w:basedOn w:val="1"/>
    <w:uiPriority w:val="0"/>
    <w:pPr>
      <w:widowControl/>
    </w:pPr>
    <w:rPr>
      <w:rFonts w:ascii="Times New Roman" w:hAnsi="Times New Roman"/>
      <w:kern w:val="0"/>
      <w:szCs w:val="21"/>
    </w:rPr>
  </w:style>
  <w:style w:type="paragraph" w:customStyle="1" w:styleId="310">
    <w:name w:val="样式 标题 4 + (西文) 黑体 加粗"/>
    <w:basedOn w:val="6"/>
    <w:uiPriority w:val="0"/>
    <w:pPr>
      <w:numPr>
        <w:ilvl w:val="0"/>
        <w:numId w:val="0"/>
      </w:numPr>
      <w:tabs>
        <w:tab w:val="left" w:pos="864"/>
      </w:tabs>
      <w:spacing w:line="372" w:lineRule="auto"/>
      <w:ind w:firstLine="200" w:firstLineChars="200"/>
    </w:pPr>
    <w:rPr>
      <w:rFonts w:ascii="黑体" w:hAnsi="黑体"/>
      <w:b w:val="0"/>
      <w:sz w:val="30"/>
    </w:rPr>
  </w:style>
  <w:style w:type="paragraph" w:customStyle="1" w:styleId="311">
    <w:name w:val="样式 标题 1H1h1章l1I11st levelHeading 01Header 1Header1Sec...1"/>
    <w:basedOn w:val="3"/>
    <w:uiPriority w:val="0"/>
    <w:pPr>
      <w:numPr>
        <w:numId w:val="0"/>
      </w:numPr>
      <w:spacing w:line="576" w:lineRule="auto"/>
    </w:pPr>
    <w:rPr>
      <w:rFonts w:ascii="黑体" w:hAnsi="黑体" w:eastAsia="黑体" w:cs="宋体"/>
      <w:b w:val="0"/>
      <w:sz w:val="36"/>
      <w:szCs w:val="20"/>
    </w:rPr>
  </w:style>
  <w:style w:type="paragraph" w:customStyle="1" w:styleId="312">
    <w:name w:val=" Char Char Char"/>
    <w:basedOn w:val="1"/>
    <w:uiPriority w:val="0"/>
    <w:rPr>
      <w:rFonts w:ascii="Tahoma" w:hAnsi="Tahoma"/>
      <w:sz w:val="24"/>
      <w:szCs w:val="20"/>
    </w:rPr>
  </w:style>
  <w:style w:type="paragraph" w:customStyle="1" w:styleId="313">
    <w:name w:val="题注5"/>
    <w:basedOn w:val="1"/>
    <w:next w:val="16"/>
    <w:uiPriority w:val="0"/>
    <w:pPr>
      <w:jc w:val="center"/>
    </w:pPr>
    <w:rPr>
      <w:rFonts w:ascii="Times New Roman" w:hAnsi="Times New Roman"/>
      <w:b/>
      <w:color w:val="000000"/>
      <w:sz w:val="24"/>
      <w:szCs w:val="21"/>
    </w:rPr>
  </w:style>
  <w:style w:type="paragraph" w:customStyle="1" w:styleId="314">
    <w:name w:val="ÕýÎÄ"/>
    <w:uiPriority w:val="0"/>
    <w:pPr>
      <w:widowControl w:val="0"/>
      <w:overflowPunct w:val="0"/>
      <w:autoSpaceDE w:val="0"/>
      <w:autoSpaceDN w:val="0"/>
      <w:adjustRightInd w:val="0"/>
      <w:spacing w:line="351" w:lineRule="atLeast"/>
      <w:ind w:firstLine="419"/>
      <w:jc w:val="both"/>
      <w:textAlignment w:val="baseline"/>
    </w:pPr>
    <w:rPr>
      <w:rFonts w:ascii="Calibri" w:hAnsi="Calibri" w:eastAsia="宋体" w:cs="Times New Roman"/>
      <w:color w:val="000000"/>
      <w:sz w:val="21"/>
      <w:lang w:val="en-US" w:eastAsia="zh-CN" w:bidi="ar-SA"/>
    </w:rPr>
  </w:style>
  <w:style w:type="paragraph" w:customStyle="1" w:styleId="315">
    <w:name w:val=" Char3"/>
    <w:basedOn w:val="1"/>
    <w:uiPriority w:val="0"/>
    <w:pPr>
      <w:tabs>
        <w:tab w:val="left" w:pos="360"/>
      </w:tabs>
    </w:pPr>
    <w:rPr>
      <w:sz w:val="24"/>
    </w:rPr>
  </w:style>
  <w:style w:type="paragraph" w:customStyle="1" w:styleId="316">
    <w:name w:val="Char1 Char Char Char Char Char Char"/>
    <w:basedOn w:val="1"/>
    <w:uiPriority w:val="0"/>
    <w:pPr>
      <w:widowControl/>
      <w:spacing w:line="400" w:lineRule="exact"/>
      <w:jc w:val="center"/>
    </w:pPr>
    <w:rPr>
      <w:rFonts w:ascii="Verdana" w:hAnsi="Verdana"/>
      <w:kern w:val="0"/>
      <w:szCs w:val="20"/>
      <w:lang w:eastAsia="en-US"/>
    </w:rPr>
  </w:style>
  <w:style w:type="paragraph" w:customStyle="1" w:styleId="317">
    <w:name w:val="日期右"/>
    <w:basedOn w:val="35"/>
    <w:uiPriority w:val="0"/>
    <w:pPr>
      <w:spacing w:line="600" w:lineRule="exact"/>
      <w:ind w:left="0" w:leftChars="0"/>
      <w:jc w:val="right"/>
    </w:pPr>
    <w:rPr>
      <w:rFonts w:eastAsia="FangSong_GB2312"/>
      <w:sz w:val="31"/>
    </w:rPr>
  </w:style>
  <w:style w:type="paragraph" w:customStyle="1" w:styleId="318">
    <w:name w:val="投标文件格式"/>
    <w:basedOn w:val="32"/>
    <w:uiPriority w:val="0"/>
    <w:pPr>
      <w:jc w:val="center"/>
    </w:pPr>
    <w:rPr>
      <w:rFonts w:hAnsi="Times New Roman" w:cs="Times New Roman"/>
      <w:b/>
      <w:kern w:val="0"/>
      <w:sz w:val="20"/>
      <w:szCs w:val="20"/>
    </w:rPr>
  </w:style>
  <w:style w:type="paragraph" w:customStyle="1" w:styleId="319">
    <w:name w:val="样式 表格名称 + 两端对齐"/>
    <w:basedOn w:val="136"/>
    <w:uiPriority w:val="0"/>
    <w:pPr>
      <w:ind w:left="984" w:hanging="420"/>
      <w:jc w:val="both"/>
    </w:pPr>
    <w:rPr>
      <w:rFonts w:cs="宋体"/>
      <w:bCs/>
      <w:sz w:val="21"/>
      <w:szCs w:val="20"/>
    </w:rPr>
  </w:style>
  <w:style w:type="paragraph" w:customStyle="1" w:styleId="320">
    <w:name w:val="样式"/>
    <w:basedOn w:val="1"/>
    <w:uiPriority w:val="0"/>
    <w:pPr>
      <w:autoSpaceDE w:val="0"/>
      <w:autoSpaceDN w:val="0"/>
      <w:snapToGrid w:val="0"/>
      <w:spacing w:before="120" w:after="120" w:line="360" w:lineRule="auto"/>
    </w:pPr>
    <w:rPr>
      <w:rFonts w:ascii="宋体"/>
      <w:sz w:val="24"/>
      <w:szCs w:val="20"/>
    </w:rPr>
  </w:style>
  <w:style w:type="paragraph" w:customStyle="1" w:styleId="321">
    <w:name w:val="List Paragraph1"/>
    <w:basedOn w:val="1"/>
    <w:uiPriority w:val="0"/>
    <w:pPr>
      <w:ind w:firstLine="420" w:firstLineChars="200"/>
    </w:pPr>
  </w:style>
  <w:style w:type="paragraph" w:customStyle="1" w:styleId="322">
    <w:name w:val="样式 标题 2H2sect 1.2HD2h2Level 2 Topic Heading2Header 2head...2"/>
    <w:basedOn w:val="4"/>
    <w:uiPriority w:val="0"/>
    <w:pPr>
      <w:numPr>
        <w:ilvl w:val="0"/>
        <w:numId w:val="0"/>
      </w:numPr>
      <w:spacing w:line="413" w:lineRule="auto"/>
    </w:pPr>
    <w:rPr>
      <w:rFonts w:ascii="黑体" w:hAnsi="黑体"/>
      <w:sz w:val="30"/>
      <w:szCs w:val="30"/>
    </w:rPr>
  </w:style>
  <w:style w:type="paragraph" w:customStyle="1" w:styleId="323">
    <w:name w:val="标题1"/>
    <w:basedOn w:val="41"/>
    <w:uiPriority w:val="0"/>
    <w:pPr>
      <w:widowControl/>
      <w:overflowPunct w:val="0"/>
      <w:autoSpaceDE w:val="0"/>
      <w:autoSpaceDN w:val="0"/>
      <w:adjustRightInd w:val="0"/>
      <w:spacing w:before="120" w:after="120" w:line="420" w:lineRule="exact"/>
      <w:jc w:val="center"/>
      <w:textAlignment w:val="baseline"/>
    </w:pPr>
    <w:rPr>
      <w:b w:val="0"/>
      <w:bCs w:val="0"/>
      <w:kern w:val="0"/>
      <w:sz w:val="44"/>
      <w:szCs w:val="20"/>
    </w:rPr>
  </w:style>
  <w:style w:type="paragraph" w:customStyle="1" w:styleId="324">
    <w:name w:val="本文正文"/>
    <w:basedOn w:val="1"/>
    <w:qFormat/>
    <w:uiPriority w:val="0"/>
    <w:pPr>
      <w:snapToGrid w:val="0"/>
      <w:spacing w:line="480" w:lineRule="exact"/>
      <w:ind w:firstLine="200"/>
    </w:pPr>
    <w:rPr>
      <w:kern w:val="0"/>
      <w:sz w:val="28"/>
      <w:szCs w:val="22"/>
    </w:rPr>
  </w:style>
  <w:style w:type="paragraph" w:customStyle="1" w:styleId="325">
    <w:name w:val="页眉1"/>
    <w:basedOn w:val="1"/>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customStyle="1" w:styleId="326">
    <w:name w:val="样式 标题 1H1h1章l1I11st levelHeading 01Header 1Header1Sec...2"/>
    <w:basedOn w:val="3"/>
    <w:uiPriority w:val="0"/>
    <w:pPr>
      <w:numPr>
        <w:numId w:val="0"/>
      </w:numPr>
      <w:spacing w:line="576" w:lineRule="auto"/>
    </w:pPr>
    <w:rPr>
      <w:rFonts w:eastAsia="黑体" w:cs="宋体"/>
      <w:b w:val="0"/>
      <w:sz w:val="36"/>
      <w:szCs w:val="20"/>
    </w:rPr>
  </w:style>
  <w:style w:type="paragraph" w:customStyle="1" w:styleId="327">
    <w:name w:val="正文缩进1"/>
    <w:basedOn w:val="1"/>
    <w:next w:val="26"/>
    <w:uiPriority w:val="0"/>
    <w:pPr>
      <w:autoSpaceDE w:val="0"/>
      <w:autoSpaceDN w:val="0"/>
      <w:adjustRightInd w:val="0"/>
      <w:snapToGrid w:val="0"/>
      <w:spacing w:after="120" w:line="360" w:lineRule="auto"/>
      <w:ind w:left="420" w:leftChars="200" w:firstLine="480" w:firstLineChars="200"/>
    </w:pPr>
    <w:rPr>
      <w:rFonts w:ascii="Times New Roman" w:hAnsi="Times New Roman"/>
      <w:sz w:val="24"/>
      <w:szCs w:val="21"/>
    </w:rPr>
  </w:style>
  <w:style w:type="paragraph" w:customStyle="1" w:styleId="328">
    <w:name w:val="纯文本1"/>
    <w:basedOn w:val="1"/>
    <w:uiPriority w:val="0"/>
    <w:rPr>
      <w:rFonts w:ascii="宋体" w:hAnsi="Courier New"/>
      <w:kern w:val="0"/>
      <w:sz w:val="20"/>
      <w:szCs w:val="20"/>
      <w:lang w:val="en-US" w:eastAsia="zh-CN"/>
    </w:rPr>
  </w:style>
  <w:style w:type="paragraph" w:customStyle="1" w:styleId="329">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30">
    <w:name w:val="列表正文"/>
    <w:basedOn w:val="1"/>
    <w:uiPriority w:val="0"/>
    <w:pPr>
      <w:adjustRightInd w:val="0"/>
      <w:snapToGrid w:val="0"/>
      <w:spacing w:line="300" w:lineRule="auto"/>
      <w:ind w:left="200" w:leftChars="200" w:firstLine="200" w:firstLineChars="200"/>
    </w:pPr>
    <w:rPr>
      <w:rFonts w:ascii="Times New Roman" w:hAnsi="Times New Roman"/>
    </w:rPr>
  </w:style>
  <w:style w:type="paragraph" w:customStyle="1" w:styleId="331">
    <w:name w:val="正文文本 21"/>
    <w:basedOn w:val="1"/>
    <w:uiPriority w:val="0"/>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332">
    <w:name w:val="样式 标题 1H1h1章l1I11st levelHeading 01Header 1Header1Sec...4"/>
    <w:basedOn w:val="3"/>
    <w:uiPriority w:val="0"/>
    <w:pPr>
      <w:numPr>
        <w:numId w:val="0"/>
      </w:numPr>
      <w:spacing w:line="576" w:lineRule="auto"/>
    </w:pPr>
    <w:rPr>
      <w:rFonts w:ascii="黑体" w:hAnsi="黑体" w:eastAsia="黑体" w:cs="宋体"/>
      <w:b w:val="0"/>
      <w:sz w:val="36"/>
      <w:szCs w:val="20"/>
    </w:rPr>
  </w:style>
  <w:style w:type="paragraph" w:customStyle="1" w:styleId="333">
    <w:name w:val="正文缩进 New"/>
    <w:basedOn w:val="1"/>
    <w:uiPriority w:val="0"/>
    <w:pPr>
      <w:adjustRightInd w:val="0"/>
      <w:ind w:firstLine="420"/>
      <w:textAlignment w:val="baseline"/>
    </w:pPr>
    <w:rPr>
      <w:rFonts w:ascii="Times New Roman" w:hAnsi="Times New Roman" w:eastAsia="楷体_GB2312"/>
      <w:szCs w:val="20"/>
    </w:rPr>
  </w:style>
  <w:style w:type="paragraph" w:customStyle="1" w:styleId="334">
    <w:name w:val="样式 正文2 + 仿宋_GB2312 黑色 段前: 0 磅 行距: 固定值 23 磅"/>
    <w:basedOn w:val="107"/>
    <w:uiPriority w:val="0"/>
    <w:pPr>
      <w:spacing w:before="0" w:line="360" w:lineRule="exact"/>
      <w:ind w:left="-51" w:leftChars="-51" w:firstLine="0" w:firstLineChars="0"/>
    </w:pPr>
    <w:rPr>
      <w:rFonts w:ascii="FangSong_GB2312" w:hAnsi="FangSong_GB2312" w:eastAsia="FangSong_GB2312" w:cs="宋体"/>
      <w:color w:val="000000"/>
    </w:rPr>
  </w:style>
  <w:style w:type="paragraph" w:customStyle="1" w:styleId="335">
    <w:name w:val="样式 标题 2H2sect 1.2HD2h2Level 2 Topic Heading2Header 2head...1"/>
    <w:basedOn w:val="4"/>
    <w:uiPriority w:val="0"/>
    <w:pPr>
      <w:numPr>
        <w:ilvl w:val="0"/>
        <w:numId w:val="0"/>
      </w:numPr>
      <w:spacing w:line="413" w:lineRule="auto"/>
    </w:pPr>
    <w:rPr>
      <w:rFonts w:ascii="黑体" w:hAnsi="黑体"/>
      <w:b w:val="0"/>
      <w:sz w:val="30"/>
      <w:szCs w:val="30"/>
    </w:rPr>
  </w:style>
  <w:style w:type="paragraph" w:customStyle="1" w:styleId="336">
    <w:name w:val=" Char Char1 Char Char Char Char Char Char"/>
    <w:basedOn w:val="1"/>
    <w:uiPriority w:val="0"/>
    <w:pPr>
      <w:widowControl/>
      <w:spacing w:after="160" w:line="240" w:lineRule="exact"/>
      <w:jc w:val="left"/>
    </w:pPr>
    <w:rPr>
      <w:rFonts w:ascii="Verdana" w:hAnsi="Verdana" w:eastAsia="FangSong_GB2312"/>
      <w:kern w:val="0"/>
      <w:sz w:val="24"/>
      <w:szCs w:val="20"/>
      <w:lang w:eastAsia="en-US"/>
    </w:rPr>
  </w:style>
  <w:style w:type="paragraph" w:customStyle="1" w:styleId="337">
    <w:name w:val="图"/>
    <w:basedOn w:val="1"/>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338">
    <w:name w:val="图名"/>
    <w:basedOn w:val="15"/>
    <w:uiPriority w:val="0"/>
    <w:pPr>
      <w:spacing w:line="360" w:lineRule="auto"/>
      <w:ind w:firstLine="425" w:firstLineChars="0"/>
    </w:pPr>
    <w:rPr>
      <w:kern w:val="0"/>
      <w:sz w:val="24"/>
      <w:lang w:val="en-US" w:eastAsia="zh-CN"/>
    </w:rPr>
  </w:style>
  <w:style w:type="paragraph" w:customStyle="1" w:styleId="339">
    <w:name w:val="进度表"/>
    <w:basedOn w:val="15"/>
    <w:uiPriority w:val="0"/>
    <w:pPr>
      <w:adjustRightInd w:val="0"/>
      <w:spacing w:line="312" w:lineRule="atLeast"/>
      <w:ind w:firstLine="0" w:firstLineChars="0"/>
      <w:textAlignment w:val="baseline"/>
    </w:pPr>
    <w:rPr>
      <w:kern w:val="0"/>
      <w:sz w:val="20"/>
      <w:lang w:val="zh-CN"/>
    </w:rPr>
  </w:style>
  <w:style w:type="paragraph" w:customStyle="1" w:styleId="340">
    <w:name w:val="TOC 标题1"/>
    <w:basedOn w:val="3"/>
    <w:next w:val="1"/>
    <w:unhideWhenUsed/>
    <w:qFormat/>
    <w:uiPriority w:val="0"/>
    <w:pPr>
      <w:widowControl/>
      <w:numPr>
        <w:numId w:val="0"/>
      </w:numPr>
      <w:spacing w:before="240" w:after="0" w:line="259" w:lineRule="auto"/>
      <w:jc w:val="left"/>
      <w:outlineLvl w:val="9"/>
    </w:pPr>
    <w:rPr>
      <w:rFonts w:ascii="Calibri Light" w:hAnsi="Calibri Light"/>
      <w:b w:val="0"/>
      <w:bCs w:val="0"/>
      <w:color w:val="2E75B5"/>
      <w:kern w:val="0"/>
      <w:sz w:val="32"/>
      <w:szCs w:val="32"/>
    </w:rPr>
  </w:style>
  <w:style w:type="paragraph" w:customStyle="1" w:styleId="341">
    <w:name w:val="列出段落11"/>
    <w:basedOn w:val="1"/>
    <w:uiPriority w:val="0"/>
    <w:pPr>
      <w:ind w:firstLine="420" w:firstLineChars="200"/>
    </w:pPr>
    <w:rPr>
      <w:szCs w:val="22"/>
    </w:rPr>
  </w:style>
  <w:style w:type="paragraph" w:customStyle="1" w:styleId="342">
    <w:name w:val="正文无缩进"/>
    <w:basedOn w:val="117"/>
    <w:uiPriority w:val="0"/>
    <w:pPr>
      <w:spacing w:after="0"/>
      <w:ind w:firstLine="0" w:firstLineChars="0"/>
    </w:pPr>
    <w:rPr>
      <w:kern w:val="2"/>
    </w:rPr>
  </w:style>
  <w:style w:type="table" w:customStyle="1" w:styleId="343">
    <w:name w:val="TableGrid"/>
    <w:uiPriority w:val="0"/>
    <w:rPr>
      <w:rFonts w:ascii="等线" w:hAnsi="等线" w:eastAsia="等线"/>
    </w:rPr>
    <w:tblPr>
      <w:tblLayout w:type="fixed"/>
      <w:tblCellMar>
        <w:top w:w="0" w:type="dxa"/>
        <w:left w:w="0" w:type="dxa"/>
        <w:bottom w:w="0" w:type="dxa"/>
        <w:right w:w="0" w:type="dxa"/>
      </w:tblCellMar>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5960</Words>
  <Characters>33978</Characters>
  <Lines>283</Lines>
  <Paragraphs>79</Paragraphs>
  <TotalTime>7</TotalTime>
  <ScaleCrop>false</ScaleCrop>
  <LinksUpToDate>false</LinksUpToDate>
  <CharactersWithSpaces>39859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2020-12-22T08:03:00Z</dcterms:created>
  <dc:creator>lenovo</dc:creator>
  <cp:lastModifiedBy>lenovo</cp:lastModifiedBy>
  <cp:lastPrinted>2020-11-23T01:38:00Z</cp:lastPrinted>
  <dcterms:modified xsi:type="dcterms:W3CDTF">2020-12-23T02:51:46Z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