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color w:val="auto"/>
          <w:sz w:val="52"/>
          <w:szCs w:val="52"/>
          <w:highlight w:val="none"/>
          <w:lang w:eastAsia="zh-CN"/>
        </w:rPr>
      </w:pPr>
      <w:r>
        <w:rPr>
          <w:rFonts w:hint="eastAsia" w:ascii="仿宋" w:hAnsi="仿宋" w:eastAsia="仿宋" w:cs="仿宋"/>
          <w:b/>
          <w:color w:val="auto"/>
          <w:spacing w:val="-12"/>
          <w:sz w:val="52"/>
          <w:szCs w:val="52"/>
          <w:highlight w:val="none"/>
          <w:lang w:eastAsia="zh-CN"/>
        </w:rPr>
        <w:t>绍兴市第七人民医院一次性使用肠给养器（重力滴注型）采购项目</w:t>
      </w: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both"/>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bookmarkStart w:id="12" w:name="_GoBack"/>
      <w:bookmarkEnd w:id="12"/>
      <w:r>
        <w:rPr>
          <w:rFonts w:hint="eastAsia" w:ascii="仿宋" w:hAnsi="仿宋" w:eastAsia="仿宋" w:cs="仿宋"/>
          <w:b/>
          <w:color w:val="auto"/>
          <w:sz w:val="28"/>
          <w:szCs w:val="28"/>
          <w:highlight w:val="none"/>
          <w:lang w:eastAsia="zh-CN"/>
        </w:rPr>
        <w:t>TYJZ2021022</w:t>
      </w:r>
    </w:p>
    <w:tbl>
      <w:tblPr>
        <w:tblStyle w:val="41"/>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采购代理机</w:t>
            </w:r>
            <w:r>
              <w:rPr>
                <w:rFonts w:hint="eastAsia" w:ascii="仿宋" w:hAnsi="仿宋" w:eastAsia="仿宋" w:cs="仿宋"/>
                <w:color w:val="auto"/>
                <w:spacing w:val="0"/>
                <w:w w:val="93"/>
                <w:kern w:val="0"/>
                <w:sz w:val="28"/>
                <w:szCs w:val="28"/>
                <w:highlight w:val="none"/>
              </w:rPr>
              <w:t>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75"/>
                <w:kern w:val="0"/>
                <w:sz w:val="28"/>
                <w:szCs w:val="28"/>
                <w:highlight w:val="none"/>
                <w:fitText w:val="1680" w:id="0"/>
              </w:rPr>
              <w:t>监督单</w:t>
            </w:r>
            <w:r>
              <w:rPr>
                <w:rFonts w:hint="eastAsia" w:ascii="仿宋" w:hAnsi="仿宋" w:eastAsia="仿宋" w:cs="仿宋"/>
                <w:color w:val="auto"/>
                <w:spacing w:val="15"/>
                <w:kern w:val="0"/>
                <w:sz w:val="28"/>
                <w:szCs w:val="28"/>
                <w:highlight w:val="none"/>
                <w:fitText w:val="1680" w:id="0"/>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一</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月</w:t>
            </w:r>
          </w:p>
        </w:tc>
      </w:tr>
    </w:tbl>
    <w:p>
      <w:pPr>
        <w:jc w:val="both"/>
        <w:rPr>
          <w:rFonts w:hint="eastAsia" w:ascii="仿宋" w:hAnsi="仿宋" w:eastAsia="仿宋" w:cs="仿宋"/>
          <w:b/>
          <w:color w:val="auto"/>
          <w:sz w:val="44"/>
          <w:szCs w:val="44"/>
          <w:highlight w:val="none"/>
        </w:rPr>
      </w:pPr>
    </w:p>
    <w:p>
      <w:pPr>
        <w:pStyle w:val="2"/>
        <w:numPr>
          <w:ilvl w:val="0"/>
          <w:numId w:val="0"/>
        </w:numPr>
        <w:ind w:left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both"/>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1"/>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绍兴市第七人民医院一次性使用肠给养器（重力滴注型）采购项目</w:t>
                  </w:r>
                  <w:r>
                    <w:rPr>
                      <w:rFonts w:hint="eastAsia" w:ascii="仿宋" w:hAnsi="仿宋" w:eastAsia="仿宋" w:cs="仿宋"/>
                      <w:color w:val="auto"/>
                      <w:szCs w:val="24"/>
                      <w:highlight w:val="none"/>
                    </w:rPr>
                    <w:t>的潜在投标人应在网上报名获取（下载）招标文件，并于202</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02</w:t>
                  </w:r>
                  <w:r>
                    <w:rPr>
                      <w:rFonts w:hint="eastAsia" w:ascii="仿宋" w:hAnsi="仿宋" w:eastAsia="仿宋" w:cs="仿宋"/>
                      <w:color w:val="auto"/>
                      <w:szCs w:val="24"/>
                      <w:highlight w:val="none"/>
                    </w:rPr>
                    <w:t xml:space="preserve">月日 </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0（北京时间）前递交（上传）投标文件。</w:t>
                  </w:r>
                </w:p>
              </w:tc>
            </w:tr>
          </w:tbl>
          <w:p>
            <w:pPr>
              <w:pStyle w:val="68"/>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68"/>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TYJZ2021022</w:t>
            </w:r>
          </w:p>
          <w:p>
            <w:pPr>
              <w:pStyle w:val="68"/>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绍兴市第七人民医院一次性使用肠给养器（重力滴注型）采购项目</w:t>
            </w:r>
          </w:p>
          <w:p>
            <w:pPr>
              <w:pStyle w:val="68"/>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980000</w:t>
            </w:r>
          </w:p>
          <w:p>
            <w:pPr>
              <w:pStyle w:val="68"/>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eastAsia="zh-CN"/>
              </w:rPr>
              <w:t>980000</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采购需求：详见采购文件</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绍兴市第七人民医院一次性使用肠给养器（重力滴注型）采购项目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eastAsia="zh-CN"/>
              </w:rPr>
              <w:t>980000</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本项目（否）接受联合体投标。</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68"/>
              <w:spacing w:after="156"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2.落实政府采购政策需满足的资格要求：无 </w:t>
            </w:r>
          </w:p>
          <w:p>
            <w:pPr>
              <w:pStyle w:val="68"/>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本项目的特定资格要求：投标产品属第三类医疗器械的，供应商应提供有效的医疗器械经营企业许可证；投标产品属第二类医疗器械，供应商应提供有效的医疗器械备案登记表；投标产品有生产许可要求的，应提供生产厂家的有效的医疗器械生产企业许可证；且医疗器械生产企业许可证生产范围或医疗器械经营企业许可证经营范围是与投标产品相适用的。提供的产品必须通过浙江省药械采购平台采购，投标供应商必须为其中的配送企业。</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时间：202</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02</w:t>
            </w:r>
            <w:r>
              <w:rPr>
                <w:rFonts w:hint="eastAsia" w:ascii="仿宋" w:hAnsi="仿宋" w:eastAsia="仿宋" w:cs="仿宋"/>
                <w:color w:val="auto"/>
                <w:szCs w:val="24"/>
                <w:highlight w:val="none"/>
              </w:rPr>
              <w:t>月日至202</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02</w:t>
            </w:r>
            <w:r>
              <w:rPr>
                <w:rFonts w:hint="eastAsia" w:ascii="仿宋" w:hAnsi="仿宋" w:eastAsia="仿宋" w:cs="仿宋"/>
                <w:color w:val="auto"/>
                <w:szCs w:val="24"/>
                <w:highlight w:val="none"/>
              </w:rPr>
              <w:t>月日，每天上午00:00至12:00，下午12:00至23:59（北京时间，线上获取法定节假日均可，线下获取文件法定节假日除外）</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02</w:t>
            </w:r>
            <w:r>
              <w:rPr>
                <w:rFonts w:hint="eastAsia" w:ascii="仿宋" w:hAnsi="仿宋" w:eastAsia="仿宋" w:cs="仿宋"/>
                <w:color w:val="auto"/>
                <w:szCs w:val="24"/>
                <w:highlight w:val="none"/>
              </w:rPr>
              <w:t xml:space="preserve">月日 </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0（北京时间）</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bCs/>
                <w:color w:val="auto"/>
                <w:highlight w:val="none"/>
              </w:rPr>
              <w:t>http://www.zcygov.cn/</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02</w:t>
            </w:r>
            <w:r>
              <w:rPr>
                <w:rFonts w:hint="eastAsia" w:ascii="仿宋" w:hAnsi="仿宋" w:eastAsia="仿宋" w:cs="仿宋"/>
                <w:color w:val="auto"/>
                <w:szCs w:val="24"/>
                <w:highlight w:val="none"/>
              </w:rPr>
              <w:t xml:space="preserve">月日 </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开标地点（网址）：绍兴市朝皇路58号正大综合楼601（泰宇建筑工程技术咨询有限公司）会议室</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2.其他事项：无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名称：绍兴</w:t>
            </w:r>
            <w:r>
              <w:rPr>
                <w:rFonts w:hint="eastAsia" w:ascii="仿宋" w:hAnsi="仿宋" w:eastAsia="仿宋" w:cs="仿宋"/>
                <w:color w:val="auto"/>
                <w:kern w:val="0"/>
                <w:sz w:val="24"/>
                <w:highlight w:val="none"/>
                <w:lang w:eastAsia="zh-CN"/>
              </w:rPr>
              <w:t>市第七人民医院</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绍兴市越城区胜利西路1234号</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戴潇洋</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w:t>
            </w:r>
            <w:r>
              <w:rPr>
                <w:rFonts w:hint="eastAsia" w:ascii="仿宋" w:hAnsi="仿宋" w:eastAsia="仿宋" w:cs="仿宋"/>
                <w:color w:val="auto"/>
                <w:sz w:val="24"/>
                <w:highlight w:val="none"/>
              </w:rPr>
              <w:t>85397715</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eastAsia="zh-CN"/>
              </w:rPr>
              <w:t>戴潇洋</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w:t>
            </w:r>
            <w:r>
              <w:rPr>
                <w:rFonts w:hint="eastAsia" w:ascii="仿宋" w:hAnsi="仿宋" w:eastAsia="仿宋" w:cs="仿宋"/>
                <w:color w:val="auto"/>
                <w:sz w:val="24"/>
                <w:highlight w:val="none"/>
              </w:rPr>
              <w:t>85397715</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名称：泰宇建筑工程技术咨询有限公司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地址：绍兴市朝皇路58号正大综合楼601</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项目联系人（询问）：金锦英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226969/13656752180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质疑联系人：金锦英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质疑联系方式：0575-85080066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传真：0575-85209806       </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：应春兴       </w:t>
            </w:r>
          </w:p>
          <w:p>
            <w:pPr>
              <w:pStyle w:val="68"/>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监督投诉电话：0575-85209806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pPr>
        <w:spacing w:line="440" w:lineRule="exact"/>
        <w:ind w:firstLine="470" w:firstLineChars="196"/>
        <w:outlineLvl w:val="0"/>
        <w:rPr>
          <w:rFonts w:hint="eastAsia" w:ascii="仿宋" w:hAnsi="仿宋" w:eastAsia="仿宋" w:cs="仿宋"/>
          <w:color w:val="auto"/>
          <w:sz w:val="24"/>
          <w:highlight w:val="none"/>
        </w:rPr>
      </w:pP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1"/>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34"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34"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34"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34"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34"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34"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34" w:type="dxa"/>
            <w:gridSpan w:val="2"/>
            <w:vAlign w:val="center"/>
          </w:tcPr>
          <w:p>
            <w:pPr>
              <w:widowControl/>
              <w:shd w:val="clear" w:color="000000" w:fill="FFFFFF"/>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开标前答疑会或现场考察：无</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34" w:type="dxa"/>
            <w:gridSpan w:val="2"/>
            <w:vAlign w:val="center"/>
          </w:tcPr>
          <w:p>
            <w:pPr>
              <w:spacing w:line="360" w:lineRule="auto"/>
              <w:contextualSpacing/>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numPr>
                <w:ilvl w:val="0"/>
                <w:numId w:val="5"/>
              </w:numPr>
              <w:spacing w:line="360" w:lineRule="auto"/>
              <w:contextualSpacing/>
              <w:rPr>
                <w:rFonts w:hint="eastAsia" w:ascii="仿宋" w:hAnsi="仿宋" w:eastAsia="仿宋" w:cs="仿宋"/>
                <w:color w:val="auto"/>
                <w:szCs w:val="24"/>
                <w:highlight w:val="none"/>
              </w:rPr>
            </w:pPr>
            <w:r>
              <w:rPr>
                <w:rFonts w:hint="eastAsia" w:ascii="仿宋_GB2312" w:hAnsi="宋体" w:eastAsia="仿宋_GB2312" w:cs="宋体"/>
                <w:color w:val="000000" w:themeColor="text1"/>
                <w:sz w:val="24"/>
                <w:highlight w:val="none"/>
              </w:rPr>
              <w:t>时间要求：202</w:t>
            </w:r>
            <w:r>
              <w:rPr>
                <w:rFonts w:hint="eastAsia" w:ascii="仿宋_GB2312" w:hAnsi="宋体" w:eastAsia="仿宋_GB2312" w:cs="宋体"/>
                <w:color w:val="000000" w:themeColor="text1"/>
                <w:sz w:val="24"/>
                <w:highlight w:val="none"/>
                <w:lang w:val="en-US" w:eastAsia="zh-CN"/>
              </w:rPr>
              <w:t>1</w:t>
            </w:r>
            <w:r>
              <w:rPr>
                <w:rFonts w:hint="eastAsia" w:ascii="仿宋_GB2312" w:hAnsi="宋体" w:eastAsia="仿宋_GB2312" w:cs="宋体"/>
                <w:color w:val="000000" w:themeColor="text1"/>
                <w:sz w:val="24"/>
                <w:highlight w:val="none"/>
              </w:rPr>
              <w:t xml:space="preserve">年月日17点前 </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2.样品规格及数量：</w:t>
            </w: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宋体" w:eastAsia="仿宋_GB2312" w:cs="宋体"/>
                <w:color w:val="000000" w:themeColor="text1"/>
                <w:sz w:val="24"/>
                <w:highlight w:val="none"/>
                <w:lang w:eastAsia="zh-CN"/>
              </w:rPr>
              <w:t>一次性使用肠给养器（重力滴注型）</w:t>
            </w:r>
            <w:r>
              <w:rPr>
                <w:rFonts w:hint="eastAsia" w:ascii="仿宋_GB2312" w:hAnsi="宋体" w:eastAsia="仿宋_GB2312" w:cs="宋体"/>
                <w:color w:val="000000" w:themeColor="text1"/>
                <w:sz w:val="24"/>
                <w:highlight w:val="none"/>
              </w:rPr>
              <w:t>一个</w:t>
            </w:r>
            <w:r>
              <w:rPr>
                <w:rFonts w:hint="eastAsia" w:ascii="仿宋_GB2312" w:hAnsi="宋体" w:eastAsia="仿宋_GB2312" w:cs="宋体"/>
                <w:color w:val="000000" w:themeColor="text1"/>
                <w:sz w:val="24"/>
                <w:highlight w:val="none"/>
                <w:lang w:eastAsia="zh-CN"/>
              </w:rPr>
              <w:t>（</w:t>
            </w:r>
            <w:r>
              <w:rPr>
                <w:rFonts w:hint="eastAsia" w:ascii="仿宋_GB2312" w:hAnsi="宋体" w:eastAsia="仿宋_GB2312" w:cs="宋体"/>
                <w:color w:val="000000" w:themeColor="text1"/>
                <w:sz w:val="24"/>
                <w:highlight w:val="none"/>
                <w:lang w:val="en-US" w:eastAsia="zh-CN"/>
              </w:rPr>
              <w:t>可提供彩页）</w:t>
            </w:r>
            <w:r>
              <w:rPr>
                <w:rFonts w:hint="eastAsia" w:ascii="仿宋_GB2312" w:hAnsi="宋体" w:eastAsia="仿宋_GB2312" w:cs="宋体"/>
                <w:color w:val="000000" w:themeColor="text1"/>
                <w:sz w:val="24"/>
                <w:highlight w:val="yellow"/>
              </w:rPr>
              <w:br w:type="textWrapping"/>
            </w:r>
            <w:r>
              <w:rPr>
                <w:rFonts w:hint="eastAsia" w:ascii="仿宋_GB2312" w:hAnsi="宋体" w:eastAsia="仿宋_GB2312" w:cs="宋体"/>
                <w:color w:val="000000" w:themeColor="text1"/>
                <w:sz w:val="24"/>
                <w:highlight w:val="none"/>
              </w:rPr>
              <w:t>3.样品</w:t>
            </w:r>
            <w:r>
              <w:rPr>
                <w:rFonts w:hint="eastAsia" w:ascii="仿宋_GB2312" w:hAnsi="宋体" w:eastAsia="仿宋_GB2312" w:cs="宋体"/>
                <w:color w:val="000000" w:themeColor="text1"/>
                <w:sz w:val="24"/>
                <w:highlight w:val="none"/>
                <w:lang w:eastAsia="zh-CN"/>
              </w:rPr>
              <w:t>邮寄或</w:t>
            </w:r>
            <w:r>
              <w:rPr>
                <w:rFonts w:hint="eastAsia" w:ascii="仿宋_GB2312" w:hAnsi="宋体" w:eastAsia="仿宋_GB2312" w:cs="宋体"/>
                <w:color w:val="000000" w:themeColor="text1"/>
                <w:sz w:val="24"/>
                <w:highlight w:val="none"/>
              </w:rPr>
              <w:t>送达地点：绍兴市朝皇路58号正大综合楼601</w:t>
            </w:r>
            <w:r>
              <w:rPr>
                <w:rFonts w:hint="eastAsia" w:ascii="仿宋_GB2312" w:hAnsi="宋体" w:eastAsia="仿宋_GB2312" w:cs="宋体"/>
                <w:color w:val="000000" w:themeColor="text1"/>
                <w:sz w:val="24"/>
                <w:highlight w:val="none"/>
                <w:lang w:eastAsia="zh-CN"/>
              </w:rPr>
              <w:t>招标代理部</w:t>
            </w:r>
          </w:p>
          <w:p>
            <w:pPr>
              <w:numPr>
                <w:ilvl w:val="0"/>
                <w:numId w:val="0"/>
              </w:numPr>
              <w:spacing w:line="360" w:lineRule="auto"/>
              <w:contextualSpacing/>
              <w:rPr>
                <w:rFonts w:hint="default" w:ascii="仿宋_GB2312" w:hAnsi="宋体" w:eastAsia="仿宋_GB2312" w:cs="宋体"/>
                <w:color w:val="000000" w:themeColor="text1"/>
                <w:sz w:val="24"/>
                <w:highlight w:val="none"/>
                <w:lang w:val="en-US" w:eastAsia="zh-CN"/>
              </w:rPr>
            </w:pPr>
            <w:r>
              <w:rPr>
                <w:rFonts w:hint="eastAsia" w:ascii="仿宋_GB2312" w:hAnsi="宋体" w:eastAsia="仿宋_GB2312" w:cs="宋体"/>
                <w:color w:val="000000" w:themeColor="text1"/>
                <w:sz w:val="24"/>
                <w:highlight w:val="none"/>
              </w:rPr>
              <w:t>4.</w:t>
            </w:r>
            <w:r>
              <w:rPr>
                <w:rFonts w:hint="eastAsia" w:ascii="仿宋_GB2312" w:hAnsi="宋体" w:eastAsia="仿宋_GB2312" w:cs="宋体"/>
                <w:color w:val="000000" w:themeColor="text1"/>
                <w:sz w:val="24"/>
                <w:highlight w:val="none"/>
                <w:lang w:eastAsia="zh-CN"/>
              </w:rPr>
              <w:t>邮寄或</w:t>
            </w:r>
            <w:r>
              <w:rPr>
                <w:rFonts w:hint="eastAsia" w:ascii="仿宋_GB2312" w:hAnsi="宋体" w:eastAsia="仿宋_GB2312" w:cs="宋体"/>
                <w:color w:val="000000" w:themeColor="text1"/>
                <w:sz w:val="24"/>
                <w:highlight w:val="none"/>
              </w:rPr>
              <w:t>送样联系方式：金</w:t>
            </w:r>
            <w:r>
              <w:rPr>
                <w:rFonts w:hint="eastAsia" w:ascii="仿宋_GB2312" w:hAnsi="宋体" w:eastAsia="仿宋_GB2312" w:cs="宋体"/>
                <w:color w:val="000000" w:themeColor="text1"/>
                <w:sz w:val="24"/>
                <w:highlight w:val="none"/>
                <w:lang w:eastAsia="zh-CN"/>
              </w:rPr>
              <w:t>锦英</w:t>
            </w:r>
            <w:r>
              <w:rPr>
                <w:rFonts w:hint="eastAsia" w:ascii="仿宋_GB2312" w:hAnsi="宋体" w:eastAsia="仿宋_GB2312" w:cs="宋体"/>
                <w:color w:val="000000" w:themeColor="text1"/>
                <w:sz w:val="24"/>
                <w:highlight w:val="none"/>
              </w:rPr>
              <w:t xml:space="preserve"> 0575-88</w:t>
            </w:r>
            <w:r>
              <w:rPr>
                <w:rFonts w:hint="eastAsia" w:ascii="仿宋_GB2312" w:hAnsi="宋体" w:eastAsia="仿宋_GB2312" w:cs="宋体"/>
                <w:color w:val="000000" w:themeColor="text1"/>
                <w:sz w:val="24"/>
                <w:highlight w:val="none"/>
                <w:lang w:val="en-US" w:eastAsia="zh-CN"/>
              </w:rPr>
              <w:t>226969/13656752180</w:t>
            </w:r>
          </w:p>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_GB2312" w:hAnsi="宋体" w:eastAsia="仿宋_GB2312" w:cs="宋体"/>
                <w:color w:val="000000" w:themeColor="text1"/>
                <w:sz w:val="24"/>
                <w:highlight w:val="none"/>
              </w:rPr>
              <w:t>5.其他：</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1）样品需贴有标注供应商名称且加盖公章的标签。</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2）中标人样品不予退还，由采购人带回并妥善保管作为验收的参考；未中标人样品开标结束后请自行带回，本</w:t>
            </w:r>
            <w:r>
              <w:rPr>
                <w:rFonts w:hint="eastAsia" w:ascii="仿宋_GB2312" w:hAnsi="宋体" w:eastAsia="仿宋_GB2312" w:cs="宋体"/>
                <w:color w:val="000000" w:themeColor="text1"/>
                <w:sz w:val="24"/>
                <w:highlight w:val="none"/>
                <w:lang w:eastAsia="zh-CN"/>
              </w:rPr>
              <w:t>代理机构</w:t>
            </w:r>
            <w:r>
              <w:rPr>
                <w:rFonts w:hint="eastAsia" w:ascii="仿宋_GB2312" w:hAnsi="宋体" w:eastAsia="仿宋_GB2312" w:cs="宋体"/>
                <w:color w:val="000000" w:themeColor="text1"/>
                <w:sz w:val="24"/>
                <w:highlight w:val="none"/>
              </w:rPr>
              <w:t>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34"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现场演示(讲解)：</w:t>
            </w:r>
            <w:r>
              <w:rPr>
                <w:rFonts w:hint="eastAsia" w:ascii="仿宋" w:hAnsi="仿宋" w:eastAsia="仿宋" w:cs="仿宋"/>
                <w:color w:val="auto"/>
                <w:kern w:val="0"/>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55"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67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67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20" w:lineRule="exact"/>
              <w:rPr>
                <w:rFonts w:hint="eastAsia" w:ascii="仿宋" w:hAnsi="仿宋" w:eastAsia="仿宋" w:cs="仿宋"/>
                <w:b/>
                <w:color w:val="auto"/>
                <w:sz w:val="24"/>
                <w:highlight w:val="none"/>
              </w:rPr>
            </w:pPr>
          </w:p>
        </w:tc>
        <w:tc>
          <w:tcPr>
            <w:tcW w:w="767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20" w:lineRule="exact"/>
              <w:rPr>
                <w:rFonts w:hint="eastAsia" w:ascii="仿宋" w:hAnsi="仿宋" w:eastAsia="仿宋" w:cs="仿宋"/>
                <w:b/>
                <w:color w:val="auto"/>
                <w:sz w:val="24"/>
                <w:highlight w:val="none"/>
              </w:rPr>
            </w:pPr>
          </w:p>
        </w:tc>
        <w:tc>
          <w:tcPr>
            <w:tcW w:w="767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34"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34"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34"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34"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《CA申领操作指南》：https://help.zcygov.cn/web/site_2/2018/11-29/2452.html</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《CA管理操作指南》：https://help.zcygov.cn/web/site_2/2019/08-20/3405.html</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《CA驱动和申领流程》:</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http://zfcg.czt.zj.gov.cn//bidClientTemplate/2019-05-27/12945.html</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"https://help.zcygov.cn/web/site_2/2018/12-28/2573.html"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https://help.zcygov.cn/web/site_2/2018/12-28/2573.html</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highlight w:val="none"/>
                <w:lang w:val="en-US"/>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34"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534" w:type="dxa"/>
            <w:gridSpan w:val="2"/>
            <w:vAlign w:val="center"/>
          </w:tcPr>
          <w:p>
            <w:pPr>
              <w:spacing w:line="5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以中标通知书中确定的中标金额作为服务费的计算基数，每个标段按中标（成交）价的万分之贰拾捌收取，不满500元时按500元计，超过10000元按10000元计。另加《绍兴市第七人民医院政府采购代理服务合同》中约定的其他费用，由中标单位支付，此费用仅提供收款收据。</w:t>
            </w:r>
          </w:p>
          <w:p>
            <w:pPr>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②中标服务费的交纳方式：</w:t>
            </w:r>
          </w:p>
          <w:p>
            <w:pPr>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用银行支票、汇票、电汇、现金等付款方式直接交纳代理服务费。</w:t>
            </w:r>
          </w:p>
          <w:p>
            <w:pPr>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公司名称：</w:t>
            </w:r>
            <w:r>
              <w:rPr>
                <w:rFonts w:hint="eastAsia" w:ascii="仿宋" w:hAnsi="仿宋" w:eastAsia="仿宋" w:cs="仿宋"/>
                <w:color w:val="auto"/>
                <w:sz w:val="24"/>
                <w:szCs w:val="24"/>
                <w:highlight w:val="none"/>
              </w:rPr>
              <w:t>泰宇建筑工程技术咨询有限公司绍兴分公司</w:t>
            </w:r>
          </w:p>
          <w:p>
            <w:pPr>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账    号：</w:t>
            </w:r>
            <w:r>
              <w:rPr>
                <w:rFonts w:hint="eastAsia" w:ascii="仿宋" w:hAnsi="仿宋" w:eastAsia="仿宋" w:cs="仿宋"/>
                <w:color w:val="auto"/>
                <w:sz w:val="24"/>
                <w:szCs w:val="24"/>
                <w:highlight w:val="none"/>
              </w:rPr>
              <w:t>85010078801000000518</w:t>
            </w:r>
          </w:p>
          <w:p>
            <w:pPr>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开 户 行：</w:t>
            </w:r>
            <w:r>
              <w:rPr>
                <w:rFonts w:hint="eastAsia" w:ascii="仿宋" w:hAnsi="仿宋" w:eastAsia="仿宋" w:cs="仿宋"/>
                <w:color w:val="auto"/>
                <w:sz w:val="24"/>
                <w:szCs w:val="24"/>
                <w:highlight w:val="none"/>
              </w:rPr>
              <w:t>上海浦东发展银行绍兴分行</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节能环保要求</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3"/>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2.1.3小微企业声明函及证明资料（如有，格式见第六部分附件）；</w:t>
      </w:r>
    </w:p>
    <w:p>
      <w:pPr>
        <w:pStyle w:val="23"/>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2"/>
        <w:spacing w:line="440" w:lineRule="exact"/>
        <w:ind w:firstLine="480" w:firstLineChars="200"/>
        <w:rPr>
          <w:rFonts w:hint="eastAsia" w:ascii="仿宋" w:hAnsi="仿宋" w:eastAsia="仿宋" w:cs="仿宋"/>
          <w:color w:val="auto"/>
          <w:sz w:val="24"/>
          <w:highlight w:val="none"/>
        </w:rPr>
      </w:pPr>
      <w:bookmarkStart w:id="0" w:name="_Hlt68072998"/>
      <w:bookmarkEnd w:id="0"/>
      <w:bookmarkStart w:id="1" w:name="_Hlt68073093"/>
      <w:bookmarkEnd w:id="1"/>
      <w:bookmarkStart w:id="2" w:name="_Hlt68403820"/>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（2）2019年度资产负债表等财务报表资料文件(新成立的公司提供情况证明)；</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2"/>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培训计划；（如果有）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i/>
          <w:color w:val="auto"/>
          <w:sz w:val="24"/>
          <w:highlight w:val="none"/>
        </w:rPr>
        <w:t>投标报价只允许有一个报价，有选择的报价将不予接受（除指定外）。</w:t>
      </w:r>
    </w:p>
    <w:p>
      <w:pPr>
        <w:pStyle w:val="13"/>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1.2投标人登录政采云平台，用“项目采购-开标评标”功能对电子投标文件进行在线解密。在线解密电子投标文件时间为开标时间起30分内。</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9.6《法定代表人授权委托书》或《法定代表人身份证明书》填写不全、错误、未加盖公章(《法定代表人授权委托书》要求“盖章”和“签字或盖章”缺一不可）的；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9.20.2提供虚假的财务状况或者业绩；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9.23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9.24报价文件中出现2个(含)以上的报价或方案的；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3" w:name="_Toc81372953"/>
      <w:bookmarkStart w:id="4" w:name="_Toc81372776"/>
      <w:bookmarkStart w:id="5" w:name="_Toc84325929"/>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3"/>
    <w:bookmarkEnd w:id="4"/>
    <w:bookmarkEnd w:id="5"/>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2"/>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highlight w:val="none"/>
        </w:rPr>
        <w:t>http://ggb.sx.gov.cn</w:t>
      </w:r>
      <w:r>
        <w:rPr>
          <w:rStyle w:val="4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19"/>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4"/>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6" w:name="_Toc151354173"/>
      <w:bookmarkStart w:id="7" w:name="_Toc80157775"/>
      <w:bookmarkStart w:id="8" w:name="_Toc84325981"/>
      <w:bookmarkStart w:id="9" w:name="_Toc81372787"/>
      <w:bookmarkStart w:id="10" w:name="_Toc81372964"/>
      <w:r>
        <w:rPr>
          <w:rFonts w:hint="eastAsia" w:ascii="仿宋" w:hAnsi="仿宋" w:eastAsia="仿宋" w:cs="仿宋"/>
          <w:b/>
          <w:color w:val="auto"/>
          <w:sz w:val="24"/>
          <w:highlight w:val="none"/>
        </w:rPr>
        <w:t>8.招标项目设备名称及数量：</w:t>
      </w:r>
    </w:p>
    <w:bookmarkEnd w:id="6"/>
    <w:p>
      <w:pPr>
        <w:jc w:val="left"/>
        <w:outlineLvl w:val="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8.1</w:t>
      </w:r>
      <w:r>
        <w:rPr>
          <w:rFonts w:hint="eastAsia" w:ascii="仿宋" w:hAnsi="仿宋" w:eastAsia="仿宋" w:cs="仿宋"/>
          <w:color w:val="auto"/>
          <w:sz w:val="24"/>
          <w:highlight w:val="none"/>
          <w:lang w:eastAsia="zh-CN"/>
        </w:rPr>
        <w:t>绍兴市第七人民医院一次性使用肠给养器（重力滴注型）采购项目</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上限价：</w:t>
      </w:r>
      <w:r>
        <w:rPr>
          <w:rFonts w:hint="eastAsia" w:ascii="仿宋" w:hAnsi="仿宋" w:eastAsia="仿宋" w:cs="仿宋"/>
          <w:b/>
          <w:color w:val="auto"/>
          <w:sz w:val="24"/>
          <w:highlight w:val="none"/>
          <w:lang w:val="en-US" w:eastAsia="zh-CN"/>
        </w:rPr>
        <w:t>98</w:t>
      </w:r>
      <w:r>
        <w:rPr>
          <w:rFonts w:hint="eastAsia" w:ascii="仿宋" w:hAnsi="仿宋" w:eastAsia="仿宋" w:cs="仿宋"/>
          <w:b/>
          <w:color w:val="auto"/>
          <w:sz w:val="24"/>
          <w:highlight w:val="none"/>
        </w:rPr>
        <w:t>万元</w:t>
      </w:r>
    </w:p>
    <w:p>
      <w:pPr>
        <w:spacing w:after="0" w:line="400" w:lineRule="exact"/>
        <w:ind w:firstLine="120" w:firstLineChars="50"/>
        <w:rPr>
          <w:rFonts w:ascii="仿宋_GB2312" w:hAnsi="宋体" w:eastAsia="仿宋_GB2312" w:cs="Times New Roman"/>
          <w:b/>
          <w:kern w:val="2"/>
          <w:sz w:val="24"/>
          <w:szCs w:val="24"/>
          <w:highlight w:val="none"/>
        </w:rPr>
      </w:pPr>
      <w:r>
        <w:rPr>
          <w:rFonts w:hint="eastAsia" w:ascii="仿宋_GB2312" w:hAnsi="宋体" w:eastAsia="仿宋_GB2312"/>
          <w:b/>
          <w:sz w:val="24"/>
          <w:highlight w:val="none"/>
          <w:lang w:val="en-US" w:eastAsia="zh-CN"/>
        </w:rPr>
        <w:t>一</w:t>
      </w:r>
      <w:r>
        <w:rPr>
          <w:rFonts w:hint="eastAsia" w:ascii="仿宋_GB2312" w:hAnsi="宋体" w:eastAsia="仿宋_GB2312"/>
          <w:b/>
          <w:sz w:val="24"/>
          <w:highlight w:val="none"/>
        </w:rPr>
        <w:t>、</w:t>
      </w:r>
      <w:r>
        <w:rPr>
          <w:rFonts w:hint="eastAsia" w:ascii="仿宋_GB2312" w:hAnsi="宋体" w:eastAsia="仿宋_GB2312"/>
          <w:b/>
          <w:sz w:val="24"/>
          <w:highlight w:val="none"/>
          <w:lang w:val="en-US" w:eastAsia="zh-CN"/>
        </w:rPr>
        <w:t>采购</w:t>
      </w:r>
      <w:r>
        <w:rPr>
          <w:rFonts w:hint="eastAsia" w:ascii="仿宋_GB2312" w:hAnsi="宋体" w:eastAsia="仿宋_GB2312"/>
          <w:b/>
          <w:sz w:val="24"/>
          <w:highlight w:val="none"/>
        </w:rPr>
        <w:t>项目范围及要求</w:t>
      </w:r>
    </w:p>
    <w:p>
      <w:pPr>
        <w:spacing w:after="0" w:line="400" w:lineRule="exact"/>
        <w:ind w:firstLine="120" w:firstLineChars="50"/>
        <w:rPr>
          <w:rFonts w:hint="eastAsia" w:ascii="仿宋_GB2312" w:hAnsi="宋体" w:eastAsia="仿宋_GB2312"/>
          <w:b/>
          <w:sz w:val="24"/>
          <w:highlight w:val="none"/>
        </w:rPr>
      </w:pPr>
      <w:r>
        <w:rPr>
          <w:rFonts w:hint="eastAsia" w:ascii="仿宋_GB2312" w:hAnsi="宋体" w:eastAsia="仿宋_GB2312"/>
          <w:b/>
          <w:sz w:val="24"/>
          <w:highlight w:val="none"/>
        </w:rPr>
        <w:t>（一）采购内容</w:t>
      </w:r>
    </w:p>
    <w:tbl>
      <w:tblPr>
        <w:tblStyle w:val="41"/>
        <w:tblW w:w="8801" w:type="dxa"/>
        <w:jc w:val="center"/>
        <w:tblLayout w:type="fixed"/>
        <w:tblCellMar>
          <w:top w:w="0" w:type="dxa"/>
          <w:left w:w="0" w:type="dxa"/>
          <w:bottom w:w="0" w:type="dxa"/>
          <w:right w:w="0" w:type="dxa"/>
        </w:tblCellMar>
      </w:tblPr>
      <w:tblGrid>
        <w:gridCol w:w="761"/>
        <w:gridCol w:w="2271"/>
        <w:gridCol w:w="2041"/>
        <w:gridCol w:w="794"/>
        <w:gridCol w:w="991"/>
        <w:gridCol w:w="915"/>
        <w:gridCol w:w="1028"/>
      </w:tblGrid>
      <w:tr>
        <w:tblPrEx>
          <w:tblCellMar>
            <w:top w:w="0" w:type="dxa"/>
            <w:left w:w="0" w:type="dxa"/>
            <w:bottom w:w="0" w:type="dxa"/>
            <w:right w:w="0" w:type="dxa"/>
          </w:tblCellMar>
        </w:tblPrEx>
        <w:trPr>
          <w:trHeight w:val="573" w:hRule="atLeast"/>
          <w:jc w:val="center"/>
        </w:trPr>
        <w:tc>
          <w:tcPr>
            <w:tcW w:w="76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序号</w:t>
            </w:r>
          </w:p>
        </w:tc>
        <w:tc>
          <w:tcPr>
            <w:tcW w:w="227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标段名称</w:t>
            </w:r>
          </w:p>
        </w:tc>
        <w:tc>
          <w:tcPr>
            <w:tcW w:w="204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规格</w:t>
            </w:r>
          </w:p>
        </w:tc>
        <w:tc>
          <w:tcPr>
            <w:tcW w:w="79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计量单位</w:t>
            </w:r>
          </w:p>
        </w:tc>
        <w:tc>
          <w:tcPr>
            <w:tcW w:w="99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上限单价（元）</w:t>
            </w:r>
          </w:p>
        </w:tc>
        <w:tc>
          <w:tcPr>
            <w:tcW w:w="91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yellow"/>
                <w:lang w:val="en-US" w:eastAsia="zh-CN"/>
              </w:rPr>
              <w:t>参考用</w:t>
            </w:r>
            <w:r>
              <w:rPr>
                <w:rFonts w:hint="eastAsia" w:ascii="仿宋" w:hAnsi="仿宋" w:eastAsia="仿宋" w:cs="仿宋"/>
                <w:b/>
                <w:color w:val="auto"/>
                <w:kern w:val="0"/>
                <w:sz w:val="20"/>
                <w:szCs w:val="20"/>
                <w:highlight w:val="yellow"/>
              </w:rPr>
              <w:t>量</w:t>
            </w:r>
          </w:p>
        </w:tc>
        <w:tc>
          <w:tcPr>
            <w:tcW w:w="10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预算金额（元）</w:t>
            </w:r>
          </w:p>
        </w:tc>
      </w:tr>
      <w:tr>
        <w:tblPrEx>
          <w:tblCellMar>
            <w:top w:w="0" w:type="dxa"/>
            <w:left w:w="0" w:type="dxa"/>
            <w:bottom w:w="0" w:type="dxa"/>
            <w:right w:w="0" w:type="dxa"/>
          </w:tblCellMar>
        </w:tblPrEx>
        <w:trPr>
          <w:trHeight w:val="506" w:hRule="atLeast"/>
          <w:jc w:val="center"/>
        </w:trPr>
        <w:tc>
          <w:tcPr>
            <w:tcW w:w="76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w:t>
            </w:r>
          </w:p>
        </w:tc>
        <w:tc>
          <w:tcPr>
            <w:tcW w:w="227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一次性使用肠给养器（重力滴注型）</w:t>
            </w:r>
          </w:p>
        </w:tc>
        <w:tc>
          <w:tcPr>
            <w:tcW w:w="204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针刺式</w:t>
            </w:r>
          </w:p>
        </w:tc>
        <w:tc>
          <w:tcPr>
            <w:tcW w:w="79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支</w:t>
            </w:r>
          </w:p>
        </w:tc>
        <w:tc>
          <w:tcPr>
            <w:tcW w:w="99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17</w:t>
            </w:r>
          </w:p>
        </w:tc>
        <w:tc>
          <w:tcPr>
            <w:tcW w:w="91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57424</w:t>
            </w:r>
          </w:p>
        </w:tc>
        <w:tc>
          <w:tcPr>
            <w:tcW w:w="10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980000</w:t>
            </w:r>
          </w:p>
        </w:tc>
      </w:tr>
    </w:tbl>
    <w:p>
      <w:pPr>
        <w:spacing w:after="0" w:line="288" w:lineRule="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b/>
          <w:bCs/>
          <w:color w:val="000000"/>
          <w:sz w:val="24"/>
          <w:highlight w:val="none"/>
        </w:rPr>
        <w:t>注： 1．</w:t>
      </w:r>
      <w:r>
        <w:rPr>
          <w:rFonts w:hint="eastAsia" w:ascii="仿宋_GB2312" w:hAnsi="仿宋_GB2312" w:eastAsia="仿宋_GB2312" w:cs="仿宋_GB2312"/>
          <w:b/>
          <w:bCs/>
          <w:color w:val="000000"/>
          <w:sz w:val="24"/>
          <w:highlight w:val="none"/>
          <w:lang w:val="en-US" w:eastAsia="zh-CN"/>
        </w:rPr>
        <w:t>参考</w:t>
      </w:r>
      <w:r>
        <w:rPr>
          <w:rFonts w:hint="eastAsia" w:ascii="仿宋_GB2312" w:hAnsi="仿宋_GB2312" w:eastAsia="仿宋_GB2312" w:cs="仿宋_GB2312"/>
          <w:b/>
          <w:bCs/>
          <w:color w:val="000000"/>
          <w:sz w:val="24"/>
          <w:highlight w:val="none"/>
        </w:rPr>
        <w:t>使用量为</w:t>
      </w:r>
      <w:r>
        <w:rPr>
          <w:rFonts w:hint="eastAsia" w:ascii="仿宋_GB2312" w:hAnsi="仿宋_GB2312" w:eastAsia="仿宋_GB2312" w:cs="仿宋_GB2312"/>
          <w:b/>
          <w:bCs/>
          <w:color w:val="000000"/>
          <w:sz w:val="24"/>
          <w:highlight w:val="none"/>
          <w:lang w:val="en-US" w:eastAsia="zh-CN"/>
        </w:rPr>
        <w:t>本次采购周期（</w:t>
      </w:r>
      <w:r>
        <w:rPr>
          <w:rFonts w:hint="eastAsia" w:ascii="仿宋_GB2312" w:hAnsi="仿宋_GB2312" w:eastAsia="仿宋_GB2312" w:cs="仿宋_GB2312"/>
          <w:sz w:val="24"/>
          <w:highlight w:val="none"/>
          <w:lang w:val="en-US" w:eastAsia="zh-CN"/>
        </w:rPr>
        <w:t>自2021年3月1日至2022年12月31日</w:t>
      </w:r>
      <w:r>
        <w:rPr>
          <w:rFonts w:hint="eastAsia" w:ascii="仿宋_GB2312" w:hAnsi="仿宋_GB2312" w:eastAsia="仿宋_GB2312" w:cs="仿宋_GB2312"/>
          <w:b/>
          <w:bCs/>
          <w:color w:val="000000"/>
          <w:sz w:val="24"/>
          <w:highlight w:val="none"/>
          <w:lang w:val="en-US" w:eastAsia="zh-CN"/>
        </w:rPr>
        <w:t>）</w:t>
      </w:r>
      <w:r>
        <w:rPr>
          <w:rFonts w:hint="eastAsia" w:ascii="仿宋_GB2312" w:hAnsi="仿宋_GB2312" w:eastAsia="仿宋_GB2312" w:cs="仿宋_GB2312"/>
          <w:b/>
          <w:bCs/>
          <w:color w:val="000000"/>
          <w:sz w:val="24"/>
          <w:highlight w:val="none"/>
        </w:rPr>
        <w:t>预估值，</w:t>
      </w:r>
      <w:r>
        <w:rPr>
          <w:rFonts w:hint="eastAsia" w:ascii="仿宋_GB2312" w:hAnsi="仿宋_GB2312" w:eastAsia="仿宋_GB2312" w:cs="仿宋_GB2312"/>
          <w:b/>
          <w:bCs/>
          <w:color w:val="000000"/>
          <w:sz w:val="24"/>
          <w:highlight w:val="none"/>
          <w:lang w:val="en-US" w:eastAsia="zh-CN"/>
        </w:rPr>
        <w:t>实际</w:t>
      </w:r>
      <w:r>
        <w:rPr>
          <w:rFonts w:hint="eastAsia" w:ascii="仿宋_GB2312" w:hAnsi="仿宋_GB2312" w:eastAsia="仿宋_GB2312" w:cs="仿宋_GB2312"/>
          <w:b/>
          <w:bCs/>
          <w:color w:val="000000"/>
          <w:sz w:val="24"/>
          <w:highlight w:val="none"/>
        </w:rPr>
        <w:t>采购数量根据医院实际需求确定。</w:t>
      </w:r>
    </w:p>
    <w:p>
      <w:pPr>
        <w:spacing w:after="0" w:line="460" w:lineRule="exact"/>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b/>
          <w:sz w:val="24"/>
          <w:highlight w:val="none"/>
        </w:rPr>
        <w:t>(二)、产品主要技术参数要求</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 按医疗器械管理的投标产品，应具有《医疗器械注册证》和医疗器械注册登记表（医疗器械产品生产制造认可表）。所提供的产品符合国家有关的质量标准及相应的行业标准，且系国家有关部门批准许可生产和许可销售的合格产品，并有生产厂家或国内代理公司代理许可委托书。</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 提供的产品名称与注册证、送货单一致。产品包装按规定载明物品名称、型号、规格、批号、产地、有效期。进口产品的包装具有符合国家规定的中文标识。</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 “投标人”接受“采购人”的招标</w:t>
      </w:r>
      <w:r>
        <w:rPr>
          <w:rFonts w:hint="eastAsia" w:ascii="仿宋_GB2312" w:hAnsi="仿宋_GB2312" w:eastAsia="仿宋_GB2312" w:cs="仿宋_GB2312"/>
          <w:sz w:val="24"/>
          <w:highlight w:val="none"/>
          <w:lang w:val="en-US" w:eastAsia="zh-CN"/>
        </w:rPr>
        <w:t>文件</w:t>
      </w:r>
      <w:r>
        <w:rPr>
          <w:rFonts w:hint="eastAsia" w:ascii="仿宋_GB2312" w:hAnsi="仿宋_GB2312" w:eastAsia="仿宋_GB2312" w:cs="仿宋_GB2312"/>
          <w:sz w:val="24"/>
          <w:highlight w:val="none"/>
        </w:rPr>
        <w:t>参加竞标就必须承担下列责任：</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（1）质量合格率100%；</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（2）品种满足率100%；</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（3）产地(生产厂家)符合率100%。</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bCs/>
          <w:sz w:val="24"/>
          <w:highlight w:val="yellow"/>
        </w:rPr>
        <w:t xml:space="preserve">★2.4 </w:t>
      </w:r>
      <w:r>
        <w:rPr>
          <w:rFonts w:hint="eastAsia" w:ascii="仿宋_GB2312" w:hAnsi="仿宋_GB2312" w:eastAsia="仿宋_GB2312" w:cs="仿宋_GB2312"/>
          <w:b/>
          <w:sz w:val="24"/>
          <w:highlight w:val="yellow"/>
        </w:rPr>
        <w:t>产品（医用材料）应进入浙江省药械采购平台目录</w:t>
      </w:r>
      <w:r>
        <w:rPr>
          <w:rFonts w:hint="eastAsia" w:ascii="仿宋_GB2312" w:hAnsi="仿宋_GB2312" w:eastAsia="仿宋_GB2312" w:cs="仿宋_GB2312"/>
          <w:b/>
          <w:sz w:val="24"/>
          <w:highlight w:val="yellow"/>
          <w:lang w:eastAsia="zh-CN"/>
        </w:rPr>
        <w:t>（</w:t>
      </w:r>
      <w:r>
        <w:rPr>
          <w:rFonts w:hint="eastAsia" w:ascii="仿宋_GB2312" w:hAnsi="仿宋_GB2312" w:eastAsia="仿宋_GB2312" w:cs="仿宋_GB2312"/>
          <w:b/>
          <w:sz w:val="24"/>
          <w:highlight w:val="yellow"/>
          <w:lang w:val="en-US" w:eastAsia="zh-CN"/>
        </w:rPr>
        <w:t>如平台无此类产品可不提供平台代码</w:t>
      </w:r>
      <w:r>
        <w:rPr>
          <w:rFonts w:hint="eastAsia" w:ascii="仿宋_GB2312" w:hAnsi="仿宋_GB2312" w:eastAsia="仿宋_GB2312" w:cs="仿宋_GB2312"/>
          <w:b/>
          <w:sz w:val="24"/>
          <w:highlight w:val="yellow"/>
          <w:lang w:eastAsia="zh-CN"/>
        </w:rPr>
        <w:t>）</w:t>
      </w:r>
      <w:r>
        <w:rPr>
          <w:rFonts w:hint="eastAsia" w:ascii="仿宋_GB2312" w:hAnsi="仿宋_GB2312" w:eastAsia="仿宋_GB2312" w:cs="仿宋_GB2312"/>
          <w:b/>
          <w:sz w:val="24"/>
          <w:highlight w:val="yellow"/>
        </w:rPr>
        <w:t>。</w:t>
      </w:r>
      <w:r>
        <w:rPr>
          <w:rFonts w:hint="eastAsia" w:ascii="仿宋_GB2312" w:hAnsi="仿宋_GB2312" w:eastAsia="仿宋_GB2312" w:cs="仿宋_GB2312"/>
          <w:bCs/>
          <w:sz w:val="24"/>
          <w:highlight w:val="none"/>
        </w:rPr>
        <w:t>中标供应商应于合同签订前具备省平台配送资格。否则取消该单位的中标资格。</w:t>
      </w:r>
    </w:p>
    <w:p>
      <w:pPr>
        <w:spacing w:after="0" w:line="460" w:lineRule="exact"/>
        <w:rPr>
          <w:rFonts w:hint="eastAsia" w:ascii="仿宋_GB2312" w:hAnsi="仿宋_GB2312" w:eastAsia="仿宋_GB2312" w:cs="仿宋_GB2312"/>
          <w:bCs/>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bCs/>
          <w:sz w:val="24"/>
          <w:highlight w:val="none"/>
        </w:rPr>
        <w:t>2.5 所有投标产品均需提供样品（或含投标产品技术指标的产品说明(介绍)彩页），样品</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彩页</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rPr>
        <w:t>于开标时与</w:t>
      </w:r>
      <w:r>
        <w:rPr>
          <w:rFonts w:hint="eastAsia" w:ascii="仿宋_GB2312" w:hAnsi="仿宋_GB2312" w:eastAsia="仿宋_GB2312" w:cs="仿宋_GB2312"/>
          <w:bCs/>
          <w:sz w:val="24"/>
          <w:highlight w:val="none"/>
          <w:lang w:eastAsia="zh-CN"/>
        </w:rPr>
        <w:t>投标</w:t>
      </w:r>
      <w:r>
        <w:rPr>
          <w:rFonts w:hint="eastAsia" w:ascii="仿宋_GB2312" w:hAnsi="仿宋_GB2312" w:eastAsia="仿宋_GB2312" w:cs="仿宋_GB2312"/>
          <w:bCs/>
          <w:sz w:val="24"/>
          <w:highlight w:val="none"/>
        </w:rPr>
        <w:t>文件同时提交，按标段分别密封包装并注明“投标单位名称”、标段名称及产品详细说明等信息。</w:t>
      </w:r>
    </w:p>
    <w:p>
      <w:pPr>
        <w:spacing w:after="0" w:line="460" w:lineRule="exact"/>
        <w:rPr>
          <w:rFonts w:hint="eastAsia" w:ascii="仿宋_GB2312" w:hAnsi="仿宋_GB2312" w:eastAsia="仿宋_GB2312" w:cs="仿宋_GB2312"/>
          <w:bCs/>
          <w:sz w:val="24"/>
          <w:highlight w:val="none"/>
        </w:rPr>
      </w:pPr>
      <w:r>
        <w:rPr>
          <w:rFonts w:hint="eastAsia" w:ascii="仿宋_GB2312" w:hAnsi="仿宋_GB2312" w:eastAsia="仿宋_GB2312" w:cs="仿宋_GB2312"/>
          <w:sz w:val="24"/>
          <w:highlight w:val="none"/>
        </w:rPr>
        <w:t>2.6如提供配套设备，中标</w:t>
      </w:r>
      <w:r>
        <w:rPr>
          <w:rFonts w:hint="eastAsia" w:ascii="仿宋_GB2312" w:hAnsi="仿宋_GB2312" w:eastAsia="仿宋_GB2312" w:cs="仿宋_GB2312"/>
          <w:sz w:val="24"/>
          <w:highlight w:val="none"/>
          <w:lang w:eastAsia="zh-CN"/>
        </w:rPr>
        <w:t>人</w:t>
      </w:r>
      <w:r>
        <w:rPr>
          <w:rFonts w:hint="eastAsia" w:ascii="仿宋_GB2312" w:hAnsi="仿宋_GB2312" w:eastAsia="仿宋_GB2312" w:cs="仿宋_GB2312"/>
          <w:sz w:val="24"/>
          <w:highlight w:val="none"/>
        </w:rPr>
        <w:t>提供免费质保服务及所有维修配件，每年需提供校准或计量报告的配套设备，也有中标</w:t>
      </w:r>
      <w:r>
        <w:rPr>
          <w:rFonts w:hint="eastAsia" w:ascii="仿宋_GB2312" w:hAnsi="仿宋_GB2312" w:eastAsia="仿宋_GB2312" w:cs="仿宋_GB2312"/>
          <w:sz w:val="24"/>
          <w:highlight w:val="none"/>
          <w:lang w:eastAsia="zh-CN"/>
        </w:rPr>
        <w:t>人</w:t>
      </w:r>
      <w:r>
        <w:rPr>
          <w:rFonts w:hint="eastAsia" w:ascii="仿宋_GB2312" w:hAnsi="仿宋_GB2312" w:eastAsia="仿宋_GB2312" w:cs="仿宋_GB2312"/>
          <w:sz w:val="24"/>
          <w:highlight w:val="none"/>
        </w:rPr>
        <w:t>负责免费提供。</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2.7产品</w:t>
      </w:r>
      <w:r>
        <w:rPr>
          <w:rFonts w:hint="eastAsia" w:ascii="仿宋_GB2312" w:hAnsi="仿宋_GB2312" w:eastAsia="仿宋_GB2312" w:cs="仿宋_GB2312"/>
          <w:b/>
          <w:bCs/>
          <w:sz w:val="24"/>
          <w:highlight w:val="none"/>
        </w:rPr>
        <w:t>单价</w:t>
      </w:r>
      <w:r>
        <w:rPr>
          <w:rFonts w:hint="eastAsia" w:ascii="仿宋_GB2312" w:hAnsi="仿宋_GB2312" w:eastAsia="仿宋_GB2312" w:cs="仿宋_GB2312"/>
          <w:sz w:val="24"/>
          <w:highlight w:val="none"/>
        </w:rPr>
        <w:t>不得高于绍兴地区其他医院同期同类产品供货价。属于省平台阳光采购的产品投标</w:t>
      </w:r>
      <w:r>
        <w:rPr>
          <w:rFonts w:hint="eastAsia" w:ascii="仿宋_GB2312" w:hAnsi="仿宋_GB2312" w:eastAsia="仿宋_GB2312" w:cs="仿宋_GB2312"/>
          <w:b/>
          <w:bCs/>
          <w:sz w:val="24"/>
          <w:highlight w:val="none"/>
        </w:rPr>
        <w:t>单价</w:t>
      </w:r>
      <w:r>
        <w:rPr>
          <w:rFonts w:hint="eastAsia" w:ascii="仿宋_GB2312" w:hAnsi="仿宋_GB2312" w:eastAsia="仿宋_GB2312" w:cs="仿宋_GB2312"/>
          <w:sz w:val="24"/>
          <w:highlight w:val="none"/>
        </w:rPr>
        <w:t>不能高于该产品省平台平均价。</w:t>
      </w:r>
    </w:p>
    <w:p>
      <w:pPr>
        <w:spacing w:after="0" w:line="46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lang w:eastAsia="zh-CN"/>
        </w:rPr>
        <w:t>二</w:t>
      </w:r>
      <w:r>
        <w:rPr>
          <w:rFonts w:hint="eastAsia" w:ascii="仿宋_GB2312" w:hAnsi="仿宋_GB2312" w:eastAsia="仿宋_GB2312" w:cs="仿宋_GB2312"/>
          <w:b/>
          <w:sz w:val="24"/>
          <w:highlight w:val="none"/>
        </w:rPr>
        <w:t>、服务要求</w:t>
      </w:r>
    </w:p>
    <w:p>
      <w:pPr>
        <w:spacing w:after="0" w:line="400" w:lineRule="exact"/>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1.如中标单位产品质量或配送服务等不能达到规定要求，使用评估不符合临床要求，采购人将取消该单位的中标资格。</w:t>
      </w:r>
    </w:p>
    <w:p>
      <w:pPr>
        <w:spacing w:after="0" w:line="460" w:lineRule="exact"/>
        <w:rPr>
          <w:rFonts w:ascii="仿宋_GB2312" w:hAnsi="仿宋" w:eastAsia="仿宋_GB2312" w:cs="仿宋"/>
          <w:sz w:val="24"/>
          <w:szCs w:val="24"/>
          <w:highlight w:val="none"/>
        </w:rPr>
      </w:pPr>
      <w:r>
        <w:rPr>
          <w:rFonts w:hint="eastAsia" w:ascii="仿宋_GB2312" w:hAnsi="仿宋" w:eastAsia="仿宋_GB2312" w:cs="仿宋"/>
          <w:sz w:val="24"/>
          <w:szCs w:val="24"/>
          <w:highlight w:val="none"/>
          <w:lang w:val="en-US" w:eastAsia="zh-CN"/>
        </w:rPr>
        <w:t>2.</w:t>
      </w:r>
      <w:r>
        <w:rPr>
          <w:rFonts w:hint="eastAsia" w:ascii="仿宋_GB2312" w:hAnsi="仿宋" w:eastAsia="仿宋_GB2312" w:cs="仿宋"/>
          <w:sz w:val="24"/>
          <w:szCs w:val="24"/>
          <w:highlight w:val="none"/>
        </w:rPr>
        <w:t xml:space="preserve"> 投标文件中所列材料必须保证有货，标段内所列产品必须齐全，不得虚假应标，否则将被作为不诚实行为，</w:t>
      </w:r>
      <w:r>
        <w:rPr>
          <w:rFonts w:hint="eastAsia" w:ascii="仿宋_GB2312" w:hAnsi="仿宋" w:eastAsia="仿宋_GB2312" w:cs="仿宋"/>
          <w:sz w:val="24"/>
          <w:szCs w:val="24"/>
          <w:highlight w:val="none"/>
          <w:lang w:eastAsia="zh-CN"/>
        </w:rPr>
        <w:t>采购人</w:t>
      </w:r>
      <w:r>
        <w:rPr>
          <w:rFonts w:hint="eastAsia" w:ascii="仿宋_GB2312" w:hAnsi="仿宋" w:eastAsia="仿宋_GB2312" w:cs="仿宋"/>
          <w:sz w:val="24"/>
          <w:szCs w:val="24"/>
          <w:highlight w:val="none"/>
        </w:rPr>
        <w:t>有权要求其改正。如有提供假冒伪劣产品、缺项等违约行为，采购人将取消合同，追究其责任，中标单位承担所有产生的相关费用及相关法律责任。</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eastAsia="zh-CN"/>
        </w:rPr>
        <w:t>中标</w:t>
      </w:r>
      <w:r>
        <w:rPr>
          <w:rFonts w:hint="eastAsia" w:ascii="仿宋_GB2312" w:hAnsi="仿宋_GB2312" w:eastAsia="仿宋_GB2312" w:cs="仿宋_GB2312"/>
          <w:sz w:val="24"/>
          <w:highlight w:val="none"/>
        </w:rPr>
        <w:t>人接到院方电话通知2个工作日内，紧急送货要求3小时内送达，必须送货上门,且</w:t>
      </w:r>
      <w:r>
        <w:rPr>
          <w:rFonts w:hint="eastAsia" w:ascii="仿宋_GB2312" w:hAnsi="仿宋_GB2312" w:eastAsia="仿宋_GB2312" w:cs="仿宋_GB2312"/>
          <w:b/>
          <w:sz w:val="24"/>
          <w:highlight w:val="none"/>
        </w:rPr>
        <w:t>产品效期不得小于半年</w:t>
      </w:r>
      <w:r>
        <w:rPr>
          <w:rFonts w:hint="eastAsia" w:ascii="仿宋_GB2312" w:hAnsi="仿宋_GB2312" w:eastAsia="仿宋_GB2312" w:cs="仿宋_GB2312"/>
          <w:sz w:val="24"/>
          <w:highlight w:val="none"/>
        </w:rPr>
        <w:t>。</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.合同期内，累计三次无正当理由不能提供产品的，采购人有权取消合同。</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.合同履行期间，采购人视具体中标和使用情况，对不符合采购人使用要求的个别项目产品进行调整，中标人应配合做好相关工作。</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6</w:t>
      </w:r>
      <w:r>
        <w:rPr>
          <w:rFonts w:hint="eastAsia" w:ascii="仿宋_GB2312" w:hAnsi="仿宋_GB2312" w:eastAsia="仿宋_GB2312" w:cs="仿宋_GB2312"/>
          <w:sz w:val="24"/>
          <w:highlight w:val="none"/>
        </w:rPr>
        <w:t>.投标人对</w:t>
      </w:r>
      <w:r>
        <w:rPr>
          <w:rFonts w:hint="eastAsia" w:ascii="仿宋_GB2312" w:hAnsi="仿宋_GB2312" w:eastAsia="仿宋_GB2312" w:cs="仿宋_GB2312"/>
          <w:sz w:val="24"/>
          <w:highlight w:val="none"/>
          <w:lang w:val="en-US" w:eastAsia="zh-CN"/>
        </w:rPr>
        <w:t>采购人</w:t>
      </w:r>
      <w:r>
        <w:rPr>
          <w:rFonts w:hint="eastAsia" w:ascii="仿宋_GB2312" w:hAnsi="仿宋_GB2312" w:eastAsia="仿宋_GB2312" w:cs="仿宋_GB2312"/>
          <w:sz w:val="24"/>
          <w:highlight w:val="none"/>
        </w:rPr>
        <w:t>不明原因（非院方及患者原因或产品质量问题）引起的医疗投诉、纠纷，能协助</w:t>
      </w:r>
      <w:r>
        <w:rPr>
          <w:rFonts w:hint="eastAsia" w:ascii="仿宋_GB2312" w:hAnsi="仿宋_GB2312" w:eastAsia="仿宋_GB2312" w:cs="仿宋_GB2312"/>
          <w:sz w:val="24"/>
          <w:highlight w:val="none"/>
          <w:lang w:val="en-US" w:eastAsia="zh-CN"/>
        </w:rPr>
        <w:t>采购人</w:t>
      </w:r>
      <w:r>
        <w:rPr>
          <w:rFonts w:hint="eastAsia" w:ascii="仿宋_GB2312" w:hAnsi="仿宋_GB2312" w:eastAsia="仿宋_GB2312" w:cs="仿宋_GB2312"/>
          <w:sz w:val="24"/>
          <w:highlight w:val="none"/>
        </w:rPr>
        <w:t>做好患者的协调工作，并承担一定的处理费用。若不能积极配合者，下次招标不予考虑。</w:t>
      </w:r>
    </w:p>
    <w:p>
      <w:pPr>
        <w:spacing w:after="0" w:line="460" w:lineRule="exact"/>
        <w:rPr>
          <w:rFonts w:hint="eastAsia" w:ascii="仿宋_GB2312" w:hAnsi="仿宋_GB2312" w:eastAsia="仿宋_GB2312" w:cs="仿宋_GB2312"/>
          <w:b/>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.除中标企业工商变更外，不得授权销售；由于代理权限的转移或者公司注销等原因，中标人应以书面的形式说明原因并协助医院做好产品的延续工作。</w:t>
      </w:r>
      <w:r>
        <w:rPr>
          <w:rFonts w:hint="eastAsia" w:ascii="仿宋_GB2312" w:hAnsi="仿宋_GB2312" w:eastAsia="仿宋_GB2312" w:cs="仿宋_GB2312"/>
          <w:b/>
          <w:sz w:val="24"/>
          <w:highlight w:val="none"/>
        </w:rPr>
        <w:t>采购人有权重新确定新供货单位。</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8</w:t>
      </w:r>
      <w:r>
        <w:rPr>
          <w:rFonts w:hint="eastAsia" w:ascii="仿宋_GB2312" w:hAnsi="仿宋_GB2312" w:eastAsia="仿宋_GB2312" w:cs="仿宋_GB2312"/>
          <w:sz w:val="24"/>
          <w:highlight w:val="none"/>
        </w:rPr>
        <w:t>.合同期满后，在采购人没有再次进行招标前，或因再次招标至中标人改变，原中标人必须协助采购人做好衔接工作且供应价不变。</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9</w:t>
      </w:r>
      <w:r>
        <w:rPr>
          <w:rFonts w:hint="eastAsia" w:ascii="仿宋_GB2312" w:hAnsi="仿宋_GB2312" w:eastAsia="仿宋_GB2312" w:cs="仿宋_GB2312"/>
          <w:sz w:val="24"/>
          <w:highlight w:val="none"/>
        </w:rPr>
        <w:t>. 合同期间如遇有上级部门集中招标采购规定的，按上级部门规定执行，本期合同自然终止。</w:t>
      </w:r>
    </w:p>
    <w:p>
      <w:pPr>
        <w:spacing w:after="0" w:line="460" w:lineRule="exact"/>
        <w:rPr>
          <w:rFonts w:hint="eastAsia" w:ascii="仿宋_GB2312" w:hAnsi="仿宋_GB2312" w:eastAsia="仿宋_GB2312" w:cs="仿宋_GB2312"/>
          <w:b/>
          <w:bCs/>
          <w:sz w:val="24"/>
          <w:highlight w:val="none"/>
          <w:lang w:eastAsia="zh-CN"/>
        </w:rPr>
      </w:pPr>
      <w:r>
        <w:rPr>
          <w:rFonts w:hint="eastAsia" w:ascii="仿宋_GB2312" w:hAnsi="仿宋_GB2312" w:eastAsia="仿宋_GB2312" w:cs="仿宋_GB2312"/>
          <w:b/>
          <w:bCs/>
          <w:sz w:val="24"/>
          <w:highlight w:val="none"/>
          <w:lang w:eastAsia="zh-CN"/>
        </w:rPr>
        <w:t>三.报价方式</w:t>
      </w:r>
    </w:p>
    <w:p>
      <w:pPr>
        <w:spacing w:after="0" w:line="400" w:lineRule="exact"/>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本次招标报价以标段总价形式报价，并写明各产品单价，不得有缺项</w:t>
      </w:r>
      <w:r>
        <w:rPr>
          <w:rFonts w:hint="eastAsia" w:ascii="仿宋_GB2312" w:hAnsi="仿宋_GB2312" w:eastAsia="仿宋_GB2312" w:cs="仿宋_GB2312"/>
          <w:sz w:val="24"/>
          <w:highlight w:val="none"/>
        </w:rPr>
        <w:t>。总标段价格不高于预计采购总价, 产品</w:t>
      </w:r>
      <w:r>
        <w:rPr>
          <w:rFonts w:hint="eastAsia" w:ascii="仿宋_GB2312" w:hAnsi="仿宋_GB2312" w:eastAsia="仿宋_GB2312" w:cs="仿宋_GB2312"/>
          <w:b/>
          <w:bCs/>
          <w:sz w:val="24"/>
          <w:highlight w:val="none"/>
        </w:rPr>
        <w:t>单价</w:t>
      </w:r>
      <w:r>
        <w:rPr>
          <w:rFonts w:hint="eastAsia" w:ascii="仿宋_GB2312" w:hAnsi="仿宋_GB2312" w:eastAsia="仿宋_GB2312" w:cs="仿宋_GB2312"/>
          <w:sz w:val="24"/>
          <w:highlight w:val="none"/>
        </w:rPr>
        <w:t>不得高于医院上限价和省平台平均价。</w:t>
      </w:r>
    </w:p>
    <w:p>
      <w:pPr>
        <w:spacing w:after="0" w:line="460" w:lineRule="exact"/>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lang w:eastAsia="zh-CN"/>
        </w:rPr>
        <w:t>四</w:t>
      </w:r>
      <w:r>
        <w:rPr>
          <w:rFonts w:hint="eastAsia" w:ascii="仿宋_GB2312" w:hAnsi="仿宋_GB2312" w:eastAsia="仿宋_GB2312" w:cs="仿宋_GB2312"/>
          <w:b/>
          <w:bCs/>
          <w:sz w:val="24"/>
          <w:highlight w:val="none"/>
        </w:rPr>
        <w:t>、合同期限</w:t>
      </w:r>
    </w:p>
    <w:p>
      <w:pPr>
        <w:spacing w:after="0" w:line="46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合同期限暂定</w:t>
      </w:r>
      <w:r>
        <w:rPr>
          <w:rFonts w:hint="eastAsia" w:ascii="仿宋_GB2312" w:hAnsi="仿宋_GB2312" w:eastAsia="仿宋_GB2312" w:cs="仿宋_GB2312"/>
          <w:sz w:val="24"/>
          <w:highlight w:val="none"/>
          <w:lang w:val="en-US" w:eastAsia="zh-CN"/>
        </w:rPr>
        <w:t>自2021年3月1日至2022年12月31日（21个月）</w:t>
      </w:r>
      <w:r>
        <w:rPr>
          <w:rFonts w:hint="eastAsia" w:ascii="仿宋_GB2312" w:hAnsi="仿宋_GB2312" w:eastAsia="仿宋_GB2312" w:cs="仿宋_GB2312"/>
          <w:sz w:val="24"/>
          <w:highlight w:val="none"/>
        </w:rPr>
        <w:t>。合同期满后，在下次招标前原合同仍有效。</w:t>
      </w:r>
    </w:p>
    <w:p>
      <w:pPr>
        <w:spacing w:after="0" w:line="460" w:lineRule="exact"/>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lang w:eastAsia="zh-CN"/>
        </w:rPr>
        <w:t>五</w:t>
      </w:r>
      <w:r>
        <w:rPr>
          <w:rFonts w:hint="eastAsia" w:ascii="仿宋_GB2312" w:hAnsi="仿宋_GB2312" w:eastAsia="仿宋_GB2312" w:cs="仿宋_GB2312"/>
          <w:b/>
          <w:bCs/>
          <w:sz w:val="24"/>
          <w:highlight w:val="none"/>
        </w:rPr>
        <w:t>、付款方式</w:t>
      </w:r>
    </w:p>
    <w:p>
      <w:pPr>
        <w:pStyle w:val="12"/>
        <w:widowControl w:val="0"/>
        <w:numPr>
          <w:ilvl w:val="0"/>
          <w:numId w:val="0"/>
        </w:numPr>
        <w:tabs>
          <w:tab w:val="clear" w:pos="1697"/>
        </w:tabs>
        <w:spacing w:line="440" w:lineRule="exact"/>
        <w:ind w:firstLine="240" w:firstLineChars="1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货到验收合格，财务入账后，3个月内支付（遇质量问题等特殊情况除外）。发票章单位名称必须与投标时公章名称相符合，否则医院有权拒付相关款项。</w:t>
      </w:r>
    </w:p>
    <w:p>
      <w:pPr>
        <w:spacing w:line="360" w:lineRule="auto"/>
        <w:contextualSpacing/>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六、</w:t>
      </w:r>
      <w:r>
        <w:rPr>
          <w:rFonts w:hint="eastAsia" w:ascii="仿宋" w:hAnsi="仿宋" w:eastAsia="仿宋" w:cs="仿宋"/>
          <w:b/>
          <w:color w:val="auto"/>
          <w:sz w:val="24"/>
          <w:highlight w:val="none"/>
        </w:rPr>
        <w:t>样品提供：</w:t>
      </w:r>
    </w:p>
    <w:p>
      <w:pPr>
        <w:numPr>
          <w:ilvl w:val="-1"/>
          <w:numId w:val="0"/>
        </w:numPr>
        <w:spacing w:line="360" w:lineRule="auto"/>
        <w:contextualSpacing/>
        <w:rPr>
          <w:rFonts w:hint="eastAsia" w:ascii="仿宋" w:hAnsi="仿宋" w:eastAsia="仿宋" w:cs="仿宋"/>
          <w:color w:val="auto"/>
          <w:szCs w:val="24"/>
          <w:highlight w:val="none"/>
        </w:rPr>
      </w:pPr>
      <w:r>
        <w:rPr>
          <w:rFonts w:hint="eastAsia" w:ascii="仿宋_GB2312" w:hAnsi="宋体" w:eastAsia="仿宋_GB2312" w:cs="宋体"/>
          <w:color w:val="000000" w:themeColor="text1"/>
          <w:sz w:val="24"/>
          <w:highlight w:val="none"/>
          <w:lang w:val="en-US" w:eastAsia="zh-CN"/>
        </w:rPr>
        <w:t>1.</w:t>
      </w:r>
      <w:r>
        <w:rPr>
          <w:rFonts w:hint="eastAsia" w:ascii="仿宋_GB2312" w:hAnsi="宋体" w:eastAsia="仿宋_GB2312" w:cs="宋体"/>
          <w:color w:val="000000" w:themeColor="text1"/>
          <w:sz w:val="24"/>
          <w:highlight w:val="none"/>
        </w:rPr>
        <w:t>时间要求：202</w:t>
      </w:r>
      <w:r>
        <w:rPr>
          <w:rFonts w:hint="eastAsia" w:ascii="仿宋_GB2312" w:hAnsi="宋体" w:eastAsia="仿宋_GB2312" w:cs="宋体"/>
          <w:color w:val="000000" w:themeColor="text1"/>
          <w:sz w:val="24"/>
          <w:highlight w:val="none"/>
          <w:lang w:val="en-US" w:eastAsia="zh-CN"/>
        </w:rPr>
        <w:t>1</w:t>
      </w:r>
      <w:r>
        <w:rPr>
          <w:rFonts w:hint="eastAsia" w:ascii="仿宋_GB2312" w:hAnsi="宋体" w:eastAsia="仿宋_GB2312" w:cs="宋体"/>
          <w:color w:val="000000" w:themeColor="text1"/>
          <w:sz w:val="24"/>
          <w:highlight w:val="none"/>
        </w:rPr>
        <w:t xml:space="preserve">年月日17点前 </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2.样品规格及数量：</w:t>
      </w: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宋体" w:eastAsia="仿宋_GB2312" w:cs="宋体"/>
          <w:color w:val="000000" w:themeColor="text1"/>
          <w:sz w:val="24"/>
          <w:highlight w:val="none"/>
          <w:lang w:eastAsia="zh-CN"/>
        </w:rPr>
        <w:t>一次性使用肠给养器（重力滴注型）</w:t>
      </w:r>
      <w:r>
        <w:rPr>
          <w:rFonts w:hint="eastAsia" w:ascii="仿宋_GB2312" w:hAnsi="宋体" w:eastAsia="仿宋_GB2312" w:cs="宋体"/>
          <w:color w:val="000000" w:themeColor="text1"/>
          <w:sz w:val="24"/>
          <w:highlight w:val="none"/>
        </w:rPr>
        <w:t>一个</w:t>
      </w:r>
      <w:r>
        <w:rPr>
          <w:rFonts w:hint="eastAsia" w:ascii="仿宋_GB2312" w:hAnsi="宋体" w:eastAsia="仿宋_GB2312" w:cs="宋体"/>
          <w:color w:val="000000" w:themeColor="text1"/>
          <w:sz w:val="24"/>
          <w:highlight w:val="yellow"/>
          <w:lang w:eastAsia="zh-CN"/>
        </w:rPr>
        <w:t>（</w:t>
      </w:r>
      <w:r>
        <w:rPr>
          <w:rFonts w:hint="eastAsia" w:ascii="仿宋_GB2312" w:hAnsi="宋体" w:eastAsia="仿宋_GB2312" w:cs="宋体"/>
          <w:color w:val="000000" w:themeColor="text1"/>
          <w:sz w:val="24"/>
          <w:highlight w:val="yellow"/>
          <w:lang w:val="en-US" w:eastAsia="zh-CN"/>
        </w:rPr>
        <w:t>可提供彩页</w:t>
      </w:r>
      <w:r>
        <w:rPr>
          <w:rFonts w:hint="eastAsia" w:ascii="仿宋_GB2312" w:hAnsi="宋体" w:eastAsia="仿宋_GB2312" w:cs="宋体"/>
          <w:color w:val="000000" w:themeColor="text1"/>
          <w:sz w:val="24"/>
          <w:highlight w:val="yellow"/>
          <w:lang w:eastAsia="zh-CN"/>
        </w:rPr>
        <w:t>）</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3.样品</w:t>
      </w:r>
      <w:r>
        <w:rPr>
          <w:rFonts w:hint="eastAsia" w:ascii="仿宋_GB2312" w:hAnsi="宋体" w:eastAsia="仿宋_GB2312" w:cs="宋体"/>
          <w:color w:val="000000" w:themeColor="text1"/>
          <w:sz w:val="24"/>
          <w:highlight w:val="none"/>
          <w:lang w:eastAsia="zh-CN"/>
        </w:rPr>
        <w:t>邮寄或</w:t>
      </w:r>
      <w:r>
        <w:rPr>
          <w:rFonts w:hint="eastAsia" w:ascii="仿宋_GB2312" w:hAnsi="宋体" w:eastAsia="仿宋_GB2312" w:cs="宋体"/>
          <w:color w:val="000000" w:themeColor="text1"/>
          <w:sz w:val="24"/>
          <w:highlight w:val="none"/>
        </w:rPr>
        <w:t>送达地点：绍兴市朝皇路58号正大综合楼601</w:t>
      </w:r>
      <w:r>
        <w:rPr>
          <w:rFonts w:hint="eastAsia" w:ascii="仿宋_GB2312" w:hAnsi="宋体" w:eastAsia="仿宋_GB2312" w:cs="宋体"/>
          <w:color w:val="000000" w:themeColor="text1"/>
          <w:sz w:val="24"/>
          <w:highlight w:val="none"/>
          <w:lang w:eastAsia="zh-CN"/>
        </w:rPr>
        <w:t>招标代理部</w:t>
      </w:r>
    </w:p>
    <w:p>
      <w:pPr>
        <w:numPr>
          <w:ilvl w:val="0"/>
          <w:numId w:val="0"/>
        </w:numPr>
        <w:spacing w:line="360" w:lineRule="auto"/>
        <w:contextualSpacing/>
        <w:rPr>
          <w:rFonts w:hint="default" w:ascii="仿宋_GB2312" w:hAnsi="宋体" w:eastAsia="仿宋_GB2312" w:cs="宋体"/>
          <w:color w:val="000000" w:themeColor="text1"/>
          <w:sz w:val="24"/>
          <w:highlight w:val="none"/>
          <w:lang w:val="en-US" w:eastAsia="zh-CN"/>
        </w:rPr>
      </w:pPr>
      <w:r>
        <w:rPr>
          <w:rFonts w:hint="eastAsia" w:ascii="仿宋_GB2312" w:hAnsi="宋体" w:eastAsia="仿宋_GB2312" w:cs="宋体"/>
          <w:color w:val="000000" w:themeColor="text1"/>
          <w:sz w:val="24"/>
          <w:highlight w:val="none"/>
        </w:rPr>
        <w:t>4.</w:t>
      </w:r>
      <w:r>
        <w:rPr>
          <w:rFonts w:hint="eastAsia" w:ascii="仿宋_GB2312" w:hAnsi="宋体" w:eastAsia="仿宋_GB2312" w:cs="宋体"/>
          <w:color w:val="000000" w:themeColor="text1"/>
          <w:sz w:val="24"/>
          <w:highlight w:val="none"/>
          <w:lang w:eastAsia="zh-CN"/>
        </w:rPr>
        <w:t>邮寄或</w:t>
      </w:r>
      <w:r>
        <w:rPr>
          <w:rFonts w:hint="eastAsia" w:ascii="仿宋_GB2312" w:hAnsi="宋体" w:eastAsia="仿宋_GB2312" w:cs="宋体"/>
          <w:color w:val="000000" w:themeColor="text1"/>
          <w:sz w:val="24"/>
          <w:highlight w:val="none"/>
        </w:rPr>
        <w:t>送样联系方式：金</w:t>
      </w:r>
      <w:r>
        <w:rPr>
          <w:rFonts w:hint="eastAsia" w:ascii="仿宋_GB2312" w:hAnsi="宋体" w:eastAsia="仿宋_GB2312" w:cs="宋体"/>
          <w:color w:val="000000" w:themeColor="text1"/>
          <w:sz w:val="24"/>
          <w:highlight w:val="none"/>
          <w:lang w:eastAsia="zh-CN"/>
        </w:rPr>
        <w:t>锦英</w:t>
      </w:r>
      <w:r>
        <w:rPr>
          <w:rFonts w:hint="eastAsia" w:ascii="仿宋_GB2312" w:hAnsi="宋体" w:eastAsia="仿宋_GB2312" w:cs="宋体"/>
          <w:color w:val="000000" w:themeColor="text1"/>
          <w:sz w:val="24"/>
          <w:highlight w:val="none"/>
        </w:rPr>
        <w:t xml:space="preserve"> 0575-88</w:t>
      </w:r>
      <w:r>
        <w:rPr>
          <w:rFonts w:hint="eastAsia" w:ascii="仿宋_GB2312" w:hAnsi="宋体" w:eastAsia="仿宋_GB2312" w:cs="宋体"/>
          <w:color w:val="000000" w:themeColor="text1"/>
          <w:sz w:val="24"/>
          <w:highlight w:val="none"/>
          <w:lang w:val="en-US" w:eastAsia="zh-CN"/>
        </w:rPr>
        <w:t>226969/13656752180</w:t>
      </w:r>
    </w:p>
    <w:p>
      <w:pPr>
        <w:pStyle w:val="12"/>
        <w:widowControl w:val="0"/>
        <w:numPr>
          <w:ilvl w:val="-1"/>
          <w:numId w:val="0"/>
        </w:numPr>
        <w:tabs>
          <w:tab w:val="clear" w:pos="1697"/>
        </w:tabs>
        <w:spacing w:line="440" w:lineRule="exact"/>
        <w:ind w:left="0" w:leftChars="0" w:firstLine="0" w:firstLineChars="0"/>
        <w:rPr>
          <w:rFonts w:hint="eastAsia" w:ascii="仿宋_GB2312" w:hAnsi="仿宋_GB2312" w:eastAsia="仿宋_GB2312" w:cs="仿宋_GB2312"/>
          <w:sz w:val="24"/>
          <w:highlight w:val="none"/>
          <w:lang w:eastAsia="zh-CN"/>
        </w:rPr>
      </w:pPr>
      <w:r>
        <w:rPr>
          <w:rFonts w:hint="eastAsia" w:ascii="仿宋_GB2312" w:hAnsi="宋体" w:eastAsia="仿宋_GB2312" w:cs="宋体"/>
          <w:color w:val="000000" w:themeColor="text1"/>
          <w:sz w:val="24"/>
          <w:highlight w:val="none"/>
        </w:rPr>
        <w:t>5.其他：</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1）样品需贴有标注供应商名称且加盖公章的标签。</w:t>
      </w:r>
      <w:r>
        <w:rPr>
          <w:rFonts w:hint="eastAsia" w:ascii="仿宋_GB2312" w:hAnsi="宋体" w:eastAsia="仿宋_GB2312" w:cs="宋体"/>
          <w:color w:val="000000" w:themeColor="text1"/>
          <w:sz w:val="24"/>
          <w:highlight w:val="none"/>
        </w:rPr>
        <w:br w:type="textWrapping"/>
      </w:r>
      <w:r>
        <w:rPr>
          <w:rFonts w:hint="eastAsia" w:ascii="仿宋_GB2312" w:hAnsi="宋体" w:eastAsia="仿宋_GB2312" w:cs="宋体"/>
          <w:color w:val="000000" w:themeColor="text1"/>
          <w:sz w:val="24"/>
          <w:highlight w:val="none"/>
        </w:rPr>
        <w:t>2）中标人样品不予退还，由采购人带回并妥善保管作为验收的参考；未中标人样品开标结束后请自行带回，本</w:t>
      </w:r>
      <w:r>
        <w:rPr>
          <w:rFonts w:hint="eastAsia" w:ascii="仿宋_GB2312" w:hAnsi="宋体" w:eastAsia="仿宋_GB2312" w:cs="宋体"/>
          <w:color w:val="000000" w:themeColor="text1"/>
          <w:sz w:val="24"/>
          <w:highlight w:val="none"/>
          <w:lang w:eastAsia="zh-CN"/>
        </w:rPr>
        <w:t>代理机构</w:t>
      </w:r>
      <w:r>
        <w:rPr>
          <w:rFonts w:hint="eastAsia" w:ascii="仿宋_GB2312" w:hAnsi="宋体" w:eastAsia="仿宋_GB2312" w:cs="宋体"/>
          <w:color w:val="000000" w:themeColor="text1"/>
          <w:sz w:val="24"/>
          <w:highlight w:val="none"/>
        </w:rPr>
        <w:t>不予保管。</w:t>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1" w:name="OLE_LINK1"/>
      <w:r>
        <w:rPr>
          <w:rFonts w:hint="eastAsia" w:ascii="仿宋" w:hAnsi="仿宋" w:eastAsia="仿宋" w:cs="仿宋"/>
          <w:b/>
          <w:color w:val="auto"/>
          <w:sz w:val="24"/>
          <w:highlight w:val="none"/>
        </w:rPr>
        <w:t>范围</w:t>
      </w:r>
      <w:bookmarkEnd w:id="11"/>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6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2"/>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5.商品包装和快递包装要求</w:t>
      </w:r>
    </w:p>
    <w:p>
      <w:pPr>
        <w:snapToGrid w:val="0"/>
        <w:spacing w:line="440" w:lineRule="exact"/>
        <w:ind w:firstLine="482" w:firstLineChars="20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 质量标准和验收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6.1中标人提供的产品及服务必须是经合法途径取得的。</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6.3验收由使用单位按规定组织相关人员或专家进行。</w:t>
      </w:r>
    </w:p>
    <w:p>
      <w:pPr>
        <w:spacing w:line="440" w:lineRule="exact"/>
        <w:ind w:hanging="2"/>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7.违约责任</w:t>
      </w:r>
    </w:p>
    <w:p>
      <w:pPr>
        <w:pStyle w:val="19"/>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8．违约赔偿</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 xml:space="preserve">8.2 </w:t>
      </w:r>
      <w:r>
        <w:rPr>
          <w:rFonts w:hint="eastAsia" w:ascii="仿宋_GB2312" w:hAnsi="宋体" w:eastAsia="仿宋_GB2312"/>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9.不可抗力</w:t>
      </w:r>
    </w:p>
    <w:p>
      <w:pPr>
        <w:pStyle w:val="12"/>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10.解决合同纠纷的方式</w:t>
      </w:r>
    </w:p>
    <w:p>
      <w:pPr>
        <w:pStyle w:val="12"/>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10.3在仲裁和诉讼期间，除正在进行裁定的部分外，本合同其他部分应继续执行。</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10.4合同应在双方签字盖章后开始生效。</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（注：在正式签约时，根据上述精神应拟就更为详尽的合同书）</w:t>
      </w:r>
    </w:p>
    <w:p>
      <w:pPr>
        <w:spacing w:line="380" w:lineRule="exact"/>
        <w:ind w:firstLine="480" w:firstLineChars="200"/>
        <w:jc w:val="left"/>
        <w:rPr>
          <w:rFonts w:hint="eastAsia" w:ascii="仿宋" w:hAnsi="仿宋" w:eastAsia="仿宋" w:cs="仿宋"/>
          <w:color w:val="auto"/>
          <w:sz w:val="24"/>
          <w:highlight w:val="none"/>
        </w:rPr>
      </w:pPr>
    </w:p>
    <w:p>
      <w:pPr>
        <w:pStyle w:val="22"/>
        <w:spacing w:line="800" w:lineRule="exact"/>
        <w:jc w:val="both"/>
        <w:rPr>
          <w:rFonts w:hint="eastAsia" w:ascii="仿宋" w:hAnsi="仿宋" w:eastAsia="仿宋" w:cs="仿宋"/>
          <w:b/>
          <w:color w:val="auto"/>
          <w:sz w:val="36"/>
          <w:szCs w:val="36"/>
          <w:highlight w:val="none"/>
        </w:rPr>
      </w:pP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w:t>
      </w:r>
      <w:r>
        <w:rPr>
          <w:rFonts w:hint="eastAsia" w:ascii="仿宋" w:hAnsi="仿宋" w:eastAsia="仿宋" w:cs="仿宋"/>
          <w:b/>
          <w:bCs/>
          <w:iCs/>
          <w:color w:val="auto"/>
          <w:sz w:val="24"/>
          <w:highlight w:val="none"/>
        </w:rPr>
        <w:t>0分）</w:t>
      </w:r>
    </w:p>
    <w:tbl>
      <w:tblPr>
        <w:tblStyle w:val="41"/>
        <w:tblW w:w="9066" w:type="dxa"/>
        <w:tblInd w:w="-418" w:type="dxa"/>
        <w:tblLayout w:type="autofit"/>
        <w:tblCellMar>
          <w:top w:w="0" w:type="dxa"/>
          <w:left w:w="0" w:type="dxa"/>
          <w:bottom w:w="0" w:type="dxa"/>
          <w:right w:w="0" w:type="dxa"/>
        </w:tblCellMar>
      </w:tblPr>
      <w:tblGrid>
        <w:gridCol w:w="533"/>
        <w:gridCol w:w="7883"/>
        <w:gridCol w:w="650"/>
      </w:tblGrid>
      <w:tr>
        <w:tblPrEx>
          <w:tblCellMar>
            <w:top w:w="0" w:type="dxa"/>
            <w:left w:w="0" w:type="dxa"/>
            <w:bottom w:w="0" w:type="dxa"/>
            <w:right w:w="0" w:type="dxa"/>
          </w:tblCellMar>
        </w:tblPrEx>
        <w:trPr>
          <w:trHeight w:val="300"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仿宋_GB2312" w:hAnsi="宋体" w:eastAsia="仿宋_GB2312" w:cs="仿宋_GB2312"/>
                <w:color w:val="000000"/>
                <w:sz w:val="24"/>
                <w:highlight w:val="none"/>
              </w:rPr>
            </w:pPr>
            <w:r>
              <w:rPr>
                <w:rFonts w:hint="eastAsia" w:ascii="仿宋_GB2312" w:hAnsi="宋体" w:eastAsia="仿宋_GB2312" w:cs="仿宋_GB2312"/>
                <w:color w:val="000000"/>
                <w:kern w:val="0"/>
                <w:sz w:val="24"/>
                <w:highlight w:val="none"/>
              </w:rPr>
              <w:t>序号</w:t>
            </w:r>
          </w:p>
        </w:tc>
        <w:tc>
          <w:tcPr>
            <w:tcW w:w="78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仿宋_GB2312" w:hAnsi="宋体" w:eastAsia="仿宋_GB2312" w:cs="仿宋_GB2312"/>
                <w:b/>
                <w:color w:val="000000"/>
                <w:sz w:val="24"/>
                <w:highlight w:val="none"/>
              </w:rPr>
            </w:pPr>
            <w:r>
              <w:rPr>
                <w:rFonts w:hint="eastAsia" w:ascii="仿宋_GB2312" w:hAnsi="宋体" w:eastAsia="仿宋_GB2312" w:cs="仿宋_GB2312"/>
                <w:b/>
                <w:color w:val="000000"/>
                <w:kern w:val="0"/>
                <w:sz w:val="24"/>
                <w:highlight w:val="none"/>
              </w:rPr>
              <w:t>评价指标描述</w:t>
            </w:r>
          </w:p>
        </w:tc>
        <w:tc>
          <w:tcPr>
            <w:tcW w:w="6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仿宋_GB2312" w:hAnsi="宋体" w:eastAsia="仿宋_GB2312" w:cs="仿宋_GB2312"/>
                <w:color w:val="000000"/>
                <w:sz w:val="24"/>
                <w:highlight w:val="none"/>
              </w:rPr>
            </w:pPr>
            <w:r>
              <w:rPr>
                <w:rFonts w:hint="eastAsia" w:ascii="仿宋_GB2312" w:hAnsi="宋体" w:eastAsia="仿宋_GB2312" w:cs="仿宋_GB2312"/>
                <w:color w:val="000000"/>
                <w:kern w:val="0"/>
                <w:sz w:val="24"/>
                <w:highlight w:val="none"/>
              </w:rPr>
              <w:t>分值</w:t>
            </w:r>
          </w:p>
        </w:tc>
      </w:tr>
      <w:tr>
        <w:tblPrEx>
          <w:tblCellMar>
            <w:top w:w="0" w:type="dxa"/>
            <w:left w:w="0" w:type="dxa"/>
            <w:bottom w:w="0" w:type="dxa"/>
            <w:right w:w="0" w:type="dxa"/>
          </w:tblCellMar>
        </w:tblPrEx>
        <w:trPr>
          <w:trHeight w:val="90"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1</w:t>
            </w:r>
          </w:p>
        </w:tc>
        <w:tc>
          <w:tcPr>
            <w:tcW w:w="7883" w:type="dxa"/>
            <w:tcBorders>
              <w:top w:val="single" w:color="000000" w:sz="8"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完全满足招标文件要求得18分；打★号的为实质性指标，如出现负偏离则作无效投标处理；打▲的出现负偏离每项扣6分；其他一般性指标负偏离扣3分，扣完为止。非量化类的，若是功能一样，表述方式不一样则为符合；量化类的由评审小组视情况讨论决定。</w:t>
            </w:r>
          </w:p>
        </w:tc>
        <w:tc>
          <w:tcPr>
            <w:tcW w:w="650" w:type="dxa"/>
            <w:tcBorders>
              <w:top w:val="single" w:color="000000" w:sz="8"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18</w:t>
            </w:r>
          </w:p>
        </w:tc>
      </w:tr>
      <w:tr>
        <w:tblPrEx>
          <w:tblCellMar>
            <w:top w:w="0" w:type="dxa"/>
            <w:left w:w="0" w:type="dxa"/>
            <w:bottom w:w="0" w:type="dxa"/>
            <w:right w:w="0" w:type="dxa"/>
          </w:tblCellMar>
        </w:tblPrEx>
        <w:trPr>
          <w:trHeight w:val="300"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2</w:t>
            </w:r>
          </w:p>
        </w:tc>
        <w:tc>
          <w:tcPr>
            <w:tcW w:w="7883" w:type="dxa"/>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根据样品（彩页）、临床反馈情况比较，从稳定性、均一性、重复性、实用性、方便性等方面进行综合评审，优得12.1-18.0分，良得6.1-12.0分，一般得0.1-6.0分，不符合需求得0分。</w:t>
            </w:r>
          </w:p>
        </w:tc>
        <w:tc>
          <w:tcPr>
            <w:tcW w:w="650" w:type="dxa"/>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18</w:t>
            </w:r>
          </w:p>
        </w:tc>
      </w:tr>
      <w:tr>
        <w:tblPrEx>
          <w:tblCellMar>
            <w:top w:w="0" w:type="dxa"/>
            <w:left w:w="0" w:type="dxa"/>
            <w:bottom w:w="0" w:type="dxa"/>
            <w:right w:w="0" w:type="dxa"/>
          </w:tblCellMar>
        </w:tblPrEx>
        <w:trPr>
          <w:trHeight w:val="585"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3</w:t>
            </w:r>
          </w:p>
        </w:tc>
        <w:tc>
          <w:tcPr>
            <w:tcW w:w="78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所投产品2018年1月1日以来三级医院使用情况，每提供一家三级医院得2分，最高10分。（提供进货发票及供货合同，相互印证，需覆盖该标段内60%目录内容）</w:t>
            </w:r>
          </w:p>
        </w:tc>
        <w:tc>
          <w:tcPr>
            <w:tcW w:w="6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10</w:t>
            </w:r>
          </w:p>
        </w:tc>
      </w:tr>
      <w:tr>
        <w:tblPrEx>
          <w:tblCellMar>
            <w:top w:w="0" w:type="dxa"/>
            <w:left w:w="0" w:type="dxa"/>
            <w:bottom w:w="0" w:type="dxa"/>
            <w:right w:w="0" w:type="dxa"/>
          </w:tblCellMar>
        </w:tblPrEx>
        <w:trPr>
          <w:trHeight w:val="585"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4</w:t>
            </w:r>
          </w:p>
        </w:tc>
        <w:tc>
          <w:tcPr>
            <w:tcW w:w="78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对质量目标措施的可行性、供货安装进度的安排合理性、现场安全措施的可行性等方面进行综合评审，优得2.1-3.0分，良得1.1-2.0分，一般得0.1-1.0分，无相关内容不得分。</w:t>
            </w:r>
          </w:p>
        </w:tc>
        <w:tc>
          <w:tcPr>
            <w:tcW w:w="6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3</w:t>
            </w:r>
          </w:p>
        </w:tc>
      </w:tr>
      <w:tr>
        <w:tblPrEx>
          <w:tblCellMar>
            <w:top w:w="0" w:type="dxa"/>
            <w:left w:w="0" w:type="dxa"/>
            <w:bottom w:w="0" w:type="dxa"/>
            <w:right w:w="0" w:type="dxa"/>
          </w:tblCellMar>
        </w:tblPrEx>
        <w:trPr>
          <w:trHeight w:val="585"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5</w:t>
            </w:r>
          </w:p>
        </w:tc>
        <w:tc>
          <w:tcPr>
            <w:tcW w:w="78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对售后服务方案的完整性、可行性和合理性、售后维护机构情况和人员配备情况、投标产品的配件、备品备件的准备和保障措施情况等方面进行综合评审，优得4.1-6.0分，良得2.1-4.0分，一般得0.1-2.0分，无相关不得分。</w:t>
            </w:r>
          </w:p>
        </w:tc>
        <w:tc>
          <w:tcPr>
            <w:tcW w:w="6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6</w:t>
            </w:r>
          </w:p>
        </w:tc>
      </w:tr>
      <w:tr>
        <w:tblPrEx>
          <w:tblCellMar>
            <w:top w:w="0" w:type="dxa"/>
            <w:left w:w="0" w:type="dxa"/>
            <w:bottom w:w="0" w:type="dxa"/>
            <w:right w:w="0" w:type="dxa"/>
          </w:tblCellMar>
        </w:tblPrEx>
        <w:trPr>
          <w:trHeight w:val="585"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6</w:t>
            </w:r>
          </w:p>
        </w:tc>
        <w:tc>
          <w:tcPr>
            <w:tcW w:w="78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根据有利于医院发展、科室管理及学术建设等优惠承诺情况进行综合评审，优得2.1-3.0分，良得1.1-2.0分，一般得0.1-1.0分，无优惠承诺不得分。</w:t>
            </w:r>
          </w:p>
        </w:tc>
        <w:tc>
          <w:tcPr>
            <w:tcW w:w="6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3</w:t>
            </w:r>
          </w:p>
        </w:tc>
      </w:tr>
      <w:tr>
        <w:tblPrEx>
          <w:tblCellMar>
            <w:top w:w="0" w:type="dxa"/>
            <w:left w:w="0" w:type="dxa"/>
            <w:bottom w:w="0" w:type="dxa"/>
            <w:right w:w="0" w:type="dxa"/>
          </w:tblCellMar>
        </w:tblPrEx>
        <w:trPr>
          <w:trHeight w:val="300" w:hRule="atLeast"/>
        </w:trPr>
        <w:tc>
          <w:tcPr>
            <w:tcW w:w="53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7</w:t>
            </w:r>
          </w:p>
        </w:tc>
        <w:tc>
          <w:tcPr>
            <w:tcW w:w="78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根据投标文件编制是否合理、易查、条理清晰，酌情评审0.0-2.0分。</w:t>
            </w:r>
          </w:p>
        </w:tc>
        <w:tc>
          <w:tcPr>
            <w:tcW w:w="6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2</w:t>
            </w:r>
          </w:p>
        </w:tc>
      </w:tr>
    </w:tbl>
    <w:p>
      <w:pPr>
        <w:spacing w:line="440" w:lineRule="exact"/>
        <w:rPr>
          <w:rFonts w:hint="eastAsia" w:ascii="仿宋_GB2312" w:hAnsi="仿宋_GB2312" w:eastAsia="仿宋_GB2312" w:cs="仿宋_GB2312"/>
          <w:b/>
          <w:bCs/>
          <w:iCs/>
          <w:color w:val="auto"/>
          <w:sz w:val="24"/>
          <w:highlight w:val="none"/>
          <w:lang w:val="en-US" w:eastAsia="zh-CN"/>
        </w:rPr>
      </w:pPr>
      <w:r>
        <w:rPr>
          <w:rFonts w:hint="eastAsia" w:ascii="仿宋_GB2312" w:hAnsi="仿宋_GB2312" w:eastAsia="仿宋_GB2312" w:cs="仿宋_GB2312"/>
          <w:b/>
          <w:bCs/>
          <w:iCs/>
          <w:color w:val="auto"/>
          <w:sz w:val="24"/>
          <w:highlight w:val="none"/>
          <w:lang w:val="en-US" w:eastAsia="zh-CN"/>
        </w:rPr>
        <w:t>注：电子投标的，相关证件材料应提供原件彩色扫描件或图片加盖投标单位电子签章；纸质投标的，应提供复印件加盖投标单位公章。不满足要求不得分。</w:t>
      </w:r>
    </w:p>
    <w:p>
      <w:pPr>
        <w:spacing w:line="440" w:lineRule="exact"/>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lang w:val="en-US" w:eastAsia="zh-CN"/>
        </w:rPr>
        <w:t>4</w:t>
      </w:r>
      <w:r>
        <w:rPr>
          <w:rFonts w:hint="eastAsia" w:ascii="仿宋_GB2312" w:hAnsi="仿宋_GB2312" w:eastAsia="仿宋_GB2312" w:cs="仿宋_GB2312"/>
          <w:b/>
          <w:bCs/>
          <w:iCs/>
          <w:color w:val="auto"/>
          <w:sz w:val="24"/>
          <w:highlight w:val="none"/>
        </w:rPr>
        <w:t>0分）</w:t>
      </w:r>
    </w:p>
    <w:p>
      <w:pPr>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w:t>
      </w:r>
      <w:r>
        <w:rPr>
          <w:rFonts w:hint="eastAsia" w:ascii="仿宋_GB2312" w:hAnsi="仿宋_GB2312" w:eastAsia="仿宋_GB2312" w:cs="仿宋_GB2312"/>
          <w:bCs/>
          <w:iCs/>
          <w:color w:val="auto"/>
          <w:sz w:val="24"/>
          <w:highlight w:val="none"/>
          <w:lang w:val="en-US" w:eastAsia="zh-CN"/>
        </w:rPr>
        <w:t>2</w:t>
      </w:r>
      <w:r>
        <w:rPr>
          <w:rFonts w:hint="eastAsia" w:ascii="仿宋_GB2312" w:hAnsi="仿宋_GB2312" w:eastAsia="仿宋_GB2312" w:cs="仿宋_GB2312"/>
          <w:bCs/>
          <w:iCs/>
          <w:color w:val="auto"/>
          <w:sz w:val="24"/>
          <w:highlight w:val="none"/>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highlight w:val="none"/>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lang w:val="en-US" w:eastAsia="zh-CN"/>
        </w:rPr>
        <w:t>4</w:t>
      </w:r>
      <w:r>
        <w:rPr>
          <w:rFonts w:hint="eastAsia" w:ascii="仿宋_GB2312" w:hAnsi="仿宋_GB2312" w:eastAsia="仿宋_GB2312" w:cs="仿宋_GB2312"/>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8"/>
        <w:spacing w:afterLines="0" w:line="440" w:lineRule="exact"/>
        <w:ind w:firstLine="0" w:firstLineChars="0"/>
        <w:rPr>
          <w:rFonts w:hint="eastAsia" w:ascii="仿宋" w:hAnsi="仿宋" w:eastAsia="仿宋" w:cs="仿宋"/>
          <w:color w:val="auto"/>
          <w:szCs w:val="24"/>
          <w:highlight w:val="none"/>
        </w:rPr>
      </w:pPr>
    </w:p>
    <w:p>
      <w:pPr>
        <w:pStyle w:val="68"/>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绍兴市第七人民医院</w:t>
      </w:r>
      <w:r>
        <w:rPr>
          <w:rFonts w:hint="eastAsia" w:ascii="仿宋" w:hAnsi="仿宋" w:eastAsia="仿宋" w:cs="仿宋"/>
          <w:color w:val="auto"/>
          <w:szCs w:val="24"/>
          <w:highlight w:val="none"/>
          <w:u w:val="single"/>
        </w:rPr>
        <w:t>、泰宇建筑工程技术咨询有限公司</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8"/>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8"/>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68"/>
        <w:spacing w:afterLines="0" w:line="440" w:lineRule="exact"/>
        <w:ind w:firstLine="480"/>
        <w:rPr>
          <w:rFonts w:hint="eastAsia" w:ascii="仿宋" w:hAnsi="仿宋" w:eastAsia="仿宋" w:cs="仿宋"/>
          <w:color w:val="auto"/>
          <w:szCs w:val="24"/>
          <w:highlight w:val="none"/>
        </w:rPr>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szCs w:val="24"/>
          <w:highlight w:val="none"/>
        </w:rPr>
        <w:t xml:space="preserve">投标人(电子签章)：　　　　　　　　　日期： </w:t>
      </w:r>
    </w:p>
    <w:p>
      <w:pPr>
        <w:pStyle w:val="68"/>
        <w:spacing w:afterLines="0" w:line="440" w:lineRule="exact"/>
        <w:ind w:firstLine="480"/>
        <w:rPr>
          <w:rFonts w:hint="eastAsia" w:ascii="仿宋" w:hAnsi="仿宋" w:eastAsia="仿宋" w:cs="仿宋"/>
          <w:color w:val="auto"/>
          <w:sz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righ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单位：</w:t>
      </w:r>
      <w:r>
        <w:rPr>
          <w:rFonts w:hint="eastAsia" w:ascii="仿宋" w:hAnsi="仿宋" w:eastAsia="仿宋" w:cs="仿宋"/>
          <w:color w:val="auto"/>
          <w:sz w:val="24"/>
          <w:highlight w:val="none"/>
          <w:lang w:eastAsia="zh-CN"/>
        </w:rPr>
        <w:t>元</w:t>
      </w:r>
    </w:p>
    <w:tbl>
      <w:tblPr>
        <w:tblStyle w:val="41"/>
        <w:tblW w:w="15282" w:type="dxa"/>
        <w:jc w:val="center"/>
        <w:tblLayout w:type="fixed"/>
        <w:tblCellMar>
          <w:top w:w="0" w:type="dxa"/>
          <w:left w:w="108" w:type="dxa"/>
          <w:bottom w:w="0" w:type="dxa"/>
          <w:right w:w="108" w:type="dxa"/>
        </w:tblCellMar>
      </w:tblPr>
      <w:tblGrid>
        <w:gridCol w:w="660"/>
        <w:gridCol w:w="2111"/>
        <w:gridCol w:w="1230"/>
        <w:gridCol w:w="1185"/>
        <w:gridCol w:w="1333"/>
        <w:gridCol w:w="941"/>
        <w:gridCol w:w="1227"/>
        <w:gridCol w:w="1010"/>
        <w:gridCol w:w="1375"/>
        <w:gridCol w:w="1134"/>
        <w:gridCol w:w="1095"/>
        <w:gridCol w:w="1110"/>
        <w:gridCol w:w="871"/>
      </w:tblGrid>
      <w:tr>
        <w:tblPrEx>
          <w:tblCellMar>
            <w:top w:w="0" w:type="dxa"/>
            <w:left w:w="108" w:type="dxa"/>
            <w:bottom w:w="0" w:type="dxa"/>
            <w:right w:w="108" w:type="dxa"/>
          </w:tblCellMar>
        </w:tblPrEx>
        <w:trPr>
          <w:trHeight w:val="616" w:hRule="atLeast"/>
          <w:jc w:val="center"/>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序号</w:t>
            </w:r>
          </w:p>
        </w:tc>
        <w:tc>
          <w:tcPr>
            <w:tcW w:w="211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产品名称</w:t>
            </w:r>
          </w:p>
        </w:tc>
        <w:tc>
          <w:tcPr>
            <w:tcW w:w="123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投标名称</w:t>
            </w:r>
          </w:p>
        </w:tc>
        <w:tc>
          <w:tcPr>
            <w:tcW w:w="118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医疗器械注册证号</w:t>
            </w:r>
          </w:p>
        </w:tc>
        <w:tc>
          <w:tcPr>
            <w:tcW w:w="133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医疗器械注册证名称</w:t>
            </w:r>
          </w:p>
        </w:tc>
        <w:tc>
          <w:tcPr>
            <w:tcW w:w="94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省平台代码</w:t>
            </w:r>
          </w:p>
        </w:tc>
        <w:tc>
          <w:tcPr>
            <w:tcW w:w="122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规格</w:t>
            </w:r>
          </w:p>
        </w:tc>
        <w:tc>
          <w:tcPr>
            <w:tcW w:w="101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最小计量单位</w:t>
            </w:r>
          </w:p>
        </w:tc>
        <w:tc>
          <w:tcPr>
            <w:tcW w:w="137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最小计量单位上限单价</w:t>
            </w:r>
          </w:p>
        </w:tc>
        <w:tc>
          <w:tcPr>
            <w:tcW w:w="1134"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参考用量（2年）</w:t>
            </w:r>
          </w:p>
        </w:tc>
        <w:tc>
          <w:tcPr>
            <w:tcW w:w="109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投标单价</w:t>
            </w:r>
          </w:p>
        </w:tc>
        <w:tc>
          <w:tcPr>
            <w:tcW w:w="111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金额</w:t>
            </w:r>
          </w:p>
        </w:tc>
        <w:tc>
          <w:tcPr>
            <w:tcW w:w="871"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备注</w:t>
            </w:r>
          </w:p>
        </w:tc>
      </w:tr>
      <w:tr>
        <w:tblPrEx>
          <w:tblCellMar>
            <w:top w:w="0" w:type="dxa"/>
            <w:left w:w="108" w:type="dxa"/>
            <w:bottom w:w="0" w:type="dxa"/>
            <w:right w:w="108" w:type="dxa"/>
          </w:tblCellMar>
        </w:tblPrEx>
        <w:trPr>
          <w:trHeight w:val="495" w:hRule="atLeast"/>
          <w:jc w:val="center"/>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1</w:t>
            </w:r>
          </w:p>
        </w:tc>
        <w:tc>
          <w:tcPr>
            <w:tcW w:w="2111" w:type="dxa"/>
            <w:tcBorders>
              <w:top w:val="nil"/>
              <w:left w:val="nil"/>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一次性使用肠给养器（重力滴注型）</w:t>
            </w:r>
          </w:p>
        </w:tc>
        <w:tc>
          <w:tcPr>
            <w:tcW w:w="12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p>
        </w:tc>
        <w:tc>
          <w:tcPr>
            <w:tcW w:w="1185"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p>
        </w:tc>
        <w:tc>
          <w:tcPr>
            <w:tcW w:w="1333"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p>
        </w:tc>
        <w:tc>
          <w:tcPr>
            <w:tcW w:w="941"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p>
        </w:tc>
        <w:tc>
          <w:tcPr>
            <w:tcW w:w="1227"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EN-02-1（针刺式）</w:t>
            </w:r>
          </w:p>
        </w:tc>
        <w:tc>
          <w:tcPr>
            <w:tcW w:w="101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支</w:t>
            </w:r>
          </w:p>
        </w:tc>
        <w:tc>
          <w:tcPr>
            <w:tcW w:w="1375" w:type="dxa"/>
            <w:tcBorders>
              <w:top w:val="nil"/>
              <w:left w:val="nil"/>
              <w:bottom w:val="single" w:color="auto" w:sz="4" w:space="0"/>
              <w:right w:val="single" w:color="auto" w:sz="4" w:space="0"/>
            </w:tcBorders>
            <w:noWrap/>
            <w:vAlign w:val="center"/>
          </w:tcPr>
          <w:p>
            <w:pPr>
              <w:widowControl/>
              <w:jc w:val="center"/>
              <w:rPr>
                <w:rFonts w:hint="default" w:ascii="仿宋" w:hAnsi="仿宋" w:eastAsia="仿宋" w:cs="宋体"/>
                <w:color w:val="auto"/>
                <w:kern w:val="0"/>
                <w:sz w:val="22"/>
                <w:szCs w:val="22"/>
                <w:highlight w:val="none"/>
                <w:lang w:val="en-US" w:eastAsia="zh-CN"/>
              </w:rPr>
            </w:pPr>
            <w:r>
              <w:rPr>
                <w:rFonts w:hint="eastAsia" w:ascii="仿宋" w:hAnsi="仿宋" w:eastAsia="仿宋" w:cs="宋体"/>
                <w:color w:val="auto"/>
                <w:kern w:val="0"/>
                <w:sz w:val="22"/>
                <w:szCs w:val="22"/>
                <w:highlight w:val="none"/>
                <w:lang w:val="en-US" w:eastAsia="zh-CN"/>
              </w:rPr>
              <w:t>17</w:t>
            </w:r>
          </w:p>
        </w:tc>
        <w:tc>
          <w:tcPr>
            <w:tcW w:w="1134" w:type="dxa"/>
            <w:tcBorders>
              <w:top w:val="nil"/>
              <w:left w:val="nil"/>
              <w:bottom w:val="single" w:color="auto" w:sz="4" w:space="0"/>
              <w:right w:val="nil"/>
            </w:tcBorders>
            <w:noWrap/>
            <w:vAlign w:val="center"/>
          </w:tcPr>
          <w:p>
            <w:pPr>
              <w:jc w:val="center"/>
              <w:rPr>
                <w:rFonts w:hint="default" w:ascii="仿宋" w:hAnsi="仿宋" w:eastAsia="仿宋" w:cs="宋体"/>
                <w:color w:val="auto"/>
                <w:sz w:val="20"/>
                <w:szCs w:val="20"/>
                <w:highlight w:val="none"/>
                <w:lang w:val="en-US" w:eastAsia="zh-CN"/>
              </w:rPr>
            </w:pPr>
            <w:r>
              <w:rPr>
                <w:rFonts w:hint="eastAsia" w:ascii="仿宋" w:hAnsi="仿宋" w:eastAsia="仿宋"/>
                <w:color w:val="auto"/>
                <w:sz w:val="20"/>
                <w:szCs w:val="20"/>
                <w:highlight w:val="none"/>
                <w:lang w:val="en-US" w:eastAsia="zh-CN"/>
              </w:rPr>
              <w:t>57424</w:t>
            </w:r>
          </w:p>
        </w:tc>
        <w:tc>
          <w:tcPr>
            <w:tcW w:w="1095"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p>
        </w:tc>
        <w:tc>
          <w:tcPr>
            <w:tcW w:w="111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highlight w:val="none"/>
              </w:rPr>
            </w:pPr>
          </w:p>
        </w:tc>
        <w:tc>
          <w:tcPr>
            <w:tcW w:w="871" w:type="dxa"/>
            <w:tcBorders>
              <w:top w:val="nil"/>
              <w:left w:val="nil"/>
              <w:right w:val="single" w:color="auto" w:sz="4" w:space="0"/>
            </w:tcBorders>
            <w:noWrap/>
            <w:vAlign w:val="center"/>
          </w:tcPr>
          <w:p>
            <w:pPr>
              <w:widowControl/>
              <w:jc w:val="left"/>
              <w:rPr>
                <w:rFonts w:ascii="仿宋" w:hAnsi="仿宋" w:eastAsia="仿宋" w:cs="宋体"/>
                <w:color w:val="auto"/>
                <w:kern w:val="0"/>
                <w:sz w:val="22"/>
                <w:szCs w:val="22"/>
                <w:highlight w:val="none"/>
              </w:rPr>
            </w:pPr>
          </w:p>
        </w:tc>
      </w:tr>
      <w:tr>
        <w:tblPrEx>
          <w:tblCellMar>
            <w:top w:w="0" w:type="dxa"/>
            <w:left w:w="108" w:type="dxa"/>
            <w:bottom w:w="0" w:type="dxa"/>
            <w:right w:w="108" w:type="dxa"/>
          </w:tblCellMar>
        </w:tblPrEx>
        <w:trPr>
          <w:trHeight w:val="413" w:hRule="atLeast"/>
          <w:jc w:val="center"/>
        </w:trPr>
        <w:tc>
          <w:tcPr>
            <w:tcW w:w="4001" w:type="dxa"/>
            <w:gridSpan w:val="3"/>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投标总价</w:t>
            </w:r>
          </w:p>
        </w:tc>
        <w:tc>
          <w:tcPr>
            <w:tcW w:w="11281"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小写：</w:t>
            </w:r>
          </w:p>
        </w:tc>
      </w:tr>
      <w:tr>
        <w:tblPrEx>
          <w:tblCellMar>
            <w:top w:w="0" w:type="dxa"/>
            <w:left w:w="108" w:type="dxa"/>
            <w:bottom w:w="0" w:type="dxa"/>
            <w:right w:w="108" w:type="dxa"/>
          </w:tblCellMar>
        </w:tblPrEx>
        <w:trPr>
          <w:trHeight w:val="374" w:hRule="atLeast"/>
          <w:jc w:val="center"/>
        </w:trPr>
        <w:tc>
          <w:tcPr>
            <w:tcW w:w="4001" w:type="dxa"/>
            <w:gridSpan w:val="3"/>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highlight w:val="none"/>
              </w:rPr>
            </w:pPr>
          </w:p>
        </w:tc>
        <w:tc>
          <w:tcPr>
            <w:tcW w:w="11281"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大写：</w:t>
            </w:r>
          </w:p>
        </w:tc>
      </w:tr>
      <w:tr>
        <w:tblPrEx>
          <w:tblCellMar>
            <w:top w:w="0" w:type="dxa"/>
            <w:left w:w="108" w:type="dxa"/>
            <w:bottom w:w="0" w:type="dxa"/>
            <w:right w:w="108" w:type="dxa"/>
          </w:tblCellMar>
        </w:tblPrEx>
        <w:trPr>
          <w:trHeight w:val="495" w:hRule="atLeast"/>
          <w:jc w:val="center"/>
        </w:trPr>
        <w:tc>
          <w:tcPr>
            <w:tcW w:w="15282"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其中核心产品，由（请填写企业名称）制造，该企业 （请填写属于或不属于）小型、微型企业。</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ind w:firstLine="482" w:firstLineChars="200"/>
        <w:rPr>
          <w:rFonts w:hint="eastAsia" w:ascii="仿宋" w:hAnsi="仿宋" w:eastAsia="仿宋" w:cs="仿宋"/>
          <w:color w:val="auto"/>
          <w:kern w:val="0"/>
          <w:sz w:val="24"/>
          <w:highlight w:val="none"/>
          <w:lang w:val="zh-CN"/>
        </w:rPr>
      </w:pPr>
      <w:r>
        <w:rPr>
          <w:rFonts w:hint="eastAsia" w:ascii="仿宋" w:hAnsi="仿宋" w:eastAsia="仿宋" w:cs="仿宋"/>
          <w:b/>
          <w:color w:val="auto"/>
          <w:sz w:val="24"/>
          <w:highlight w:val="none"/>
        </w:rPr>
        <w:t>5、</w:t>
      </w:r>
      <w:r>
        <w:rPr>
          <w:rFonts w:hint="eastAsia" w:ascii="仿宋" w:hAnsi="仿宋" w:eastAsia="仿宋" w:cs="仿宋"/>
          <w:color w:val="auto"/>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auto"/>
          <w:sz w:val="24"/>
          <w:highlight w:val="none"/>
        </w:rPr>
        <w:t>投标人应如实填写是否可享受价格扣除，否则投标价格不可享受价格扣除。</w:t>
      </w:r>
    </w:p>
    <w:p>
      <w:pPr>
        <w:snapToGrid w:val="0"/>
        <w:ind w:firstLine="482"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zh-CN"/>
        </w:rPr>
        <w:t>.特别提示：采购机构将在中标公告中公布中标人的《开标一览表》，接受社会监督。</w:t>
      </w: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sectPr>
          <w:pgSz w:w="16838" w:h="11906" w:orient="landscape"/>
          <w:pgMar w:top="1758" w:right="1440" w:bottom="1406" w:left="1246" w:header="1021" w:footer="902" w:gutter="0"/>
          <w:cols w:space="425" w:num="1"/>
          <w:titlePg/>
          <w:docGrid w:type="lines" w:linePitch="312" w:charSpace="0"/>
        </w:sectPr>
      </w:pPr>
      <w:r>
        <w:rPr>
          <w:rFonts w:hint="eastAsia" w:ascii="仿宋" w:hAnsi="仿宋" w:eastAsia="仿宋" w:cs="仿宋"/>
          <w:color w:val="auto"/>
          <w:sz w:val="24"/>
          <w:highlight w:val="none"/>
        </w:rPr>
        <w:t xml:space="preserve">法定代表人或其授权代表（签字或盖章）：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日期：    年   月   日</w:t>
      </w:r>
    </w:p>
    <w:p>
      <w:pPr>
        <w:pageBreakBefore/>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3、中小企业声明函（二选一）</w:t>
      </w: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绍兴</w:t>
      </w:r>
      <w:r>
        <w:rPr>
          <w:rFonts w:hint="eastAsia" w:ascii="仿宋" w:hAnsi="仿宋" w:eastAsia="仿宋" w:cs="仿宋"/>
          <w:color w:val="auto"/>
          <w:sz w:val="24"/>
          <w:highlight w:val="none"/>
          <w:u w:val="single"/>
          <w:lang w:eastAsia="zh-CN"/>
        </w:rPr>
        <w:t>市第七人民医院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ascii="仿宋" w:hAnsi="仿宋" w:eastAsia="仿宋" w:cs="仿宋"/>
          <w:b/>
          <w:color w:val="auto"/>
          <w:sz w:val="18"/>
          <w:highlight w:val="none"/>
        </w:rPr>
      </w:pP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绍兴</w:t>
      </w:r>
      <w:r>
        <w:rPr>
          <w:rFonts w:hint="eastAsia" w:ascii="仿宋" w:hAnsi="仿宋" w:eastAsia="仿宋" w:cs="仿宋"/>
          <w:color w:val="auto"/>
          <w:sz w:val="24"/>
          <w:highlight w:val="none"/>
          <w:u w:val="single"/>
          <w:lang w:eastAsia="zh-CN"/>
        </w:rPr>
        <w:t>市第七人民医院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1、投标人提供的中小企业声明函与实际情况不符的，视为投标人提供虚假材料投标，投标无效。</w:t>
      </w:r>
    </w:p>
    <w:p>
      <w:pPr>
        <w:rPr>
          <w:rFonts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中标、成交供应商享受中小企业扶持政策的，采购代理机构将随中标、成交结果公开中标、成交供应商的《中小企业声明函》。</w:t>
      </w:r>
    </w:p>
    <w:p>
      <w:pPr>
        <w:rPr>
          <w:rFonts w:ascii="仿宋" w:hAnsi="仿宋" w:eastAsia="仿宋" w:cs="仿宋"/>
          <w:color w:val="auto"/>
          <w:sz w:val="24"/>
          <w:highlight w:val="none"/>
        </w:rPr>
      </w:pPr>
      <w:r>
        <w:rPr>
          <w:rFonts w:hint="eastAsia" w:ascii="仿宋" w:hAnsi="仿宋" w:eastAsia="仿宋" w:cs="仿宋"/>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588" w:lineRule="exact"/>
        <w:rPr>
          <w:rFonts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eastAsia="zh-CN"/>
        </w:rPr>
        <w:t>绍兴市第七人民医院一次性使用肠给养器（重力滴注型）采购项目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highlight w:val="none"/>
        </w:rPr>
      </w:pPr>
    </w:p>
    <w:p>
      <w:pPr>
        <w:tabs>
          <w:tab w:val="left" w:pos="4860"/>
        </w:tabs>
        <w:spacing w:line="588" w:lineRule="exact"/>
        <w:ind w:right="1560" w:firstLine="480" w:firstLineChars="200"/>
        <w:jc w:val="cente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（6）2019年度资产负债表等财务报表资料文件(新成立的公司，提供情况说明)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91"/>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 xml:space="preserve"> …</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 ………………………………………………</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绍兴市第七人民医院一次性使用肠给养器（重力滴注型）采购项目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6、财务报表资料文件（2019年度资产负债表等财务报表资料文件(新成立的公司，提供情况说明，格式自拟)）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w:t>
      </w:r>
      <w:r>
        <w:rPr>
          <w:rFonts w:hint="eastAsia" w:ascii="仿宋" w:hAnsi="仿宋" w:eastAsia="仿宋" w:cs="仿宋"/>
          <w:color w:val="auto"/>
          <w:sz w:val="24"/>
          <w:highlight w:val="none"/>
          <w:lang w:eastAsia="zh-CN"/>
        </w:rPr>
        <w:t>绍兴市第七人民医院一次性使用肠给养器（重力滴注型）采购项目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TYJZ2021022</w:t>
      </w:r>
      <w:r>
        <w:rPr>
          <w:rFonts w:hint="eastAsia" w:ascii="仿宋" w:hAnsi="仿宋" w:eastAsia="仿宋" w:cs="仿宋"/>
          <w:color w:val="auto"/>
          <w:sz w:val="24"/>
          <w:highlight w:val="none"/>
        </w:rPr>
        <w:t>）合同所必需的设备和专业技术能力。如中标，我方将保证合同顺利履行。</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2"/>
        <w:ind w:firstLine="0"/>
        <w:jc w:val="both"/>
        <w:rPr>
          <w:rFonts w:hint="eastAsia" w:ascii="仿宋" w:hAnsi="仿宋" w:eastAsia="仿宋" w:cs="仿宋"/>
          <w:color w:val="auto"/>
          <w:highlight w:val="none"/>
        </w:rPr>
      </w:pPr>
    </w:p>
    <w:p>
      <w:pPr>
        <w:pStyle w:val="192"/>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1.95pt;width:441.4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1.95pt;width:441.4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附表C:本项目的项目经理和小组人员近3个月交纳社保记录情况表</w:t>
      </w:r>
      <w:r>
        <w:rPr>
          <w:rFonts w:hint="eastAsia" w:ascii="仿宋" w:hAnsi="仿宋" w:eastAsia="仿宋" w:cs="仿宋"/>
          <w:color w:val="auto"/>
          <w:sz w:val="24"/>
          <w:highlight w:val="none"/>
        </w:rPr>
        <w:t>（以社保局缴纳凭证作附件）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21、</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22、验收方案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23、认为需要的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sectPr>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r>
      <w:rPr>
        <w:rFonts w:hint="eastAsia"/>
      </w:rPr>
      <w:t>泰宇建筑工程技术咨询有限公司招标文件                                     招标编号:</w:t>
    </w:r>
    <w:r>
      <w:rPr>
        <w:rFonts w:hint="eastAsia"/>
        <w:lang w:eastAsia="zh-CN"/>
      </w:rPr>
      <w:t>TYJZ2021022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61F2C2D"/>
    <w:multiLevelType w:val="singleLevel"/>
    <w:tmpl w:val="561F2C2D"/>
    <w:lvl w:ilvl="0" w:tentative="0">
      <w:start w:val="1"/>
      <w:numFmt w:val="decimal"/>
      <w:lvlText w:val="%1."/>
      <w:lvlJc w:val="left"/>
      <w:pPr>
        <w:tabs>
          <w:tab w:val="left" w:pos="312"/>
        </w:tabs>
      </w:p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B4514D5"/>
    <w:rsid w:val="0DE36A2F"/>
    <w:rsid w:val="0E572CDF"/>
    <w:rsid w:val="0EEB297F"/>
    <w:rsid w:val="11572810"/>
    <w:rsid w:val="13E659C7"/>
    <w:rsid w:val="14851B8A"/>
    <w:rsid w:val="17D16E15"/>
    <w:rsid w:val="17D360D7"/>
    <w:rsid w:val="196F5E7D"/>
    <w:rsid w:val="19C119B0"/>
    <w:rsid w:val="19F8022F"/>
    <w:rsid w:val="1ACE623D"/>
    <w:rsid w:val="1D2558B2"/>
    <w:rsid w:val="24C1762F"/>
    <w:rsid w:val="25D350DA"/>
    <w:rsid w:val="26E73CD3"/>
    <w:rsid w:val="2E805497"/>
    <w:rsid w:val="2F4B7A69"/>
    <w:rsid w:val="2F4D1095"/>
    <w:rsid w:val="2FE15E6F"/>
    <w:rsid w:val="31BD7E5B"/>
    <w:rsid w:val="34BF52D6"/>
    <w:rsid w:val="34CA1A3A"/>
    <w:rsid w:val="35EA54EA"/>
    <w:rsid w:val="36404B6C"/>
    <w:rsid w:val="36C02FB1"/>
    <w:rsid w:val="39FF710E"/>
    <w:rsid w:val="3D85078F"/>
    <w:rsid w:val="45873490"/>
    <w:rsid w:val="487A2DF3"/>
    <w:rsid w:val="590F3041"/>
    <w:rsid w:val="5A96534C"/>
    <w:rsid w:val="600914CD"/>
    <w:rsid w:val="64CD6CC5"/>
    <w:rsid w:val="66D0344A"/>
    <w:rsid w:val="66E12943"/>
    <w:rsid w:val="672B4AD2"/>
    <w:rsid w:val="681157FB"/>
    <w:rsid w:val="6B13367B"/>
    <w:rsid w:val="6E166C84"/>
    <w:rsid w:val="72E87C49"/>
    <w:rsid w:val="735D5894"/>
    <w:rsid w:val="76D1043A"/>
    <w:rsid w:val="78B2195A"/>
    <w:rsid w:val="7A503DC6"/>
    <w:rsid w:val="7D7A69D2"/>
    <w:rsid w:val="7D980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2"/>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0"/>
    <w:qFormat/>
    <w:uiPriority w:val="0"/>
    <w:pPr>
      <w:jc w:val="left"/>
    </w:pPr>
  </w:style>
  <w:style w:type="paragraph" w:styleId="17">
    <w:name w:val="Body Text"/>
    <w:basedOn w:val="1"/>
    <w:next w:val="1"/>
    <w:link w:val="8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2"/>
    <w:qFormat/>
    <w:uiPriority w:val="0"/>
    <w:rPr>
      <w:rFonts w:ascii="宋体" w:hAnsi="Courier New"/>
      <w:szCs w:val="20"/>
    </w:rPr>
  </w:style>
  <w:style w:type="paragraph" w:styleId="23">
    <w:name w:val="Date"/>
    <w:basedOn w:val="1"/>
    <w:next w:val="1"/>
    <w:link w:val="65"/>
    <w:qFormat/>
    <w:uiPriority w:val="0"/>
    <w:rPr>
      <w:rFonts w:ascii="楷体_GB2312" w:eastAsia="楷体_GB2312"/>
      <w:b/>
      <w:sz w:val="28"/>
      <w:szCs w:val="20"/>
    </w:rPr>
  </w:style>
  <w:style w:type="paragraph" w:styleId="24">
    <w:name w:val="Body Text Indent 2"/>
    <w:basedOn w:val="1"/>
    <w:link w:val="79"/>
    <w:qFormat/>
    <w:uiPriority w:val="0"/>
    <w:pPr>
      <w:spacing w:after="120" w:line="480" w:lineRule="auto"/>
      <w:ind w:left="420" w:leftChars="200"/>
    </w:pPr>
  </w:style>
  <w:style w:type="paragraph" w:styleId="25">
    <w:name w:val="Balloon Text"/>
    <w:basedOn w:val="1"/>
    <w:link w:val="196"/>
    <w:semiHidden/>
    <w:qFormat/>
    <w:uiPriority w:val="0"/>
    <w:rPr>
      <w:sz w:val="18"/>
      <w:szCs w:val="18"/>
    </w:rPr>
  </w:style>
  <w:style w:type="paragraph" w:styleId="26">
    <w:name w:val="footer"/>
    <w:basedOn w:val="1"/>
    <w:link w:val="67"/>
    <w:qFormat/>
    <w:uiPriority w:val="0"/>
    <w:pPr>
      <w:tabs>
        <w:tab w:val="center" w:pos="4153"/>
        <w:tab w:val="right" w:pos="8306"/>
      </w:tabs>
      <w:snapToGrid w:val="0"/>
      <w:jc w:val="left"/>
    </w:pPr>
    <w:rPr>
      <w:sz w:val="18"/>
      <w:szCs w:val="18"/>
    </w:rPr>
  </w:style>
  <w:style w:type="paragraph" w:styleId="27">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7"/>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9"/>
    <w:semiHidden/>
    <w:qFormat/>
    <w:uiPriority w:val="0"/>
    <w:pPr>
      <w:widowControl/>
      <w:spacing w:afterLines="50"/>
    </w:pPr>
    <w:rPr>
      <w:b/>
      <w:bCs/>
      <w:kern w:val="0"/>
      <w:sz w:val="24"/>
      <w:szCs w:val="20"/>
    </w:rPr>
  </w:style>
  <w:style w:type="paragraph" w:styleId="39">
    <w:name w:val="Body Text First Indent"/>
    <w:basedOn w:val="17"/>
    <w:link w:val="200"/>
    <w:qFormat/>
    <w:uiPriority w:val="0"/>
    <w:pPr>
      <w:spacing w:after="120" w:line="240" w:lineRule="auto"/>
      <w:ind w:firstLine="420" w:firstLineChars="100"/>
    </w:pPr>
    <w:rPr>
      <w:rFonts w:eastAsia="宋体"/>
      <w:sz w:val="21"/>
    </w:rPr>
  </w:style>
  <w:style w:type="paragraph" w:styleId="40">
    <w:name w:val="Body Text First Indent 2"/>
    <w:basedOn w:val="18"/>
    <w:link w:val="201"/>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character" w:customStyle="1" w:styleId="51">
    <w:name w:val="标题 1 Char"/>
    <w:link w:val="2"/>
    <w:qFormat/>
    <w:uiPriority w:val="0"/>
    <w:rPr>
      <w:rFonts w:eastAsia="仿宋_GB2312"/>
      <w:b/>
      <w:kern w:val="44"/>
      <w:sz w:val="44"/>
      <w:lang w:val="en-US" w:eastAsia="zh-CN" w:bidi="ar-SA"/>
    </w:rPr>
  </w:style>
  <w:style w:type="character" w:customStyle="1" w:styleId="52">
    <w:name w:val="正文缩进 Char"/>
    <w:link w:val="4"/>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3"/>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纯文本 Char"/>
    <w:link w:val="22"/>
    <w:qFormat/>
    <w:uiPriority w:val="0"/>
    <w:rPr>
      <w:rFonts w:ascii="宋体" w:hAnsi="Courier New" w:eastAsia="宋体"/>
      <w:kern w:val="2"/>
      <w:sz w:val="21"/>
      <w:lang w:val="en-US" w:eastAsia="zh-CN" w:bidi="ar-SA"/>
    </w:rPr>
  </w:style>
  <w:style w:type="paragraph" w:customStyle="1" w:styleId="63">
    <w:name w:val="表正文"/>
    <w:basedOn w:val="1"/>
    <w:next w:val="22"/>
    <w:qFormat/>
    <w:uiPriority w:val="0"/>
    <w:rPr>
      <w:rFonts w:ascii="宋体" w:hAnsi="Courier New"/>
      <w:szCs w:val="20"/>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日期 Char2"/>
    <w:link w:val="23"/>
    <w:qFormat/>
    <w:uiPriority w:val="0"/>
    <w:rPr>
      <w:rFonts w:ascii="楷体_GB2312" w:eastAsia="楷体_GB2312"/>
      <w:b/>
      <w:kern w:val="2"/>
      <w:sz w:val="28"/>
      <w:lang w:val="en-US" w:eastAsia="zh-CN" w:bidi="ar-SA"/>
    </w:rPr>
  </w:style>
  <w:style w:type="character" w:customStyle="1" w:styleId="66">
    <w:name w:val="页眉 Char1"/>
    <w:link w:val="27"/>
    <w:qFormat/>
    <w:uiPriority w:val="0"/>
    <w:rPr>
      <w:rFonts w:eastAsia="宋体"/>
      <w:kern w:val="2"/>
      <w:sz w:val="18"/>
      <w:szCs w:val="18"/>
      <w:lang w:val="en-US" w:eastAsia="zh-CN" w:bidi="ar-SA"/>
    </w:rPr>
  </w:style>
  <w:style w:type="character" w:customStyle="1" w:styleId="67">
    <w:name w:val="页脚 Char"/>
    <w:link w:val="26"/>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6"/>
    <w:qFormat/>
    <w:uiPriority w:val="0"/>
    <w:rPr>
      <w:rFonts w:eastAsia="宋体"/>
      <w:kern w:val="2"/>
      <w:sz w:val="21"/>
      <w:szCs w:val="24"/>
      <w:lang w:val="en-US" w:eastAsia="zh-CN" w:bidi="ar-SA"/>
    </w:rPr>
  </w:style>
  <w:style w:type="character" w:customStyle="1" w:styleId="71">
    <w:name w:val="正文文本 2 Char1"/>
    <w:link w:val="32"/>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4"/>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7"/>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3"/>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3"/>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3"/>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3"/>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3"/>
    <w:link w:val="25"/>
    <w:semiHidden/>
    <w:qFormat/>
    <w:uiPriority w:val="0"/>
    <w:rPr>
      <w:kern w:val="2"/>
      <w:sz w:val="18"/>
      <w:szCs w:val="18"/>
    </w:rPr>
  </w:style>
  <w:style w:type="character" w:customStyle="1" w:styleId="197">
    <w:name w:val="正文文本缩进 3 Char"/>
    <w:basedOn w:val="43"/>
    <w:link w:val="30"/>
    <w:qFormat/>
    <w:uiPriority w:val="0"/>
    <w:rPr>
      <w:kern w:val="2"/>
      <w:sz w:val="16"/>
      <w:szCs w:val="16"/>
    </w:rPr>
  </w:style>
  <w:style w:type="character" w:customStyle="1" w:styleId="198">
    <w:name w:val="HTML 预设格式 Char"/>
    <w:basedOn w:val="43"/>
    <w:link w:val="34"/>
    <w:qFormat/>
    <w:uiPriority w:val="0"/>
    <w:rPr>
      <w:rFonts w:ascii="黑体" w:hAnsi="Courier New" w:eastAsia="黑体" w:cs="Courier New"/>
    </w:rPr>
  </w:style>
  <w:style w:type="character" w:customStyle="1" w:styleId="199">
    <w:name w:val="批注主题 Char"/>
    <w:basedOn w:val="167"/>
    <w:link w:val="38"/>
    <w:semiHidden/>
    <w:qFormat/>
    <w:uiPriority w:val="0"/>
    <w:rPr>
      <w:rFonts w:eastAsia="宋体"/>
      <w:b/>
      <w:bCs/>
      <w:kern w:val="2"/>
      <w:sz w:val="24"/>
      <w:szCs w:val="24"/>
      <w:lang w:val="en-US" w:eastAsia="zh-CN" w:bidi="ar-SA"/>
    </w:rPr>
  </w:style>
  <w:style w:type="character" w:customStyle="1" w:styleId="200">
    <w:name w:val="正文首行缩进 Char"/>
    <w:basedOn w:val="162"/>
    <w:link w:val="39"/>
    <w:qFormat/>
    <w:uiPriority w:val="0"/>
    <w:rPr>
      <w:rFonts w:eastAsia="仿宋_GB2312"/>
      <w:kern w:val="2"/>
      <w:sz w:val="21"/>
      <w:szCs w:val="24"/>
      <w:lang w:val="en-US" w:eastAsia="zh-CN" w:bidi="ar-SA"/>
    </w:rPr>
  </w:style>
  <w:style w:type="character" w:customStyle="1" w:styleId="201">
    <w:name w:val="正文首行缩进 2 Char"/>
    <w:basedOn w:val="64"/>
    <w:link w:val="40"/>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3"/>
    <w:qFormat/>
    <w:uiPriority w:val="0"/>
    <w:rPr>
      <w:rFonts w:hint="eastAsia" w:ascii="宋体" w:hAnsi="宋体" w:eastAsia="宋体" w:cs="宋体"/>
      <w:color w:val="000000"/>
      <w:sz w:val="22"/>
      <w:szCs w:val="22"/>
      <w:u w:val="none"/>
    </w:rPr>
  </w:style>
  <w:style w:type="character" w:customStyle="1" w:styleId="264">
    <w:name w:val="font11"/>
    <w:basedOn w:val="43"/>
    <w:qFormat/>
    <w:uiPriority w:val="0"/>
    <w:rPr>
      <w:rFonts w:hint="eastAsia" w:ascii="宋体" w:hAnsi="宋体" w:eastAsia="宋体" w:cs="宋体"/>
      <w:color w:val="FF0000"/>
      <w:sz w:val="22"/>
      <w:szCs w:val="22"/>
      <w:u w:val="none"/>
    </w:rPr>
  </w:style>
  <w:style w:type="character" w:customStyle="1" w:styleId="265">
    <w:name w:val="font41"/>
    <w:basedOn w:val="43"/>
    <w:qFormat/>
    <w:uiPriority w:val="0"/>
    <w:rPr>
      <w:rFonts w:hint="default" w:ascii="等线" w:hAnsi="等线" w:eastAsia="等线" w:cs="等线"/>
      <w:color w:val="FF0000"/>
      <w:sz w:val="22"/>
      <w:szCs w:val="22"/>
      <w:u w:val="none"/>
    </w:rPr>
  </w:style>
  <w:style w:type="character" w:customStyle="1" w:styleId="266">
    <w:name w:val="font21"/>
    <w:basedOn w:val="43"/>
    <w:qFormat/>
    <w:uiPriority w:val="0"/>
    <w:rPr>
      <w:rFonts w:hint="default" w:ascii="等线" w:hAnsi="等线" w:eastAsia="等线" w:cs="等线"/>
      <w:color w:val="000000"/>
      <w:sz w:val="22"/>
      <w:szCs w:val="22"/>
      <w:u w:val="none"/>
    </w:rPr>
  </w:style>
  <w:style w:type="character" w:customStyle="1" w:styleId="267">
    <w:name w:val="font51"/>
    <w:basedOn w:val="43"/>
    <w:qFormat/>
    <w:uiPriority w:val="0"/>
    <w:rPr>
      <w:rFonts w:hint="default" w:ascii="等线" w:hAnsi="等线" w:eastAsia="等线" w:cs="等线"/>
      <w:color w:val="FF0000"/>
      <w:sz w:val="22"/>
      <w:szCs w:val="22"/>
      <w:u w:val="none"/>
    </w:rPr>
  </w:style>
  <w:style w:type="character" w:customStyle="1" w:styleId="268">
    <w:name w:val="font61"/>
    <w:basedOn w:val="43"/>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5758</Words>
  <Characters>32827</Characters>
  <Lines>273</Lines>
  <Paragraphs>77</Paragraphs>
  <TotalTime>6</TotalTime>
  <ScaleCrop>false</ScaleCrop>
  <LinksUpToDate>false</LinksUpToDate>
  <CharactersWithSpaces>38508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lenovo</cp:lastModifiedBy>
  <cp:lastPrinted>2017-10-18T06:51:00Z</cp:lastPrinted>
  <dcterms:modified xsi:type="dcterms:W3CDTF">2021-02-25T08:42:20Z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