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00" w:lineRule="auto"/>
        <w:jc w:val="center"/>
        <w:rPr>
          <w:rFonts w:ascii="宋体"/>
          <w:b/>
          <w:bCs/>
          <w:color w:val="000000" w:themeColor="text1"/>
          <w:sz w:val="32"/>
          <w:szCs w:val="32"/>
        </w:rPr>
      </w:pPr>
      <w:r>
        <w:rPr>
          <w:rFonts w:hint="eastAsia" w:ascii="宋体" w:hAnsi="宋体" w:cs="宋体"/>
          <w:b/>
          <w:color w:val="000000" w:themeColor="text1"/>
          <w:sz w:val="32"/>
          <w:szCs w:val="32"/>
          <w:lang w:eastAsia="zh-CN"/>
        </w:rPr>
        <w:t>诸暨市人民法院智慧**系统建设</w:t>
      </w:r>
      <w:r>
        <w:rPr>
          <w:rFonts w:hint="eastAsia" w:ascii="宋体" w:hAnsi="宋体" w:cs="宋体"/>
          <w:b/>
          <w:color w:val="000000" w:themeColor="text1"/>
          <w:sz w:val="32"/>
          <w:szCs w:val="32"/>
        </w:rPr>
        <w:t>采购项目要素</w:t>
      </w:r>
    </w:p>
    <w:p>
      <w:pPr>
        <w:numPr>
          <w:ilvl w:val="0"/>
          <w:numId w:val="1"/>
        </w:numPr>
        <w:autoSpaceDE/>
        <w:autoSpaceDN/>
        <w:spacing w:line="300" w:lineRule="auto"/>
        <w:rPr>
          <w:rFonts w:ascii="宋体" w:hAnsi="宋体" w:cs="宋体"/>
          <w:color w:val="000000" w:themeColor="text1"/>
          <w:sz w:val="24"/>
          <w:szCs w:val="24"/>
        </w:rPr>
      </w:pPr>
      <w:r>
        <w:rPr>
          <w:rFonts w:hint="eastAsia" w:ascii="宋体" w:hAnsi="宋体" w:cs="宋体"/>
          <w:b/>
          <w:color w:val="000000" w:themeColor="text1"/>
          <w:sz w:val="24"/>
          <w:szCs w:val="24"/>
        </w:rPr>
        <w:t>项目名称：</w:t>
      </w:r>
      <w:r>
        <w:rPr>
          <w:rFonts w:hint="eastAsia" w:ascii="宋体" w:hAnsi="宋体" w:cs="宋体"/>
          <w:color w:val="000000" w:themeColor="text1"/>
          <w:sz w:val="24"/>
          <w:szCs w:val="24"/>
          <w:lang w:eastAsia="zh-CN"/>
        </w:rPr>
        <w:t>诸暨市人民法院智慧**系统建设</w:t>
      </w:r>
      <w:r>
        <w:rPr>
          <w:rFonts w:hint="eastAsia" w:ascii="宋体" w:hAnsi="宋体" w:cs="宋体"/>
          <w:color w:val="000000" w:themeColor="text1"/>
          <w:sz w:val="24"/>
          <w:szCs w:val="24"/>
        </w:rPr>
        <w:t>采购项目</w:t>
      </w:r>
    </w:p>
    <w:p>
      <w:pPr>
        <w:autoSpaceDE/>
        <w:autoSpaceDN/>
        <w:spacing w:line="300" w:lineRule="auto"/>
        <w:rPr>
          <w:rFonts w:ascii="宋体" w:hAnsi="宋体" w:cs="宋体"/>
          <w:color w:val="000000" w:themeColor="text1"/>
          <w:sz w:val="24"/>
          <w:szCs w:val="24"/>
        </w:rPr>
      </w:pPr>
      <w:r>
        <w:rPr>
          <w:rFonts w:hint="eastAsia" w:ascii="宋体" w:hAnsi="宋体" w:cs="宋体"/>
          <w:b/>
          <w:bCs/>
          <w:color w:val="000000" w:themeColor="text1"/>
          <w:sz w:val="24"/>
          <w:szCs w:val="24"/>
        </w:rPr>
        <w:t>二、</w:t>
      </w:r>
      <w:r>
        <w:rPr>
          <w:rFonts w:hint="eastAsia" w:ascii="宋体" w:hAnsi="宋体" w:cs="宋体"/>
          <w:b/>
          <w:color w:val="000000" w:themeColor="text1"/>
          <w:sz w:val="24"/>
          <w:szCs w:val="24"/>
        </w:rPr>
        <w:t>项目内容及规模：</w:t>
      </w:r>
      <w:r>
        <w:rPr>
          <w:rFonts w:hint="eastAsia" w:ascii="宋体" w:hAnsi="宋体" w:cs="宋体"/>
          <w:color w:val="000000" w:themeColor="text1"/>
          <w:sz w:val="24"/>
          <w:szCs w:val="24"/>
          <w:lang w:eastAsia="zh-CN"/>
        </w:rPr>
        <w:t>诸暨市人民法院智慧**系统建设</w:t>
      </w:r>
      <w:r>
        <w:rPr>
          <w:rFonts w:hint="eastAsia" w:ascii="宋体" w:hAnsi="宋体" w:cs="宋体"/>
          <w:color w:val="000000" w:themeColor="text1"/>
          <w:sz w:val="24"/>
          <w:szCs w:val="24"/>
        </w:rPr>
        <w:t>采购项目，采购预算金额</w:t>
      </w:r>
      <w:r>
        <w:rPr>
          <w:rFonts w:hint="eastAsia" w:ascii="宋体" w:hAnsi="宋体" w:cs="宋体"/>
          <w:color w:val="000000" w:themeColor="text1"/>
          <w:sz w:val="24"/>
          <w:szCs w:val="24"/>
          <w:lang w:val="en-US" w:eastAsia="zh-CN"/>
        </w:rPr>
        <w:t>110</w:t>
      </w:r>
      <w:r>
        <w:rPr>
          <w:rFonts w:hint="eastAsia" w:ascii="宋体" w:hAnsi="宋体" w:cs="宋体"/>
          <w:color w:val="000000" w:themeColor="text1"/>
          <w:sz w:val="24"/>
          <w:szCs w:val="24"/>
        </w:rPr>
        <w:t>万元，详见采购需求。</w:t>
      </w:r>
    </w:p>
    <w:p>
      <w:pPr>
        <w:spacing w:line="300" w:lineRule="auto"/>
        <w:rPr>
          <w:rFonts w:ascii="宋体"/>
          <w:b/>
          <w:bCs/>
          <w:color w:val="000000" w:themeColor="text1"/>
          <w:sz w:val="24"/>
          <w:szCs w:val="24"/>
        </w:rPr>
      </w:pPr>
      <w:r>
        <w:rPr>
          <w:rFonts w:hint="eastAsia" w:ascii="宋体" w:hAnsi="宋体" w:cs="宋体"/>
          <w:b/>
          <w:bCs/>
          <w:color w:val="000000" w:themeColor="text1"/>
          <w:sz w:val="24"/>
          <w:szCs w:val="24"/>
        </w:rPr>
        <w:t>三、投标人资格要求：</w:t>
      </w:r>
    </w:p>
    <w:p>
      <w:pPr>
        <w:pStyle w:val="18"/>
        <w:widowControl w:val="0"/>
        <w:snapToGrid/>
        <w:spacing w:line="300" w:lineRule="auto"/>
        <w:ind w:firstLine="480"/>
        <w:rPr>
          <w:rFonts w:ascii="宋体" w:hAnsi="宋体"/>
          <w:color w:val="000000" w:themeColor="text1"/>
        </w:rPr>
      </w:pPr>
      <w:r>
        <w:rPr>
          <w:rFonts w:hint="eastAsia" w:ascii="宋体" w:hAnsi="宋体"/>
          <w:color w:val="000000" w:themeColor="text1"/>
        </w:rPr>
        <w:t>1、</w:t>
      </w:r>
      <w:r>
        <w:rPr>
          <w:rFonts w:ascii="宋体" w:hAnsi="宋体"/>
          <w:color w:val="000000" w:themeColor="text1"/>
        </w:rPr>
        <w:t>符合</w:t>
      </w:r>
      <w:r>
        <w:rPr>
          <w:rFonts w:hint="eastAsia" w:ascii="宋体" w:hAnsi="宋体"/>
          <w:color w:val="000000" w:themeColor="text1"/>
        </w:rPr>
        <w:t>《中华人民共和国</w:t>
      </w:r>
      <w:r>
        <w:rPr>
          <w:rFonts w:ascii="宋体" w:hAnsi="宋体"/>
          <w:color w:val="000000" w:themeColor="text1"/>
        </w:rPr>
        <w:t>政府采购法</w:t>
      </w:r>
      <w:r>
        <w:rPr>
          <w:rFonts w:hint="eastAsia" w:ascii="宋体" w:hAnsi="宋体"/>
          <w:color w:val="000000" w:themeColor="text1"/>
        </w:rPr>
        <w:t>》</w:t>
      </w:r>
      <w:r>
        <w:rPr>
          <w:rFonts w:ascii="宋体" w:hAnsi="宋体"/>
          <w:color w:val="000000" w:themeColor="text1"/>
        </w:rPr>
        <w:t>第二十二条之供应商资格规定</w:t>
      </w:r>
      <w:r>
        <w:rPr>
          <w:rFonts w:hint="eastAsia" w:ascii="宋体" w:hAnsi="宋体"/>
          <w:color w:val="000000" w:themeColor="text1"/>
        </w:rPr>
        <w:t>；</w:t>
      </w:r>
    </w:p>
    <w:p>
      <w:pPr>
        <w:pStyle w:val="18"/>
        <w:widowControl w:val="0"/>
        <w:snapToGrid/>
        <w:spacing w:line="300" w:lineRule="auto"/>
        <w:ind w:firstLine="480"/>
        <w:rPr>
          <w:rFonts w:ascii="宋体" w:hAnsi="宋体"/>
          <w:color w:val="000000" w:themeColor="text1"/>
        </w:rPr>
      </w:pPr>
      <w:r>
        <w:rPr>
          <w:rFonts w:hint="eastAsia" w:ascii="宋体" w:hAnsi="宋体"/>
          <w:color w:val="000000" w:themeColor="text1"/>
        </w:rPr>
        <w:t>2、</w:t>
      </w:r>
      <w:r>
        <w:rPr>
          <w:rFonts w:hint="eastAsia" w:ascii="宋体" w:hAnsi="宋体"/>
          <w:color w:val="000000" w:themeColor="text1"/>
          <w:lang w:eastAsia="zh-CN"/>
        </w:rPr>
        <w:t>具有本项目实施能力，信誉良好的独立法人</w:t>
      </w:r>
      <w:r>
        <w:rPr>
          <w:rFonts w:hint="eastAsia" w:ascii="宋体" w:hAnsi="宋体" w:cs="宋体"/>
          <w:color w:val="000000" w:themeColor="text1"/>
        </w:rPr>
        <w:t>；</w:t>
      </w:r>
    </w:p>
    <w:p>
      <w:pPr>
        <w:pStyle w:val="18"/>
        <w:widowControl w:val="0"/>
        <w:snapToGrid/>
        <w:spacing w:line="300" w:lineRule="auto"/>
        <w:ind w:firstLine="480"/>
        <w:rPr>
          <w:rFonts w:ascii="宋体" w:hAnsi="宋体"/>
          <w:color w:val="000000" w:themeColor="text1"/>
        </w:rPr>
      </w:pPr>
      <w:r>
        <w:rPr>
          <w:rFonts w:hint="eastAsia" w:ascii="宋体" w:hAnsi="宋体"/>
          <w:color w:val="000000" w:themeColor="text1"/>
        </w:rPr>
        <w:t>3、未被“信用中国”（www.creditchina.gov.cn）、中国政府采购网（www.ccgp.gov.cn）列入失信被执行人、重大税收违法案件当事人名单、政府采购严重违法失信行为记录名单；</w:t>
      </w:r>
    </w:p>
    <w:p>
      <w:pPr>
        <w:autoSpaceDE/>
        <w:autoSpaceDN/>
        <w:adjustRightInd/>
        <w:spacing w:line="30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rPr>
        <w:t>4、本项目不接受联合体投标。</w:t>
      </w:r>
    </w:p>
    <w:p>
      <w:pPr>
        <w:spacing w:line="300" w:lineRule="auto"/>
        <w:ind w:left="76" w:leftChars="36"/>
        <w:rPr>
          <w:rFonts w:ascii="宋体" w:hAnsi="宋体" w:cs="宋体"/>
          <w:color w:val="000000" w:themeColor="text1"/>
          <w:sz w:val="24"/>
        </w:rPr>
      </w:pPr>
      <w:r>
        <w:rPr>
          <w:rFonts w:hint="eastAsia" w:ascii="宋体" w:hAnsi="宋体" w:cs="宋体"/>
          <w:b/>
          <w:color w:val="000000" w:themeColor="text1"/>
          <w:sz w:val="24"/>
        </w:rPr>
        <w:t>四、评标办法：</w:t>
      </w:r>
      <w:r>
        <w:rPr>
          <w:rFonts w:hint="eastAsia" w:ascii="宋体" w:hAnsi="宋体" w:cs="宋体"/>
          <w:color w:val="000000" w:themeColor="text1"/>
          <w:sz w:val="24"/>
        </w:rPr>
        <w:t>综合评分法</w:t>
      </w:r>
    </w:p>
    <w:p>
      <w:pPr>
        <w:spacing w:line="300" w:lineRule="auto"/>
        <w:ind w:left="76" w:leftChars="36"/>
        <w:rPr>
          <w:rFonts w:ascii="宋体" w:hAnsi="宋体" w:cs="宋体"/>
          <w:b/>
          <w:color w:val="000000" w:themeColor="text1"/>
          <w:sz w:val="24"/>
          <w:szCs w:val="24"/>
        </w:rPr>
      </w:pPr>
      <w:r>
        <w:rPr>
          <w:rFonts w:hint="eastAsia" w:ascii="宋体" w:hAnsi="宋体" w:cs="宋体"/>
          <w:b/>
          <w:color w:val="000000" w:themeColor="text1"/>
          <w:sz w:val="24"/>
        </w:rPr>
        <w:t>五、评分标准：</w:t>
      </w:r>
    </w:p>
    <w:p>
      <w:pPr>
        <w:spacing w:line="300" w:lineRule="auto"/>
        <w:ind w:firstLine="480" w:firstLineChars="200"/>
        <w:rPr>
          <w:rFonts w:ascii="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1</w:t>
      </w:r>
      <w:r>
        <w:rPr>
          <w:rFonts w:hint="eastAsia" w:ascii="宋体" w:hAnsi="宋体" w:cs="宋体"/>
          <w:color w:val="000000" w:themeColor="text1"/>
          <w:sz w:val="24"/>
          <w:szCs w:val="24"/>
        </w:rPr>
        <w:t>）满分为</w:t>
      </w:r>
      <w:r>
        <w:rPr>
          <w:rFonts w:ascii="宋体" w:hAnsi="宋体" w:cs="宋体"/>
          <w:color w:val="000000" w:themeColor="text1"/>
          <w:sz w:val="24"/>
          <w:szCs w:val="24"/>
        </w:rPr>
        <w:t>100</w:t>
      </w:r>
      <w:r>
        <w:rPr>
          <w:rFonts w:hint="eastAsia" w:ascii="宋体" w:hAnsi="宋体" w:cs="宋体"/>
          <w:color w:val="000000" w:themeColor="text1"/>
          <w:sz w:val="24"/>
          <w:szCs w:val="24"/>
        </w:rPr>
        <w:t>分。总得分</w:t>
      </w:r>
      <w:r>
        <w:rPr>
          <w:rFonts w:ascii="宋体" w:hAnsi="宋体" w:cs="宋体"/>
          <w:color w:val="000000" w:themeColor="text1"/>
          <w:sz w:val="24"/>
          <w:szCs w:val="24"/>
        </w:rPr>
        <w:t>=</w:t>
      </w:r>
      <w:r>
        <w:rPr>
          <w:rFonts w:hint="eastAsia" w:ascii="宋体" w:hAnsi="宋体" w:cs="宋体"/>
          <w:color w:val="000000" w:themeColor="text1"/>
          <w:sz w:val="24"/>
          <w:szCs w:val="24"/>
        </w:rPr>
        <w:t>技术得分</w:t>
      </w:r>
      <w:r>
        <w:rPr>
          <w:rFonts w:ascii="宋体" w:hAnsi="宋体" w:cs="宋体"/>
          <w:color w:val="000000" w:themeColor="text1"/>
          <w:sz w:val="24"/>
          <w:szCs w:val="24"/>
        </w:rPr>
        <w:t>+</w:t>
      </w:r>
      <w:r>
        <w:rPr>
          <w:rFonts w:hint="eastAsia" w:ascii="宋体" w:hAnsi="宋体" w:cs="宋体"/>
          <w:color w:val="000000" w:themeColor="text1"/>
          <w:sz w:val="24"/>
          <w:szCs w:val="24"/>
        </w:rPr>
        <w:t>商务得分；</w:t>
      </w:r>
    </w:p>
    <w:p>
      <w:pPr>
        <w:spacing w:line="300" w:lineRule="auto"/>
        <w:ind w:firstLine="480" w:firstLineChars="200"/>
        <w:rPr>
          <w:rFonts w:ascii="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2</w:t>
      </w:r>
      <w:r>
        <w:rPr>
          <w:rFonts w:hint="eastAsia" w:ascii="宋体" w:hAnsi="宋体" w:cs="宋体"/>
          <w:color w:val="000000" w:themeColor="text1"/>
          <w:sz w:val="24"/>
          <w:szCs w:val="24"/>
        </w:rPr>
        <w:t>）技术得分</w:t>
      </w:r>
      <w:r>
        <w:rPr>
          <w:rFonts w:ascii="宋体" w:hAnsi="宋体" w:cs="宋体"/>
          <w:color w:val="000000" w:themeColor="text1"/>
          <w:sz w:val="24"/>
          <w:szCs w:val="24"/>
        </w:rPr>
        <w:t>=</w:t>
      </w:r>
      <w:r>
        <w:rPr>
          <w:rFonts w:hint="eastAsia" w:ascii="宋体" w:hAnsi="宋体" w:cs="宋体"/>
          <w:color w:val="000000" w:themeColor="text1"/>
          <w:sz w:val="24"/>
          <w:szCs w:val="24"/>
        </w:rPr>
        <w:t>商务技术评分，商务技术评分</w:t>
      </w:r>
      <w:r>
        <w:rPr>
          <w:rFonts w:ascii="宋体" w:hAnsi="宋体" w:cs="宋体"/>
          <w:color w:val="000000" w:themeColor="text1"/>
          <w:sz w:val="24"/>
          <w:szCs w:val="24"/>
        </w:rPr>
        <w:t>=</w:t>
      </w:r>
      <w:r>
        <w:rPr>
          <w:rFonts w:hint="eastAsia" w:ascii="宋体" w:hAnsi="宋体" w:cs="宋体"/>
          <w:color w:val="000000" w:themeColor="text1"/>
          <w:sz w:val="24"/>
          <w:szCs w:val="24"/>
        </w:rPr>
        <w:t>各评委的有效评分的算术平均数；</w:t>
      </w:r>
    </w:p>
    <w:p>
      <w:pPr>
        <w:spacing w:line="300" w:lineRule="auto"/>
        <w:ind w:firstLine="480" w:firstLineChars="200"/>
        <w:rPr>
          <w:rFonts w:ascii="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3</w:t>
      </w:r>
      <w:r>
        <w:rPr>
          <w:rFonts w:hint="eastAsia" w:ascii="宋体" w:hAnsi="宋体" w:cs="宋体"/>
          <w:color w:val="000000" w:themeColor="text1"/>
          <w:sz w:val="24"/>
          <w:szCs w:val="24"/>
        </w:rPr>
        <w:t>）商务得分</w:t>
      </w:r>
      <w:r>
        <w:rPr>
          <w:rFonts w:ascii="宋体" w:hAnsi="宋体" w:cs="宋体"/>
          <w:color w:val="000000" w:themeColor="text1"/>
          <w:sz w:val="24"/>
          <w:szCs w:val="24"/>
        </w:rPr>
        <w:t>=</w:t>
      </w:r>
      <w:r>
        <w:rPr>
          <w:rFonts w:hint="eastAsia" w:ascii="宋体" w:hAnsi="宋体" w:cs="宋体"/>
          <w:color w:val="000000" w:themeColor="text1"/>
          <w:sz w:val="24"/>
          <w:szCs w:val="24"/>
        </w:rPr>
        <w:t>（评标基准价</w:t>
      </w:r>
      <w:r>
        <w:rPr>
          <w:rFonts w:ascii="宋体" w:hAnsi="宋体" w:cs="宋体"/>
          <w:color w:val="000000" w:themeColor="text1"/>
          <w:sz w:val="24"/>
          <w:szCs w:val="24"/>
        </w:rPr>
        <w:t>/</w:t>
      </w:r>
      <w:r>
        <w:rPr>
          <w:rFonts w:hint="eastAsia" w:ascii="宋体" w:hAnsi="宋体" w:cs="宋体"/>
          <w:color w:val="000000" w:themeColor="text1"/>
          <w:sz w:val="24"/>
          <w:szCs w:val="24"/>
        </w:rPr>
        <w:t>投标报价）</w:t>
      </w:r>
      <w:r>
        <w:rPr>
          <w:rFonts w:ascii="宋体" w:hAnsi="宋体" w:cs="宋体"/>
          <w:color w:val="000000" w:themeColor="text1"/>
          <w:sz w:val="24"/>
          <w:szCs w:val="24"/>
        </w:rPr>
        <w:t>*</w:t>
      </w:r>
      <w:r>
        <w:rPr>
          <w:rFonts w:hint="eastAsia" w:ascii="宋体" w:hAnsi="宋体" w:cs="宋体"/>
          <w:color w:val="000000" w:themeColor="text1"/>
          <w:sz w:val="24"/>
          <w:szCs w:val="24"/>
        </w:rPr>
        <w:t>价格权值</w:t>
      </w:r>
      <w:r>
        <w:rPr>
          <w:rFonts w:ascii="宋体" w:hAnsi="宋体" w:cs="宋体"/>
          <w:color w:val="000000" w:themeColor="text1"/>
          <w:sz w:val="24"/>
          <w:szCs w:val="24"/>
        </w:rPr>
        <w:t>*100</w:t>
      </w:r>
      <w:r>
        <w:rPr>
          <w:rFonts w:hint="eastAsia" w:ascii="宋体" w:hAnsi="宋体" w:cs="宋体"/>
          <w:color w:val="000000" w:themeColor="text1"/>
          <w:sz w:val="24"/>
          <w:szCs w:val="24"/>
        </w:rPr>
        <w:t>，评标基准价</w:t>
      </w:r>
      <w:r>
        <w:rPr>
          <w:rFonts w:ascii="宋体" w:hAnsi="宋体" w:cs="宋体"/>
          <w:color w:val="000000" w:themeColor="text1"/>
          <w:sz w:val="24"/>
          <w:szCs w:val="24"/>
        </w:rPr>
        <w:t>=</w:t>
      </w:r>
      <w:r>
        <w:rPr>
          <w:rFonts w:hint="eastAsia" w:ascii="宋体" w:hAnsi="宋体" w:cs="宋体"/>
          <w:color w:val="000000" w:themeColor="text1"/>
          <w:sz w:val="24"/>
          <w:szCs w:val="24"/>
        </w:rPr>
        <w:t>有效投标人的最低投标报价，价格权值</w:t>
      </w:r>
      <w:r>
        <w:rPr>
          <w:rFonts w:ascii="宋体" w:hAnsi="宋体" w:cs="宋体"/>
          <w:color w:val="000000" w:themeColor="text1"/>
          <w:sz w:val="24"/>
          <w:szCs w:val="24"/>
        </w:rPr>
        <w:t>=30%</w:t>
      </w:r>
      <w:r>
        <w:rPr>
          <w:rFonts w:hint="eastAsia" w:ascii="宋体" w:hAnsi="宋体" w:cs="宋体"/>
          <w:color w:val="000000" w:themeColor="text1"/>
          <w:sz w:val="24"/>
          <w:szCs w:val="24"/>
        </w:rPr>
        <w:t>；</w:t>
      </w:r>
    </w:p>
    <w:p>
      <w:pPr>
        <w:spacing w:line="300" w:lineRule="auto"/>
        <w:ind w:firstLine="480" w:firstLineChars="200"/>
        <w:rPr>
          <w:rFonts w:ascii="宋体"/>
          <w:color w:val="000000" w:themeColor="text1"/>
          <w:sz w:val="24"/>
          <w:szCs w:val="24"/>
        </w:rPr>
      </w:pPr>
      <w:r>
        <w:rPr>
          <w:rFonts w:hint="eastAsia" w:ascii="宋体" w:hAnsi="宋体" w:cs="宋体"/>
          <w:color w:val="000000" w:themeColor="text1"/>
          <w:sz w:val="24"/>
          <w:szCs w:val="24"/>
        </w:rPr>
        <w:t>（</w:t>
      </w:r>
      <w:r>
        <w:rPr>
          <w:rFonts w:ascii="宋体" w:hAnsi="宋体" w:cs="宋体"/>
          <w:color w:val="000000" w:themeColor="text1"/>
          <w:sz w:val="24"/>
          <w:szCs w:val="24"/>
        </w:rPr>
        <w:t>4</w:t>
      </w:r>
      <w:r>
        <w:rPr>
          <w:rFonts w:hint="eastAsia" w:ascii="宋体" w:hAnsi="宋体" w:cs="宋体"/>
          <w:color w:val="000000" w:themeColor="text1"/>
          <w:sz w:val="24"/>
          <w:szCs w:val="24"/>
        </w:rPr>
        <w:t>）技术分评分细则（</w:t>
      </w:r>
      <w:r>
        <w:rPr>
          <w:rFonts w:ascii="宋体" w:hAnsi="宋体" w:cs="宋体"/>
          <w:color w:val="000000" w:themeColor="text1"/>
          <w:sz w:val="24"/>
          <w:szCs w:val="24"/>
        </w:rPr>
        <w:t>70</w:t>
      </w:r>
      <w:r>
        <w:rPr>
          <w:rFonts w:hint="eastAsia" w:ascii="宋体" w:hAnsi="宋体" w:cs="宋体"/>
          <w:color w:val="000000" w:themeColor="text1"/>
          <w:sz w:val="24"/>
          <w:szCs w:val="24"/>
        </w:rPr>
        <w:t>分）。</w:t>
      </w:r>
    </w:p>
    <w:tbl>
      <w:tblPr>
        <w:tblStyle w:val="13"/>
        <w:tblW w:w="9556" w:type="dxa"/>
        <w:jc w:val="center"/>
        <w:tblLayout w:type="fixed"/>
        <w:tblCellMar>
          <w:top w:w="0" w:type="dxa"/>
          <w:left w:w="108" w:type="dxa"/>
          <w:bottom w:w="0" w:type="dxa"/>
          <w:right w:w="108" w:type="dxa"/>
        </w:tblCellMar>
      </w:tblPr>
      <w:tblGrid>
        <w:gridCol w:w="554"/>
        <w:gridCol w:w="1660"/>
        <w:gridCol w:w="6220"/>
        <w:gridCol w:w="1122"/>
      </w:tblGrid>
      <w:tr>
        <w:tblPrEx>
          <w:tblCellMar>
            <w:top w:w="0" w:type="dxa"/>
            <w:left w:w="108" w:type="dxa"/>
            <w:bottom w:w="0" w:type="dxa"/>
            <w:right w:w="108" w:type="dxa"/>
          </w:tblCellMar>
        </w:tblPrEx>
        <w:trPr>
          <w:trHeight w:val="27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6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评分项目</w:t>
            </w:r>
          </w:p>
        </w:tc>
        <w:tc>
          <w:tcPr>
            <w:tcW w:w="62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评审内容</w:t>
            </w:r>
          </w:p>
        </w:tc>
        <w:tc>
          <w:tcPr>
            <w:tcW w:w="1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分值</w:t>
            </w:r>
          </w:p>
        </w:tc>
      </w:tr>
      <w:tr>
        <w:tblPrEx>
          <w:tblCellMar>
            <w:top w:w="0" w:type="dxa"/>
            <w:left w:w="108" w:type="dxa"/>
            <w:bottom w:w="0" w:type="dxa"/>
            <w:right w:w="108" w:type="dxa"/>
          </w:tblCellMar>
        </w:tblPrEx>
        <w:trPr>
          <w:trHeight w:val="10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技术指标</w:t>
            </w:r>
          </w:p>
        </w:tc>
        <w:tc>
          <w:tcPr>
            <w:tcW w:w="62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完全满足招标文件中技术参数指标项目要求的，得基本分</w:t>
            </w:r>
            <w:r>
              <w:rPr>
                <w:rFonts w:hint="eastAsia" w:ascii="宋体" w:hAnsi="宋体" w:eastAsia="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zh-CN" w:eastAsia="zh-CN" w:bidi="ar"/>
              </w:rPr>
              <w:t>分。指标项目中打“★”的为实质性指标，负偏离或不响应将视为无效投标；打“▲”的如出现负偏离，每一项扣</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zh-CN" w:eastAsia="zh-CN" w:bidi="ar"/>
              </w:rPr>
              <w:t>分；其他指标项目出现负偏离的，每一项扣</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分。</w:t>
            </w:r>
          </w:p>
        </w:tc>
        <w:tc>
          <w:tcPr>
            <w:tcW w:w="1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0-30</w:t>
            </w:r>
          </w:p>
        </w:tc>
      </w:tr>
      <w:tr>
        <w:tblPrEx>
          <w:tblCellMar>
            <w:top w:w="0" w:type="dxa"/>
            <w:left w:w="108" w:type="dxa"/>
            <w:bottom w:w="0" w:type="dxa"/>
            <w:right w:w="108" w:type="dxa"/>
          </w:tblCellMar>
        </w:tblPrEx>
        <w:trPr>
          <w:trHeight w:val="9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产品、技术方案</w:t>
            </w:r>
          </w:p>
        </w:tc>
        <w:tc>
          <w:tcPr>
            <w:tcW w:w="6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投标产品品牌分,产品成熟性，总体方案可行性：</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根椐招标文件要求及投标设备应结合本院现有硬件资源、业务状况及其他资源等,考虑各产品与原有系统的兼容性、成熟性及总体方案可行性，确保新老设备的无缝对接；并参考原厂商品牌、国内市场占有率，经营情况等；</w:t>
            </w:r>
            <w:r>
              <w:rPr>
                <w:rFonts w:hint="eastAsia" w:ascii="宋体" w:hAnsi="宋体" w:cs="宋体"/>
                <w:i w:val="0"/>
                <w:iCs w:val="0"/>
                <w:color w:val="000000"/>
                <w:kern w:val="0"/>
                <w:sz w:val="24"/>
                <w:szCs w:val="24"/>
                <w:u w:val="none"/>
                <w:lang w:val="en-US" w:eastAsia="zh-CN" w:bidi="ar"/>
              </w:rPr>
              <w:t>0-8分。</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w:t>
            </w:r>
          </w:p>
        </w:tc>
      </w:tr>
      <w:tr>
        <w:tblPrEx>
          <w:tblCellMar>
            <w:top w:w="0" w:type="dxa"/>
            <w:left w:w="108" w:type="dxa"/>
            <w:bottom w:w="0" w:type="dxa"/>
            <w:right w:w="108" w:type="dxa"/>
          </w:tblCellMar>
        </w:tblPrEx>
        <w:trPr>
          <w:trHeight w:val="54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施工组织方案</w:t>
            </w:r>
          </w:p>
        </w:tc>
        <w:tc>
          <w:tcPr>
            <w:tcW w:w="6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为了保障项目有效进展实施，投标单位对现场进行全面勘查。</w:t>
            </w:r>
            <w:r>
              <w:rPr>
                <w:rFonts w:hint="eastAsia" w:ascii="宋体" w:hAnsi="宋体" w:eastAsia="宋体" w:cs="宋体"/>
                <w:i w:val="0"/>
                <w:iCs w:val="0"/>
                <w:color w:val="000000"/>
                <w:kern w:val="0"/>
                <w:sz w:val="24"/>
                <w:szCs w:val="24"/>
                <w:u w:val="none"/>
                <w:lang w:val="en-US" w:eastAsia="zh-CN" w:bidi="ar"/>
              </w:rPr>
              <w:t>投标人的整体方案设计（对本院施工场地的熟悉程度，包括点位布置图、现场勘察记录，现场效果图、布线施工图纸等)、供货、安装调试方案、实施人员安排、培训方案、验收方案等由专家进行打分。</w:t>
            </w:r>
            <w:r>
              <w:rPr>
                <w:rFonts w:hint="eastAsia" w:ascii="宋体" w:hAnsi="宋体" w:cs="宋体"/>
                <w:i w:val="0"/>
                <w:iCs w:val="0"/>
                <w:color w:val="000000"/>
                <w:kern w:val="0"/>
                <w:sz w:val="24"/>
                <w:szCs w:val="24"/>
                <w:u w:val="none"/>
                <w:lang w:val="en-US" w:eastAsia="zh-CN" w:bidi="ar"/>
              </w:rPr>
              <w:t>0-8分。</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w:t>
            </w:r>
          </w:p>
        </w:tc>
      </w:tr>
      <w:tr>
        <w:tblPrEx>
          <w:tblCellMar>
            <w:top w:w="0" w:type="dxa"/>
            <w:left w:w="108" w:type="dxa"/>
            <w:bottom w:w="0" w:type="dxa"/>
            <w:right w:w="108" w:type="dxa"/>
          </w:tblCellMar>
        </w:tblPrEx>
        <w:trPr>
          <w:trHeight w:val="54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w:t>
            </w:r>
          </w:p>
        </w:tc>
        <w:tc>
          <w:tcPr>
            <w:tcW w:w="1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投标人综合实力</w:t>
            </w:r>
          </w:p>
        </w:tc>
        <w:tc>
          <w:tcPr>
            <w:tcW w:w="6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投标供应商</w:t>
            </w:r>
            <w:r>
              <w:rPr>
                <w:rFonts w:hint="eastAsia" w:ascii="宋体" w:hAnsi="宋体" w:eastAsia="宋体" w:cs="宋体"/>
                <w:i w:val="0"/>
                <w:iCs w:val="0"/>
                <w:color w:val="000000"/>
                <w:kern w:val="0"/>
                <w:sz w:val="24"/>
                <w:szCs w:val="24"/>
                <w:u w:val="none"/>
                <w:lang w:val="en-US" w:eastAsia="zh-CN" w:bidi="ar"/>
              </w:rPr>
              <w:t>投标时需提供</w:t>
            </w:r>
            <w:r>
              <w:rPr>
                <w:rFonts w:hint="eastAsia" w:ascii="宋体" w:hAnsi="宋体" w:eastAsia="宋体" w:cs="宋体"/>
                <w:i w:val="0"/>
                <w:iCs w:val="0"/>
                <w:color w:val="000000"/>
                <w:kern w:val="0"/>
                <w:sz w:val="24"/>
                <w:szCs w:val="24"/>
                <w:u w:val="none"/>
                <w:lang w:val="zh-CN" w:eastAsia="zh-CN" w:bidi="ar"/>
              </w:rPr>
              <w:t>ISO9001质量管理体系认证证书；得1分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投标供应商职业健康安全管理体系认证证书；得1分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投标供应商</w:t>
            </w:r>
            <w:r>
              <w:rPr>
                <w:rFonts w:hint="eastAsia" w:ascii="宋体" w:hAnsi="宋体" w:eastAsia="宋体" w:cs="宋体"/>
                <w:i w:val="0"/>
                <w:iCs w:val="0"/>
                <w:color w:val="000000"/>
                <w:kern w:val="0"/>
                <w:sz w:val="24"/>
                <w:szCs w:val="24"/>
                <w:u w:val="none"/>
                <w:lang w:val="en-US" w:eastAsia="zh-CN" w:bidi="ar"/>
              </w:rPr>
              <w:t>ISO14001环境管理体系认证证书；</w:t>
            </w:r>
            <w:r>
              <w:rPr>
                <w:rFonts w:hint="eastAsia" w:ascii="宋体" w:hAnsi="宋体" w:eastAsia="宋体" w:cs="宋体"/>
                <w:i w:val="0"/>
                <w:iCs w:val="0"/>
                <w:color w:val="000000"/>
                <w:kern w:val="0"/>
                <w:sz w:val="24"/>
                <w:szCs w:val="24"/>
                <w:u w:val="none"/>
                <w:lang w:val="zh-CN" w:eastAsia="zh-CN" w:bidi="ar"/>
              </w:rPr>
              <w:t>得1分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投标供应商服务人员具有原厂认证工程师的每个得1分，最多2分；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投标时提供</w:t>
            </w:r>
            <w:r>
              <w:rPr>
                <w:rFonts w:hint="eastAsia" w:ascii="宋体" w:hAnsi="宋体" w:cs="宋体"/>
                <w:i w:val="0"/>
                <w:iCs w:val="0"/>
                <w:color w:val="000000"/>
                <w:kern w:val="0"/>
                <w:sz w:val="24"/>
                <w:szCs w:val="24"/>
                <w:u w:val="none"/>
                <w:lang w:val="zh-CN" w:eastAsia="zh-CN" w:bidi="ar"/>
              </w:rPr>
              <w:t>投标人为其缴纳的</w:t>
            </w:r>
            <w:r>
              <w:rPr>
                <w:rFonts w:hint="eastAsia" w:ascii="宋体" w:hAnsi="宋体" w:eastAsia="宋体" w:cs="宋体"/>
                <w:i w:val="0"/>
                <w:iCs w:val="0"/>
                <w:color w:val="000000"/>
                <w:kern w:val="0"/>
                <w:sz w:val="24"/>
                <w:szCs w:val="24"/>
                <w:u w:val="none"/>
                <w:lang w:val="zh-CN" w:eastAsia="zh-CN" w:bidi="ar"/>
              </w:rPr>
              <w:t>近三月在职单位社保证明</w:t>
            </w:r>
            <w:r>
              <w:rPr>
                <w:rFonts w:hint="eastAsia" w:ascii="宋体" w:hAnsi="宋体" w:cs="宋体"/>
                <w:i w:val="0"/>
                <w:iCs w:val="0"/>
                <w:color w:val="000000"/>
                <w:kern w:val="0"/>
                <w:sz w:val="24"/>
                <w:szCs w:val="24"/>
                <w:u w:val="none"/>
                <w:lang w:val="zh-CN" w:eastAsia="zh-CN" w:bidi="ar"/>
              </w:rPr>
              <w:t>材料</w:t>
            </w:r>
            <w:r>
              <w:rPr>
                <w:rFonts w:hint="eastAsia" w:ascii="宋体" w:hAnsi="宋体" w:eastAsia="宋体" w:cs="宋体"/>
                <w:i w:val="0"/>
                <w:iCs w:val="0"/>
                <w:color w:val="000000"/>
                <w:kern w:val="0"/>
                <w:sz w:val="24"/>
                <w:szCs w:val="24"/>
                <w:u w:val="none"/>
                <w:lang w:val="zh-CN" w:eastAsia="zh-CN" w:bidi="ar"/>
              </w:rPr>
              <w:t>，否则不得分</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r>
      <w:tr>
        <w:tblPrEx>
          <w:tblCellMar>
            <w:top w:w="0" w:type="dxa"/>
            <w:left w:w="108" w:type="dxa"/>
            <w:bottom w:w="0" w:type="dxa"/>
            <w:right w:w="108" w:type="dxa"/>
          </w:tblCellMar>
        </w:tblPrEx>
        <w:trPr>
          <w:trHeight w:val="90" w:hRule="atLeast"/>
          <w:jc w:val="center"/>
        </w:trPr>
        <w:tc>
          <w:tcPr>
            <w:tcW w:w="55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功能演示</w:t>
            </w:r>
          </w:p>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（可提供视频演示）</w:t>
            </w:r>
          </w:p>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zh-CN" w:eastAsia="zh-CN" w:bidi="ar"/>
              </w:rPr>
              <w:t>演示时间不超过</w:t>
            </w:r>
            <w:r>
              <w:rPr>
                <w:rFonts w:hint="eastAsia" w:ascii="宋体" w:hAnsi="宋体" w:eastAsia="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zh-CN" w:eastAsia="zh-CN" w:bidi="ar"/>
              </w:rPr>
              <w:t>分钟</w:t>
            </w:r>
          </w:p>
        </w:tc>
        <w:tc>
          <w:tcPr>
            <w:tcW w:w="6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根据演示细则进行演示，未提供实际演示的不得分。优：</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zh-CN" w:eastAsia="zh-CN" w:bidi="ar"/>
              </w:rPr>
              <w:t>分；良：</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zh-CN" w:eastAsia="zh-CN" w:bidi="ar"/>
              </w:rPr>
              <w:t>分；一般</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预约</w:t>
            </w:r>
            <w:r>
              <w:rPr>
                <w:rFonts w:hint="eastAsia" w:ascii="宋体" w:hAnsi="宋体" w:eastAsia="宋体" w:cs="宋体"/>
                <w:i w:val="0"/>
                <w:iCs w:val="0"/>
                <w:color w:val="000000"/>
                <w:kern w:val="0"/>
                <w:sz w:val="24"/>
                <w:szCs w:val="24"/>
                <w:u w:val="none"/>
                <w:lang w:val="zh-CN" w:eastAsia="zh-CN" w:bidi="ar"/>
              </w:rPr>
              <w:t>演示重点内容如下：</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1、支持普通预约、调解预约、信访预约</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2、预约成功后，后台系统自动推送至诉讼参与人手机；</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3、 预约成功后，当事人来到法院登记后，可添加至临时黑白名单 ；</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r>
      <w:tr>
        <w:tblPrEx>
          <w:tblCellMar>
            <w:top w:w="0" w:type="dxa"/>
            <w:left w:w="108" w:type="dxa"/>
            <w:bottom w:w="0" w:type="dxa"/>
            <w:right w:w="108" w:type="dxa"/>
          </w:tblCellMar>
        </w:tblPrEx>
        <w:trPr>
          <w:trHeight w:val="427" w:hRule="atLeast"/>
          <w:jc w:val="center"/>
        </w:trPr>
        <w:tc>
          <w:tcPr>
            <w:tcW w:w="55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4"/>
                <w:szCs w:val="24"/>
              </w:rPr>
            </w:pPr>
          </w:p>
        </w:tc>
        <w:tc>
          <w:tcPr>
            <w:tcW w:w="16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sz w:val="24"/>
                <w:szCs w:val="24"/>
              </w:rPr>
            </w:pPr>
          </w:p>
        </w:tc>
        <w:tc>
          <w:tcPr>
            <w:tcW w:w="6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为保证投标所用三维地图产品技术成熟能力，各投标单位需提供法院三维场景的功能演示视频。根据演示细则进行演示，未提供实际演示的不得分：优：</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zh-CN" w:eastAsia="zh-CN" w:bidi="ar"/>
              </w:rPr>
              <w:t>分；良：</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zh-CN" w:eastAsia="zh-CN" w:bidi="ar"/>
              </w:rPr>
              <w:t>分；一般</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系统演示要求</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1.相机图标分布应用：对区域的所有图上摄像机可通过视频图标方式查看综合分布情况；</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2.相机可视区域：通过相机的预览画面，构建该相机的视景可视区域，数字化表达监控的盲区、盲点；</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3.视频联动功能：支持点击相机模型，弹出该相机的实时预览及回放；</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4.访客管理：用户可将访客人脸图片或者访客记录导入系统进行智能检索并在3D地图上自动显示目标人员的历史轨迹，点击记录可以查看抓拍视频。</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5.视频巡逻：根据建模内的道路路网，进行智能分段，在区域内根据分段的道路路网，模拟巡逻人员沿着道路行走，对沿线的视频点位进行自动播放预览画面。</w:t>
            </w:r>
          </w:p>
        </w:tc>
        <w:tc>
          <w:tcPr>
            <w:tcW w:w="11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w:t>
            </w:r>
          </w:p>
        </w:tc>
      </w:tr>
      <w:tr>
        <w:tblPrEx>
          <w:tblCellMar>
            <w:top w:w="0" w:type="dxa"/>
            <w:left w:w="108" w:type="dxa"/>
            <w:bottom w:w="0" w:type="dxa"/>
            <w:right w:w="108" w:type="dxa"/>
          </w:tblCellMar>
        </w:tblPrEx>
        <w:trPr>
          <w:trHeight w:val="1097"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w:t>
            </w:r>
          </w:p>
        </w:tc>
        <w:tc>
          <w:tcPr>
            <w:tcW w:w="62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投标时，投标商提供原厂商针对本项目的授权函、</w:t>
            </w:r>
            <w:r>
              <w:rPr>
                <w:rFonts w:hint="eastAsia" w:ascii="宋体" w:hAnsi="宋体" w:eastAsia="宋体" w:cs="宋体"/>
                <w:i w:val="0"/>
                <w:iCs w:val="0"/>
                <w:color w:val="000000"/>
                <w:kern w:val="0"/>
                <w:sz w:val="24"/>
                <w:szCs w:val="24"/>
                <w:u w:val="none"/>
                <w:lang w:val="en-US" w:eastAsia="zh-CN" w:bidi="ar"/>
              </w:rPr>
              <w:t>售后服务质量保证函</w:t>
            </w:r>
            <w:r>
              <w:rPr>
                <w:rFonts w:hint="eastAsia" w:ascii="宋体" w:hAnsi="宋体" w:eastAsia="宋体" w:cs="宋体"/>
                <w:i w:val="0"/>
                <w:iCs w:val="0"/>
                <w:color w:val="000000"/>
                <w:kern w:val="0"/>
                <w:sz w:val="24"/>
                <w:szCs w:val="24"/>
                <w:u w:val="none"/>
                <w:lang w:val="zh-CN" w:eastAsia="zh-CN" w:bidi="ar"/>
              </w:rPr>
              <w:t>原件（加盖厂商公章），每个得</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分，最高</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zh-CN" w:eastAsia="zh-CN" w:bidi="ar"/>
              </w:rPr>
              <w:t>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2.所投产品要跟法院原安防平台无缝对接，投标时需提供厂家无缝对接证明（加盖厂家公章），得（1分）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zh-CN" w:eastAsia="zh-CN" w:bidi="ar"/>
              </w:rPr>
              <w:t>.投标公司提供7*24小时本地化的服务</w:t>
            </w:r>
            <w:r>
              <w:rPr>
                <w:rFonts w:hint="eastAsia" w:ascii="宋体" w:hAnsi="宋体" w:cs="宋体"/>
                <w:i w:val="0"/>
                <w:iCs w:val="0"/>
                <w:color w:val="000000"/>
                <w:kern w:val="0"/>
                <w:sz w:val="24"/>
                <w:szCs w:val="24"/>
                <w:u w:val="none"/>
                <w:lang w:val="zh-CN" w:eastAsia="zh-CN" w:bidi="ar"/>
              </w:rPr>
              <w:t>承诺函</w:t>
            </w:r>
            <w:r>
              <w:rPr>
                <w:rFonts w:hint="eastAsia" w:ascii="宋体" w:hAnsi="宋体" w:eastAsia="宋体" w:cs="宋体"/>
                <w:i w:val="0"/>
                <w:iCs w:val="0"/>
                <w:color w:val="000000"/>
                <w:kern w:val="0"/>
                <w:sz w:val="24"/>
                <w:szCs w:val="24"/>
                <w:u w:val="none"/>
                <w:lang w:val="zh-CN" w:eastAsia="zh-CN" w:bidi="ar"/>
              </w:rPr>
              <w:t>，提供距用户最近服务点地址与工程师人员配置；</w:t>
            </w:r>
            <w:r>
              <w:rPr>
                <w:rFonts w:hint="eastAsia" w:ascii="宋体" w:hAnsi="宋体" w:eastAsia="宋体" w:cs="宋体"/>
                <w:i w:val="0"/>
                <w:iCs w:val="0"/>
                <w:color w:val="000000"/>
                <w:kern w:val="0"/>
                <w:sz w:val="24"/>
                <w:szCs w:val="24"/>
                <w:u w:val="none"/>
                <w:lang w:val="en-US" w:eastAsia="zh-CN" w:bidi="ar"/>
              </w:rPr>
              <w:t>得（1分）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zh-CN" w:eastAsia="zh-CN" w:bidi="ar"/>
              </w:rPr>
              <w:t>.投标公司提供的备品备件的数量、更换替代方案等优惠条件和承诺情况，及其可实现程度等内容），</w:t>
            </w:r>
            <w:r>
              <w:rPr>
                <w:rFonts w:hint="eastAsia" w:ascii="宋体" w:hAnsi="宋体" w:eastAsia="宋体" w:cs="宋体"/>
                <w:i w:val="0"/>
                <w:iCs w:val="0"/>
                <w:color w:val="000000"/>
                <w:kern w:val="0"/>
                <w:sz w:val="24"/>
                <w:szCs w:val="24"/>
                <w:u w:val="none"/>
                <w:lang w:val="en-US" w:eastAsia="zh-CN" w:bidi="ar"/>
              </w:rPr>
              <w:t>得（1分）</w:t>
            </w:r>
          </w:p>
        </w:tc>
        <w:tc>
          <w:tcPr>
            <w:tcW w:w="1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r>
      <w:tr>
        <w:tblPrEx>
          <w:tblCellMar>
            <w:top w:w="0" w:type="dxa"/>
            <w:left w:w="108" w:type="dxa"/>
            <w:bottom w:w="0" w:type="dxa"/>
            <w:right w:w="108" w:type="dxa"/>
          </w:tblCellMar>
        </w:tblPrEx>
        <w:trPr>
          <w:trHeight w:val="417"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en-US" w:eastAsia="zh-CN" w:bidi="ar"/>
              </w:rPr>
              <w:t>7</w:t>
            </w:r>
          </w:p>
        </w:tc>
        <w:tc>
          <w:tcPr>
            <w:tcW w:w="16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业绩</w:t>
            </w:r>
          </w:p>
        </w:tc>
        <w:tc>
          <w:tcPr>
            <w:tcW w:w="62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投标供应商在20</w:t>
            </w:r>
            <w:r>
              <w:rPr>
                <w:rFonts w:hint="eastAsia" w:ascii="宋体" w:hAnsi="宋体" w:eastAsia="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zh-CN" w:eastAsia="zh-CN" w:bidi="ar"/>
              </w:rPr>
              <w:t>年</w:t>
            </w:r>
            <w:r>
              <w:rPr>
                <w:rFonts w:hint="eastAsia" w:ascii="宋体" w:hAnsi="宋体" w:cs="宋体"/>
                <w:i w:val="0"/>
                <w:iCs w:val="0"/>
                <w:color w:val="000000"/>
                <w:kern w:val="0"/>
                <w:sz w:val="24"/>
                <w:szCs w:val="24"/>
                <w:u w:val="none"/>
                <w:lang w:val="en-US" w:eastAsia="zh-CN" w:bidi="ar"/>
              </w:rPr>
              <w:t>1月以来</w:t>
            </w:r>
            <w:r>
              <w:rPr>
                <w:rFonts w:hint="eastAsia" w:ascii="宋体" w:hAnsi="宋体" w:eastAsia="宋体" w:cs="宋体"/>
                <w:i w:val="0"/>
                <w:iCs w:val="0"/>
                <w:color w:val="000000"/>
                <w:kern w:val="0"/>
                <w:sz w:val="24"/>
                <w:szCs w:val="24"/>
                <w:u w:val="none"/>
                <w:lang w:val="zh-CN" w:eastAsia="zh-CN" w:bidi="ar"/>
              </w:rPr>
              <w:t>，政府采购</w:t>
            </w:r>
            <w:r>
              <w:rPr>
                <w:rFonts w:hint="eastAsia" w:ascii="宋体" w:hAnsi="宋体" w:eastAsia="宋体" w:cs="宋体"/>
                <w:i w:val="0"/>
                <w:iCs w:val="0"/>
                <w:color w:val="000000"/>
                <w:kern w:val="0"/>
                <w:sz w:val="24"/>
                <w:szCs w:val="24"/>
                <w:u w:val="none"/>
                <w:lang w:val="en-US" w:eastAsia="zh-CN" w:bidi="ar"/>
              </w:rPr>
              <w:t>项目中有摄像机周界防范和人脸识别人员轨迹跟踪</w:t>
            </w:r>
            <w:r>
              <w:rPr>
                <w:rFonts w:hint="eastAsia" w:ascii="宋体" w:hAnsi="宋体" w:cs="宋体"/>
                <w:i w:val="0"/>
                <w:iCs w:val="0"/>
                <w:color w:val="000000"/>
                <w:kern w:val="0"/>
                <w:sz w:val="24"/>
                <w:szCs w:val="24"/>
                <w:u w:val="none"/>
                <w:lang w:val="en-US" w:eastAsia="zh-CN" w:bidi="ar"/>
              </w:rPr>
              <w:t>等业绩证明的</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zh-CN" w:eastAsia="zh-CN" w:bidi="ar"/>
              </w:rPr>
              <w:t>每个得</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zh-CN" w:eastAsia="zh-CN" w:bidi="ar"/>
              </w:rPr>
              <w:t>分，最高</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zh-CN" w:eastAsia="zh-CN" w:bidi="ar"/>
              </w:rPr>
              <w:t>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提供三维地图厂家法院行业相关案例合同，每提供一个得0.5分，最多得2分。</w:t>
            </w:r>
          </w:p>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（以上业绩提供</w:t>
            </w:r>
            <w:r>
              <w:rPr>
                <w:rFonts w:hint="eastAsia" w:ascii="宋体" w:hAnsi="宋体" w:cs="宋体"/>
                <w:i w:val="0"/>
                <w:iCs w:val="0"/>
                <w:color w:val="000000"/>
                <w:kern w:val="0"/>
                <w:sz w:val="24"/>
                <w:szCs w:val="24"/>
                <w:u w:val="none"/>
                <w:lang w:val="zh-CN" w:eastAsia="zh-CN" w:bidi="ar"/>
              </w:rPr>
              <w:t>合同</w:t>
            </w:r>
            <w:r>
              <w:rPr>
                <w:rFonts w:hint="eastAsia" w:ascii="宋体" w:hAnsi="宋体" w:eastAsia="宋体" w:cs="宋体"/>
                <w:i w:val="0"/>
                <w:iCs w:val="0"/>
                <w:color w:val="000000"/>
                <w:kern w:val="0"/>
                <w:sz w:val="24"/>
                <w:szCs w:val="24"/>
                <w:u w:val="none"/>
                <w:lang w:val="zh-CN" w:eastAsia="zh-CN" w:bidi="ar"/>
              </w:rPr>
              <w:t>原件扫描件或彩色图加盖单位公章</w:t>
            </w:r>
            <w:r>
              <w:rPr>
                <w:rFonts w:hint="eastAsia" w:ascii="宋体" w:hAnsi="宋体" w:cs="宋体"/>
                <w:i w:val="0"/>
                <w:iCs w:val="0"/>
                <w:color w:val="000000"/>
                <w:kern w:val="0"/>
                <w:sz w:val="24"/>
                <w:szCs w:val="24"/>
                <w:u w:val="none"/>
                <w:lang w:val="zh-CN" w:eastAsia="zh-CN" w:bidi="ar"/>
              </w:rPr>
              <w:t>，不提供不得分</w:t>
            </w:r>
            <w:r>
              <w:rPr>
                <w:rFonts w:hint="eastAsia" w:ascii="宋体" w:hAnsi="宋体" w:eastAsia="宋体" w:cs="宋体"/>
                <w:i w:val="0"/>
                <w:iCs w:val="0"/>
                <w:color w:val="000000"/>
                <w:kern w:val="0"/>
                <w:sz w:val="24"/>
                <w:szCs w:val="24"/>
                <w:u w:val="none"/>
                <w:lang w:val="zh-CN" w:eastAsia="zh-CN" w:bidi="ar"/>
              </w:rPr>
              <w:t>）</w:t>
            </w:r>
          </w:p>
        </w:tc>
        <w:tc>
          <w:tcPr>
            <w:tcW w:w="11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r>
    </w:tbl>
    <w:p>
      <w:pPr>
        <w:autoSpaceDE/>
        <w:autoSpaceDN/>
        <w:spacing w:line="300" w:lineRule="auto"/>
        <w:ind w:right="-168" w:rightChars="-80" w:firstLine="482" w:firstLineChars="200"/>
        <w:rPr>
          <w:rFonts w:hint="eastAsia" w:ascii="宋体" w:hAnsi="宋体" w:cs="宋体"/>
          <w:b/>
          <w:color w:val="000000" w:themeColor="text1"/>
          <w:sz w:val="24"/>
          <w:szCs w:val="24"/>
        </w:rPr>
      </w:pPr>
    </w:p>
    <w:p>
      <w:pPr>
        <w:autoSpaceDE/>
        <w:autoSpaceDN/>
        <w:spacing w:line="300" w:lineRule="auto"/>
        <w:ind w:right="-168" w:rightChars="-80" w:firstLine="482" w:firstLineChars="200"/>
        <w:rPr>
          <w:rFonts w:ascii="宋体" w:hAnsi="宋体" w:cs="宋体"/>
          <w:b/>
          <w:bCs/>
          <w:color w:val="000000" w:themeColor="text1"/>
          <w:sz w:val="24"/>
          <w:szCs w:val="24"/>
        </w:rPr>
      </w:pPr>
      <w:r>
        <w:rPr>
          <w:rFonts w:hint="eastAsia" w:ascii="宋体" w:hAnsi="宋体" w:cs="宋体"/>
          <w:b/>
          <w:color w:val="000000" w:themeColor="text1"/>
          <w:sz w:val="24"/>
          <w:szCs w:val="24"/>
        </w:rPr>
        <w:t>（5）本次评审通过资格审查和符合性评审的单位全部入围进行商务评审。</w:t>
      </w:r>
    </w:p>
    <w:p>
      <w:pPr>
        <w:spacing w:line="300" w:lineRule="auto"/>
        <w:rPr>
          <w:rFonts w:ascii="宋体"/>
          <w:b/>
          <w:bCs/>
          <w:color w:val="000000" w:themeColor="text1"/>
          <w:sz w:val="24"/>
          <w:szCs w:val="24"/>
        </w:rPr>
      </w:pPr>
    </w:p>
    <w:p>
      <w:pPr>
        <w:numPr>
          <w:ilvl w:val="0"/>
          <w:numId w:val="2"/>
        </w:numPr>
        <w:spacing w:line="300" w:lineRule="auto"/>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采购需求</w:t>
      </w:r>
    </w:p>
    <w:p>
      <w:pPr>
        <w:pStyle w:val="3"/>
        <w:pageBreakBefore w:val="0"/>
        <w:kinsoku/>
        <w:wordWrap/>
        <w:overflowPunct/>
        <w:topLinePunct w:val="0"/>
        <w:autoSpaceDE/>
        <w:autoSpaceDN/>
        <w:bidi w:val="0"/>
        <w:adjustRightInd/>
        <w:snapToGrid/>
        <w:spacing w:before="0" w:after="0" w:line="240" w:lineRule="atLeast"/>
        <w:rPr>
          <w:rStyle w:val="20"/>
          <w:rFonts w:hint="eastAsia" w:ascii="宋体" w:hAnsi="宋体" w:eastAsia="宋体" w:cs="宋体"/>
          <w:kern w:val="0"/>
          <w:sz w:val="24"/>
          <w:szCs w:val="24"/>
          <w:lang w:val="zh-TW"/>
        </w:rPr>
      </w:pPr>
      <w:r>
        <w:rPr>
          <w:rStyle w:val="20"/>
          <w:rFonts w:hint="eastAsia" w:ascii="宋体" w:hAnsi="宋体" w:eastAsia="宋体" w:cs="宋体"/>
          <w:kern w:val="0"/>
          <w:sz w:val="24"/>
          <w:szCs w:val="24"/>
          <w:lang w:val="zh-TW" w:eastAsia="zh-CN"/>
        </w:rPr>
        <w:t>（一）</w:t>
      </w:r>
      <w:r>
        <w:rPr>
          <w:rStyle w:val="20"/>
          <w:rFonts w:hint="eastAsia" w:ascii="宋体" w:hAnsi="宋体" w:eastAsia="宋体" w:cs="宋体"/>
          <w:kern w:val="0"/>
          <w:sz w:val="24"/>
          <w:szCs w:val="24"/>
          <w:lang w:val="zh-TW" w:eastAsia="zh-TW"/>
        </w:rPr>
        <w:t>采购标的需满足的质量、安全、技术规格、物理特性等要求</w:t>
      </w:r>
      <w:r>
        <w:rPr>
          <w:rStyle w:val="20"/>
          <w:rFonts w:hint="eastAsia" w:ascii="宋体" w:hAnsi="宋体" w:eastAsia="宋体" w:cs="宋体"/>
          <w:kern w:val="0"/>
          <w:sz w:val="24"/>
          <w:szCs w:val="24"/>
          <w:lang w:val="zh-TW"/>
        </w:rPr>
        <w:t>。</w:t>
      </w:r>
    </w:p>
    <w:tbl>
      <w:tblPr>
        <w:tblStyle w:val="13"/>
        <w:tblW w:w="10303"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990"/>
        <w:gridCol w:w="1548"/>
        <w:gridCol w:w="812"/>
        <w:gridCol w:w="763"/>
        <w:gridCol w:w="5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blHeader/>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一、园区进出管控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访客登记设备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1、设备外观：高清双屏显示，带有≥15寸电容触摸显示屏和≥10寸液晶显示屏；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2、系统参数：设备采用Windows 或Android 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3、存储大小：内存≥2G,存储≥16G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4、人证功能：内置200万高清摄像头，自带身份证阅读器，支持1：1人证比对成功后自动填入访客信息；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5、发卡功能：可通过身份证阅读器给访客发卡（Mifare卡、CPU卡序列号、身份证序列号或身份证号码），使访客能够在被授权的门禁刷卡通行；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6、内置二维码扫描仪，可识别H5界面访客预约码完成访客登记，或识别访客凭条的二维码完成访客签离；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7、内置高速热敏打印机，可打印访客凭条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8、通信方式：，支持TCP/IP有线网络通讯；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人员通道组件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设备外观：采用7英寸IPS触摸显示屏，200万像素双目摄像头，面部识别距离0.3-2m，支持照片视频防假；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2、设备容量：支持50000张人脸白名单，1：N人脸比对时间≤0.35S/人，支持50000张卡片，50000条事件记录;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3、认证方式：刷卡、人脸、密码、刷卡或人脸、刷卡+人脸、超级密码/胁迫密码等；屏下刷卡设计，可读取Mifare卡（IC卡）、CPU卡号及内容、身份证序列号；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4、通讯方式：上行通讯为有线网络；支持外接RS485或Wiegand副读卡器；支持标准韦根34/26；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5、视频对讲：支持主副室内分机、管理机的视频对讲功能；支持远程视频预览功能，可以通过RTSP协议输出视频码流，编码格式H.264；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6、输入接口：LAN*1、RS485*1、wiegand * 1、USB*1、门磁*1、报警输入*2、防拆*1、开门按钮*1；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7、输出接口：电锁*1个，报警输出*1个；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8、工作电压： DC 12V/2A，不自带电源；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9、安装方式：标配壁挂安装挂板，支持86底盒安装；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人脸识别距离0.2~3m；人脸比对平均时间≤0.175s；人脸识别误识率≤0.01%的条件下，准确率应99.9%；支持在0.001lux低照度无补光环境下正常实现人脸识别看，支持防假体攻击功能，对视频、电子照片、打印照片中的人脸应不能进行人脸识别。（提供公安部检验报告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人员通道人脸组件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1、设备外观：采用7英寸IPS触摸显示屏，200万像素双目摄像头，面部识别距离0.3-2m，支持照片视频防假；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2、设备容量：支持50000张人脸白名单，1：N人脸比对时间＜0.2S/人，支持50000张卡片，50000条事件记录;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3、认证方式：刷卡、人脸、密码、刷卡或人脸、刷卡+人脸、超级密码/胁迫密码等；屏下刷卡设计，可读取Mifare卡（IC卡）、CPU卡号及内容、身份证序列号；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4、通讯方式：上行通讯为有线网络；支持外接RS485或Wiegand副读卡器；支持标准韦根34/26；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5、视频对讲：支持主副室内分机、管理机的视频对讲功能；支持远程视频预览功能，可以通过RTSP协议输出视频码流，编码格式H.264；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6、输入接口：LAN*1、RS485*1、wiegand * 1、USB*1、门磁*1、报警输入*2、防拆*1、开门按钮*1；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7、输出接口：电锁*1个，报警输出*1个；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8、工作电压： DC 12V/2A，不自带电源；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9、安装方式：标配壁挂安装挂板，支持86底盒安装；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▲10、设备采用嵌入式Linux系统，7英寸IPS触摸显示屏，屏幕玻璃采用2.5D水滴屏工艺，屏幕流明度不低于360cd/㎡，支持屏下刷卡功能，屏幕防暴等级IK04。（提供公安部检验报告证明加盖原厂公章）</w:t>
            </w:r>
          </w:p>
          <w:p>
            <w:pPr>
              <w:keepNext w:val="0"/>
              <w:keepLines w:val="0"/>
              <w:widowControl/>
              <w:suppressLineNumbers w:val="0"/>
              <w:spacing w:line="24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11、包含3.97英寸触摸显示屏人脸采集仪。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人员通道</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型摆闸；产品尺寸1500mm×200mm×980mm（长×宽×高）；驱动电机直流无刷伺服电机；通道宽度不锈钢：600mm-1100mm亚克力：600mm-900mm；开门模式刷卡；输入接口RS232串口/RS485接口；功耗≤20W（待机），≤130W（工作）；使用环境室内；室外；机箱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标配12对红外检测；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支持开门超时自动复位功能；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支持声光报警提示，支持音量调节；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通道尺寸支持600mm-1100mm;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平均无故障使用次数（MCBF）大于500万次；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支持消防应急常开功能；支持报警信号输出功能；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支持机械防夹、红外防夹功能；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支持防冲撞功能；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支持九种通行模式组合：授权通行、禁止通行、自由通行等组合；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支持通行时间设置；支持延时关闸时间设置；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支持二次开启功能，人员在通道内可以授权；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支持出入口记忆功能，可以连续授权过人；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支持非法闯入、尾随、反向闯入、滞留、异常开门、非法翻越、门翼故障、红外异常、通信异常等声光报警提示；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人员通道</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类型摆闸；产品尺寸1500mm×200mm×980mm（长×宽×高）；驱动电机直流无刷伺服电机；通道宽度不锈钢：600mm-1100mm亚克力：600mm-900mm；开门模式刷卡；输入接口RS232串口/RS485接口；功耗≤20W（待机），≤130W（工作）；使用环境室内；室外；机箱厚度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标配12对红外检测；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支持开门超时自动复位功能；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支持声光报警提示，支持音量调节；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通道尺寸支持600mm-1100mm;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平均无故障使用次数（MCBF）大于500万次；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支持消防应急常开功能；支持报警信号输出功能；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支持机械防夹、红外防夹功能；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支持防冲撞功能；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支持九种通行模式组合：授权通行、禁止通行、自由通行等组合；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支持通行时间设置；支持延时关闸时间设置；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支持二次开启功能，人员在通道内可以授权；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支持出入口记忆功能，可以连续授权过人；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支持非法闯入、尾随、反向闯入、滞留、异常开门、非法翻越、门翼故障、红外异常、通信异常等声光报警提示；</w:t>
            </w:r>
          </w:p>
          <w:p>
            <w:pPr>
              <w:keepNext w:val="0"/>
              <w:keepLines w:val="0"/>
              <w:widowControl/>
              <w:suppressLineNumbers w:val="0"/>
              <w:spacing w:line="24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包含卡片录入（ID/Mifare/普通CPU/国密CPU卡/二三代身份证序列号）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测温安检门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灵敏度0-1999级可设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频率7.4~8.9KHz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最小可检测最小可检测半个回形针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系统检测到金属，可联动系统声光报警；可接入热成像摄像机，在热成像相机报警时可联动系统声光报警，具有255级不同音量等级设置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支持阈值模式，设备只对超过阈值的金属进行检测报警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支持调节检测物体的灵敏度，灵敏度拥有2000级可调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支持对设备的频率进行调整，支持7.4~8.9K频率调整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支持设置6-12-18区，可同时定位多个金属位置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遥控距离最大2米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支持体温检测，同时体温与人脸、金属报警关联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支持对通过金属探测门的人脸进行识别和视频监控，同时也支持对人脸进行检测，视频回放等。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支持30万张人脸底库，10个人脸库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支持2路智能人脸实时流，12张/S人脸图片流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支持阈值模式，设备只对超过阈值的金属进行检测报警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支持报警数据统计，方便检视和回顾，也可以集中管理上传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X射线检查系统（安检机）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通道尺寸：≥500mm×300mm（宽×高）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外形尺寸：≤1590mm×760mm×1160mm（长×宽×高）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传送带高度：≤670mm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设备由 X 射线源、X 射线探测器、控制部件、传送带、计算机等组成，采用单源多能量X射线检查技术，能够准确识别有机物、无机物和混合物。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线分辨力：设备在0.22m/s、0.32m/s两种速度下正常工作时，能够分辨最小单根实芯铜线直径Φ0.102mm（AWG38）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穿透分辨力：设备在0.22m/s、0.32m/s两种速度下正常工作时，能够分辨合金铝阶梯下最小单根实芯铜线直径Φ0.254mm（AWG30）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空间分辨力：设备在0.22m/s、0.32m/s两种速度下正常工作时，能够分辨最小线对直径1.0mm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穿透力：设备在0.22m/s、0.32m/s两种速度下正常工作时，能够穿透不小于27mm厚的钢板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单次检查剂量：设备在0.22m/s、0.32m/s两种速度下正常工作时，单次检查剂量均≤5μGy</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设备的输送速度应能在0.22m/s~0.32m/s之间任意可调。各速度下设备均应能完整出图。设备应能通过专用键盘实现输送速度切换，无需通过系统菜单或配置文件进行设置。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内置智能识别算法，实现对违禁品的智能识别。当检测到以下违禁品时，应能自动识别并红色方框圈定、声音报警：1、刀具（匕首、切刀、美工刀、弹簧刀）2、枪支（仿真手枪、仿真步枪、仿真子弹、仿真枪弹夹、仿真枪套筒、仿真枪枪管、仿真枪握把） 3、警用器械（指虎、甩棍、电击器、手铐） 4、压力容器 5、瓶装液体 6、鞭炮 7、电子设备（笔记本电脑、手机、平板电脑） 8、锂电池或充电宝 9、工具（扳手、剪刀、斜口钳、螺丝刀、压线钳、锤子、斧头）10、打火机 11、雨伞（提供公安部检验报告证明加盖原厂公章）人包关联功能：设备能将X光机入口处的人脸和包裹照片与该包裹的X射线图像关联保存（提供公安部检验报告证明加盖原厂公章）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预览界面出口划线标识功能：设备应具有预览界面出口划线标识功能，应能通过预览界面上的出口划线标识判断包裹到达出口的位置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智能节能功能：当设备入口无人员出入时，传送装置应自动停止；当有人员出现在设备入口时，传送装置应自动运行。（提供公安部检验报告证明加盖原厂公章）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设备的传送带承载能力应≥60kg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外壳防护等级应符合GB/T 4208-2017的规定，不低于IP20的要求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设备可实时存储不小于300万幅图像。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含智能安检机的接物架</w:t>
            </w:r>
          </w:p>
          <w:p>
            <w:pPr>
              <w:keepNext w:val="0"/>
              <w:keepLines w:val="0"/>
              <w:widowControl/>
              <w:suppressLineNumbers w:val="0"/>
              <w:spacing w:line="24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▲所投产品符合《GB15208.1-2018微剂量X射线安全检查设备要求》的规定 ，产品制造商具有《辐射安全许可证》。（提供相应的证书复印件）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安视POE交换机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信锐、华为、华三</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★固定端口：千兆POE电口≥24个， 千兆 SFP千兆光口≥4个；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POE功能：支持IEEE 802.3af/at供电标准，单端口最大输出功率≥30W，整机最大输出功率≥370W；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管理端口：Console口≥1个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使用环境：工作温度：0°C～40°C，存储温度：-40°C～70°C，相对湿度：5%～90% RH 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▲交换机性能：交换性能≥336Gbps/3.36Tbps，包转发率≥96Mpps/126Mpps，（若存在双参数，以较小参数为准）以上需提供官网截图证明；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入方式：支持胖瘦一体化，支持智能交换机和普通交换机两种工作模式，可以根据不同的组网需要，随时在控制器平台灵活的进行切换。访问控制策略：支持基于交换机单端口、聚合口的ACL策略；支持基于源目IP地址、MAC地址的ACL策略；支持基于协议（例如：OSPF、UDP、ARP），同时支持自定义协议号的ACL策略；支持基于时间的ACL策略；支持基于802.1p、IP及服务等级、DSCP的优先级设置；以上功能需提供平台功能配置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▲交换机零配置上线方式:二层广播自动发现控制器平台，配置静态IP地址三层发现控制器平台，DHCP Option43方式发现控制器平台，DNS域名发现控制器平台，以上方式提供官网截图证明；</w:t>
            </w:r>
          </w:p>
          <w:p>
            <w:pPr>
              <w:keepNext w:val="0"/>
              <w:keepLines w:val="0"/>
              <w:widowControl/>
              <w:suppressLineNumbers w:val="0"/>
              <w:spacing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一键替换:支持通过控制器平台一键替换“按钮”即可完成故障设备替换，提供平台功能截图证明；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▲M-LAG：支持M-LAG技术，跨设备链路聚合（非堆叠技术实现），要求配对的设备有独立的控制平面，提供功能配置截图证明；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三层功能：支持静态路由，路由表≥64，组播：组播条目≥512，支持IGMP Snooping V1,V2,V3。</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方系统联动:支持与第三方系统上报接入终端信息，包含IP、MAC、用户名、APID/SWID、AP名/SW名支持第三方系统下发的冻结风险终端的请求，对风险终端进行冻结支持安全状态页面中统计显示联动事件次数及详情，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支持安全日志显示对应安全事件，包括钓鱼AP攻击、DDOS攻击、爆破攻击、IP冲突、ARP扫描攻击等，提供功能截图证明；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终端安全策略:终端状态安全分析:支持查看终端在交换机端口离线次数、闲置时间、离线趋势，提供功能截图证明；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支持查看安全事件记录、终端类型异常记录、终端在端口迁移次数、终端地址异常记录等安全事件的记录统计，提供功能截图证明；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支持查看终端的的历史接入交换机端口，终端的活跃状态，提供功能截图证明</w:t>
            </w:r>
          </w:p>
          <w:p>
            <w:pPr>
              <w:keepNext w:val="0"/>
              <w:keepLines w:val="0"/>
              <w:widowControl/>
              <w:suppressLineNumbers w:val="0"/>
              <w:spacing w:line="24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▲为满足网络安全建设需求，交换机需满足《信息安全技术 交换机安全技术要求 GA/T 684-2007》,符合安全交换机标准，（提供与之对应的权威机构出具的检测报告加盖原厂公章）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安视POE交换机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信锐、华为、华三</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★固定端口:千兆POE电口数≥8个，千兆SFP光口≥4个；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POE功能:支持IEEE 802.3af/at供电标准，单端口最大输出功率≥30W，整机最大输出功率≥135W.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管理端口:Console口≥1个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使用环境:工作温度：0°C～40°C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存储温度：-40°C～70°C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相对湿度：5%～90% RH 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▲交换机性能:交换性能≥256Gbps/2.56Tbps包转发率≥27Mpps/102Mpps（若存在双参数，以较小参数为准）以上需提供官网截图证明；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入方式：支持胖瘦一体化，支持智能交换机和普通交换机两种工作模式，可以根据不同的组网需要，随时在控制器平台灵活的进行切换。访问控制策略：支持基于交换机单端口、聚合口的ACL策略；支持基于源目IP地址、MAC地址的ACL策略；支持基于协议（例如：OSPF、UDP、ARP），同时支持自定义协议号的ACL策略；支持基于时间的ACL策略；支持基于802.1p、IP及服务等级、DSCP的优先级设置；以上功能需提供平台功能配置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▲交换机零配置上线方式:二层广播自动发现控制器平台，配置静态IP地址三层发现控制器平台，DHCP Option43方式发现控制器平台，DNS域名发现控制器平台，以上方式提供官网截图证明；</w:t>
            </w:r>
          </w:p>
          <w:p>
            <w:pPr>
              <w:keepNext w:val="0"/>
              <w:keepLines w:val="0"/>
              <w:widowControl/>
              <w:suppressLineNumbers w:val="0"/>
              <w:spacing w:line="240" w:lineRule="auto"/>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一键替换:支持通过控制器平台一键替换“按钮”即可完成故障设备替换，提供平台功能截图证明；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▲M-LAG：支持M-LAG技术，跨设备链路聚合（非堆叠技术实现），要求配对的设备有独立的控制平面，提供功能配置截图证明；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三层功能：支持静态路由，路由表≥64，组播：组播条目≥512，支持IGMP Snooping V1,V2,V3。</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方系统联动:支持与第三方系统上报接入终端信息，包含IP、MAC、用户名、APID/SWID、AP名/SW名支持第三方系统下发的冻结风险终端的请求，对风险终端进行冻结支持安全状态页面中统计显示联动事件次数及详情，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支持安全日志显示对应安全事件，包括钓鱼AP攻击、DDOS攻击、爆破攻击、IP冲突、ARP扫描攻击等，提供功能截图证明；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终端安全策略:终端状态安全分析:支持查看终端在交换机端口离线次数、闲置时间、离线趋势，提供功能截图证明；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支持查看安全事件记录、终端类型异常记录、终端在端口迁移次数、终端地址异常记录等安全事件的记录统计，提供功能截图证明；</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支持查看终端的的历史接入交换机端口，终端的活跃状态，提供功能截图证明</w:t>
            </w:r>
          </w:p>
          <w:p>
            <w:pPr>
              <w:keepNext w:val="0"/>
              <w:keepLines w:val="0"/>
              <w:widowControl/>
              <w:suppressLineNumbers w:val="0"/>
              <w:spacing w:line="240" w:lineRule="auto"/>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▲为满足网络安全建设需求，交换机需满足《信息安全技术 交换机安全技术要求 GA/T 684-2007》,符合安全交换机标准，（提供与之对应的权威机构出具的检测报告加盖原厂公章）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二、门禁管理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人脸门禁一体机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1、设备外观：采用7寸高清触摸屏，200万像素双目摄像头，面部识别距离0.3-2m，支持照片、视频防假；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2、设备容量：支持10000张人脸白名单，1：N人脸比对时间＜0.2S/人，支持50000 张卡，150000条事件记录；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3、认证方式：支持人脸、刷卡、密码及其组合的认证方式；可读取Mifare卡（IC卡）、CPU卡号/内容、身份证序列号；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4、工作模式：支持普通模式、广告模式、简洁模式三大主题；每个主题均支持多人及单人识别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5、视频对讲：支持主副室内分机、管理机的视频对讲功能；支持远程视频预览功能，可以通过RTSP协议输出视频码流，编码格式H.264；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6、3.5mm 音频输出接口*1，设备内置扬声器可与外接音箱同时使用；对讲通话时，自动关闭外接音箱；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7、输入接口：LAN*1、RS485*1、Wiegand * 1(支持双向)、USB*1、 typeC*1、门磁*1、报警输入*2、开门按钮*1、SD 卡槽*1（最大支持 512GB）；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8、输出接口：电锁*1个，报警输出*1个；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9、通讯方式：上行通讯为TCP/IP；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10、应支持在管理中心远程视频预览功能；应支持与管理平台或客户端中心、室内机、管理机、手机 APP 可视对讲功能；应支持配置一键呼叫管理机或室内机的可视对讲功能；应支持与广播主机呼叫对讲功能，实现与广播系统可视对讲功能；应支持中心广播主机向设备广播喊话；（提供公安部检验报告证明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第三方卡片或复制卡片可屏蔽识读；应支持刷卡+密码、指纹+密码、指纹+刷卡、人脸+指纹、人脸+密码、人脸+刷卡、指纹+刷卡+密码、人脸+二维码+蓝牙、人脸+指纹+刷卡、人脸+密码+指纹的复合认证。（提供公安部检验报告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三、周界防范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周界声光警戒相机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传感器类型：1/3英寸CMOS；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最大补光距离：80m（红外视频监控距离）30m（暖光视频监控距离）10m（暖光人脸检测距离）；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镜头类型：定焦；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通用行为分析：物品遗留；物品搬移；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热度图：支持；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检测：支持人脸检测；支持跟踪；支持优选；支持抓拍；支持上报最优的人脸抓图；支持人脸增强，支持人脸曝光；支持人脸抠图区域可设：人脸，单寸照；支持实时抓拍；支持优选抓拍；支持质量优先三种抓拍策略；支持人脸角度过滤功能；支持优选时长可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数统计：支持对进入、离开以及经过的人员进行数量统计，并可显示及输出日、月、年统计报表支持区域内人员进行数量统计，支持4条规则配置，对限定的区域内人数和滞留时间进行统计并联动报警支持排队管理，支持4条规则配置，对限定的排队人数和排队时间进行统计并联动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视频压缩标准：H.265；H.264；H.264H；H.264B；MJPEG（仅辅码流支持）；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智能编码：H.264：支持;H.265：支持；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透雾功能：支持；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内置MIC：支持；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内置扬声器：音频: 1个内置麦克风，1个内置扬声器；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事件：无SD卡；SD卡空间不足；SD卡出错；网络断开；IP冲突；非法访问；动态检测；视频遮挡；绊线入侵；区域入侵；快速移动；物品遗留；物品搬移；徘徊检测；人员聚集；停车检测；场景变更；音频异常侦测；电压检测；外部报警；人脸检测；SMD；区域内人数统计；滞留报警；人数统计；人数异常检测；排队人数；排队时间；安全异常；灯光报警；声音报警（内置多种语音可选，支持用户自定义语音导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报警输入：1路（湿节点,支持直流3V~5V电位,5mA电流）；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报警输出：1路（湿节点,支持直流最大12V电位,0.3A电流）；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四、人脸抓拍机视频监控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高清半球摄像机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 半球型网络摄像机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 彩色：0.005 Lux @（F1.2, 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数字宽动态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调节角度: 水平：0°~360°；垂直：0°~75°；旋转：0°~360°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补光距离: 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波长范围: 850 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防补光过曝: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补光灯类型: 红外灯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最大图像尺寸: 2560 × 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主码流：H.265/H.264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 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 1个RJ45 10 M/100 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存储温湿度: -30 ℃~60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启动及工作温湿度: -30 ℃~60 ℃，湿度小于95%（无凝结）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 DC：12 V ± 25%，支持防反接保护；PoE：802.3af，Class 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电流及功耗: DC：12 V，0.4 A，最大功耗：5 W；PoE：802.3af，36 V~57 V，0.2 A~0.15 A，最大功耗：6.5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电源接口类型: Ø5.5 mm圆口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 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云台全景人脸识别摄像机（室外）</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▲摄像机内置不少于3个镜头，可输出至少一路全景视频和一路细节视频，其中全景路内置不少于2个镜头，细节路内置1个镜头；（提供公安部检验报告证明加盖原厂公章）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摄像机可通过IE浏览器最多添加20个物体标签，可开启或关闭标签显示功能，显示透明度可配置。</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传感器类型: 【全景】1/2.8＂progressive scan CMOS，【细节】1/1.8＂progressive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光学变倍: 【细节】25倍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 【全景】2.8 mm；【细节】5.9~147.5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 【全景】水平视场角：190° ± 5°，垂直视场角：50°；【细节】59.8~2.7度（广角~望远）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白光照射距离: 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补光灯距离: 【全景】30 m；【细节】200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水平范围: 【全景】不支持；【细节】0~360°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垂直范围: 【全景】7~17°；【细节】-20~90°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水平速度: 【全景】不支持；【细节】水平键控速度：0.1°~160°/s，速度可设；水平预置点速度：240°/s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垂直速度:【全景】垂直键控速度可设；【细节】垂直键控速度：0.1°~120°/s，速度可设；垂直预置点速度：200°/s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陀螺仪: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网络接口: 支持100 M网络数据，RJ45网口，自适应网络数据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SD卡扩展: 内置MicroSD卡插槽，，最大支持256 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闪光灯警戒功能，可设置闪光灯闪烁时间（1-300），闪烁频率（高、中、低、常亮），亮度（1-100），当监控画面中有目标触发区域入侵侦测、越界侦测、进入区域侦测、离开区域侦测等报警事件时，可联动白光灯闪烁进行报警。（提供公安部检验报告证明加盖原厂公章）</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报警: 7路报警输入、报警输出: 2路报警输出、音频: 1路音频输入、音频输出: 1路音频输出、支持RS-485、电源: DC：36 V/2.5 A，支持除雾:。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人脸抓拍半球摄像机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传感器类型：1/1.8英寸CMOS；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▲内置GPU芯片（提供公安部检验报告证明加盖原厂公章）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最低照度：0.001Lux（彩色模式）；0.0001Lux（黑白模式）；0Lux（补光灯开启）；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最大补光距离：50m（红外）；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镜头类型：电动变焦；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镜头焦距：2.7-12mm；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主码流视频分辨率和帧率最大为：50Hz：2688x1520、25帧/秒；60Hz：2688x1520、30帧/秒提供公安部检验报告证明加盖原厂公章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通用行为分析：物品遗留；物品搬移；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热度图：支持；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检测：支持人脸检测；支持跟踪；支持优选；支持抓拍（抓图分辨率1080P）；支持上报最优的人脸抓图；支持人脸增强，支持人脸曝光；支持人脸属性提取，支持7种属性8种表情：性别，年龄，眼镜，表情（愤怒，悲伤，厌恶，害怕，惊讶，平静，高兴，困惑），口罩，肤色，胡子；支持人脸抠图区域可设：人脸， 单寸照；支持实时抓拍；支持优选抓拍；支持质量优先三种抓拍策略；支持人脸角度过滤功能；支持优选时长可设；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▲人脸质量优先抓图功能检查：支持通过菜单开启或关闭人脸质量优先抓图功能，当开启时，人脸质量达到预定值时自动进行人脸抓拍。（提供公安部检验报告证明加盖原厂公章）</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数统计：支持对进入、离开以及经过的人员进行数量统计，支持区域内人员进行数量统计，并可显示及输出日、月、年统计报表；支持排队管理，支持4条规则配置，对限定的排队人数和排队时间进行统计并联动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视频压缩标准：H.265；H.264；H.264H；H.264B；MJPEG（仅辅码流支持）；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智能编码：H.264：支持H.265：支持；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透雾功能：支持；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内置MIC：支持；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音频输入：1路（RCA头）；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音频输出：1路（RCA头）；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报警输入：3路（湿节点,支持直流3V~5V电位,5mA电流）；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报警输出：2路（湿节点,支持直流最大12V电位,0.3A电流）；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防护等级：IK10;IP67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人脸抓拍筒型摄像机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传感器类型：1/1.8英寸CMOS；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最低照度：0.001Lux（彩色模式）；0.0001Lux（黑白模式）；0Lux（补光灯开启）；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最大补光距离：120m（红外）；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镜头类型：电动变焦；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镜头焦距：2.7-12mm；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通用行为分析：物品遗留；物品搬移；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热度图：支持；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检测：支持人脸检测；支持跟踪；支持优选；支持抓拍（抓图分辨率1080P）；支持上报最优的人脸抓图；支持人脸增强，支持人脸曝光；支持人脸属性提取，支持7种属性8种表情：性别，年龄，眼镜，表情（愤怒，悲伤，厌恶，害怕，惊讶，平静，高兴，困惑），口罩，肤色，胡子；支持人脸抠图区域可设：人脸， 单寸照；支持实时抓拍；支持优选抓拍；支持质量优先三种抓拍策略；支持人脸角度过滤功能；支持优选时长可设；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数统计：支持对进入、离开以及经过的人员进行数量统计，支持区域内人员进行数量统计，并可显示及输出日、月、年统计报表；支持排队管理，支持4条规则配置，对限定的排队人数和排队时间进行统计并联动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视频压缩标准：H.265；H.264；H.264H；H.264B；MJPEG（仅辅码流支持）；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智能编码：H.264：支持H.265：支持；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透雾功能：支持；</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 1个内置麦克风，1个内置扬声器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音频输入：1路（RCA头）；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音频输出：1路（RCA头）；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报警输入：3路（湿节点,支持直流3V~5V电位,5mA电流）；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报警输出：2路（湿节点,支持直流最大12V电位,0.3A电流）；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供电方式：DC12V/POE；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防护等级：IP67节点,支持直流3V~5V电位,5mA电流）；报警输出2路（湿节点,支持直流最大12V电位,0.3A电流）；供电方式DC12V/POE；防护等级IP67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室内全局摄像机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全局摄像机采用一体化设计，由双镜头相机与高性能GPU模块组成，内嵌深度学习算法，可供学习的人脸、人体，极大的提升了目标人脸、人体的检出率；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支持人员自动检测并联动动点镜头进行快速锁定抓拍，提供满足人脸比对的图片，并进行人体人脸关联；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人体最远检测距离可达40 m，人脸最远检测距离可达30 m，车辆最远检测距离15 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摄像机定焦镜头、变焦镜头靶面尺寸均不小于1/1.8英寸；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内置不少于2个GPU芯片。（提供公安部检验报告证明加盖原厂公章）两路视频输出分别支持分辨率设置为2560x1440，帧率设置为25fps，分辨力不小于1500线。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设备内置8个补光灯，其中全景4个补光灯，细节4个补光灯。支持水平、垂直旋转，水平手控速度不小于240°/s，定位准确度不大于0.1°。（提供公安部检验报告证明加盖原厂公章）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快速聚焦功能，设备对监控区域内的移动目标进行跟踪录像，录像通过单帧回放时应能保证每帧画面清晰稳定。支持本机存储功能，支持SD卡热插拔，SD卡最大支持256GB。（提供公安部检验报告证明加盖原厂公章）</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▲设备可将细节通道中抓拍的人脸图片和全景通道中的人体图片进行关联比对，可对同一目标进行双画面关联显示。（提供公安部检验报告证明加盖原厂公章）</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设备支持人脸抓拍去重功能，去重后在所有人脸抓拍图片中，同一人脸抓拍图的数量占比应≤1%。</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网络接口: RJ45网口，自适应10 M/100 M/1000 M网络数据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SD卡扩展: 内置MicroSD卡插槽，最大支持256 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报警输入: 1路报警输入，报警输出: 1路报警输出，音频输入: 1路音频输入，音频输出: 1路音频输出，支持RS485接口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防护: 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全景AR监控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传感器类型1/1.8英寸CMOS；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▲内置2个GPU芯片（提供公安部检验报告证明加盖原厂公章）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像素1600万（全景）+200万（球机）；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最大分辨率8192×1800；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视场角：全景：水平：360°垂直：80°~85°球机：水平：2.61°~59.61°垂直：1.48°~34.92°对角线：3°~66.96°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最低照度全景：0.001Lux（彩色模式）；0.0001Lux（黑白模式）；球机:0.001Lux（彩色模式）；0.0001Lux（黑白模式）；0Lux（补光灯开启）；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最大补光距离球机：≥220m米（红外补光）；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镜头类型：全景：定焦镜头，细节：电动变焦；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镜头焦距：全景：2.8mm，球机：5.62-208mm，37倍光学变倍；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通用行为分析区域入侵；绊线入侵；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视频压缩标准H.265；H.264；H.264H；H.264B；MJPEG（仅辅码流支持）；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智能编码H.264：支持，H.265：支持；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宽动态：全景：数字宽动态；球机：真实宽动态；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透雾功能：球机支持；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摄像机内置除湿器，可对样机内部进行除湿，除去玻璃罩上的水状附着物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▲具有1个RJ45网络接口、1个CVBS模拟视频输出接口、1个光纤接口、2路音频输入、2 路音频输出、7路报警输入、2路报警输出、1个RS232接口、1个RS485接口、1个复位按钮、1个SD卡槽、1个DC12V输出接口 （提供公安部检验报告证明加盖原厂公章）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供电方式DC36V；防护等级IP66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五、后端管理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人脸分析服务器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支持</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bidi="ar"/>
              </w:rPr>
              <w:t>50万张人脸图片，</w:t>
            </w:r>
            <w:r>
              <w:rPr>
                <w:rFonts w:hint="eastAsia" w:ascii="宋体" w:hAnsi="宋体" w:eastAsia="宋体" w:cs="宋体"/>
                <w:i w:val="0"/>
                <w:iCs w:val="0"/>
                <w:color w:val="000000"/>
                <w:kern w:val="0"/>
                <w:sz w:val="24"/>
                <w:szCs w:val="24"/>
                <w:u w:val="none"/>
                <w:lang w:val="en-US" w:eastAsia="zh-CN" w:bidi="ar"/>
              </w:rPr>
              <w:t>≥20</w:t>
            </w:r>
            <w:r>
              <w:rPr>
                <w:rFonts w:hint="eastAsia" w:ascii="宋体" w:hAnsi="宋体" w:eastAsia="宋体" w:cs="宋体"/>
                <w:color w:val="000000"/>
                <w:kern w:val="0"/>
                <w:sz w:val="24"/>
                <w:szCs w:val="24"/>
                <w:lang w:bidi="ar"/>
              </w:rPr>
              <w:t>个人脸名单库</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bidi="ar"/>
              </w:rPr>
              <w:t>50万张车牌名单，</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bidi="ar"/>
              </w:rPr>
              <w:t>50个车牌库,支持黑名单/白名单</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bidi="ar"/>
              </w:rPr>
              <w:t>160张/秒图片流比对报警</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支持前FR，前FD+后FR，前FR+后FR，后FD+后FR，前结构化+后人脸FR，前ITC+后人脸FR</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bidi="ar"/>
              </w:rPr>
              <w:t>48路视频结构化分析（1080P视频流）</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lang w:bidi="ar"/>
              </w:rPr>
              <w:t>48路周界防范，每路支持10条规则</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支持抓拍库人员频次统计实时报警功能：对指定时间内重复出现达到一定次数的抓拍人员进行报警，报警事件可以查询详情，展示报警人员历次出现的抓拍图； 支持人员频次报警事件检索，可以导出事件报表，支持添加高频人员到人脸库； 支持高频人员碰撞任务，对指定时间内抓拍人员统计分析，统计重复出现达到指定次数的人员；</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eastAsia="zh-CN" w:bidi="ar"/>
              </w:rPr>
              <w:t>提供公安部检验报告证明加盖原厂公章</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支持按高频事件、通道名称、时间检索高频报警事件并查询对应详情，显示高频报警人员历次出现的抓拍图和录像，支持将高频报警人员快速添加到样本库，支持导出高频报警事件报表</w:t>
            </w:r>
            <w:r>
              <w:rPr>
                <w:rFonts w:hint="eastAsia" w:ascii="宋体" w:hAnsi="宋体" w:eastAsia="宋体" w:cs="宋体"/>
                <w:color w:val="000000"/>
                <w:kern w:val="0"/>
                <w:sz w:val="24"/>
                <w:szCs w:val="24"/>
                <w:lang w:eastAsia="zh-CN" w:bidi="ar"/>
              </w:rPr>
              <w:t>。</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bidi="ar"/>
              </w:rPr>
              <w:t>支持前智ITC摄像机接入并进行车牌比对</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支持联动录像，抓图，日志，蜂鸣，邮件，预置点，本地报警输出，IPC报警输出，门禁，语音播报</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eSATA接口：1个（预留）；</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▲左右侧脸，上下低头不超过45度人脸检出率不低于95%；正对人脸在无干扰情况下人脸检出率不低于95%；</w:t>
            </w:r>
            <w:r>
              <w:rPr>
                <w:rFonts w:hint="eastAsia" w:ascii="宋体" w:hAnsi="宋体" w:eastAsia="宋体" w:cs="宋体"/>
                <w:color w:val="000000"/>
                <w:kern w:val="0"/>
                <w:sz w:val="24"/>
                <w:szCs w:val="24"/>
                <w:lang w:eastAsia="zh-CN" w:bidi="ar"/>
              </w:rPr>
              <w:t>（提供公安部检验报告证明加盖原厂公章）</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USB接口：4个,USB3.0，2个前置、2个后置；</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操作界面：WEB方式（PCAPP），本地GUI操作；</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操作系统：嵌入式Linux操作系统；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多路回放：最大支持16路回放；</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解码能力：1路24MP/2路16MP/5路12MP (20fps)/6路12MP (15fps)/5路8MP (30fps)/10路8MP (15fps)/6路6MP(30fps)/8路5MP(30fps)/9路5MP (25fps)/10路4MP (30fps)/15路4MP (20fps)/16路3MP (25fps)/10路1080P (60fps)/20路1080P (30fps)/30路720P (30fps)；</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视频输出：</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路VGA输出，</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路HDMI输出，其中VGA和HDMI 同源输出支持4K显示；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网络带宽：400Mbps接入、320Mbps存储、96Mbps转发；</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网络接口：4个RJ-45，10/100/1000Mbps自适应以太网口（千兆电口）；</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网络协议：GAT1400;P2P;DDNS;DNS;DHCP;NTP;SMTP;UDP;RTSP;IPv4;TCP/IP;HTTPS;HTTP；</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硬盘接口：16盘位，支持硬盘热插拔，已内置8块8T盘；</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主处理器：工业级嵌入式微控制器；</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报警输出：8路；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SAS接口：1个，SAS2.0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综合管理平台服务器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4210R×2/32G DDR4×4/600G 10K SAS×2（8盘位，RAID 1）/SAS_HBA/1GbE*2 电×1/550W(1＋1)/3Y</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2U双路标准机架式服务器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CPU：2颗intel至强系列处理器，核数≥10核，主频≥2.4GHz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内存：128G DDR4，16根内存插槽，最大支持扩展至2TB内存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硬盘：2块600G 10K 2.5寸 SAS硬盘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阵列卡：SAS_HBA卡, 支持RAID 0/1/10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PCIE扩展：最大可支持6个PCIE扩展插槽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网口：2个千兆电口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其他接口：1个RJ45管理接口，后置2个USB 3.0接口，前置2个USB2.0接口，1个VGA接口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电源：标配550W（1+1）高效铂金CRPS冗余电源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9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事件检测智能服务器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大华、海康威视、宇视</w:t>
            </w:r>
          </w:p>
        </w:tc>
        <w:tc>
          <w:tcPr>
            <w:tcW w:w="81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6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3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支持32路视频流实时分析（H.264/H.265）</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支持720P-800W分辨率 （推荐200W分辨率）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机箱规格：19英寸1U标准机架式，44mm(高) × 439mm(宽) × 591 mm(深)；</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处理器：一颗E3-1200系列高性能CPU，集成专业级GPU芯片；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内存：8G DDR3 内存；</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硬盘：内置1个240GB SSD 硬盘；</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数据接口：4个千兆自适应网口，4个USB3.0接口，2个USB2.0接口，1个VGA接口；</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电源：热插拔高效1+1冗余电源模块；</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额定功耗：550W 1+1冗余电源；</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支持设置异常事件侦测区域，可设置为封闭正方形、长方形、三角形和多边形等区域，封闭多边形最多边数不少于16个，也可设置为一条具有方向的布控线 (</w:t>
            </w:r>
            <w:r>
              <w:rPr>
                <w:rFonts w:hint="eastAsia" w:ascii="宋体" w:hAnsi="宋体" w:eastAsia="宋体" w:cs="宋体"/>
                <w:i w:val="0"/>
                <w:iCs w:val="0"/>
                <w:color w:val="000000"/>
                <w:kern w:val="0"/>
                <w:sz w:val="24"/>
                <w:szCs w:val="24"/>
                <w:u w:val="none"/>
                <w:lang w:val="en-US" w:eastAsia="zh-CN" w:bidi="ar"/>
              </w:rPr>
              <w:t>提供公安部检验报告证明加盖原厂公章)</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支持同时对32路视频流（分辨率4096*2160、帧率25fps、标准H.264/标准R265)进行智能分析</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通过客户端或者平台对肢体冲突、起身离床、重点人员起身、离岗、睡岗、人员攀高、如厕超时、声强突变、人数异常、放风场滞留、人员站立、人员静坐、区域人数检测、玩手机、未着警服、倒地、人员快速集聚等司法监舍行为智能规则进行配置，对穿越警戒线、进入区域、离开区域、区域滞留、不明物品出现、物品搬移、徘徊等司法周界行为智能规则进行配置。支持对同一路监控点配置多个规则分析项，每个规则分析项可以自定义规则预警名称，配置该规则所需的检测区域及参数 (</w:t>
            </w:r>
            <w:r>
              <w:rPr>
                <w:rFonts w:hint="eastAsia" w:ascii="宋体" w:hAnsi="宋体" w:eastAsia="宋体" w:cs="宋体"/>
                <w:i w:val="0"/>
                <w:iCs w:val="0"/>
                <w:color w:val="000000"/>
                <w:kern w:val="0"/>
                <w:sz w:val="24"/>
                <w:szCs w:val="24"/>
                <w:u w:val="none"/>
                <w:lang w:val="en-US" w:eastAsia="zh-CN" w:bidi="ar"/>
              </w:rPr>
              <w:t>提供公安部检验报告证明加盖原厂公章)</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支持对室内警戒区域内多人发生疑似打架斗殴等事件运动幅度达到设定值后，触发报警并上传报警抓拍图片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支持在设定区域范围内，人员滞留时间超过设定值时自动侦测并支持触发报警、上传报警抓拍图片等功能</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支持对实时采集的音频进行监测，当声音强度超过预设值或者突然产生高分贝的异常声音时触发报警并上传报警抓拍图片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在值班检测区域内，当值班人员离开值班区域超过设定时间，系统自动报警并抓拍图片，支持单人、双人离岗事件检测检测</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支持对检测区域内的人员玩手机行为进行检测，超过预设值支持触发报警并上传抓拍图片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支持对检测区域内有人员突然倒地的行为进行检测并触发报警上传抓拍图片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支持对检测区域内短时间内快速人员数量达到设定值进行检测并触发报警上传抓拍图片</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▲设备支持集群部署，支持主备节点运行，支持多个GPU芯片，多个GPU芯片集群调度，故障保护（设备断电、硬盘故障），负载均衡 (</w:t>
            </w:r>
            <w:r>
              <w:rPr>
                <w:rFonts w:hint="eastAsia" w:ascii="宋体" w:hAnsi="宋体" w:eastAsia="宋体" w:cs="宋体"/>
                <w:i w:val="0"/>
                <w:iCs w:val="0"/>
                <w:color w:val="000000"/>
                <w:kern w:val="0"/>
                <w:sz w:val="24"/>
                <w:szCs w:val="24"/>
                <w:u w:val="none"/>
                <w:lang w:val="en-US" w:eastAsia="zh-CN" w:bidi="ar"/>
              </w:rPr>
              <w:t>提供公安部检验报告证明加盖原厂公章)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监控网络管理平台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信锐、华为、华三</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千兆以太网口数≥4个；并需提供1个RJ-45 Console管理口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提供USB接口数≥2，用于外接硬件设备（提供官网截图及官网链接证明）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支持跨互联网进行远程集群部署，通过中心网络控制器可以对所有分支网络控制器进行统一集中管理；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支持在控制器平台查看交换机面板端口接入状态（端口UP/DOWN以不同的颜色区分）、交换机容量、端口负载、供电负载；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支持点击交换机面板端口可查看流量趋势、拥塞丢包数，从最近5分钟、1小时、1天、1周维度；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交换机面板端口可以实时显示接入终端属性；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支持查看在线终端对应的用户名、IP地址、MAC地址、所属VLAN、角色授权、认证策略等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支持通过控制器平台对交换机进行端口组划分、交换机组划分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支持100%去命令行从控制器统一下发配置，例如：IP、VLAN、链路聚合、防环路、路由、组播、ACL、QoS、镜像、M-LAG、VRRP等配置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实现有线/无线一体化认证、与位置、时间、终端IP地址无关；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有线接入终端支持通过人脸识别进行认证，为保证安全隐私认证人照片底片存在本地控制器；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一：云引擎认证——通过第三方云引擎系统实现人脸对比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二：本地引擎SDK部署——保障图片在本地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以上方式提供功能截图并加盖原厂公章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交换机离线统计：包含按上线交换机离线时长统计、交换机离线次数统计、交换机离线趋势统计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支持自定义时间区域查看交换机攻击事件，包括事件类型、攻击者MAC、攻击设备类型等维度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支持终端类型识别，系统内置终端识别库。例如：办公设备（视频会议设备、VOIP电话设备等）、打印机或扫描仪、摄像头、电视盒子、移动终端、路由器等；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需提供系统终端识别库截图证明；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支持查看在线、离线终端数量；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▲支持从不安全终端数、终端类型异常、终端位置异常、终端地址异常等维度查看接入终端安全事件（终端MAC地址、终端类型、最近接入端口、安全发生次数、最近发生时间）提供功能截图并加盖原厂公章；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支持禁止通过内网PC端进行私接随身WiFi共享；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支持支持基于交换机端口组实现通过检测设备供电特征，有无要电防止仿冒设备接入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支持支持基于交换机端口组实现通过检测终端有无流量特征，实现POE终端自动重启，解决POE终端假死问题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控制器平台关闭终端不必要的端口服务，在交换机上创建东西向安全策略，实现全网安全风险拦截；支持实时查看有些接入终端当前的安全状态，例如：在线终端、风险终端、拦截终端；提供功能截图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支持内网终端攻击服务类型占比分析、攻击事件分析、被攻击终端类型分布提供功能截图并加盖原厂公章；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支持联动安全感知平台，从接入层交换机实现对风险终端MAC地址进行封堵；需提供平台系统功能截图证明并加盖原厂公章；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安全交换机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信锐、华为、华三</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固定端口:千兆电口≥24个，10G SFP+万兆光口≥4个；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管理端口:Console口≥1个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使用环境:工作温度：0°C～40°C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存储温度：-40°C～70°C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相对湿度：5%～90% RH 无凝结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▲交换机性能：交换性能≥336Gbps/3.36Tbps包转发率≥108Mpps/126Mpps（若存在双参数，以较小参数为准）以上需提供官网截图证明；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接入方式：支持胖瘦一体化，支持智能交换机和普通交换机两种工作模式，可以根据不同的组网需要，随时在控制器平台灵活的进行切换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访问控制策略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DHCP Snooping：支持交换机端口设置为信任端口或非信任端口，非信任端口也可设置白名单响应DHCP报文。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▲交换机零配置上线方式:二层广播自动发现控制器平台，配置静态IP地址三层发现控制器平台，DHCP Option43方式发现控制器平台，DNS域名发现控制器平台，以上方式提供官网截图证明并加盖原厂公章；</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▲一键替换：支持通过控制器平台一键替换“按钮”即可完成故障设备替换，提供平台功能截图证明</w:t>
            </w:r>
            <w:r>
              <w:rPr>
                <w:rFonts w:hint="eastAsia" w:ascii="宋体" w:hAnsi="宋体" w:eastAsia="宋体" w:cs="宋体"/>
                <w:i w:val="0"/>
                <w:iCs w:val="0"/>
                <w:color w:val="000000"/>
                <w:kern w:val="0"/>
                <w:sz w:val="24"/>
                <w:szCs w:val="24"/>
                <w:u w:val="none"/>
                <w:lang w:val="en-US" w:eastAsia="zh-Hans" w:bidi="ar"/>
              </w:rPr>
              <w:t>并加盖原厂公章</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MAC:支持MAC地址≥16K，支持MAC地址自动学习，支持源MAC地址过滤。M-LAG：支持M-LAG技术，跨设备链路聚合（非堆叠技术实现），要求配对的设备有独立的控制平面，提供功能配置截图证明；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三层功能：支持静态路由，路由表≥512，组播：组播条目≥1k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支持IGMP Snooping V1,V2,V3。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网络管理：支持通过APP进行远程管理，并且可以修改交换机网络配置，提供APP软件功能配置截图证明；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支持通过网管平台跨广域网、NAT远程管理智能交换机，提供截图证明；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交换机画像管理：支持通过在控制器平台的Web页面对交换机进行可视化管理查看，包括交换机的端口状态及配置、vlan信息，提供功能截图证明；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支持通过控制器平台图形化操作对交换机端口状态的开启与关闭，提供功能截图证明；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运维：支持安全日志显示对应安全事件，包括钓鱼AP攻击、DDOS攻击、爆破攻击、IP冲突、ARP扫描攻击等，提供功能截图证明；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终端安全策略:支持终端IP-MAC绑定，当IP+MAC不对应时，可以将终端加入黑名单实现断开终端流量支持终端IP-MAC首次部署自动学习绑定,支持将交换机的端口进行端口组划分，方便配置管理，提供功能截图证明；支持预留的特权IP必须由管理员审批才可以使用，同时支持IP白名单免审批，提供功能截图证明；支持终端的MAC与交换机端口变更检测，提供功能截图；支持终端发生安全策略事件后，交换机将终端加入黑名单,</w:t>
            </w:r>
          </w:p>
          <w:p>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交换机端口终端类型变更后，通过APP、短信告警，提供功能截图证明；可以自定义交换机端口接入终端类型，及MAC黑白名单，提供功能截图证明.终端状态安全分析:支持查看终端在交换机端口离线次数、闲置时间、离线趋势，提供功能截图证明；支持查看安全事件记录、终端类型异常记录、终端在端口迁移次数、终端地址异常记录等安全事件的记录统计，提供功能截图证明；支持查看终端的的历史接入交换机端口，终端的活跃状态，提供功能截图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▲厂商资质:为保证产品软件成熟度，设备生产厂商需具备CMMI5级证书，提供证书复印件证明，并加盖原厂公章</w:t>
            </w:r>
          </w:p>
          <w:p>
            <w:pPr>
              <w:keepNext w:val="0"/>
              <w:keepLines w:val="0"/>
              <w:widowControl/>
              <w:suppressLineNumbers w:val="0"/>
              <w:spacing w:line="240" w:lineRule="auto"/>
              <w:jc w:val="left"/>
              <w:textAlignment w:val="top"/>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▲为满足网络安全建设需求，交换机需满足《信息安全技术 交换机安全技术要求 GA/T 684-2007》,符合安全交换机标准，提供与之对应的权威机构出具的检测报告加盖原厂公章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系统管理</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大华、海康威视、宇视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1、支持系统内的组织、人员、车辆、用户、角色、认证、区域等的配置和管理；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2、包含图上监控、事件联动、视频网管、门禁网管、停车场网管、紧急报警、违停球接入等功能。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1、支持前端编码设备的集中管理；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2、支持视频预览、录像回放、图片查看、解码上墙等功能。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视频联网</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用于平台对外标准化互联互通（跨网、异构）的组件。支持通用视频联网标准协（GB/T28181、DB33/T629）,提供支持其他联网标准的扩展能力。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门禁管理</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1、提供门禁服务，支持卡片、指纹、人脸三种权限介质；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2、特殊卡应用、多重认证、首卡常开、反潜回、多门互锁、门常开常闭等多种高级业务应用场景。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外来人员管控</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支持管理多个法院的来访人员和黑名单人员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支持刷身份证和人脸，比对通过后自动完成登记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支持查看来访记录及在法院内的所有轨迹信息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支持黑名单报警和非法闯入报警，并语音播报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支持查看今日未离开人员信息，支持将可疑人员加入黑名单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配置各个人员分组的有效期，在有效期内可通过人脸进出法院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访客管理</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支持访客自助登记和人工登记两种模式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支持访客单模版管理，可自定义配置访客单模版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支持访客可通过访客机或访客签离点进行自助签离，支持系统定时进行自动签离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支持展示及查询访客登记的地点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支持访客足迹查看，包含门禁人员出入事件、可视对讲出入事件、人脸监控记录、梯控事件、停车场出入事件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智慧安检应用</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1、支持平台设备的违禁品告警、离岗告警、金属圈告警、大客流预警；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2、支持告警详情查看（事件等级、报警时间、所在区域/位置、事件源、事件类型、违禁品数量、详情），违禁品详情支持关联人脸数据和排班数据展示；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3、支持列表展示历史告警（报警时间、报警域级、设备类型、违禁品数量、告警类型、所属区域、事件等级）；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4、支持告警详情查看（事件等级、报警时间、所在区域/位置、事件源、事件类型、违禁品数量、详情），违禁品详情支持关联人脸数据和排班数据展示；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5、支持在资源名称或区域名称维度下，根据统计周期、统计时间，以列表、统计图或折线图展示违禁品统计结果；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AR实景地图应用</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支持AR鹰眼接入，联动前端设备对接应用平台汇聚多维信息，实现布控报警可视化、数据展示动态化等实时管控应用。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八、园区三维地图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三维地图数据</w:t>
            </w:r>
          </w:p>
        </w:tc>
        <w:tc>
          <w:tcPr>
            <w:tcW w:w="154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优锘、科澜、图洋</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含区域内所有建筑及室外的围墙、道路、建筑、绿化、水系及各类小品；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1、支持完整场景的数据类融合，包含底图高清影像数据、生产的三维模型数据，及业务图层数据的融合；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2、采用标准的三维建模工具进行数据生产，数据格式需通用且包含完整的结构数据及各类资源数据，数据生产需符合《CH/T 9015-2012 三维地理信息模型数据产品规范》要求；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3、数据精度要求控制在20cm；结构精度要求凹凸大于20cm均以模型表现；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4、对与各类管理单元所对应的模型对象，需建设标准模型库及独立模型文件，作为最终成果数据一并提交；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5、对最终应用数据，需建设实效的模型数据库，满足网络分发和共享应用，需符合《CH/T 9017-2012 三维地理信息模型数据库规范》建设要求；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三维地图引擎</w:t>
            </w:r>
          </w:p>
        </w:tc>
        <w:tc>
          <w:tcPr>
            <w:tcW w:w="1548"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▲1、支持云端渲染技术及并发管理服务；(需提供第三方权威机构的检测报告加盖原厂公章）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2、支持室外、室内一体化的三维地图可视化应用，实现基于空间位置的调用和交互；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3、web页面3D渲染能力，支持超高分辨率点对点渲染，支持高级光照、反射等渲染特性，支持动态水面同时能够反射周围环境和倒影效果，支持虚化、辉光等处理效果；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▲4、支持基于浏览器（Chrome、360浏览器等）的轻量级访问，无需安装任何客户端插件；(需提供第三方权威机构的检测报告加盖原厂公章）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5、支持高于100,000个物联网设备的点位上图管理；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6、满足地图查看的响应时间在2秒以内。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三维地图应用平台</w:t>
            </w:r>
          </w:p>
        </w:tc>
        <w:tc>
          <w:tcPr>
            <w:tcW w:w="1548"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1、点位上图管理服务：支持各类物联网设备快速、便捷添加上图功能；支持监控点的地面可视区域生成及手动位置调整功能；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2、信号接入存储分发服务：支持GB/T 28181协议标准，与其他国标平台实现对接；支持获取第三方厂商设备信息、报警信息等；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视频可视区域：支持构建摄像机对应的可视区域，以精确该摄像机的监控画面在空间信息中的地面真实可视区域；通过计算，可以判断区域内的监控盲点/盲区，以便后期摄像机补位。(需提供第三方权威机构的检测报告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4、视频联动功能：支持点击相机模型，弹出该相机的实时预览及回放；支持查看实时预览时，显示该相机的可视区域，辅助操作人员对相机监控范围的直观图形化表达；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5、视频追查：点查，点击三维场景中的任意位置，分析出能看到该位置的相机画面；线查：在三维场景中通过鼠标模拟勾画一条人员逃跑路线，分析出能够看到该路线上的所有相机画面；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综合报警：支持对接视频报警、人脸黑名单告警，能够快速定位到报警位置，同时查看管理的视频监控。做到报警定位、报警联动、报警查询以及统计分析功能，对各类报警信息统一管理，可查看历史报警的处理。(需提供第三方权威机构的检测报告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7、访客管理应用：支持来访人员进出记录查看；支持以图搜图查询访客抓拍照片对比结果，并对查询结果形成人脸轨迹；人脸轨迹支持从室外到室内的完整轨迹路线；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三维巡更功能：支持根据建模内的道路路网，进行智能分段，在区域内根据分段的道路路网，模拟巡逻人员沿着道路行走，对沿线的视频点位进行自动巡逻；提供“三维巡更”相关技术能力的软著等证明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9、门禁功能：点击门禁控制功能按钮后进入界面，地图以图标方式标绘出门禁的位置；点击门禁模型可查看门禁实时状态，控制门禁的开关；发生非法入侵报警时，对设备标红提示，并联动关联的视频。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综合数据发布:以现有的信息化系统为基础，对地理信息数据进行整合统一对外发布。支持TB级别数据发布，并且不限并发数量，提高对数据整合应用。提供“综合数据发布”相关技术能力的软著等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九、人像预约综合管理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人像预约综合管理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highlight w:val="none"/>
                <w:u w:val="none"/>
                <w:lang w:val="en-US" w:eastAsia="zh-CN" w:bidi="ar"/>
              </w:rPr>
              <w:t>仰天、宇若、智锋</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1、支持普通预约、调解预约、信访预约，预约成功后，自动将个人信息推送至平台系统，诉讼参与人来院时可直接通过人脸识别来入院；提供本院原有人像应用综合管理平台对接证明文件并加盖原厂公章；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预约信息到达法官手机端后，可以通过预约或拒绝预约，法院手机端的预约信息包含预约时填写的相关个人信息、关联案件信息及身份信息（例如律师等），方便法官做合理判断。提供办公办案平台审判模块对接证明文件并加盖原厂公章，以便正确无误的填写相关案件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3、当预约诉讼参与人通过闸机设备时，预约信息自动推送到安保电脑，方便安保人员放行安检；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4、预约成功后，后台系统自动推送至诉讼参与人手机；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5、预约成功后，相关法官可根据诉讼参与人的身份信息，告知法院信息化人员临时设定黑、白名单；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6、预约成功后，相关法官可根据诉讼参与人的身份信息，告知法院信息化人员临时授权并与门禁、梯控联动.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十、施工及辅材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大华、海康威视、非凡春天</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六类网络线。采用无氧铜芯，直流电阻小，传输损耗小；护套采用环保阻燃聚氯乙烯（PVC）材质，抗拉强度高，安全系数强；线缆采用高密度双绞结构，线对之间串扰小。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支持千兆以太网信号传输。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无氧铜芯，直流电阻小，信号衰减小。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符合RoHS 2.0 和Reach认证。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大华、海康威视、非凡春天</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导体类型：无氧铜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护套类型：PVC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线缆芯数：4芯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线缆类型（电源线）：RVV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屏蔽性能：非屏蔽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标称截面积：1.00mm2（200米/卷)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信号线</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大华、海康威视、非凡春天</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导体类型：无氧铜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护套类型：PVC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线缆芯数：4芯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线缆类型（电源线）：RVV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屏蔽性能：非屏蔽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标称截面积：0.75.00mm4（200米/卷)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大华、海康威视、非凡春天</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YTS（金属加强构件、松套层绞填充式、钢-聚乙烯粘结护套通信用室外光缆）光缆的结构是将单模或多模光纤套入由高模量的塑料做成的内填充防水化合物松套管中。缆芯的中心是一根金属加强芯，对于某些芯数的光缆来说，金属加强芯外还可挤包一层聚乙烯（PE）.松套管（和填充绳）围绕中心加强芯绞合成紧凑和圆形的缆芯，缆芯内的缝隙充以阻水化合物。涂塑钢带纵包后挤塑聚乙烯护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衰减：≤0.4dB/km（1550nm），≤0.5dB/km(1310nm)；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贮存、运输、使用温度: -40℃～+70℃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光纤熔接及熔接配件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包含：光纤熔接；光纤终端盒；光纤尾纤；光纤跳线等其他光纤配件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不锈钢防护箱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不锈钢400*500*200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PCV 管</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中财</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立杆（含基础）</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国产</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定制3.5米镀锌管立杆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施工及三年维护费用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国产</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施工及三年维护费用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辅材费用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国产</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线缆、立柱、支架等</w:t>
            </w:r>
          </w:p>
        </w:tc>
      </w:tr>
    </w:tbl>
    <w:p>
      <w:pPr>
        <w:spacing w:line="360" w:lineRule="auto"/>
        <w:jc w:val="left"/>
        <w:rPr>
          <w:rStyle w:val="21"/>
          <w:rFonts w:ascii="宋体" w:hAnsi="宋体" w:eastAsia="宋体" w:cs="宋体"/>
          <w:sz w:val="24"/>
          <w:szCs w:val="24"/>
        </w:rPr>
      </w:pPr>
      <w:r>
        <w:rPr>
          <w:rStyle w:val="21"/>
          <w:rFonts w:hint="eastAsia" w:ascii="宋体" w:hAnsi="宋体" w:eastAsia="宋体" w:cs="宋体"/>
          <w:sz w:val="24"/>
          <w:szCs w:val="24"/>
          <w:lang w:val="en-US" w:eastAsia="zh-CN"/>
        </w:rPr>
        <w:t>注：</w:t>
      </w:r>
      <w:r>
        <w:rPr>
          <w:rStyle w:val="21"/>
          <w:rFonts w:hint="eastAsia" w:ascii="宋体" w:hAnsi="宋体" w:eastAsia="宋体" w:cs="宋体"/>
          <w:sz w:val="24"/>
          <w:szCs w:val="24"/>
          <w:lang w:eastAsia="zh-CN"/>
        </w:rPr>
        <w:t>（</w:t>
      </w:r>
      <w:r>
        <w:rPr>
          <w:rStyle w:val="21"/>
          <w:rFonts w:hint="eastAsia" w:ascii="宋体" w:hAnsi="宋体" w:eastAsia="宋体" w:cs="宋体"/>
          <w:sz w:val="24"/>
          <w:szCs w:val="24"/>
          <w:lang w:val="en-US" w:eastAsia="zh-CN"/>
        </w:rPr>
        <w:t>1）</w:t>
      </w:r>
      <w:r>
        <w:rPr>
          <w:rStyle w:val="21"/>
          <w:rFonts w:hint="eastAsia" w:ascii="宋体" w:hAnsi="宋体" w:eastAsia="宋体" w:cs="宋体"/>
          <w:sz w:val="24"/>
          <w:szCs w:val="24"/>
          <w:lang w:eastAsia="zh-CN"/>
        </w:rPr>
        <w:t>带</w:t>
      </w:r>
      <w:r>
        <w:rPr>
          <w:rFonts w:hint="eastAsia" w:ascii="宋体" w:hAnsi="宋体" w:eastAsia="宋体" w:cs="宋体"/>
          <w:color w:val="000000"/>
          <w:kern w:val="0"/>
          <w:sz w:val="24"/>
          <w:szCs w:val="24"/>
        </w:rPr>
        <w:t>▲参数为关键性技术指标，将作为技术评审的主要依据</w:t>
      </w:r>
      <w:r>
        <w:rPr>
          <w:rStyle w:val="21"/>
          <w:rFonts w:hint="eastAsia" w:ascii="宋体" w:hAnsi="宋体" w:eastAsia="宋体" w:cs="宋体"/>
          <w:sz w:val="24"/>
          <w:szCs w:val="24"/>
        </w:rPr>
        <w:t>。</w:t>
      </w:r>
    </w:p>
    <w:p>
      <w:pPr>
        <w:spacing w:line="360" w:lineRule="auto"/>
        <w:ind w:firstLine="480" w:firstLineChars="200"/>
        <w:jc w:val="left"/>
        <w:rPr>
          <w:sz w:val="24"/>
          <w:szCs w:val="24"/>
        </w:rPr>
      </w:pPr>
      <w:r>
        <w:rPr>
          <w:rStyle w:val="21"/>
          <w:rFonts w:hint="eastAsia" w:ascii="宋体" w:hAnsi="宋体" w:eastAsia="宋体" w:cs="宋体"/>
          <w:sz w:val="24"/>
          <w:szCs w:val="24"/>
          <w:lang w:val="en-US" w:eastAsia="zh-CN"/>
        </w:rPr>
        <w:t>（2）需求中不允许偏离的实质性要求和条件，以“</w:t>
      </w:r>
      <w:r>
        <w:rPr>
          <w:rFonts w:hint="eastAsia" w:ascii="宋体" w:hAnsi="宋体" w:eastAsia="宋体" w:cs="宋体"/>
          <w:color w:val="000000"/>
          <w:kern w:val="0"/>
          <w:sz w:val="24"/>
          <w:szCs w:val="24"/>
        </w:rPr>
        <w:t>★</w:t>
      </w:r>
      <w:r>
        <w:rPr>
          <w:rStyle w:val="21"/>
          <w:rFonts w:hint="eastAsia" w:ascii="宋体" w:hAnsi="宋体" w:eastAsia="宋体" w:cs="宋体"/>
          <w:sz w:val="24"/>
          <w:szCs w:val="24"/>
          <w:lang w:val="en-US" w:eastAsia="zh-CN"/>
        </w:rPr>
        <w:t>”号标明，如投标人未响应的，将被视为无效标。</w:t>
      </w:r>
    </w:p>
    <w:p>
      <w:pPr>
        <w:pStyle w:val="3"/>
        <w:pageBreakBefore w:val="0"/>
        <w:kinsoku/>
        <w:wordWrap/>
        <w:overflowPunct/>
        <w:topLinePunct w:val="0"/>
        <w:autoSpaceDE/>
        <w:autoSpaceDN/>
        <w:bidi w:val="0"/>
        <w:adjustRightInd/>
        <w:snapToGrid/>
        <w:spacing w:before="0" w:after="0" w:line="240" w:lineRule="auto"/>
        <w:rPr>
          <w:rStyle w:val="20"/>
          <w:rFonts w:hint="eastAsia" w:ascii="宋体" w:hAnsi="宋体" w:eastAsia="宋体" w:cs="宋体"/>
          <w:sz w:val="24"/>
          <w:szCs w:val="24"/>
        </w:rPr>
      </w:pPr>
      <w:r>
        <w:rPr>
          <w:rStyle w:val="20"/>
          <w:rFonts w:hint="eastAsia" w:ascii="宋体" w:hAnsi="宋体" w:eastAsia="宋体" w:cs="宋体"/>
          <w:sz w:val="24"/>
          <w:szCs w:val="24"/>
          <w:lang w:eastAsia="zh-CN"/>
        </w:rPr>
        <w:t>（二）</w:t>
      </w:r>
      <w:r>
        <w:rPr>
          <w:rStyle w:val="20"/>
          <w:rFonts w:hint="eastAsia" w:ascii="宋体" w:hAnsi="宋体" w:eastAsia="宋体" w:cs="宋体"/>
          <w:sz w:val="24"/>
          <w:szCs w:val="24"/>
        </w:rPr>
        <w:t>采购标的的安装调试、验收要求</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kern w:val="0"/>
          <w:sz w:val="24"/>
          <w:szCs w:val="24"/>
          <w:lang w:eastAsia="zh-CN"/>
        </w:rPr>
      </w:pPr>
      <w:r>
        <w:rPr>
          <w:rStyle w:val="21"/>
          <w:rFonts w:hint="eastAsia" w:ascii="宋体" w:hAnsi="宋体" w:eastAsia="宋体" w:cs="宋体"/>
          <w:kern w:val="0"/>
          <w:sz w:val="24"/>
          <w:szCs w:val="24"/>
          <w:lang w:val="en-US" w:eastAsia="zh-CN"/>
        </w:rPr>
        <w:t>1、</w:t>
      </w:r>
      <w:r>
        <w:rPr>
          <w:rStyle w:val="21"/>
          <w:rFonts w:hint="eastAsia" w:ascii="宋体" w:hAnsi="宋体" w:eastAsia="宋体" w:cs="宋体"/>
          <w:kern w:val="0"/>
          <w:sz w:val="24"/>
          <w:szCs w:val="24"/>
          <w:lang w:eastAsia="zh-CN"/>
        </w:rPr>
        <w:t>系统实施阶段，投标人需提供原厂工程师现场进行实施及调试。从事本项目期间参与本项目的全职人员和项目经理原则上不能同时担任其他项目的全职人员和项目经理。</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kern w:val="0"/>
          <w:sz w:val="24"/>
          <w:szCs w:val="24"/>
        </w:rPr>
      </w:pPr>
      <w:r>
        <w:rPr>
          <w:rStyle w:val="21"/>
          <w:rFonts w:hint="eastAsia" w:ascii="宋体" w:hAnsi="宋体" w:eastAsia="宋体" w:cs="宋体"/>
          <w:kern w:val="0"/>
          <w:sz w:val="24"/>
          <w:szCs w:val="24"/>
          <w:lang w:val="en-US" w:eastAsia="zh-CN"/>
        </w:rPr>
        <w:t>2、</w:t>
      </w:r>
      <w:r>
        <w:rPr>
          <w:rStyle w:val="21"/>
          <w:rFonts w:hint="eastAsia" w:ascii="宋体" w:hAnsi="宋体" w:eastAsia="宋体" w:cs="宋体"/>
          <w:kern w:val="0"/>
          <w:sz w:val="24"/>
          <w:szCs w:val="24"/>
          <w:lang w:eastAsia="zh-CN"/>
        </w:rPr>
        <w:t>工期要求：</w:t>
      </w:r>
      <w:r>
        <w:rPr>
          <w:rStyle w:val="21"/>
          <w:rFonts w:hint="eastAsia" w:ascii="宋体" w:hAnsi="宋体" w:eastAsia="宋体" w:cs="宋体"/>
          <w:kern w:val="0"/>
          <w:sz w:val="24"/>
          <w:szCs w:val="24"/>
        </w:rPr>
        <w:t>整个项目</w:t>
      </w:r>
      <w:r>
        <w:rPr>
          <w:rStyle w:val="21"/>
          <w:rFonts w:hint="eastAsia" w:ascii="宋体" w:hAnsi="宋体" w:eastAsia="宋体" w:cs="宋体"/>
          <w:kern w:val="0"/>
          <w:sz w:val="24"/>
          <w:szCs w:val="24"/>
          <w:lang w:eastAsia="zh-CN"/>
        </w:rPr>
        <w:t>在</w:t>
      </w:r>
      <w:r>
        <w:rPr>
          <w:rStyle w:val="21"/>
          <w:rFonts w:hint="eastAsia" w:ascii="宋体" w:hAnsi="宋体" w:eastAsia="宋体" w:cs="宋体"/>
          <w:kern w:val="0"/>
          <w:sz w:val="24"/>
          <w:szCs w:val="24"/>
          <w:lang w:val="en-US" w:eastAsia="zh-CN"/>
        </w:rPr>
        <w:t>合同签订后60</w:t>
      </w:r>
      <w:r>
        <w:rPr>
          <w:rStyle w:val="21"/>
          <w:rFonts w:hint="eastAsia" w:ascii="宋体" w:hAnsi="宋体" w:eastAsia="宋体" w:cs="宋体"/>
          <w:kern w:val="0"/>
          <w:sz w:val="24"/>
          <w:szCs w:val="24"/>
        </w:rPr>
        <w:t>日内完成</w:t>
      </w:r>
      <w:r>
        <w:rPr>
          <w:rStyle w:val="21"/>
          <w:rFonts w:hint="eastAsia" w:ascii="宋体" w:hAnsi="宋体" w:eastAsia="宋体" w:cs="宋体"/>
          <w:kern w:val="0"/>
          <w:sz w:val="24"/>
          <w:szCs w:val="24"/>
          <w:lang w:eastAsia="zh-CN"/>
        </w:rPr>
        <w:t>安装调试</w:t>
      </w:r>
      <w:r>
        <w:rPr>
          <w:rStyle w:val="21"/>
          <w:rFonts w:hint="eastAsia" w:ascii="宋体" w:hAnsi="宋体" w:eastAsia="宋体" w:cs="宋体"/>
          <w:kern w:val="0"/>
          <w:sz w:val="24"/>
          <w:szCs w:val="24"/>
        </w:rPr>
        <w:t>。</w:t>
      </w:r>
      <w:r>
        <w:rPr>
          <w:rStyle w:val="21"/>
          <w:rFonts w:hint="eastAsia" w:ascii="宋体" w:hAnsi="宋体" w:eastAsia="宋体" w:cs="宋体"/>
          <w:kern w:val="0"/>
          <w:sz w:val="24"/>
          <w:szCs w:val="24"/>
        </w:rPr>
        <w:t>投标人应在投标文件中提出具体的交货进度和工程进度计划。</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kern w:val="0"/>
          <w:sz w:val="24"/>
          <w:szCs w:val="24"/>
        </w:rPr>
      </w:pPr>
      <w:r>
        <w:rPr>
          <w:rStyle w:val="21"/>
          <w:rFonts w:hint="eastAsia" w:ascii="宋体" w:hAnsi="宋体" w:eastAsia="宋体" w:cs="宋体"/>
          <w:kern w:val="0"/>
          <w:sz w:val="24"/>
          <w:szCs w:val="24"/>
          <w:lang w:val="en-US" w:eastAsia="zh-CN"/>
        </w:rPr>
        <w:t>3、</w:t>
      </w:r>
      <w:r>
        <w:rPr>
          <w:rStyle w:val="21"/>
          <w:rFonts w:hint="eastAsia" w:ascii="宋体" w:hAnsi="宋体" w:eastAsia="宋体" w:cs="宋体"/>
          <w:kern w:val="0"/>
          <w:sz w:val="24"/>
          <w:szCs w:val="24"/>
        </w:rPr>
        <w:t>在产品到货时</w:t>
      </w:r>
      <w:r>
        <w:rPr>
          <w:rStyle w:val="21"/>
          <w:rFonts w:hint="eastAsia" w:ascii="宋体" w:hAnsi="宋体" w:eastAsia="宋体" w:cs="宋体"/>
          <w:kern w:val="0"/>
          <w:sz w:val="24"/>
          <w:szCs w:val="24"/>
          <w:lang w:eastAsia="zh-CN"/>
        </w:rPr>
        <w:t>需</w:t>
      </w:r>
      <w:r>
        <w:rPr>
          <w:rStyle w:val="21"/>
          <w:rFonts w:hint="eastAsia" w:ascii="宋体" w:hAnsi="宋体" w:eastAsia="宋体" w:cs="宋体"/>
          <w:kern w:val="0"/>
          <w:sz w:val="24"/>
          <w:szCs w:val="24"/>
        </w:rPr>
        <w:t>提供</w:t>
      </w:r>
      <w:r>
        <w:rPr>
          <w:rStyle w:val="21"/>
          <w:rFonts w:hint="eastAsia" w:ascii="宋体" w:hAnsi="宋体" w:eastAsia="宋体" w:cs="宋体"/>
          <w:kern w:val="0"/>
          <w:sz w:val="24"/>
          <w:szCs w:val="24"/>
          <w:lang w:eastAsia="zh-CN"/>
        </w:rPr>
        <w:t>原厂</w:t>
      </w:r>
      <w:r>
        <w:rPr>
          <w:rStyle w:val="21"/>
          <w:rFonts w:hint="eastAsia" w:ascii="宋体" w:hAnsi="宋体" w:eastAsia="宋体" w:cs="宋体"/>
          <w:kern w:val="0"/>
          <w:sz w:val="24"/>
          <w:szCs w:val="24"/>
        </w:rPr>
        <w:t>认证检测报告</w:t>
      </w:r>
      <w:r>
        <w:rPr>
          <w:rStyle w:val="21"/>
          <w:rFonts w:hint="eastAsia" w:ascii="宋体" w:hAnsi="宋体" w:eastAsia="宋体" w:cs="宋体"/>
          <w:kern w:val="0"/>
          <w:sz w:val="24"/>
          <w:szCs w:val="24"/>
          <w:lang w:eastAsia="zh-CN"/>
        </w:rPr>
        <w:t>，</w:t>
      </w:r>
      <w:r>
        <w:rPr>
          <w:rStyle w:val="21"/>
          <w:rFonts w:hint="eastAsia" w:ascii="宋体" w:hAnsi="宋体" w:eastAsia="宋体" w:cs="宋体"/>
          <w:kern w:val="0"/>
          <w:sz w:val="24"/>
          <w:szCs w:val="24"/>
        </w:rPr>
        <w:t>双方按进度计划要求共同开箱清点，按设备清单清点设备的数量与双方合同所签订的数量是否一致。</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kern w:val="0"/>
          <w:sz w:val="24"/>
          <w:szCs w:val="24"/>
        </w:rPr>
      </w:pPr>
      <w:r>
        <w:rPr>
          <w:rStyle w:val="21"/>
          <w:rFonts w:hint="eastAsia" w:ascii="宋体" w:hAnsi="宋体" w:eastAsia="宋体" w:cs="宋体"/>
          <w:kern w:val="0"/>
          <w:sz w:val="24"/>
          <w:szCs w:val="24"/>
          <w:lang w:val="en-US" w:eastAsia="zh-CN"/>
        </w:rPr>
        <w:t>4、</w:t>
      </w:r>
      <w:r>
        <w:rPr>
          <w:rStyle w:val="21"/>
          <w:rFonts w:hint="eastAsia" w:ascii="宋体" w:hAnsi="宋体" w:eastAsia="宋体" w:cs="宋体"/>
          <w:kern w:val="0"/>
          <w:sz w:val="24"/>
          <w:szCs w:val="24"/>
          <w:lang w:eastAsia="zh-CN"/>
        </w:rPr>
        <w:t>项目安装调试完毕，要求</w:t>
      </w:r>
      <w:r>
        <w:rPr>
          <w:rStyle w:val="21"/>
          <w:rFonts w:hint="eastAsia" w:ascii="宋体" w:hAnsi="宋体" w:eastAsia="宋体" w:cs="宋体"/>
          <w:kern w:val="0"/>
          <w:sz w:val="24"/>
          <w:szCs w:val="24"/>
        </w:rPr>
        <w:t>对系统的日常使用及维护提供有效的培训方案。达到能够熟练的操作系统，并能处理一些基本故障，保证系统安全、正常地运行。</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kern w:val="0"/>
          <w:sz w:val="24"/>
          <w:szCs w:val="24"/>
        </w:rPr>
      </w:pPr>
      <w:r>
        <w:rPr>
          <w:rStyle w:val="21"/>
          <w:rFonts w:hint="eastAsia" w:ascii="宋体" w:hAnsi="宋体" w:eastAsia="宋体" w:cs="宋体"/>
          <w:kern w:val="0"/>
          <w:sz w:val="24"/>
          <w:szCs w:val="24"/>
          <w:lang w:val="en-US" w:eastAsia="zh-CN"/>
        </w:rPr>
        <w:t>5、</w:t>
      </w:r>
      <w:r>
        <w:rPr>
          <w:rStyle w:val="21"/>
          <w:rFonts w:hint="eastAsia" w:ascii="宋体" w:hAnsi="宋体" w:eastAsia="宋体" w:cs="宋体"/>
          <w:kern w:val="0"/>
          <w:sz w:val="24"/>
          <w:szCs w:val="24"/>
          <w:lang w:eastAsia="zh-CN"/>
        </w:rPr>
        <w:t>验收要求：</w:t>
      </w:r>
      <w:r>
        <w:rPr>
          <w:rStyle w:val="21"/>
          <w:rFonts w:hint="eastAsia" w:ascii="宋体" w:hAnsi="宋体" w:eastAsia="宋体" w:cs="宋体"/>
          <w:kern w:val="0"/>
          <w:sz w:val="24"/>
          <w:szCs w:val="24"/>
          <w:lang w:val="en-US" w:eastAsia="zh-CN"/>
        </w:rPr>
        <w:t>中标人</w:t>
      </w:r>
      <w:r>
        <w:rPr>
          <w:rStyle w:val="21"/>
          <w:rFonts w:hint="eastAsia" w:ascii="宋体" w:hAnsi="宋体" w:eastAsia="宋体" w:cs="宋体"/>
          <w:kern w:val="0"/>
          <w:sz w:val="24"/>
          <w:szCs w:val="24"/>
        </w:rPr>
        <w:t>在系统安装完毕后，需</w:t>
      </w:r>
      <w:r>
        <w:rPr>
          <w:rStyle w:val="21"/>
          <w:rFonts w:hint="eastAsia" w:ascii="宋体" w:hAnsi="宋体" w:eastAsia="宋体" w:cs="宋体"/>
          <w:kern w:val="0"/>
          <w:sz w:val="24"/>
          <w:szCs w:val="24"/>
          <w:lang w:eastAsia="zh-CN"/>
        </w:rPr>
        <w:t>以书面形式通知采购方进行验收，验收前提供全套验收材料，若验收不合格，采购方有权要求全部更换直至满足招标需求，</w:t>
      </w:r>
      <w:r>
        <w:rPr>
          <w:rStyle w:val="21"/>
          <w:rFonts w:hint="eastAsia" w:ascii="宋体" w:hAnsi="宋体" w:eastAsia="宋体" w:cs="宋体"/>
          <w:kern w:val="0"/>
          <w:sz w:val="24"/>
          <w:szCs w:val="24"/>
          <w:lang w:val="en-US" w:eastAsia="zh-CN"/>
        </w:rPr>
        <w:t>采购方有权按合同金额的三倍处罚中标人</w:t>
      </w:r>
      <w:r>
        <w:rPr>
          <w:rStyle w:val="21"/>
          <w:rFonts w:hint="eastAsia" w:ascii="宋体" w:hAnsi="宋体" w:eastAsia="宋体" w:cs="宋体"/>
          <w:kern w:val="0"/>
          <w:sz w:val="24"/>
          <w:szCs w:val="24"/>
          <w:lang w:eastAsia="zh-CN"/>
        </w:rPr>
        <w:t>，由此造成的损失由</w:t>
      </w:r>
      <w:r>
        <w:rPr>
          <w:rStyle w:val="21"/>
          <w:rFonts w:hint="eastAsia" w:ascii="宋体" w:hAnsi="宋体" w:eastAsia="宋体" w:cs="宋体"/>
          <w:kern w:val="0"/>
          <w:sz w:val="24"/>
          <w:szCs w:val="24"/>
          <w:lang w:val="en-US" w:eastAsia="zh-CN"/>
        </w:rPr>
        <w:t>中标</w:t>
      </w:r>
      <w:r>
        <w:rPr>
          <w:rStyle w:val="21"/>
          <w:rFonts w:hint="eastAsia" w:ascii="宋体" w:hAnsi="宋体" w:eastAsia="宋体" w:cs="宋体"/>
          <w:kern w:val="0"/>
          <w:sz w:val="24"/>
          <w:szCs w:val="24"/>
          <w:lang w:eastAsia="zh-CN"/>
        </w:rPr>
        <w:t>人自行承担。</w:t>
      </w:r>
    </w:p>
    <w:p>
      <w:pPr>
        <w:pStyle w:val="3"/>
        <w:pageBreakBefore w:val="0"/>
        <w:kinsoku/>
        <w:wordWrap/>
        <w:overflowPunct/>
        <w:topLinePunct w:val="0"/>
        <w:autoSpaceDE/>
        <w:autoSpaceDN/>
        <w:bidi w:val="0"/>
        <w:adjustRightInd/>
        <w:snapToGrid/>
        <w:spacing w:before="0" w:after="0" w:line="240" w:lineRule="auto"/>
        <w:rPr>
          <w:rStyle w:val="20"/>
          <w:rFonts w:ascii="宋体" w:hAnsi="宋体" w:eastAsia="宋体"/>
          <w:sz w:val="24"/>
          <w:szCs w:val="24"/>
        </w:rPr>
      </w:pPr>
      <w:r>
        <w:rPr>
          <w:rStyle w:val="20"/>
          <w:rFonts w:hint="eastAsia" w:ascii="宋体" w:hAnsi="宋体" w:eastAsia="宋体"/>
          <w:sz w:val="24"/>
          <w:szCs w:val="24"/>
          <w:lang w:eastAsia="zh-CN"/>
        </w:rPr>
        <w:t>（三）其他</w:t>
      </w:r>
      <w:r>
        <w:rPr>
          <w:rStyle w:val="20"/>
          <w:rFonts w:hint="eastAsia" w:ascii="宋体" w:hAnsi="宋体" w:eastAsia="宋体"/>
          <w:sz w:val="24"/>
          <w:szCs w:val="24"/>
        </w:rPr>
        <w:t>要求：</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sz w:val="24"/>
          <w:szCs w:val="24"/>
        </w:rPr>
      </w:pPr>
      <w:r>
        <w:rPr>
          <w:rStyle w:val="21"/>
          <w:rFonts w:hint="eastAsia" w:ascii="宋体" w:hAnsi="宋体" w:eastAsia="宋体" w:cs="宋体"/>
          <w:kern w:val="0"/>
          <w:sz w:val="24"/>
          <w:szCs w:val="24"/>
          <w:lang w:val="en-US" w:eastAsia="zh-CN"/>
        </w:rPr>
        <w:t>1、</w:t>
      </w:r>
      <w:r>
        <w:rPr>
          <w:rStyle w:val="21"/>
          <w:rFonts w:hint="eastAsia" w:ascii="宋体" w:hAnsi="宋体" w:eastAsia="宋体" w:cs="宋体"/>
          <w:kern w:val="0"/>
          <w:sz w:val="24"/>
          <w:szCs w:val="24"/>
          <w:lang w:eastAsia="zh-CN"/>
        </w:rPr>
        <w:t>质保期：验收合格日起</w:t>
      </w:r>
      <w:r>
        <w:rPr>
          <w:rStyle w:val="21"/>
          <w:rFonts w:hint="eastAsia" w:ascii="宋体" w:hAnsi="宋体" w:eastAsia="宋体" w:cs="宋体"/>
          <w:color w:val="000000"/>
          <w:kern w:val="0"/>
          <w:sz w:val="24"/>
          <w:szCs w:val="24"/>
          <w:lang w:val="en-US" w:eastAsia="zh-CN"/>
        </w:rPr>
        <w:t>3</w:t>
      </w:r>
      <w:r>
        <w:rPr>
          <w:rStyle w:val="21"/>
          <w:rFonts w:hint="eastAsia" w:ascii="宋体" w:hAnsi="宋体" w:eastAsia="宋体" w:cs="宋体"/>
          <w:kern w:val="0"/>
          <w:sz w:val="24"/>
          <w:szCs w:val="24"/>
        </w:rPr>
        <w:t>年。</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kern w:val="0"/>
          <w:sz w:val="24"/>
          <w:szCs w:val="24"/>
        </w:rPr>
      </w:pPr>
      <w:r>
        <w:rPr>
          <w:rStyle w:val="21"/>
          <w:rFonts w:hint="eastAsia" w:ascii="宋体" w:hAnsi="宋体" w:eastAsia="宋体" w:cs="宋体"/>
          <w:kern w:val="0"/>
          <w:sz w:val="24"/>
          <w:szCs w:val="24"/>
          <w:lang w:val="en-US" w:eastAsia="zh-CN"/>
        </w:rPr>
        <w:t>2、</w:t>
      </w:r>
      <w:r>
        <w:rPr>
          <w:rStyle w:val="21"/>
          <w:rFonts w:hint="eastAsia" w:ascii="宋体" w:hAnsi="宋体" w:eastAsia="宋体" w:cs="宋体"/>
          <w:kern w:val="0"/>
          <w:sz w:val="24"/>
          <w:szCs w:val="24"/>
          <w:lang w:eastAsia="zh-CN"/>
        </w:rPr>
        <w:t>工期要求：由于采购方使用要求，此项目需按时完工，如果延期，造成采购方无法如期使用，按照延期一天扣合同额的1%</w:t>
      </w:r>
      <w:bookmarkStart w:id="0" w:name="_GoBack"/>
      <w:bookmarkEnd w:id="0"/>
      <w:r>
        <w:rPr>
          <w:rStyle w:val="21"/>
          <w:rFonts w:hint="eastAsia" w:ascii="宋体" w:hAnsi="宋体" w:eastAsia="宋体" w:cs="宋体"/>
          <w:kern w:val="0"/>
          <w:sz w:val="24"/>
          <w:szCs w:val="24"/>
          <w:lang w:eastAsia="zh-CN"/>
        </w:rPr>
        <w:t>计算，延期5天（含）以上则自动解除合同，并赔偿延期给采购方造成的损失。如因采购方的因素延期，则交期相应顺延。</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rPr>
          <w:rStyle w:val="21"/>
          <w:rFonts w:ascii="宋体" w:hAnsi="宋体" w:eastAsia="宋体" w:cs="宋体"/>
          <w:kern w:val="0"/>
          <w:sz w:val="24"/>
          <w:szCs w:val="24"/>
        </w:rPr>
      </w:pPr>
      <w:r>
        <w:rPr>
          <w:rStyle w:val="21"/>
          <w:rFonts w:hint="eastAsia" w:ascii="宋体" w:hAnsi="宋体" w:eastAsia="宋体" w:cs="宋体"/>
          <w:kern w:val="0"/>
          <w:sz w:val="24"/>
          <w:szCs w:val="24"/>
          <w:lang w:val="en-US" w:eastAsia="zh-CN"/>
        </w:rPr>
        <w:t>3、</w:t>
      </w:r>
      <w:r>
        <w:rPr>
          <w:rStyle w:val="21"/>
          <w:rFonts w:hint="eastAsia" w:ascii="宋体" w:hAnsi="宋体" w:eastAsia="宋体" w:cs="宋体"/>
          <w:kern w:val="0"/>
          <w:sz w:val="24"/>
          <w:szCs w:val="24"/>
          <w:lang w:eastAsia="zh-CN"/>
        </w:rPr>
        <w:t>售后服务时间：</w:t>
      </w:r>
      <w:r>
        <w:rPr>
          <w:rStyle w:val="21"/>
          <w:rFonts w:hint="eastAsia" w:ascii="宋体" w:hAnsi="宋体" w:eastAsia="宋体" w:cs="宋体"/>
          <w:kern w:val="0"/>
          <w:sz w:val="24"/>
          <w:szCs w:val="24"/>
        </w:rPr>
        <w:t>乙方提供7*24小时服务，在接到甲方电话故障申告后1小时内提供上门服务，2小时内解决问题，4小时内无法解决提供替代设备。</w:t>
      </w:r>
    </w:p>
    <w:p>
      <w:pPr>
        <w:pageBreakBefore w:val="0"/>
        <w:kinsoku/>
        <w:wordWrap/>
        <w:overflowPunct/>
        <w:topLinePunct w:val="0"/>
        <w:autoSpaceDE/>
        <w:autoSpaceDN/>
        <w:bidi w:val="0"/>
        <w:adjustRightInd/>
        <w:snapToGrid/>
        <w:spacing w:line="240" w:lineRule="auto"/>
        <w:jc w:val="left"/>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eastAsia="zh-CN"/>
        </w:rPr>
        <w:t>四</w:t>
      </w:r>
      <w:r>
        <w:rPr>
          <w:rFonts w:hint="eastAsia" w:ascii="宋体" w:hAnsi="宋体" w:cs="宋体"/>
          <w:b/>
          <w:sz w:val="24"/>
          <w:szCs w:val="24"/>
        </w:rPr>
        <w:t>)付款方式：</w:t>
      </w:r>
    </w:p>
    <w:p>
      <w:pPr>
        <w:pStyle w:val="23"/>
        <w:pageBreakBefore w:val="0"/>
        <w:framePr w:wrap="auto" w:vAnchor="margin" w:hAnchor="text" w:yAlign="inline"/>
        <w:numPr>
          <w:ilvl w:val="0"/>
          <w:numId w:val="0"/>
        </w:numPr>
        <w:kinsoku/>
        <w:wordWrap/>
        <w:overflowPunct/>
        <w:topLinePunct w:val="0"/>
        <w:autoSpaceDE/>
        <w:autoSpaceDN/>
        <w:bidi w:val="0"/>
        <w:adjustRightInd/>
        <w:snapToGrid/>
        <w:spacing w:line="240" w:lineRule="auto"/>
        <w:ind w:left="480" w:leftChars="0" w:firstLine="480" w:firstLineChars="200"/>
        <w:rPr>
          <w:rStyle w:val="21"/>
          <w:rFonts w:hint="eastAsia" w:ascii="宋体" w:hAnsi="宋体" w:eastAsia="宋体" w:cs="宋体"/>
          <w:kern w:val="0"/>
          <w:sz w:val="24"/>
          <w:szCs w:val="24"/>
          <w:lang w:eastAsia="zh-CN"/>
        </w:rPr>
      </w:pPr>
      <w:r>
        <w:rPr>
          <w:rStyle w:val="21"/>
          <w:rFonts w:hint="eastAsia" w:ascii="宋体" w:hAnsi="宋体" w:eastAsia="宋体" w:cs="宋体"/>
          <w:kern w:val="0"/>
          <w:sz w:val="24"/>
          <w:szCs w:val="24"/>
          <w:lang w:eastAsia="zh-CN"/>
        </w:rPr>
        <w:t>合同签订后，所有设备到货且安装调试完毕并拿到合格的第三方检测报告后凭发票支付70%，系统验收通过，并正常运行三个月后凭发票支付30%。</w:t>
      </w:r>
    </w:p>
    <w:p>
      <w:pPr>
        <w:pageBreakBefore w:val="0"/>
        <w:kinsoku/>
        <w:wordWrap/>
        <w:overflowPunct/>
        <w:topLinePunct w:val="0"/>
        <w:autoSpaceDE/>
        <w:autoSpaceDN/>
        <w:bidi w:val="0"/>
        <w:adjustRightInd/>
        <w:snapToGrid/>
        <w:spacing w:line="240" w:lineRule="auto"/>
        <w:rPr>
          <w:rFonts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CN"/>
        </w:rPr>
        <w:t>五</w:t>
      </w:r>
      <w:r>
        <w:rPr>
          <w:rFonts w:hint="eastAsia" w:ascii="宋体" w:hAnsi="宋体" w:cs="宋体"/>
          <w:b/>
          <w:bCs/>
          <w:sz w:val="24"/>
          <w:szCs w:val="24"/>
        </w:rPr>
        <w:t>）最高限价：</w:t>
      </w:r>
    </w:p>
    <w:p>
      <w:pPr>
        <w:pageBreakBefore w:val="0"/>
        <w:kinsoku/>
        <w:wordWrap/>
        <w:overflowPunct/>
        <w:topLinePunct w:val="0"/>
        <w:autoSpaceDE/>
        <w:autoSpaceDN/>
        <w:bidi w:val="0"/>
        <w:adjustRightInd/>
        <w:snapToGrid/>
        <w:spacing w:line="240" w:lineRule="auto"/>
        <w:ind w:firstLine="482" w:firstLineChars="200"/>
        <w:rPr>
          <w:rFonts w:hint="eastAsia" w:ascii="宋体" w:hAnsi="宋体" w:cs="宋体"/>
          <w:b/>
          <w:sz w:val="24"/>
          <w:szCs w:val="24"/>
        </w:rPr>
      </w:pPr>
      <w:r>
        <w:rPr>
          <w:rFonts w:hint="eastAsia" w:ascii="宋体" w:hAnsi="宋体" w:cs="宋体"/>
          <w:b/>
          <w:sz w:val="24"/>
          <w:szCs w:val="24"/>
        </w:rPr>
        <w:t>本次采购最高限价为人民币</w:t>
      </w:r>
      <w:r>
        <w:rPr>
          <w:rFonts w:hint="eastAsia" w:ascii="宋体" w:hAnsi="宋体" w:cs="宋体"/>
          <w:b/>
          <w:sz w:val="24"/>
          <w:szCs w:val="24"/>
          <w:lang w:eastAsia="zh-CN"/>
        </w:rPr>
        <w:t>壹佰壹拾</w:t>
      </w:r>
      <w:r>
        <w:rPr>
          <w:rFonts w:hint="eastAsia" w:ascii="宋体" w:hAnsi="宋体" w:cs="宋体"/>
          <w:b/>
          <w:sz w:val="24"/>
          <w:szCs w:val="24"/>
        </w:rPr>
        <w:t>万元（￥</w:t>
      </w:r>
      <w:r>
        <w:rPr>
          <w:rFonts w:hint="eastAsia" w:ascii="宋体" w:hAnsi="宋体" w:cs="宋体"/>
          <w:b/>
          <w:sz w:val="24"/>
          <w:szCs w:val="24"/>
          <w:lang w:val="en-US" w:eastAsia="zh-CN"/>
        </w:rPr>
        <w:t>110</w:t>
      </w:r>
      <w:r>
        <w:rPr>
          <w:rFonts w:hint="eastAsia" w:ascii="宋体" w:hAnsi="宋体" w:cs="宋体"/>
          <w:b/>
          <w:sz w:val="24"/>
          <w:szCs w:val="24"/>
        </w:rPr>
        <w:t>0000.00）整 。任何超过最高限价的报价将被认定为无效报价。</w:t>
      </w:r>
    </w:p>
    <w:p>
      <w:pPr>
        <w:wordWrap w:val="0"/>
        <w:spacing w:line="300" w:lineRule="auto"/>
        <w:rPr>
          <w:rFonts w:ascii="宋体" w:hAnsi="宋体" w:cs="宋体"/>
          <w:b/>
          <w:color w:val="000000" w:themeColor="text1"/>
          <w:sz w:val="24"/>
          <w:szCs w:val="24"/>
        </w:rPr>
      </w:pPr>
    </w:p>
    <w:p>
      <w:pPr>
        <w:rPr>
          <w:rFonts w:ascii="宋体" w:hAnsi="宋体" w:cs="宋体"/>
          <w:b/>
          <w:color w:val="000000" w:themeColor="text1"/>
          <w:sz w:val="24"/>
          <w:szCs w:val="24"/>
        </w:rPr>
      </w:pP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5C593"/>
    <w:multiLevelType w:val="singleLevel"/>
    <w:tmpl w:val="00D5C593"/>
    <w:lvl w:ilvl="0" w:tentative="0">
      <w:start w:val="6"/>
      <w:numFmt w:val="chineseCounting"/>
      <w:suff w:val="nothing"/>
      <w:lvlText w:val="%1、"/>
      <w:lvlJc w:val="left"/>
      <w:rPr>
        <w:rFonts w:hint="eastAsia"/>
      </w:rPr>
    </w:lvl>
  </w:abstractNum>
  <w:abstractNum w:abstractNumId="1">
    <w:nsid w:val="30DD1837"/>
    <w:multiLevelType w:val="singleLevel"/>
    <w:tmpl w:val="30DD1837"/>
    <w:lvl w:ilvl="0" w:tentative="0">
      <w:start w:val="1"/>
      <w:numFmt w:val="decimal"/>
      <w:suff w:val="nothing"/>
      <w:lvlText w:val="%1、"/>
      <w:lvlJc w:val="left"/>
    </w:lvl>
  </w:abstractNum>
  <w:abstractNum w:abstractNumId="2">
    <w:nsid w:val="5144D3D8"/>
    <w:multiLevelType w:val="singleLevel"/>
    <w:tmpl w:val="5144D3D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6CCF"/>
    <w:rsid w:val="0001505F"/>
    <w:rsid w:val="00015A0C"/>
    <w:rsid w:val="00015F3A"/>
    <w:rsid w:val="00015F45"/>
    <w:rsid w:val="0002185F"/>
    <w:rsid w:val="00032126"/>
    <w:rsid w:val="00051A0D"/>
    <w:rsid w:val="0005262E"/>
    <w:rsid w:val="000604AF"/>
    <w:rsid w:val="000835A5"/>
    <w:rsid w:val="00083DAC"/>
    <w:rsid w:val="000854CA"/>
    <w:rsid w:val="000A3581"/>
    <w:rsid w:val="000F18AF"/>
    <w:rsid w:val="001011CB"/>
    <w:rsid w:val="001019D5"/>
    <w:rsid w:val="00113CB8"/>
    <w:rsid w:val="001179AF"/>
    <w:rsid w:val="00123820"/>
    <w:rsid w:val="0013551E"/>
    <w:rsid w:val="001441B4"/>
    <w:rsid w:val="00150AD5"/>
    <w:rsid w:val="00186A21"/>
    <w:rsid w:val="001B4563"/>
    <w:rsid w:val="001B4572"/>
    <w:rsid w:val="001D1E7F"/>
    <w:rsid w:val="001D381B"/>
    <w:rsid w:val="001E115C"/>
    <w:rsid w:val="001F54CD"/>
    <w:rsid w:val="001F6F4A"/>
    <w:rsid w:val="00225970"/>
    <w:rsid w:val="00242041"/>
    <w:rsid w:val="00251776"/>
    <w:rsid w:val="002551D6"/>
    <w:rsid w:val="00297576"/>
    <w:rsid w:val="002A690D"/>
    <w:rsid w:val="002B0CF6"/>
    <w:rsid w:val="002C75AF"/>
    <w:rsid w:val="002D67FD"/>
    <w:rsid w:val="00301338"/>
    <w:rsid w:val="0030259D"/>
    <w:rsid w:val="0031547F"/>
    <w:rsid w:val="00334273"/>
    <w:rsid w:val="00334C21"/>
    <w:rsid w:val="003376F3"/>
    <w:rsid w:val="00343FAC"/>
    <w:rsid w:val="003860BC"/>
    <w:rsid w:val="0039138A"/>
    <w:rsid w:val="00394C7F"/>
    <w:rsid w:val="003964BA"/>
    <w:rsid w:val="003A5A38"/>
    <w:rsid w:val="003B6528"/>
    <w:rsid w:val="003F3C71"/>
    <w:rsid w:val="004076AE"/>
    <w:rsid w:val="0041228A"/>
    <w:rsid w:val="0041765D"/>
    <w:rsid w:val="00424F96"/>
    <w:rsid w:val="00433072"/>
    <w:rsid w:val="00435CAA"/>
    <w:rsid w:val="00440BD5"/>
    <w:rsid w:val="0045341A"/>
    <w:rsid w:val="00461A38"/>
    <w:rsid w:val="00477886"/>
    <w:rsid w:val="00481777"/>
    <w:rsid w:val="004837C7"/>
    <w:rsid w:val="00492ED1"/>
    <w:rsid w:val="004B6019"/>
    <w:rsid w:val="004D5332"/>
    <w:rsid w:val="004E1A82"/>
    <w:rsid w:val="004E5BED"/>
    <w:rsid w:val="00501578"/>
    <w:rsid w:val="005038CF"/>
    <w:rsid w:val="0050672E"/>
    <w:rsid w:val="0051291A"/>
    <w:rsid w:val="00516DED"/>
    <w:rsid w:val="00523839"/>
    <w:rsid w:val="00526E62"/>
    <w:rsid w:val="00532EC7"/>
    <w:rsid w:val="00535DCF"/>
    <w:rsid w:val="005454E5"/>
    <w:rsid w:val="0054688C"/>
    <w:rsid w:val="00553E86"/>
    <w:rsid w:val="00563447"/>
    <w:rsid w:val="00566E1B"/>
    <w:rsid w:val="00582BE7"/>
    <w:rsid w:val="005858B6"/>
    <w:rsid w:val="005A2AEE"/>
    <w:rsid w:val="005A4C18"/>
    <w:rsid w:val="005B0C35"/>
    <w:rsid w:val="005B4A49"/>
    <w:rsid w:val="005B6EA3"/>
    <w:rsid w:val="005C4F85"/>
    <w:rsid w:val="005C6C34"/>
    <w:rsid w:val="005E69EE"/>
    <w:rsid w:val="0062452C"/>
    <w:rsid w:val="00641B89"/>
    <w:rsid w:val="006430F2"/>
    <w:rsid w:val="0065408E"/>
    <w:rsid w:val="0066060E"/>
    <w:rsid w:val="00673758"/>
    <w:rsid w:val="00697495"/>
    <w:rsid w:val="006A5180"/>
    <w:rsid w:val="006A61E3"/>
    <w:rsid w:val="006B6903"/>
    <w:rsid w:val="006D1958"/>
    <w:rsid w:val="006D2D55"/>
    <w:rsid w:val="006E1AD3"/>
    <w:rsid w:val="006E5C2D"/>
    <w:rsid w:val="006F3EE5"/>
    <w:rsid w:val="006F5973"/>
    <w:rsid w:val="00707416"/>
    <w:rsid w:val="00724612"/>
    <w:rsid w:val="00733DEC"/>
    <w:rsid w:val="007359E7"/>
    <w:rsid w:val="00735F8A"/>
    <w:rsid w:val="007841CC"/>
    <w:rsid w:val="00793F46"/>
    <w:rsid w:val="007A1EC7"/>
    <w:rsid w:val="007C71A6"/>
    <w:rsid w:val="007D698F"/>
    <w:rsid w:val="007E0533"/>
    <w:rsid w:val="007F6CF4"/>
    <w:rsid w:val="008215F3"/>
    <w:rsid w:val="00821DC5"/>
    <w:rsid w:val="008249C8"/>
    <w:rsid w:val="008325A0"/>
    <w:rsid w:val="008364A8"/>
    <w:rsid w:val="00845DDA"/>
    <w:rsid w:val="008573D5"/>
    <w:rsid w:val="00863FF4"/>
    <w:rsid w:val="00865DBA"/>
    <w:rsid w:val="00895334"/>
    <w:rsid w:val="008A7157"/>
    <w:rsid w:val="008D7629"/>
    <w:rsid w:val="008F188B"/>
    <w:rsid w:val="00921F08"/>
    <w:rsid w:val="00927452"/>
    <w:rsid w:val="00932907"/>
    <w:rsid w:val="00933BD8"/>
    <w:rsid w:val="00941189"/>
    <w:rsid w:val="009505EA"/>
    <w:rsid w:val="00977094"/>
    <w:rsid w:val="009867E7"/>
    <w:rsid w:val="009960D5"/>
    <w:rsid w:val="009B6E41"/>
    <w:rsid w:val="009C449F"/>
    <w:rsid w:val="009D00F1"/>
    <w:rsid w:val="00A008E4"/>
    <w:rsid w:val="00A16B7B"/>
    <w:rsid w:val="00A32F57"/>
    <w:rsid w:val="00A336AC"/>
    <w:rsid w:val="00A4466E"/>
    <w:rsid w:val="00A44D3F"/>
    <w:rsid w:val="00A6455A"/>
    <w:rsid w:val="00A73F15"/>
    <w:rsid w:val="00A7679E"/>
    <w:rsid w:val="00AF74E2"/>
    <w:rsid w:val="00B02356"/>
    <w:rsid w:val="00B256C1"/>
    <w:rsid w:val="00B271F4"/>
    <w:rsid w:val="00B4023F"/>
    <w:rsid w:val="00B41D84"/>
    <w:rsid w:val="00B528DE"/>
    <w:rsid w:val="00BB5285"/>
    <w:rsid w:val="00BC607D"/>
    <w:rsid w:val="00BE3373"/>
    <w:rsid w:val="00BF054C"/>
    <w:rsid w:val="00C01E45"/>
    <w:rsid w:val="00C02014"/>
    <w:rsid w:val="00C3066E"/>
    <w:rsid w:val="00C47FC1"/>
    <w:rsid w:val="00C7105F"/>
    <w:rsid w:val="00C77ECA"/>
    <w:rsid w:val="00C81B7A"/>
    <w:rsid w:val="00C86CCF"/>
    <w:rsid w:val="00C93F74"/>
    <w:rsid w:val="00CB0861"/>
    <w:rsid w:val="00CC0491"/>
    <w:rsid w:val="00CC092A"/>
    <w:rsid w:val="00CD2E86"/>
    <w:rsid w:val="00CD6773"/>
    <w:rsid w:val="00CE1EB3"/>
    <w:rsid w:val="00CE21D5"/>
    <w:rsid w:val="00CE6928"/>
    <w:rsid w:val="00CF10C7"/>
    <w:rsid w:val="00CF33B4"/>
    <w:rsid w:val="00CF63B0"/>
    <w:rsid w:val="00D13B79"/>
    <w:rsid w:val="00D3174D"/>
    <w:rsid w:val="00D42746"/>
    <w:rsid w:val="00D632FC"/>
    <w:rsid w:val="00D72CB2"/>
    <w:rsid w:val="00D84A77"/>
    <w:rsid w:val="00D915A3"/>
    <w:rsid w:val="00D97056"/>
    <w:rsid w:val="00DA348A"/>
    <w:rsid w:val="00DA3634"/>
    <w:rsid w:val="00DA3862"/>
    <w:rsid w:val="00DC7366"/>
    <w:rsid w:val="00DD50C4"/>
    <w:rsid w:val="00E05EEE"/>
    <w:rsid w:val="00E211CC"/>
    <w:rsid w:val="00E2183B"/>
    <w:rsid w:val="00E2665D"/>
    <w:rsid w:val="00E3555C"/>
    <w:rsid w:val="00E46180"/>
    <w:rsid w:val="00E51BC1"/>
    <w:rsid w:val="00E53203"/>
    <w:rsid w:val="00E55CE0"/>
    <w:rsid w:val="00E767FF"/>
    <w:rsid w:val="00E820AF"/>
    <w:rsid w:val="00E93948"/>
    <w:rsid w:val="00E94FEF"/>
    <w:rsid w:val="00EA4E41"/>
    <w:rsid w:val="00EA568E"/>
    <w:rsid w:val="00ED29DF"/>
    <w:rsid w:val="00ED7696"/>
    <w:rsid w:val="00EE284D"/>
    <w:rsid w:val="00EF3589"/>
    <w:rsid w:val="00F10A9E"/>
    <w:rsid w:val="00F269E1"/>
    <w:rsid w:val="00F47A33"/>
    <w:rsid w:val="00F50141"/>
    <w:rsid w:val="00F76B57"/>
    <w:rsid w:val="00F90A9A"/>
    <w:rsid w:val="00FB3772"/>
    <w:rsid w:val="00FB4373"/>
    <w:rsid w:val="01DC6CA3"/>
    <w:rsid w:val="06AA23D9"/>
    <w:rsid w:val="08631F80"/>
    <w:rsid w:val="0896349A"/>
    <w:rsid w:val="0D277FE5"/>
    <w:rsid w:val="0D3439E8"/>
    <w:rsid w:val="103728A7"/>
    <w:rsid w:val="150760C4"/>
    <w:rsid w:val="1CCF6B43"/>
    <w:rsid w:val="1CF73CE2"/>
    <w:rsid w:val="1F2E7318"/>
    <w:rsid w:val="1F9F566F"/>
    <w:rsid w:val="1FC55F65"/>
    <w:rsid w:val="2435188D"/>
    <w:rsid w:val="25B25AC9"/>
    <w:rsid w:val="26A01703"/>
    <w:rsid w:val="27C76503"/>
    <w:rsid w:val="2E160750"/>
    <w:rsid w:val="30195FE0"/>
    <w:rsid w:val="34BB451A"/>
    <w:rsid w:val="386135EB"/>
    <w:rsid w:val="38FE23AD"/>
    <w:rsid w:val="39982CA3"/>
    <w:rsid w:val="3C755132"/>
    <w:rsid w:val="3CC83AA7"/>
    <w:rsid w:val="3E226322"/>
    <w:rsid w:val="3E902924"/>
    <w:rsid w:val="40352866"/>
    <w:rsid w:val="4227553A"/>
    <w:rsid w:val="422E1657"/>
    <w:rsid w:val="45AD5079"/>
    <w:rsid w:val="493A0047"/>
    <w:rsid w:val="49A84C55"/>
    <w:rsid w:val="4A216AE0"/>
    <w:rsid w:val="4C4D7F43"/>
    <w:rsid w:val="4CB4629A"/>
    <w:rsid w:val="4F7D44F1"/>
    <w:rsid w:val="552E6F1D"/>
    <w:rsid w:val="58B942B8"/>
    <w:rsid w:val="5A0850B1"/>
    <w:rsid w:val="5DA62D9A"/>
    <w:rsid w:val="5E877EA9"/>
    <w:rsid w:val="663149C5"/>
    <w:rsid w:val="693B6632"/>
    <w:rsid w:val="6C4015C8"/>
    <w:rsid w:val="6CD964BB"/>
    <w:rsid w:val="70C16337"/>
    <w:rsid w:val="736B32D6"/>
    <w:rsid w:val="74C216ED"/>
    <w:rsid w:val="78CF0028"/>
    <w:rsid w:val="79F35C92"/>
    <w:rsid w:val="7ACC5F5C"/>
    <w:rsid w:val="7ED438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15"/>
    <w:qFormat/>
    <w:uiPriority w:val="99"/>
    <w:pPr>
      <w:keepNext/>
      <w:keepLines/>
      <w:spacing w:before="340" w:after="330" w:line="576" w:lineRule="auto"/>
      <w:outlineLvl w:val="0"/>
    </w:pPr>
    <w:rPr>
      <w:b/>
      <w:bCs/>
      <w:kern w:val="44"/>
      <w:sz w:val="44"/>
      <w:szCs w:val="44"/>
    </w:rPr>
  </w:style>
  <w:style w:type="paragraph" w:styleId="3">
    <w:name w:val="heading 2"/>
    <w:basedOn w:val="1"/>
    <w:next w:val="1"/>
    <w:qFormat/>
    <w:locked/>
    <w:uiPriority w:val="0"/>
    <w:pPr>
      <w:keepNext/>
      <w:keepLines/>
      <w:widowControl w:val="0"/>
      <w:spacing w:before="260" w:after="260" w:line="413" w:lineRule="auto"/>
      <w:jc w:val="both"/>
      <w:outlineLvl w:val="1"/>
    </w:pPr>
    <w:rPr>
      <w:rFonts w:ascii="Arial" w:hAnsi="Arial" w:eastAsia="黑体" w:cs="Times New Roman"/>
      <w:b/>
      <w:bCs/>
      <w:kern w:val="2"/>
      <w:sz w:val="32"/>
      <w:szCs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3"/>
    <w:basedOn w:val="1"/>
    <w:unhideWhenUsed/>
    <w:qFormat/>
    <w:uiPriority w:val="99"/>
    <w:pPr>
      <w:spacing w:after="120"/>
    </w:pPr>
    <w:rPr>
      <w:sz w:val="16"/>
      <w:szCs w:val="16"/>
    </w:rPr>
  </w:style>
  <w:style w:type="paragraph" w:styleId="5">
    <w:name w:val="Body Text"/>
    <w:basedOn w:val="1"/>
    <w:next w:val="6"/>
    <w:qFormat/>
    <w:uiPriority w:val="99"/>
    <w:pPr>
      <w:spacing w:line="360" w:lineRule="auto"/>
    </w:pPr>
    <w:rPr>
      <w:rFonts w:eastAsia="仿宋_GB2312"/>
      <w:sz w:val="28"/>
    </w:rPr>
  </w:style>
  <w:style w:type="paragraph" w:customStyle="1" w:styleId="6">
    <w:name w:val="Default"/>
    <w:next w:val="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Body Text Indent"/>
    <w:basedOn w:val="1"/>
    <w:next w:val="1"/>
    <w:qFormat/>
    <w:uiPriority w:val="0"/>
    <w:pPr>
      <w:ind w:left="-359" w:leftChars="-171"/>
    </w:pPr>
    <w:rPr>
      <w:spacing w:val="20"/>
      <w:sz w:val="28"/>
    </w:rPr>
  </w:style>
  <w:style w:type="paragraph" w:styleId="9">
    <w:name w:val="footer"/>
    <w:basedOn w:val="1"/>
    <w:link w:val="16"/>
    <w:semiHidden/>
    <w:qFormat/>
    <w:uiPriority w:val="99"/>
    <w:pPr>
      <w:tabs>
        <w:tab w:val="center" w:pos="4153"/>
        <w:tab w:val="right" w:pos="8306"/>
      </w:tabs>
      <w:snapToGrid w:val="0"/>
      <w:jc w:val="left"/>
    </w:pPr>
    <w:rPr>
      <w:sz w:val="18"/>
      <w:szCs w:val="18"/>
    </w:rPr>
  </w:style>
  <w:style w:type="paragraph" w:styleId="10">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jc w:val="left"/>
    </w:pPr>
    <w:rPr>
      <w:sz w:val="24"/>
    </w:rPr>
  </w:style>
  <w:style w:type="paragraph" w:styleId="12">
    <w:name w:val="Body Text First Indent 2"/>
    <w:basedOn w:val="8"/>
    <w:qFormat/>
    <w:uiPriority w:val="0"/>
    <w:pPr>
      <w:ind w:left="420" w:leftChars="200" w:firstLine="420"/>
    </w:pPr>
    <w:rPr>
      <w:rFonts w:cs="宋体"/>
      <w:sz w:val="21"/>
    </w:rPr>
  </w:style>
  <w:style w:type="character" w:customStyle="1" w:styleId="15">
    <w:name w:val="标题 1 Char"/>
    <w:basedOn w:val="14"/>
    <w:link w:val="2"/>
    <w:qFormat/>
    <w:locked/>
    <w:uiPriority w:val="99"/>
    <w:rPr>
      <w:rFonts w:ascii="Times New Roman" w:hAnsi="Times New Roman" w:eastAsia="宋体" w:cs="Times New Roman"/>
      <w:b/>
      <w:bCs/>
      <w:color w:val="000000"/>
      <w:kern w:val="44"/>
      <w:sz w:val="44"/>
      <w:szCs w:val="44"/>
    </w:rPr>
  </w:style>
  <w:style w:type="character" w:customStyle="1" w:styleId="16">
    <w:name w:val="页脚 Char"/>
    <w:basedOn w:val="14"/>
    <w:link w:val="9"/>
    <w:semiHidden/>
    <w:qFormat/>
    <w:locked/>
    <w:uiPriority w:val="99"/>
    <w:rPr>
      <w:color w:val="000000"/>
      <w:kern w:val="0"/>
      <w:sz w:val="18"/>
      <w:szCs w:val="18"/>
    </w:rPr>
  </w:style>
  <w:style w:type="character" w:customStyle="1" w:styleId="17">
    <w:name w:val="页眉 Char"/>
    <w:basedOn w:val="14"/>
    <w:link w:val="10"/>
    <w:semiHidden/>
    <w:qFormat/>
    <w:locked/>
    <w:uiPriority w:val="99"/>
    <w:rPr>
      <w:color w:val="000000"/>
      <w:kern w:val="0"/>
      <w:sz w:val="18"/>
      <w:szCs w:val="18"/>
    </w:rPr>
  </w:style>
  <w:style w:type="paragraph" w:customStyle="1" w:styleId="18">
    <w:name w:val="正文段"/>
    <w:basedOn w:val="1"/>
    <w:qFormat/>
    <w:uiPriority w:val="99"/>
    <w:pPr>
      <w:widowControl/>
      <w:adjustRightInd/>
      <w:snapToGrid w:val="0"/>
      <w:ind w:firstLine="200" w:firstLineChars="200"/>
    </w:pPr>
    <w:rPr>
      <w:color w:val="auto"/>
      <w:sz w:val="24"/>
      <w:szCs w:val="24"/>
    </w:rPr>
  </w:style>
  <w:style w:type="paragraph" w:styleId="19">
    <w:name w:val="List Paragraph"/>
    <w:basedOn w:val="1"/>
    <w:unhideWhenUsed/>
    <w:qFormat/>
    <w:uiPriority w:val="99"/>
    <w:pPr>
      <w:ind w:firstLine="420" w:firstLineChars="200"/>
    </w:pPr>
  </w:style>
  <w:style w:type="character" w:customStyle="1" w:styleId="20">
    <w:name w:val="无"/>
    <w:qFormat/>
    <w:uiPriority w:val="0"/>
  </w:style>
  <w:style w:type="character" w:customStyle="1" w:styleId="21">
    <w:name w:val="页码11"/>
    <w:basedOn w:val="22"/>
    <w:qFormat/>
    <w:uiPriority w:val="0"/>
    <w:rPr>
      <w:lang w:val="zh-TW" w:eastAsia="zh-TW"/>
    </w:rPr>
  </w:style>
  <w:style w:type="character" w:customStyle="1" w:styleId="22">
    <w:name w:val="无 A"/>
    <w:qFormat/>
    <w:uiPriority w:val="0"/>
    <w:rPr>
      <w:lang w:val="en-US"/>
    </w:rPr>
  </w:style>
  <w:style w:type="paragraph" w:customStyle="1" w:styleId="23">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30"/>
      <w:szCs w:val="30"/>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customXml/item2.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E23E5-DB3E-4521-B633-0B09B767E8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1634</Words>
  <Characters>9314</Characters>
  <Lines>77</Lines>
  <Paragraphs>21</Paragraphs>
  <TotalTime>14</TotalTime>
  <ScaleCrop>false</ScaleCrop>
  <LinksUpToDate>false</LinksUpToDate>
  <CharactersWithSpaces>10927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2020-07-17T07:09:00Z</dcterms:created>
  <dc:creator>Windows 用户</dc:creator>
  <cp:lastModifiedBy>章YF</cp:lastModifiedBy>
  <cp:lastPrinted>2018-06-20T01:11:00Z</cp:lastPrinted>
  <dcterms:modified xsi:type="dcterms:W3CDTF">2021-11-29T03:29:43Z</dcterms:modified>
  <cp:revision>62</cp:revision>
  <dc:title>投标人（供应商）资格要求：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636BA29A58D4498CBC749993202F69DD</vt:lpwstr>
  </property>
</Properties>
</file>