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138" w:firstLineChars="49"/>
        <w:rPr>
          <w:rFonts w:ascii="Calibri" w:hAnsi="Calibri" w:eastAsia="宋体" w:cs="Times New Roman"/>
          <w:b/>
          <w:color w:val="000000"/>
          <w:sz w:val="28"/>
          <w:szCs w:val="28"/>
        </w:rPr>
      </w:pPr>
      <w:r>
        <w:rPr>
          <w:rFonts w:hint="eastAsia" w:ascii="Calibri" w:hAnsi="Calibri" w:eastAsia="宋体" w:cs="Times New Roman"/>
          <w:b/>
          <w:color w:val="000000"/>
          <w:sz w:val="28"/>
          <w:szCs w:val="28"/>
        </w:rPr>
        <w:t>基本格式：</w:t>
      </w:r>
    </w:p>
    <w:p>
      <w:pPr>
        <w:spacing w:line="240" w:lineRule="auto"/>
        <w:jc w:val="center"/>
        <w:rPr>
          <w:rFonts w:ascii="Calibri" w:hAnsi="Calibri" w:eastAsia="宋体" w:cs="Times New Roman"/>
          <w:b/>
          <w:color w:val="000000"/>
          <w:sz w:val="32"/>
          <w:szCs w:val="32"/>
        </w:rPr>
      </w:pPr>
      <w:r>
        <w:rPr>
          <w:rFonts w:hint="eastAsia" w:ascii="Calibri" w:hAnsi="Calibri" w:eastAsia="宋体" w:cs="Times New Roman"/>
          <w:b/>
          <w:color w:val="000000"/>
          <w:sz w:val="32"/>
          <w:szCs w:val="32"/>
        </w:rPr>
        <w:t>关于对</w:t>
      </w:r>
      <w:r>
        <w:rPr>
          <w:rFonts w:hint="eastAsia" w:ascii="宋体" w:hAnsi="宋体" w:eastAsia="宋体" w:cs="宋体"/>
          <w:b/>
          <w:color w:val="000000"/>
          <w:sz w:val="32"/>
          <w:szCs w:val="32"/>
        </w:rPr>
        <w:t>★★★★★★★★★★★★★★★★★★</w:t>
      </w:r>
      <w:r>
        <w:rPr>
          <w:rFonts w:hint="eastAsia" w:ascii="Calibri" w:hAnsi="Calibri" w:eastAsia="宋体" w:cs="Times New Roman"/>
          <w:b/>
          <w:color w:val="000000"/>
          <w:sz w:val="32"/>
          <w:szCs w:val="32"/>
        </w:rPr>
        <w:t>项目的意见建议</w:t>
      </w:r>
    </w:p>
    <w:p>
      <w:pPr>
        <w:spacing w:line="240" w:lineRule="auto"/>
        <w:rPr>
          <w:rFonts w:hint="eastAsia" w:ascii="Calibri" w:hAnsi="Calibri" w:eastAsia="宋体" w:cs="Times New Roman"/>
          <w:color w:val="000000"/>
          <w:sz w:val="28"/>
          <w:szCs w:val="28"/>
        </w:rPr>
      </w:pPr>
      <w:r>
        <w:rPr>
          <w:rFonts w:hint="eastAsia" w:ascii="Calibri" w:hAnsi="Calibri" w:eastAsia="宋体" w:cs="Times New Roman"/>
          <w:color w:val="000000"/>
          <w:sz w:val="28"/>
          <w:szCs w:val="28"/>
        </w:rPr>
        <w:t>致：宏源工程管理有限公司</w:t>
      </w:r>
    </w:p>
    <w:p>
      <w:pPr>
        <w:spacing w:line="240" w:lineRule="auto"/>
        <w:ind w:firstLine="560" w:firstLineChars="200"/>
        <w:rPr>
          <w:rFonts w:ascii="Calibri" w:hAnsi="Calibri" w:eastAsia="宋体" w:cs="Times New Roman"/>
          <w:color w:val="000000"/>
          <w:sz w:val="28"/>
          <w:szCs w:val="28"/>
        </w:rPr>
      </w:pPr>
      <w:r>
        <w:rPr>
          <w:rFonts w:hint="eastAsia" w:ascii="Calibri" w:hAnsi="Calibri" w:eastAsia="宋体" w:cs="Times New Roman"/>
          <w:color w:val="000000"/>
          <w:sz w:val="28"/>
          <w:szCs w:val="28"/>
        </w:rPr>
        <w:t>对于贵公司于</w:t>
      </w:r>
      <w:r>
        <w:rPr>
          <w:rFonts w:ascii="Calibri" w:hAnsi="Calibri" w:eastAsia="宋体" w:cs="Times New Roman"/>
          <w:color w:val="000000"/>
          <w:sz w:val="28"/>
          <w:szCs w:val="28"/>
        </w:rPr>
        <w:t>20</w:t>
      </w:r>
      <w:r>
        <w:rPr>
          <w:rFonts w:hint="eastAsia" w:ascii="Calibri" w:hAnsi="Calibri" w:eastAsia="宋体" w:cs="Times New Roman"/>
          <w:color w:val="000000"/>
          <w:sz w:val="28"/>
          <w:szCs w:val="28"/>
        </w:rPr>
        <w:t>2</w:t>
      </w:r>
      <w:r>
        <w:rPr>
          <w:rFonts w:hint="eastAsia" w:ascii="Calibri" w:hAnsi="Calibri" w:eastAsia="宋体" w:cs="Times New Roman"/>
          <w:color w:val="000000"/>
          <w:sz w:val="28"/>
          <w:szCs w:val="28"/>
          <w:lang w:val="en-US" w:eastAsia="zh-CN"/>
        </w:rPr>
        <w:t>1</w:t>
      </w:r>
      <w:r>
        <w:rPr>
          <w:rFonts w:hint="eastAsia" w:ascii="Calibri" w:hAnsi="Calibri" w:eastAsia="宋体" w:cs="Times New Roman"/>
          <w:color w:val="000000"/>
          <w:sz w:val="28"/>
          <w:szCs w:val="28"/>
        </w:rPr>
        <w:t>年</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月</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日公示的</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项目采购要素，我公司有如下意见建议：</w:t>
      </w:r>
    </w:p>
    <w:tbl>
      <w:tblPr>
        <w:tblStyle w:val="10"/>
        <w:tblW w:w="0" w:type="auto"/>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trHeight w:val="631" w:hRule="atLeast"/>
        </w:trPr>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原条款</w:t>
            </w: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r>
              <w:rPr>
                <w:rFonts w:hint="eastAsia" w:ascii="Calibri" w:hAnsi="Calibri" w:eastAsia="宋体" w:cs="Times New Roman"/>
                <w:color w:val="000000"/>
                <w:sz w:val="28"/>
                <w:szCs w:val="28"/>
              </w:rPr>
              <w:t>本公司意见建议</w:t>
            </w: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r>
      <w:tr>
        <w:tblPrEx>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c>
          <w:tcPr>
            <w:tcW w:w="4261"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Calibri" w:hAnsi="Calibri" w:eastAsia="宋体" w:cs="Times New Roman"/>
                <w:color w:val="000000"/>
                <w:sz w:val="28"/>
                <w:szCs w:val="28"/>
              </w:rPr>
            </w:pPr>
          </w:p>
        </w:tc>
      </w:tr>
    </w:tbl>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传</w:t>
      </w: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真：</w:t>
      </w:r>
      <w:r>
        <w:rPr>
          <w:rFonts w:hint="eastAsia" w:ascii="宋体" w:hAnsi="宋体" w:eastAsia="宋体" w:cs="宋体"/>
          <w:color w:val="000000"/>
          <w:sz w:val="28"/>
          <w:szCs w:val="28"/>
        </w:rPr>
        <w:t>★★★★★★★★</w:t>
      </w:r>
    </w:p>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联</w:t>
      </w: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系</w:t>
      </w: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人：</w:t>
      </w:r>
      <w:r>
        <w:rPr>
          <w:rFonts w:hint="eastAsia" w:ascii="宋体" w:hAnsi="宋体" w:eastAsia="宋体" w:cs="宋体"/>
          <w:color w:val="000000"/>
          <w:sz w:val="28"/>
          <w:szCs w:val="28"/>
        </w:rPr>
        <w:t>★★★★★★★★</w:t>
      </w:r>
    </w:p>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联系电话：</w:t>
      </w:r>
      <w:r>
        <w:rPr>
          <w:rFonts w:hint="eastAsia" w:ascii="宋体" w:hAnsi="宋体" w:eastAsia="宋体" w:cs="宋体"/>
          <w:color w:val="000000"/>
          <w:sz w:val="28"/>
          <w:szCs w:val="28"/>
        </w:rPr>
        <w:t>★★★★★★★★★★</w:t>
      </w:r>
    </w:p>
    <w:p>
      <w:pPr>
        <w:spacing w:line="240" w:lineRule="auto"/>
        <w:rPr>
          <w:rFonts w:ascii="Calibri" w:hAnsi="Calibri" w:eastAsia="宋体" w:cs="Times New Roman"/>
          <w:color w:val="000000"/>
          <w:sz w:val="28"/>
          <w:szCs w:val="28"/>
        </w:rPr>
      </w:pPr>
      <w:r>
        <w:rPr>
          <w:rFonts w:hint="eastAsia" w:ascii="Calibri" w:hAnsi="Calibri" w:eastAsia="宋体" w:cs="Times New Roman"/>
          <w:color w:val="000000"/>
          <w:sz w:val="28"/>
          <w:szCs w:val="28"/>
        </w:rPr>
        <w:t>联系手机：</w:t>
      </w:r>
      <w:r>
        <w:rPr>
          <w:rFonts w:hint="eastAsia" w:ascii="宋体" w:hAnsi="宋体" w:eastAsia="宋体" w:cs="宋体"/>
          <w:color w:val="000000"/>
          <w:sz w:val="28"/>
          <w:szCs w:val="28"/>
        </w:rPr>
        <w:t>★★★★★★★★★★</w:t>
      </w:r>
    </w:p>
    <w:p>
      <w:pPr>
        <w:spacing w:line="240" w:lineRule="auto"/>
        <w:ind w:left="4480" w:hanging="4480" w:hangingChars="1600"/>
        <w:rPr>
          <w:rFonts w:hint="eastAsia" w:ascii="Calibri" w:hAnsi="Calibri" w:eastAsia="宋体" w:cs="Times New Roman"/>
          <w:color w:val="000000"/>
          <w:sz w:val="28"/>
          <w:szCs w:val="28"/>
        </w:rPr>
      </w:pPr>
      <w:r>
        <w:rPr>
          <w:rFonts w:hint="eastAsia" w:ascii="Calibri" w:hAnsi="Calibri" w:eastAsia="宋体" w:cs="Times New Roman"/>
          <w:color w:val="000000"/>
          <w:sz w:val="28"/>
          <w:szCs w:val="28"/>
        </w:rPr>
        <w:t>电子邮箱：</w:t>
      </w:r>
      <w:r>
        <w:rPr>
          <w:rFonts w:hint="eastAsia" w:ascii="宋体" w:hAnsi="宋体" w:eastAsia="宋体" w:cs="宋体"/>
          <w:color w:val="000000"/>
          <w:sz w:val="28"/>
          <w:szCs w:val="28"/>
        </w:rPr>
        <w:t>★★★★★★★★★★</w:t>
      </w:r>
      <w:r>
        <w:rPr>
          <w:rFonts w:ascii="Calibri" w:hAnsi="Calibri" w:eastAsia="宋体" w:cs="Times New Roman"/>
          <w:color w:val="000000"/>
          <w:sz w:val="28"/>
          <w:szCs w:val="28"/>
        </w:rPr>
        <w:t xml:space="preserve">                       </w:t>
      </w:r>
    </w:p>
    <w:p>
      <w:pPr>
        <w:spacing w:line="240" w:lineRule="auto"/>
        <w:ind w:left="5122" w:leftChars="2134" w:firstLine="140" w:firstLineChars="50"/>
        <w:rPr>
          <w:rFonts w:hint="eastAsia" w:ascii="Calibri" w:hAnsi="Calibri" w:eastAsia="宋体" w:cs="Times New Roman"/>
          <w:color w:val="000000"/>
          <w:sz w:val="28"/>
          <w:szCs w:val="28"/>
        </w:rPr>
      </w:pP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单位名称：（加盖公章）</w:t>
      </w:r>
    </w:p>
    <w:p>
      <w:pPr>
        <w:spacing w:line="240" w:lineRule="auto"/>
        <w:ind w:left="5122" w:leftChars="2134" w:firstLine="140" w:firstLineChars="50"/>
        <w:rPr>
          <w:rFonts w:hint="eastAsia" w:ascii="Calibri" w:hAnsi="Calibri" w:eastAsia="宋体" w:cs="Times New Roman"/>
          <w:color w:val="000000"/>
          <w:sz w:val="28"/>
          <w:szCs w:val="28"/>
        </w:rPr>
      </w:pPr>
    </w:p>
    <w:p>
      <w:pPr>
        <w:spacing w:line="240" w:lineRule="auto"/>
        <w:ind w:left="4760" w:hanging="4760" w:hangingChars="1700"/>
        <w:rPr>
          <w:rFonts w:ascii="Calibri" w:hAnsi="Calibri" w:eastAsia="宋体" w:cs="Times New Roman"/>
          <w:color w:val="000000"/>
          <w:sz w:val="28"/>
          <w:szCs w:val="28"/>
        </w:rPr>
      </w:pPr>
      <w:r>
        <w:rPr>
          <w:rFonts w:ascii="Calibri" w:hAnsi="Calibri" w:eastAsia="宋体" w:cs="Times New Roman"/>
          <w:color w:val="000000"/>
          <w:sz w:val="28"/>
          <w:szCs w:val="28"/>
        </w:rPr>
        <w:t xml:space="preserve">                                   </w:t>
      </w:r>
      <w:r>
        <w:rPr>
          <w:rFonts w:hint="eastAsia" w:ascii="Calibri" w:hAnsi="Calibri" w:eastAsia="宋体" w:cs="Times New Roman"/>
          <w:color w:val="000000"/>
          <w:sz w:val="28"/>
          <w:szCs w:val="28"/>
        </w:rPr>
        <w:t>二</w:t>
      </w:r>
      <w:r>
        <w:rPr>
          <w:rFonts w:ascii="Calibri" w:hAnsi="Calibri" w:eastAsia="宋体" w:cs="Times New Roman"/>
          <w:color w:val="000000"/>
          <w:sz w:val="28"/>
          <w:szCs w:val="28"/>
        </w:rPr>
        <w:t>O</w:t>
      </w:r>
      <w:r>
        <w:rPr>
          <w:rFonts w:hint="eastAsia" w:ascii="Calibri" w:hAnsi="Calibri" w:eastAsia="宋体" w:cs="Times New Roman"/>
          <w:color w:val="000000"/>
          <w:sz w:val="28"/>
          <w:szCs w:val="28"/>
        </w:rPr>
        <w:t>二</w:t>
      </w:r>
      <w:r>
        <w:rPr>
          <w:rFonts w:hint="eastAsia" w:ascii="Calibri" w:hAnsi="Calibri" w:eastAsia="宋体" w:cs="Times New Roman"/>
          <w:color w:val="000000"/>
          <w:sz w:val="28"/>
          <w:szCs w:val="28"/>
          <w:lang w:eastAsia="zh-CN"/>
        </w:rPr>
        <w:t>一</w:t>
      </w:r>
      <w:r>
        <w:rPr>
          <w:rFonts w:hint="eastAsia" w:ascii="Calibri" w:hAnsi="Calibri" w:eastAsia="宋体" w:cs="Times New Roman"/>
          <w:color w:val="000000"/>
          <w:sz w:val="28"/>
          <w:szCs w:val="28"/>
        </w:rPr>
        <w:t>年</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月</w:t>
      </w:r>
      <w:r>
        <w:rPr>
          <w:rFonts w:hint="eastAsia" w:ascii="宋体" w:hAnsi="宋体" w:eastAsia="宋体" w:cs="宋体"/>
          <w:color w:val="000000"/>
          <w:sz w:val="28"/>
          <w:szCs w:val="28"/>
        </w:rPr>
        <w:t>★</w:t>
      </w:r>
      <w:r>
        <w:rPr>
          <w:rFonts w:hint="eastAsia" w:ascii="Calibri" w:hAnsi="Calibri" w:eastAsia="宋体" w:cs="Times New Roman"/>
          <w:color w:val="000000"/>
          <w:sz w:val="28"/>
          <w:szCs w:val="28"/>
        </w:rPr>
        <w:t>日</w:t>
      </w:r>
    </w:p>
    <w:p>
      <w:pPr>
        <w:spacing w:line="240" w:lineRule="auto"/>
        <w:rPr>
          <w:rFonts w:hint="eastAsia" w:ascii="Calibri" w:hAnsi="Calibri" w:eastAsia="宋体" w:cs="Times New Roman"/>
          <w:color w:val="000000"/>
          <w:sz w:val="21"/>
        </w:rPr>
      </w:pPr>
    </w:p>
    <w:p>
      <w:pPr>
        <w:spacing w:line="240" w:lineRule="auto"/>
        <w:rPr>
          <w:rFonts w:hint="eastAsia" w:ascii="Calibri" w:hAnsi="Calibri" w:eastAsia="宋体" w:cs="Times New Roman"/>
          <w:color w:val="000000"/>
          <w:sz w:val="21"/>
        </w:rPr>
      </w:pPr>
      <w:r>
        <w:rPr>
          <w:rFonts w:hint="eastAsia" w:ascii="Calibri" w:hAnsi="Calibri" w:eastAsia="宋体" w:cs="Times New Roman"/>
          <w:color w:val="000000"/>
          <w:sz w:val="21"/>
        </w:rPr>
        <w:t>注：</w:t>
      </w:r>
    </w:p>
    <w:p>
      <w:pPr>
        <w:spacing w:line="240" w:lineRule="auto"/>
        <w:rPr>
          <w:rFonts w:hint="eastAsia" w:ascii="Calibri" w:hAnsi="Calibri" w:eastAsia="宋体" w:cs="Times New Roman"/>
          <w:color w:val="000000"/>
          <w:sz w:val="21"/>
        </w:rPr>
      </w:pPr>
      <w:r>
        <w:rPr>
          <w:rFonts w:hint="eastAsia" w:ascii="Calibri" w:hAnsi="Calibri" w:eastAsia="宋体" w:cs="Times New Roman"/>
          <w:color w:val="000000"/>
          <w:sz w:val="21"/>
        </w:rPr>
        <w:t>1、针对本项目的意见建议仅供采购人完善采购需求参考所用！</w:t>
      </w:r>
    </w:p>
    <w:p>
      <w:pPr>
        <w:spacing w:line="240" w:lineRule="auto"/>
        <w:rPr>
          <w:rFonts w:hint="eastAsia" w:ascii="Calibri" w:hAnsi="Calibri" w:eastAsia="宋体" w:cs="Times New Roman"/>
          <w:color w:val="000000"/>
          <w:sz w:val="21"/>
        </w:rPr>
      </w:pPr>
      <w:r>
        <w:rPr>
          <w:rFonts w:hint="eastAsia" w:ascii="Calibri" w:hAnsi="Calibri" w:eastAsia="宋体" w:cs="Times New Roman"/>
          <w:color w:val="000000"/>
          <w:sz w:val="21"/>
        </w:rPr>
        <w:t>2、意见建议以书面（含传真）为准，供应商必须同时提供WORD版电子稿，并电话与代理机构项目联系人确认接收，否则视为供应商未提交书面意见建议。</w:t>
      </w:r>
    </w:p>
    <w:p>
      <w:pPr>
        <w:spacing w:line="240" w:lineRule="auto"/>
        <w:rPr>
          <w:rFonts w:hint="eastAsia" w:ascii="黑体" w:hAnsi="黑体" w:eastAsia="黑体" w:cs="黑体"/>
          <w:b/>
          <w:color w:val="000000"/>
          <w:sz w:val="32"/>
          <w:szCs w:val="32"/>
        </w:rPr>
      </w:pPr>
    </w:p>
    <w:p>
      <w:pPr>
        <w:widowControl w:val="0"/>
        <w:autoSpaceDE/>
        <w:autoSpaceDN/>
        <w:adjustRightInd/>
        <w:spacing w:after="120" w:line="240" w:lineRule="auto"/>
        <w:ind w:left="480" w:leftChars="200" w:firstLine="420"/>
        <w:jc w:val="both"/>
        <w:textAlignment w:val="auto"/>
        <w:rPr>
          <w:rFonts w:hint="eastAsia" w:ascii="??" w:hAnsi="??" w:eastAsia="??" w:cs="宋体"/>
          <w:spacing w:val="-4"/>
          <w:kern w:val="2"/>
          <w:sz w:val="21"/>
          <w:szCs w:val="21"/>
          <w:lang w:val="en-US" w:eastAsia="zh-CN" w:bidi="ar-SA"/>
        </w:rPr>
      </w:pPr>
    </w:p>
    <w:p>
      <w:pPr>
        <w:spacing w:line="240" w:lineRule="auto"/>
        <w:jc w:val="center"/>
        <w:rPr>
          <w:rFonts w:hint="eastAsia" w:ascii="黑体" w:hAnsi="黑体" w:eastAsia="黑体" w:cs="黑体"/>
          <w:b/>
          <w:sz w:val="32"/>
          <w:szCs w:val="32"/>
        </w:rPr>
      </w:pPr>
      <w:r>
        <w:rPr>
          <w:rFonts w:hint="eastAsia" w:ascii="黑体" w:hAnsi="黑体" w:eastAsia="黑体" w:cs="黑体"/>
          <w:b/>
          <w:sz w:val="32"/>
          <w:szCs w:val="32"/>
          <w:lang w:eastAsia="zh-CN"/>
        </w:rPr>
        <w:t>诸暨市水资源管理支撑服务采购项目</w:t>
      </w:r>
      <w:r>
        <w:rPr>
          <w:rFonts w:hint="eastAsia" w:ascii="黑体" w:hAnsi="黑体" w:eastAsia="黑体" w:cs="黑体"/>
          <w:b/>
          <w:sz w:val="32"/>
          <w:szCs w:val="32"/>
        </w:rPr>
        <w:t>要素公示</w:t>
      </w:r>
    </w:p>
    <w:p>
      <w:pPr>
        <w:spacing w:line="360" w:lineRule="auto"/>
        <w:ind w:firstLine="482" w:firstLineChars="200"/>
        <w:rPr>
          <w:rFonts w:hint="eastAsia" w:ascii="宋体" w:hAnsi="宋体" w:eastAsia="宋体" w:cs="Times New Roman"/>
          <w:b/>
          <w:w w:val="98"/>
          <w:sz w:val="24"/>
          <w:lang w:eastAsia="zh-CN"/>
        </w:rPr>
      </w:pPr>
      <w:r>
        <w:rPr>
          <w:rFonts w:hint="eastAsia" w:ascii="宋体" w:hAnsi="宋体" w:eastAsia="宋体" w:cs="Times New Roman"/>
          <w:b/>
          <w:sz w:val="24"/>
        </w:rPr>
        <w:t>一、项目名称：</w:t>
      </w:r>
      <w:r>
        <w:rPr>
          <w:rFonts w:hint="eastAsia" w:ascii="宋体" w:hAnsi="宋体" w:eastAsia="宋体" w:cs="Times New Roman"/>
          <w:b/>
          <w:sz w:val="24"/>
          <w:lang w:eastAsia="zh-CN"/>
        </w:rPr>
        <w:t>诸暨市水资源管理支撑服务采购项目</w:t>
      </w:r>
    </w:p>
    <w:p>
      <w:pPr>
        <w:spacing w:line="360" w:lineRule="auto"/>
        <w:ind w:firstLine="482" w:firstLineChars="200"/>
        <w:rPr>
          <w:rFonts w:hint="eastAsia" w:ascii="宋体" w:hAnsi="宋体" w:eastAsia="宋体" w:cs="Times New Roman"/>
          <w:bCs/>
          <w:sz w:val="24"/>
        </w:rPr>
      </w:pPr>
      <w:r>
        <w:rPr>
          <w:rFonts w:hint="eastAsia" w:ascii="宋体" w:hAnsi="宋体" w:eastAsia="宋体" w:cs="Times New Roman"/>
          <w:b/>
          <w:sz w:val="24"/>
        </w:rPr>
        <w:t>二、项目内容及规模：</w:t>
      </w:r>
    </w:p>
    <w:tbl>
      <w:tblPr>
        <w:tblStyle w:val="10"/>
        <w:tblW w:w="8685"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880"/>
        <w:gridCol w:w="1200"/>
        <w:gridCol w:w="94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标的</w:t>
            </w:r>
          </w:p>
        </w:tc>
        <w:tc>
          <w:tcPr>
            <w:tcW w:w="2880"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采购内容</w:t>
            </w:r>
          </w:p>
        </w:tc>
        <w:tc>
          <w:tcPr>
            <w:tcW w:w="1200" w:type="dxa"/>
            <w:noWrap w:val="0"/>
            <w:vAlign w:val="center"/>
          </w:tcPr>
          <w:p>
            <w:pPr>
              <w:spacing w:line="240" w:lineRule="auto"/>
              <w:jc w:val="center"/>
              <w:rPr>
                <w:rFonts w:hint="eastAsia" w:ascii="宋体" w:hAnsi="宋体" w:eastAsia="宋体" w:cs="Times New Roman"/>
                <w:sz w:val="24"/>
              </w:rPr>
            </w:pPr>
            <w:r>
              <w:rPr>
                <w:rFonts w:hint="eastAsia" w:ascii="宋体" w:hAnsi="宋体" w:eastAsia="宋体" w:cs="Times New Roman"/>
                <w:sz w:val="24"/>
              </w:rPr>
              <w:t>数量</w:t>
            </w:r>
          </w:p>
        </w:tc>
        <w:tc>
          <w:tcPr>
            <w:tcW w:w="945" w:type="dxa"/>
            <w:noWrap w:val="0"/>
            <w:vAlign w:val="center"/>
          </w:tcPr>
          <w:p>
            <w:pPr>
              <w:spacing w:line="240" w:lineRule="auto"/>
              <w:jc w:val="center"/>
              <w:rPr>
                <w:rFonts w:hint="eastAsia" w:ascii="宋体" w:hAnsi="宋体" w:eastAsia="宋体" w:cs="Times New Roman"/>
                <w:kern w:val="0"/>
                <w:sz w:val="24"/>
              </w:rPr>
            </w:pPr>
            <w:r>
              <w:rPr>
                <w:rFonts w:hint="eastAsia" w:ascii="宋体" w:hAnsi="宋体" w:eastAsia="宋体" w:cs="Times New Roman"/>
                <w:kern w:val="0"/>
                <w:sz w:val="24"/>
              </w:rPr>
              <w:t>单位</w:t>
            </w:r>
          </w:p>
        </w:tc>
        <w:tc>
          <w:tcPr>
            <w:tcW w:w="2865" w:type="dxa"/>
            <w:noWrap w:val="0"/>
            <w:vAlign w:val="center"/>
          </w:tcPr>
          <w:p>
            <w:pPr>
              <w:spacing w:line="240" w:lineRule="auto"/>
              <w:jc w:val="center"/>
              <w:rPr>
                <w:rFonts w:hint="eastAsia" w:ascii="宋体" w:hAnsi="宋体" w:eastAsia="宋体" w:cs="Times New Roman"/>
                <w:kern w:val="0"/>
                <w:sz w:val="24"/>
                <w:lang w:eastAsia="zh-CN"/>
              </w:rPr>
            </w:pPr>
            <w:r>
              <w:rPr>
                <w:rFonts w:hint="eastAsia" w:ascii="宋体" w:hAnsi="宋体" w:eastAsia="宋体" w:cs="Times New Roman"/>
                <w:sz w:val="24"/>
              </w:rPr>
              <w:t>最高限价</w:t>
            </w:r>
            <w:r>
              <w:rPr>
                <w:rFonts w:hint="eastAsia" w:ascii="宋体" w:hAnsi="宋体" w:eastAsia="宋体" w:cs="Times New Roman"/>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95"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标一</w:t>
            </w:r>
          </w:p>
        </w:tc>
        <w:tc>
          <w:tcPr>
            <w:tcW w:w="2880" w:type="dxa"/>
            <w:noWrap w:val="0"/>
            <w:vAlign w:val="center"/>
          </w:tcPr>
          <w:p>
            <w:pPr>
              <w:spacing w:line="240" w:lineRule="auto"/>
              <w:jc w:val="center"/>
              <w:rPr>
                <w:rFonts w:hint="eastAsia" w:ascii="宋体" w:hAnsi="宋体" w:eastAsia="宋体" w:cs="Times New Roman"/>
                <w:sz w:val="24"/>
                <w:lang w:eastAsia="zh-CN"/>
              </w:rPr>
            </w:pPr>
            <w:r>
              <w:rPr>
                <w:rFonts w:hint="eastAsia" w:ascii="宋体" w:hAnsi="宋体" w:eastAsia="宋体" w:cs="Times New Roman"/>
                <w:sz w:val="24"/>
                <w:lang w:eastAsia="zh-CN"/>
              </w:rPr>
              <w:t>水资源管理支撑服务</w:t>
            </w:r>
          </w:p>
        </w:tc>
        <w:tc>
          <w:tcPr>
            <w:tcW w:w="1200" w:type="dxa"/>
            <w:noWrap w:val="0"/>
            <w:vAlign w:val="center"/>
          </w:tcPr>
          <w:p>
            <w:pPr>
              <w:spacing w:line="240" w:lineRule="auto"/>
              <w:jc w:val="center"/>
              <w:rPr>
                <w:rFonts w:ascii="宋体" w:hAnsi="宋体" w:eastAsia="宋体" w:cs="Times New Roman"/>
                <w:sz w:val="24"/>
              </w:rPr>
            </w:pPr>
            <w:r>
              <w:rPr>
                <w:rFonts w:hint="eastAsia" w:ascii="宋体" w:hAnsi="宋体" w:eastAsia="宋体" w:cs="Times New Roman"/>
                <w:sz w:val="24"/>
              </w:rPr>
              <w:t>1</w:t>
            </w:r>
          </w:p>
        </w:tc>
        <w:tc>
          <w:tcPr>
            <w:tcW w:w="945" w:type="dxa"/>
            <w:noWrap w:val="0"/>
            <w:vAlign w:val="center"/>
          </w:tcPr>
          <w:p>
            <w:pPr>
              <w:spacing w:line="240" w:lineRule="auto"/>
              <w:jc w:val="center"/>
              <w:rPr>
                <w:rFonts w:hint="eastAsia" w:ascii="宋体" w:hAnsi="宋体" w:eastAsia="宋体" w:cs="Times New Roman"/>
                <w:kern w:val="0"/>
                <w:sz w:val="24"/>
              </w:rPr>
            </w:pPr>
            <w:r>
              <w:rPr>
                <w:rFonts w:hint="eastAsia" w:ascii="宋体" w:hAnsi="宋体" w:eastAsia="宋体" w:cs="Times New Roman"/>
                <w:kern w:val="0"/>
                <w:sz w:val="24"/>
              </w:rPr>
              <w:t>批</w:t>
            </w:r>
          </w:p>
        </w:tc>
        <w:tc>
          <w:tcPr>
            <w:tcW w:w="2865" w:type="dxa"/>
            <w:noWrap w:val="0"/>
            <w:vAlign w:val="center"/>
          </w:tcPr>
          <w:p>
            <w:pPr>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121.20</w:t>
            </w:r>
          </w:p>
        </w:tc>
      </w:tr>
    </w:tbl>
    <w:p>
      <w:pPr>
        <w:spacing w:line="360" w:lineRule="auto"/>
        <w:ind w:firstLine="482" w:firstLineChars="200"/>
        <w:jc w:val="left"/>
        <w:rPr>
          <w:rFonts w:hint="eastAsia" w:ascii="宋体" w:hAnsi="宋体" w:eastAsia="宋体" w:cs="Times New Roman"/>
          <w:b/>
          <w:sz w:val="24"/>
        </w:rPr>
      </w:pPr>
      <w:r>
        <w:rPr>
          <w:rFonts w:hint="eastAsia" w:ascii="宋体" w:hAnsi="宋体" w:eastAsia="宋体" w:cs="Times New Roman"/>
          <w:b/>
          <w:sz w:val="24"/>
        </w:rPr>
        <w:t>三、投标人（供应商）资格要求：</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1、符合政府采购法第二十二条之供应商资格规定；</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3</w:t>
      </w:r>
      <w:r>
        <w:rPr>
          <w:rFonts w:hint="eastAsia" w:ascii="宋体" w:hAnsi="宋体" w:eastAsia="宋体" w:cs="Times New Roman"/>
          <w:sz w:val="24"/>
        </w:rPr>
        <w:t>、本项目不接受联合体投标。</w:t>
      </w:r>
    </w:p>
    <w:p>
      <w:pPr>
        <w:spacing w:line="360" w:lineRule="auto"/>
        <w:ind w:firstLine="480"/>
        <w:rPr>
          <w:rFonts w:hint="eastAsia" w:ascii="宋体" w:hAnsi="宋体" w:eastAsia="宋体" w:cs="Times New Roman"/>
          <w:b/>
          <w:sz w:val="24"/>
        </w:rPr>
      </w:pPr>
      <w:r>
        <w:rPr>
          <w:rFonts w:hint="eastAsia" w:ascii="宋体" w:hAnsi="宋体" w:eastAsia="宋体" w:cs="Times New Roman"/>
          <w:b/>
          <w:sz w:val="24"/>
        </w:rPr>
        <w:t>四、评标办法：综合评分法</w:t>
      </w:r>
    </w:p>
    <w:p>
      <w:pPr>
        <w:autoSpaceDE w:val="0"/>
        <w:autoSpaceDN w:val="0"/>
        <w:adjustRightInd w:val="0"/>
        <w:spacing w:line="360" w:lineRule="auto"/>
        <w:ind w:firstLine="480" w:firstLineChars="200"/>
        <w:rPr>
          <w:rFonts w:ascii="宋体" w:hAnsi="宋体" w:eastAsia="宋体" w:cs="Times New Roman"/>
          <w:color w:val="auto"/>
          <w:kern w:val="0"/>
          <w:sz w:val="24"/>
          <w:szCs w:val="21"/>
        </w:rPr>
      </w:pPr>
      <w:r>
        <w:rPr>
          <w:rFonts w:hint="eastAsia" w:ascii="宋体" w:hAnsi="宋体" w:eastAsia="宋体" w:cs="Times New Roman"/>
          <w:color w:val="auto"/>
          <w:kern w:val="0"/>
          <w:sz w:val="24"/>
          <w:szCs w:val="21"/>
        </w:rPr>
        <w:t>1、采用</w:t>
      </w:r>
      <w:r>
        <w:rPr>
          <w:rFonts w:hint="eastAsia" w:ascii="宋体" w:hAnsi="宋体" w:eastAsia="宋体" w:cs="Times New Roman"/>
          <w:color w:val="auto"/>
          <w:kern w:val="0"/>
          <w:sz w:val="24"/>
          <w:szCs w:val="21"/>
          <w:u w:val="single"/>
        </w:rPr>
        <w:t>　综合评分法　</w:t>
      </w:r>
      <w:r>
        <w:rPr>
          <w:rFonts w:hint="eastAsia" w:ascii="宋体" w:hAnsi="宋体" w:eastAsia="宋体" w:cs="Times New Roman"/>
          <w:color w:val="auto"/>
          <w:kern w:val="0"/>
          <w:sz w:val="24"/>
          <w:szCs w:val="21"/>
        </w:rPr>
        <w:t>。即在符合招标文件要求的前提下，择定最高得分者为第一中标候选人，即预中标人。</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eastAsia="宋体" w:cs="Times New Roman"/>
          <w:bCs/>
          <w:color w:val="auto"/>
          <w:kern w:val="0"/>
          <w:sz w:val="24"/>
          <w:szCs w:val="21"/>
        </w:rPr>
        <w:t>评分过程中采用四舍五入</w:t>
      </w:r>
      <w:r>
        <w:rPr>
          <w:rFonts w:hint="eastAsia" w:ascii="宋体" w:hAnsi="宋体" w:eastAsia="宋体" w:cs="Times New Roman"/>
          <w:color w:val="auto"/>
          <w:kern w:val="0"/>
          <w:sz w:val="24"/>
          <w:szCs w:val="21"/>
        </w:rPr>
        <w:t>法，并保留小数2位。</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3、</w:t>
      </w:r>
      <w:r>
        <w:rPr>
          <w:rFonts w:ascii="宋体" w:hAnsi="宋体" w:eastAsia="宋体" w:cs="Times New Roman"/>
          <w:color w:val="auto"/>
          <w:kern w:val="0"/>
          <w:sz w:val="24"/>
          <w:szCs w:val="21"/>
        </w:rPr>
        <w:t>评分办法</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（1）满分为100分。总得分=技术得分+商务得分；</w:t>
      </w:r>
    </w:p>
    <w:p>
      <w:pPr>
        <w:autoSpaceDE w:val="0"/>
        <w:autoSpaceDN w:val="0"/>
        <w:adjustRightInd w:val="0"/>
        <w:spacing w:line="360" w:lineRule="auto"/>
        <w:ind w:firstLine="480" w:firstLineChars="200"/>
        <w:rPr>
          <w:rFonts w:ascii="宋体" w:hAnsi="宋体" w:eastAsia="宋体" w:cs="Times New Roman"/>
          <w:color w:val="auto"/>
          <w:kern w:val="0"/>
          <w:sz w:val="24"/>
          <w:szCs w:val="21"/>
        </w:rPr>
      </w:pPr>
      <w:r>
        <w:rPr>
          <w:rFonts w:hint="eastAsia" w:ascii="宋体" w:hAnsi="宋体" w:eastAsia="宋体" w:cs="Times New Roman"/>
          <w:color w:val="auto"/>
          <w:kern w:val="0"/>
          <w:sz w:val="24"/>
          <w:szCs w:val="21"/>
        </w:rPr>
        <w:t>（</w:t>
      </w:r>
      <w:r>
        <w:rPr>
          <w:rFonts w:ascii="宋体" w:hAnsi="宋体" w:eastAsia="宋体" w:cs="Times New Roman"/>
          <w:color w:val="auto"/>
          <w:kern w:val="0"/>
          <w:sz w:val="24"/>
          <w:szCs w:val="21"/>
        </w:rPr>
        <w:t>2</w:t>
      </w:r>
      <w:r>
        <w:rPr>
          <w:rFonts w:hint="eastAsia" w:ascii="宋体" w:hAnsi="宋体" w:eastAsia="宋体" w:cs="Times New Roman"/>
          <w:color w:val="auto"/>
          <w:kern w:val="0"/>
          <w:sz w:val="24"/>
          <w:szCs w:val="21"/>
        </w:rPr>
        <w:t>）</w:t>
      </w:r>
      <w:r>
        <w:rPr>
          <w:rFonts w:ascii="宋体" w:hAnsi="宋体" w:eastAsia="宋体" w:cs="宋体"/>
          <w:color w:val="auto"/>
          <w:kern w:val="0"/>
          <w:sz w:val="24"/>
          <w:szCs w:val="21"/>
        </w:rPr>
        <w:t>技术得分=技术评分</w:t>
      </w:r>
      <w:r>
        <w:rPr>
          <w:rFonts w:hint="eastAsia" w:ascii="宋体" w:hAnsi="Times New Roman" w:eastAsia="宋体" w:cs="宋体"/>
          <w:color w:val="auto"/>
          <w:kern w:val="0"/>
          <w:sz w:val="24"/>
          <w:szCs w:val="21"/>
        </w:rPr>
        <w:t>，</w:t>
      </w:r>
      <w:r>
        <w:rPr>
          <w:rFonts w:ascii="宋体" w:hAnsi="宋体" w:eastAsia="宋体" w:cs="宋体"/>
          <w:color w:val="auto"/>
          <w:kern w:val="0"/>
          <w:sz w:val="24"/>
          <w:szCs w:val="21"/>
        </w:rPr>
        <w:t>技术评分=评委的有效评分的算术平均数。</w:t>
      </w:r>
    </w:p>
    <w:p>
      <w:pPr>
        <w:autoSpaceDE w:val="0"/>
        <w:autoSpaceDN w:val="0"/>
        <w:adjustRightInd w:val="0"/>
        <w:spacing w:line="360" w:lineRule="auto"/>
        <w:ind w:firstLine="480" w:firstLineChars="200"/>
        <w:rPr>
          <w:rFonts w:hint="eastAsia" w:ascii="宋体" w:hAnsi="宋体" w:eastAsia="宋体" w:cs="Times New Roman"/>
          <w:color w:val="auto"/>
          <w:kern w:val="0"/>
          <w:sz w:val="24"/>
          <w:szCs w:val="21"/>
        </w:rPr>
      </w:pPr>
      <w:r>
        <w:rPr>
          <w:rFonts w:hint="eastAsia" w:ascii="宋体" w:hAnsi="宋体" w:eastAsia="宋体" w:cs="Times New Roman"/>
          <w:color w:val="auto"/>
          <w:kern w:val="0"/>
          <w:sz w:val="24"/>
          <w:szCs w:val="21"/>
        </w:rPr>
        <w:t>（3）商务得分=（评标基准价/投标报价）*价格权值*100，评标基准价=通过技术评审入围的最低投标报价，价格权值=</w:t>
      </w:r>
      <w:r>
        <w:rPr>
          <w:rFonts w:hint="eastAsia" w:ascii="宋体" w:hAnsi="宋体" w:eastAsia="宋体" w:cs="Times New Roman"/>
          <w:color w:val="auto"/>
          <w:kern w:val="0"/>
          <w:sz w:val="24"/>
          <w:szCs w:val="21"/>
          <w:lang w:val="en-US" w:eastAsia="zh-CN"/>
        </w:rPr>
        <w:t>20</w:t>
      </w:r>
      <w:r>
        <w:rPr>
          <w:rFonts w:hint="eastAsia" w:ascii="宋体" w:hAnsi="宋体" w:eastAsia="宋体" w:cs="Times New Roman"/>
          <w:color w:val="auto"/>
          <w:kern w:val="0"/>
          <w:sz w:val="24"/>
          <w:szCs w:val="21"/>
        </w:rPr>
        <w:t>%；</w:t>
      </w:r>
    </w:p>
    <w:p>
      <w:pPr>
        <w:widowControl w:val="0"/>
        <w:autoSpaceDE/>
        <w:autoSpaceDN/>
        <w:adjustRightInd/>
        <w:snapToGrid w:val="0"/>
        <w:spacing w:afterLines="0" w:line="360" w:lineRule="auto"/>
        <w:ind w:firstLine="480" w:firstLineChars="200"/>
        <w:jc w:val="both"/>
        <w:rPr>
          <w:rFonts w:hint="eastAsia" w:ascii="宋体" w:hAnsi="宋体" w:eastAsia="宋体" w:cs="Times New Roman"/>
          <w:color w:val="auto"/>
          <w:kern w:val="0"/>
          <w:sz w:val="24"/>
          <w:szCs w:val="20"/>
          <w:lang w:val="en-US" w:eastAsia="zh-CN" w:bidi="ar-SA"/>
        </w:rPr>
      </w:pPr>
      <w:r>
        <w:rPr>
          <w:rFonts w:hint="eastAsia" w:ascii="宋体" w:hAnsi="宋体" w:eastAsia="宋体" w:cs="Times New Roman"/>
          <w:color w:val="auto"/>
          <w:kern w:val="0"/>
          <w:sz w:val="24"/>
          <w:szCs w:val="20"/>
          <w:lang w:val="en-US" w:eastAsia="zh-CN" w:bidi="ar-SA"/>
        </w:rPr>
        <w:t>（4）技术分评分细则（80分）</w:t>
      </w:r>
    </w:p>
    <w:tbl>
      <w:tblPr>
        <w:tblStyle w:val="10"/>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7"/>
        <w:gridCol w:w="535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1276" w:type="dxa"/>
            <w:vAlign w:val="center"/>
          </w:tcPr>
          <w:p>
            <w:pPr>
              <w:widowControl/>
              <w:spacing w:line="240" w:lineRule="auto"/>
              <w:ind w:firstLine="0" w:firstLineChars="0"/>
              <w:jc w:val="center"/>
              <w:rPr>
                <w:rFonts w:ascii="宋体" w:hAnsi="宋体" w:eastAsia="宋体" w:cs="Times New Roman"/>
                <w:b/>
                <w:bCs/>
                <w:color w:val="000000"/>
                <w:kern w:val="0"/>
                <w:sz w:val="22"/>
                <w:szCs w:val="22"/>
              </w:rPr>
            </w:pPr>
            <w:r>
              <w:rPr>
                <w:rFonts w:hint="eastAsia" w:ascii="宋体" w:hAnsi="宋体" w:eastAsia="宋体" w:cs="Times New Roman"/>
                <w:b/>
                <w:bCs/>
                <w:color w:val="000000"/>
                <w:kern w:val="0"/>
                <w:sz w:val="22"/>
                <w:szCs w:val="22"/>
              </w:rPr>
              <w:t>评分类型</w:t>
            </w:r>
          </w:p>
        </w:tc>
        <w:tc>
          <w:tcPr>
            <w:tcW w:w="1277" w:type="dxa"/>
            <w:shd w:val="clear" w:color="auto" w:fill="auto"/>
            <w:vAlign w:val="center"/>
          </w:tcPr>
          <w:p>
            <w:pPr>
              <w:widowControl/>
              <w:spacing w:line="240" w:lineRule="auto"/>
              <w:ind w:firstLine="0" w:firstLineChars="0"/>
              <w:jc w:val="center"/>
              <w:rPr>
                <w:rFonts w:ascii="Times New Roman" w:hAnsi="Times New Roman" w:eastAsia="等线" w:cs="Times New Roman"/>
                <w:b/>
                <w:bCs/>
                <w:color w:val="000000"/>
                <w:kern w:val="0"/>
                <w:sz w:val="22"/>
                <w:szCs w:val="22"/>
              </w:rPr>
            </w:pPr>
            <w:r>
              <w:rPr>
                <w:rFonts w:hint="eastAsia" w:ascii="宋体" w:hAnsi="宋体" w:eastAsia="宋体" w:cs="Times New Roman"/>
                <w:b/>
                <w:bCs/>
                <w:color w:val="000000"/>
                <w:kern w:val="0"/>
                <w:sz w:val="22"/>
                <w:szCs w:val="22"/>
              </w:rPr>
              <w:t>评审项目</w:t>
            </w:r>
          </w:p>
        </w:tc>
        <w:tc>
          <w:tcPr>
            <w:tcW w:w="5355" w:type="dxa"/>
            <w:shd w:val="clear" w:color="auto" w:fill="auto"/>
            <w:vAlign w:val="center"/>
          </w:tcPr>
          <w:p>
            <w:pPr>
              <w:widowControl/>
              <w:spacing w:line="240" w:lineRule="auto"/>
              <w:ind w:firstLine="0" w:firstLineChars="0"/>
              <w:jc w:val="center"/>
              <w:rPr>
                <w:rFonts w:ascii="Times New Roman" w:hAnsi="Times New Roman" w:eastAsia="等线" w:cs="Times New Roman"/>
                <w:b/>
                <w:bCs/>
                <w:color w:val="000000"/>
                <w:kern w:val="0"/>
                <w:sz w:val="22"/>
                <w:szCs w:val="22"/>
              </w:rPr>
            </w:pPr>
            <w:r>
              <w:rPr>
                <w:rFonts w:hint="eastAsia" w:ascii="宋体" w:hAnsi="宋体" w:eastAsia="宋体" w:cs="Times New Roman"/>
                <w:b/>
                <w:bCs/>
                <w:color w:val="000000"/>
                <w:kern w:val="0"/>
                <w:sz w:val="22"/>
                <w:szCs w:val="22"/>
              </w:rPr>
              <w:t>评分项目内容</w:t>
            </w:r>
          </w:p>
        </w:tc>
        <w:tc>
          <w:tcPr>
            <w:tcW w:w="881" w:type="dxa"/>
            <w:shd w:val="clear" w:color="auto" w:fill="auto"/>
            <w:vAlign w:val="center"/>
          </w:tcPr>
          <w:p>
            <w:pPr>
              <w:widowControl/>
              <w:spacing w:line="240" w:lineRule="auto"/>
              <w:ind w:firstLine="0" w:firstLineChars="0"/>
              <w:jc w:val="center"/>
              <w:rPr>
                <w:rFonts w:ascii="Times New Roman" w:hAnsi="Times New Roman" w:eastAsia="等线" w:cs="Times New Roman"/>
                <w:b/>
                <w:bCs/>
                <w:color w:val="000000"/>
                <w:kern w:val="0"/>
                <w:sz w:val="22"/>
                <w:szCs w:val="22"/>
              </w:rPr>
            </w:pPr>
            <w:r>
              <w:rPr>
                <w:rFonts w:hint="eastAsia" w:ascii="宋体" w:hAnsi="宋体" w:eastAsia="宋体" w:cs="Times New Roman"/>
                <w:b/>
                <w:bCs/>
                <w:color w:val="000000"/>
                <w:kern w:val="0"/>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76" w:type="dxa"/>
            <w:vMerge w:val="restart"/>
            <w:vAlign w:val="center"/>
          </w:tcPr>
          <w:p>
            <w:pPr>
              <w:widowControl/>
              <w:spacing w:line="240" w:lineRule="auto"/>
              <w:ind w:firstLine="0" w:firstLineChars="0"/>
              <w:jc w:val="center"/>
              <w:rPr>
                <w:rFonts w:ascii="宋体" w:hAnsi="宋体" w:eastAsia="宋体" w:cs="Times New Roman"/>
                <w:kern w:val="0"/>
                <w:sz w:val="22"/>
                <w:szCs w:val="22"/>
              </w:rPr>
            </w:pPr>
            <w:r>
              <w:rPr>
                <w:rFonts w:ascii="宋体" w:hAnsi="宋体" w:eastAsia="宋体" w:cs="Times New Roman"/>
                <w:kern w:val="0"/>
                <w:sz w:val="22"/>
                <w:szCs w:val="22"/>
              </w:rPr>
              <w:t>资信部分</w:t>
            </w: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kern w:val="0"/>
                <w:sz w:val="22"/>
                <w:szCs w:val="22"/>
              </w:rPr>
            </w:pPr>
            <w:r>
              <w:rPr>
                <w:rFonts w:hint="eastAsia" w:ascii="宋体" w:hAnsi="宋体" w:eastAsia="宋体" w:cs="Times New Roman"/>
                <w:kern w:val="0"/>
                <w:sz w:val="22"/>
                <w:szCs w:val="22"/>
              </w:rPr>
              <w:t>企业资信</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kern w:val="0"/>
                <w:sz w:val="22"/>
                <w:szCs w:val="22"/>
              </w:rPr>
            </w:pPr>
            <w:r>
              <w:rPr>
                <w:rFonts w:hint="eastAsia" w:ascii="宋体" w:hAnsi="宋体" w:eastAsia="宋体" w:cs="Times New Roman"/>
                <w:kern w:val="0"/>
                <w:sz w:val="22"/>
                <w:szCs w:val="22"/>
                <w:lang w:val="en-US" w:eastAsia="zh-CN"/>
              </w:rPr>
              <w:t>1、</w:t>
            </w:r>
            <w:r>
              <w:rPr>
                <w:rFonts w:hint="eastAsia" w:ascii="宋体" w:hAnsi="宋体" w:eastAsia="宋体" w:cs="Times New Roman"/>
                <w:kern w:val="0"/>
                <w:sz w:val="22"/>
                <w:szCs w:val="22"/>
              </w:rPr>
              <w:t>投标供应商具有工程咨询资信甲级资质（水利水电专业）的得</w:t>
            </w:r>
            <w:r>
              <w:rPr>
                <w:rFonts w:hint="eastAsia" w:ascii="Times New Roman" w:hAnsi="Times New Roman" w:eastAsia="等线" w:cs="Times New Roman"/>
                <w:kern w:val="0"/>
                <w:sz w:val="22"/>
                <w:szCs w:val="22"/>
                <w:lang w:val="en-US" w:eastAsia="zh-CN"/>
              </w:rPr>
              <w:t>2</w:t>
            </w:r>
            <w:r>
              <w:rPr>
                <w:rFonts w:hint="eastAsia" w:ascii="宋体" w:hAnsi="宋体" w:eastAsia="宋体" w:cs="Times New Roman"/>
                <w:kern w:val="0"/>
                <w:sz w:val="22"/>
                <w:szCs w:val="22"/>
              </w:rPr>
              <w:t>分，乙级得</w:t>
            </w:r>
            <w:r>
              <w:rPr>
                <w:rFonts w:ascii="Times New Roman" w:hAnsi="Times New Roman" w:eastAsia="等线" w:cs="Times New Roman"/>
                <w:kern w:val="0"/>
                <w:sz w:val="22"/>
                <w:szCs w:val="22"/>
              </w:rPr>
              <w:t>1</w:t>
            </w:r>
            <w:r>
              <w:rPr>
                <w:rFonts w:hint="eastAsia" w:ascii="宋体" w:hAnsi="宋体" w:eastAsia="宋体" w:cs="Times New Roman"/>
                <w:kern w:val="0"/>
                <w:sz w:val="22"/>
                <w:szCs w:val="22"/>
              </w:rPr>
              <w:t>分。</w:t>
            </w:r>
          </w:p>
          <w:p>
            <w:pPr>
              <w:widowControl/>
              <w:spacing w:line="240" w:lineRule="auto"/>
              <w:ind w:firstLine="0" w:firstLineChars="0"/>
              <w:jc w:val="left"/>
              <w:rPr>
                <w:rFonts w:hint="eastAsia" w:ascii="宋体" w:hAnsi="宋体" w:eastAsia="宋体" w:cs="Times New Roman"/>
                <w:kern w:val="0"/>
                <w:sz w:val="22"/>
                <w:szCs w:val="22"/>
              </w:rPr>
            </w:pPr>
            <w:r>
              <w:rPr>
                <w:rFonts w:hint="eastAsia" w:ascii="宋体" w:hAnsi="宋体" w:eastAsia="宋体" w:cs="Times New Roman"/>
                <w:kern w:val="0"/>
                <w:sz w:val="22"/>
                <w:szCs w:val="22"/>
                <w:lang w:val="en-US" w:eastAsia="zh-CN"/>
              </w:rPr>
              <w:t>2、</w:t>
            </w:r>
            <w:r>
              <w:rPr>
                <w:rFonts w:hint="eastAsia" w:ascii="宋体" w:hAnsi="宋体" w:eastAsia="宋体" w:cs="Times New Roman"/>
                <w:kern w:val="0"/>
                <w:sz w:val="22"/>
                <w:szCs w:val="22"/>
              </w:rPr>
              <w:t>具有水文、水资源调查评价甲级资质的得</w:t>
            </w:r>
            <w:r>
              <w:rPr>
                <w:rFonts w:ascii="Times New Roman" w:hAnsi="Times New Roman" w:eastAsia="等线" w:cs="Times New Roman"/>
                <w:kern w:val="0"/>
                <w:sz w:val="22"/>
                <w:szCs w:val="22"/>
              </w:rPr>
              <w:t>2</w:t>
            </w:r>
            <w:r>
              <w:rPr>
                <w:rFonts w:hint="eastAsia" w:ascii="宋体" w:hAnsi="宋体" w:eastAsia="宋体" w:cs="Times New Roman"/>
                <w:kern w:val="0"/>
                <w:sz w:val="22"/>
                <w:szCs w:val="22"/>
              </w:rPr>
              <w:t>分，乙级资质的得</w:t>
            </w:r>
            <w:r>
              <w:rPr>
                <w:rFonts w:ascii="Times New Roman" w:hAnsi="Times New Roman" w:eastAsia="等线" w:cs="Times New Roman"/>
                <w:kern w:val="0"/>
                <w:sz w:val="22"/>
                <w:szCs w:val="22"/>
              </w:rPr>
              <w:t>1</w:t>
            </w:r>
            <w:r>
              <w:rPr>
                <w:rFonts w:hint="eastAsia" w:ascii="宋体" w:hAnsi="宋体" w:eastAsia="宋体" w:cs="Times New Roman"/>
                <w:kern w:val="0"/>
                <w:sz w:val="22"/>
                <w:szCs w:val="22"/>
              </w:rPr>
              <w:t>分。</w:t>
            </w:r>
          </w:p>
          <w:p>
            <w:pPr>
              <w:widowControl/>
              <w:spacing w:line="240" w:lineRule="auto"/>
              <w:ind w:firstLine="0" w:firstLineChars="0"/>
              <w:jc w:val="left"/>
              <w:rPr>
                <w:rFonts w:hint="eastAsia" w:ascii="Times New Roman" w:hAnsi="Times New Roman" w:eastAsia="宋体" w:cs="Times New Roman"/>
                <w:kern w:val="0"/>
                <w:sz w:val="22"/>
                <w:szCs w:val="22"/>
                <w:lang w:eastAsia="zh-CN"/>
              </w:rPr>
            </w:pPr>
            <w:r>
              <w:rPr>
                <w:rFonts w:hint="eastAsia" w:ascii="宋体" w:hAnsi="宋体" w:eastAsia="宋体" w:cs="Times New Roman"/>
                <w:kern w:val="0"/>
                <w:sz w:val="22"/>
                <w:szCs w:val="22"/>
                <w:lang w:eastAsia="zh-CN"/>
              </w:rPr>
              <w:t>（投标时需提供相关证书复印件加盖</w:t>
            </w:r>
            <w:r>
              <w:rPr>
                <w:rFonts w:hint="eastAsia" w:ascii="宋体" w:hAnsi="宋体" w:eastAsia="宋体" w:cs="Times New Roman"/>
                <w:kern w:val="0"/>
                <w:sz w:val="22"/>
                <w:szCs w:val="22"/>
                <w:lang w:val="en-US" w:eastAsia="zh-CN"/>
              </w:rPr>
              <w:t>CA签章，不提供则不得分</w:t>
            </w:r>
            <w:r>
              <w:rPr>
                <w:rFonts w:hint="eastAsia" w:ascii="宋体" w:hAnsi="宋体" w:eastAsia="宋体" w:cs="Times New Roman"/>
                <w:kern w:val="0"/>
                <w:sz w:val="22"/>
                <w:szCs w:val="22"/>
                <w:lang w:eastAsia="zh-CN"/>
              </w:rPr>
              <w:t>）</w:t>
            </w:r>
          </w:p>
        </w:tc>
        <w:tc>
          <w:tcPr>
            <w:tcW w:w="881" w:type="dxa"/>
            <w:shd w:val="clear" w:color="auto" w:fill="auto"/>
            <w:vAlign w:val="center"/>
          </w:tcPr>
          <w:p>
            <w:pPr>
              <w:widowControl/>
              <w:spacing w:line="240" w:lineRule="auto"/>
              <w:ind w:firstLine="0" w:firstLineChars="0"/>
              <w:jc w:val="center"/>
              <w:rPr>
                <w:rFonts w:hint="eastAsia" w:ascii="Times New Roman" w:hAnsi="Times New Roman" w:eastAsia="等线" w:cs="Times New Roman"/>
                <w:color w:val="000000"/>
                <w:kern w:val="0"/>
                <w:sz w:val="22"/>
                <w:szCs w:val="22"/>
                <w:lang w:eastAsia="zh-CN"/>
              </w:rPr>
            </w:pPr>
            <w:r>
              <w:rPr>
                <w:rFonts w:hint="eastAsia" w:ascii="Times New Roman" w:hAnsi="Times New Roman" w:eastAsia="等线" w:cs="Times New Roman"/>
                <w:color w:val="000000"/>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企业综合信用等级</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rPr>
            </w:pPr>
            <w:r>
              <w:rPr>
                <w:rFonts w:hint="eastAsia" w:ascii="宋体" w:hAnsi="宋体" w:eastAsia="宋体" w:cs="Times New Roman"/>
                <w:color w:val="000000"/>
                <w:kern w:val="0"/>
                <w:sz w:val="22"/>
                <w:szCs w:val="22"/>
              </w:rPr>
              <w:t>投标人具有</w:t>
            </w:r>
            <w:r>
              <w:rPr>
                <w:rFonts w:hint="eastAsia" w:ascii="宋体" w:hAnsi="宋体" w:eastAsia="宋体" w:cs="Times New Roman"/>
                <w:color w:val="000000"/>
                <w:kern w:val="0"/>
                <w:sz w:val="22"/>
                <w:szCs w:val="22"/>
                <w:lang w:eastAsia="zh-CN"/>
              </w:rPr>
              <w:t>有效期内的</w:t>
            </w:r>
            <w:r>
              <w:rPr>
                <w:rFonts w:hint="eastAsia" w:ascii="宋体" w:hAnsi="宋体" w:eastAsia="宋体" w:cs="Times New Roman"/>
                <w:color w:val="000000"/>
                <w:kern w:val="0"/>
                <w:sz w:val="22"/>
                <w:szCs w:val="22"/>
              </w:rPr>
              <w:t>质量管理体系认证证书、环境管理体系认证证书、职业健康安全管理体系认证证书</w:t>
            </w:r>
            <w:r>
              <w:rPr>
                <w:rFonts w:hint="eastAsia" w:ascii="宋体" w:hAnsi="宋体" w:eastAsia="宋体" w:cs="Times New Roman"/>
                <w:color w:val="000000"/>
                <w:kern w:val="0"/>
                <w:sz w:val="22"/>
                <w:szCs w:val="22"/>
                <w:lang w:eastAsia="zh-CN"/>
              </w:rPr>
              <w:t>的</w:t>
            </w:r>
            <w:r>
              <w:rPr>
                <w:rFonts w:hint="eastAsia" w:ascii="宋体" w:hAnsi="宋体" w:eastAsia="宋体" w:cs="Times New Roman"/>
                <w:color w:val="000000"/>
                <w:kern w:val="0"/>
                <w:sz w:val="22"/>
                <w:szCs w:val="22"/>
              </w:rPr>
              <w:t>，每个1分，最高得3分。</w:t>
            </w:r>
          </w:p>
          <w:p>
            <w:pPr>
              <w:widowControl/>
              <w:spacing w:line="240" w:lineRule="auto"/>
              <w:ind w:firstLine="0" w:firstLineChars="0"/>
              <w:jc w:val="left"/>
              <w:rPr>
                <w:rFonts w:hint="eastAsia" w:ascii="宋体" w:hAnsi="宋体" w:eastAsia="宋体" w:cs="Times New Roman"/>
                <w:color w:val="000000"/>
                <w:kern w:val="0"/>
                <w:sz w:val="22"/>
                <w:szCs w:val="22"/>
              </w:rPr>
            </w:pPr>
            <w:r>
              <w:rPr>
                <w:rFonts w:hint="eastAsia" w:ascii="宋体" w:hAnsi="宋体" w:eastAsia="宋体" w:cs="Times New Roman"/>
                <w:color w:val="000000"/>
                <w:kern w:val="0"/>
                <w:sz w:val="22"/>
                <w:szCs w:val="22"/>
              </w:rPr>
              <w:t>（投标时需提供相关证书复印件加盖CA签章，不提供不得分）</w:t>
            </w:r>
          </w:p>
        </w:tc>
        <w:tc>
          <w:tcPr>
            <w:tcW w:w="881" w:type="dxa"/>
            <w:shd w:val="clear" w:color="auto" w:fill="auto"/>
            <w:vAlign w:val="center"/>
          </w:tcPr>
          <w:p>
            <w:pPr>
              <w:widowControl/>
              <w:spacing w:line="240" w:lineRule="auto"/>
              <w:ind w:firstLine="0" w:firstLineChars="0"/>
              <w:jc w:val="center"/>
              <w:rPr>
                <w:rFonts w:hint="eastAsia" w:ascii="Times New Roman" w:hAnsi="Times New Roman" w:eastAsia="等线" w:cs="Times New Roman"/>
                <w:color w:val="000000"/>
                <w:kern w:val="0"/>
                <w:sz w:val="22"/>
                <w:szCs w:val="22"/>
                <w:lang w:eastAsia="zh-CN"/>
              </w:rPr>
            </w:pPr>
            <w:r>
              <w:rPr>
                <w:rFonts w:hint="eastAsia" w:ascii="Times New Roman" w:hAnsi="Times New Roman" w:eastAsia="等线" w:cs="Times New Roman"/>
                <w:color w:val="000000"/>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企业荣誉</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eastAsia="zh-CN"/>
              </w:rPr>
              <w:t>投标人自</w:t>
            </w:r>
            <w:r>
              <w:rPr>
                <w:rFonts w:hint="eastAsia" w:ascii="宋体" w:hAnsi="宋体" w:eastAsia="宋体" w:cs="Times New Roman"/>
                <w:color w:val="000000"/>
                <w:kern w:val="0"/>
                <w:sz w:val="22"/>
                <w:szCs w:val="22"/>
                <w:lang w:val="en-US" w:eastAsia="zh-CN"/>
              </w:rPr>
              <w:t>2017年1月1日以来获得过水利类省级及以上奖项的得2分，县市级奖项的得1分，本项最高得8分。</w:t>
            </w:r>
          </w:p>
          <w:p>
            <w:pPr>
              <w:widowControl/>
              <w:spacing w:line="240" w:lineRule="auto"/>
              <w:ind w:firstLine="0" w:firstLineChars="0"/>
              <w:jc w:val="left"/>
              <w:rPr>
                <w:rFonts w:hint="default"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rPr>
              <w:t>（投标时提供证书复印件加盖CA签章，不提供不得分）</w:t>
            </w:r>
          </w:p>
        </w:tc>
        <w:tc>
          <w:tcPr>
            <w:tcW w:w="881" w:type="dxa"/>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企业类似项目业绩</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rPr>
              <w:t>投</w:t>
            </w:r>
            <w:r>
              <w:rPr>
                <w:rFonts w:hint="eastAsia" w:ascii="宋体" w:hAnsi="宋体" w:eastAsia="宋体" w:cs="Times New Roman"/>
                <w:color w:val="000000"/>
                <w:kern w:val="0"/>
                <w:sz w:val="22"/>
                <w:szCs w:val="22"/>
              </w:rPr>
              <w:t>标人自2017年1月1日以来，曾实施过</w:t>
            </w:r>
            <w:r>
              <w:rPr>
                <w:rFonts w:hint="eastAsia" w:ascii="宋体" w:hAnsi="宋体" w:eastAsia="宋体" w:cs="Times New Roman"/>
                <w:color w:val="000000"/>
                <w:kern w:val="0"/>
                <w:sz w:val="22"/>
                <w:szCs w:val="22"/>
                <w:lang w:eastAsia="zh-CN"/>
              </w:rPr>
              <w:t>类似项目的，省级及以上项目的每个得</w:t>
            </w:r>
            <w:r>
              <w:rPr>
                <w:rFonts w:hint="eastAsia" w:ascii="宋体" w:hAnsi="宋体" w:eastAsia="宋体" w:cs="Times New Roman"/>
                <w:color w:val="000000"/>
                <w:kern w:val="0"/>
                <w:sz w:val="22"/>
                <w:szCs w:val="22"/>
                <w:lang w:val="en-US" w:eastAsia="zh-CN"/>
              </w:rPr>
              <w:t>2分，县市级项目的每个得1分，本项最高得10分。</w:t>
            </w:r>
          </w:p>
          <w:p>
            <w:pPr>
              <w:widowControl/>
              <w:spacing w:line="240" w:lineRule="auto"/>
              <w:ind w:firstLine="0" w:firstLineChars="0"/>
              <w:jc w:val="left"/>
              <w:rPr>
                <w:rFonts w:hint="default"/>
                <w:lang w:val="en-US" w:eastAsia="zh-CN"/>
              </w:rPr>
            </w:pPr>
            <w:r>
              <w:rPr>
                <w:rFonts w:hint="eastAsia" w:ascii="宋体" w:hAnsi="宋体" w:eastAsia="宋体" w:cs="Times New Roman"/>
                <w:color w:val="000000"/>
                <w:kern w:val="0"/>
                <w:sz w:val="22"/>
                <w:szCs w:val="22"/>
                <w:lang w:val="en-US" w:eastAsia="zh-CN"/>
              </w:rPr>
              <w:t>（投标时需提供合同复印件加盖CA签章，不提供则不得分）</w:t>
            </w:r>
          </w:p>
        </w:tc>
        <w:tc>
          <w:tcPr>
            <w:tcW w:w="881" w:type="dxa"/>
            <w:shd w:val="clear" w:color="auto" w:fill="auto"/>
            <w:vAlign w:val="center"/>
          </w:tcPr>
          <w:p>
            <w:pPr>
              <w:widowControl/>
              <w:spacing w:line="240" w:lineRule="auto"/>
              <w:ind w:firstLine="0" w:firstLineChars="0"/>
              <w:jc w:val="center"/>
              <w:rPr>
                <w:rFonts w:hint="default" w:ascii="Times New Roman" w:hAnsi="Times New Roman" w:eastAsia="等线" w:cs="Times New Roman"/>
                <w:color w:val="000000"/>
                <w:kern w:val="0"/>
                <w:sz w:val="22"/>
                <w:szCs w:val="22"/>
                <w:lang w:val="en-US" w:eastAsia="zh-CN"/>
              </w:rPr>
            </w:pPr>
            <w:r>
              <w:rPr>
                <w:rFonts w:hint="eastAsia" w:ascii="Times New Roman" w:hAnsi="Times New Roman" w:eastAsia="等线" w:cs="Times New Roman"/>
                <w:color w:val="000000"/>
                <w:kern w:val="0"/>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276" w:type="dxa"/>
            <w:vMerge w:val="restart"/>
            <w:vAlign w:val="center"/>
          </w:tcPr>
          <w:p>
            <w:pPr>
              <w:spacing w:line="240" w:lineRule="auto"/>
              <w:ind w:firstLine="0" w:firstLineChars="0"/>
              <w:jc w:val="center"/>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技术部分</w:t>
            </w:r>
          </w:p>
        </w:tc>
        <w:tc>
          <w:tcPr>
            <w:tcW w:w="1277" w:type="dxa"/>
            <w:vMerge w:val="restart"/>
            <w:shd w:val="clear" w:color="auto" w:fill="auto"/>
            <w:vAlign w:val="center"/>
          </w:tcPr>
          <w:p>
            <w:pPr>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拟投入人员实力</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rPr>
            </w:pPr>
            <w:r>
              <w:rPr>
                <w:rFonts w:hint="eastAsia" w:ascii="宋体" w:hAnsi="宋体" w:eastAsia="宋体" w:cs="Times New Roman"/>
                <w:color w:val="000000"/>
                <w:kern w:val="0"/>
                <w:sz w:val="22"/>
                <w:szCs w:val="22"/>
                <w:lang w:val="en-US" w:eastAsia="zh-CN"/>
              </w:rPr>
              <w:t>1、</w:t>
            </w:r>
            <w:r>
              <w:rPr>
                <w:rFonts w:hint="eastAsia" w:ascii="宋体" w:hAnsi="宋体" w:eastAsia="宋体" w:cs="Times New Roman"/>
                <w:color w:val="000000"/>
                <w:kern w:val="0"/>
                <w:sz w:val="22"/>
                <w:szCs w:val="22"/>
              </w:rPr>
              <w:t>项目负责人</w:t>
            </w:r>
            <w:r>
              <w:rPr>
                <w:rFonts w:hint="eastAsia" w:ascii="宋体" w:hAnsi="宋体" w:eastAsia="宋体" w:cs="Times New Roman"/>
                <w:color w:val="000000"/>
                <w:kern w:val="0"/>
                <w:sz w:val="22"/>
                <w:szCs w:val="22"/>
                <w:lang w:eastAsia="zh-CN"/>
              </w:rPr>
              <w:t>为</w:t>
            </w:r>
            <w:r>
              <w:rPr>
                <w:rFonts w:hint="eastAsia" w:ascii="宋体" w:hAnsi="宋体" w:eastAsia="宋体" w:cs="Times New Roman"/>
                <w:color w:val="000000"/>
                <w:kern w:val="0"/>
                <w:sz w:val="22"/>
                <w:szCs w:val="22"/>
              </w:rPr>
              <w:t>水利类正高级职称的得</w:t>
            </w:r>
            <w:r>
              <w:rPr>
                <w:rFonts w:hint="eastAsia" w:ascii="宋体" w:hAnsi="宋体" w:eastAsia="宋体" w:cs="Times New Roman"/>
                <w:color w:val="000000"/>
                <w:kern w:val="0"/>
                <w:sz w:val="22"/>
                <w:szCs w:val="22"/>
                <w:lang w:val="en-US" w:eastAsia="zh-CN"/>
              </w:rPr>
              <w:t>3</w:t>
            </w:r>
            <w:r>
              <w:rPr>
                <w:rFonts w:hint="eastAsia" w:ascii="宋体" w:hAnsi="宋体" w:eastAsia="宋体" w:cs="Times New Roman"/>
                <w:color w:val="000000"/>
                <w:kern w:val="0"/>
                <w:sz w:val="22"/>
                <w:szCs w:val="22"/>
              </w:rPr>
              <w:t>分，</w:t>
            </w:r>
            <w:r>
              <w:rPr>
                <w:rFonts w:hint="eastAsia" w:ascii="宋体" w:hAnsi="宋体" w:eastAsia="宋体" w:cs="Times New Roman"/>
                <w:color w:val="000000"/>
                <w:kern w:val="0"/>
                <w:sz w:val="22"/>
                <w:szCs w:val="22"/>
                <w:lang w:eastAsia="zh-CN"/>
              </w:rPr>
              <w:t>副</w:t>
            </w:r>
            <w:r>
              <w:rPr>
                <w:rFonts w:hint="eastAsia" w:ascii="宋体" w:hAnsi="宋体" w:eastAsia="宋体" w:cs="Times New Roman"/>
                <w:color w:val="000000"/>
                <w:kern w:val="0"/>
                <w:sz w:val="22"/>
                <w:szCs w:val="22"/>
              </w:rPr>
              <w:t>高级职称的得</w:t>
            </w:r>
            <w:r>
              <w:rPr>
                <w:rFonts w:hint="eastAsia" w:ascii="宋体" w:hAnsi="宋体" w:eastAsia="宋体" w:cs="Times New Roman"/>
                <w:color w:val="000000"/>
                <w:kern w:val="0"/>
                <w:sz w:val="22"/>
                <w:szCs w:val="22"/>
                <w:lang w:val="en-US" w:eastAsia="zh-CN"/>
              </w:rPr>
              <w:t>2</w:t>
            </w:r>
            <w:r>
              <w:rPr>
                <w:rFonts w:hint="eastAsia" w:ascii="宋体" w:hAnsi="宋体" w:eastAsia="宋体" w:cs="Times New Roman"/>
                <w:color w:val="000000"/>
                <w:kern w:val="0"/>
                <w:sz w:val="22"/>
                <w:szCs w:val="22"/>
              </w:rPr>
              <w:t>分，</w:t>
            </w:r>
            <w:r>
              <w:rPr>
                <w:rFonts w:hint="eastAsia" w:ascii="宋体" w:hAnsi="宋体" w:eastAsia="宋体" w:cs="Times New Roman"/>
                <w:color w:val="000000"/>
                <w:kern w:val="0"/>
                <w:sz w:val="22"/>
                <w:szCs w:val="22"/>
                <w:lang w:eastAsia="zh-CN"/>
              </w:rPr>
              <w:t>中级职称的得</w:t>
            </w:r>
            <w:r>
              <w:rPr>
                <w:rFonts w:hint="eastAsia" w:ascii="宋体" w:hAnsi="宋体" w:eastAsia="宋体" w:cs="Times New Roman"/>
                <w:color w:val="000000"/>
                <w:kern w:val="0"/>
                <w:sz w:val="22"/>
                <w:szCs w:val="22"/>
                <w:lang w:val="en-US" w:eastAsia="zh-CN"/>
              </w:rPr>
              <w:t>1分</w:t>
            </w:r>
            <w:r>
              <w:rPr>
                <w:rFonts w:hint="eastAsia" w:ascii="宋体" w:hAnsi="宋体" w:eastAsia="宋体" w:cs="Times New Roman"/>
                <w:color w:val="000000"/>
                <w:kern w:val="0"/>
                <w:sz w:val="22"/>
                <w:szCs w:val="22"/>
              </w:rPr>
              <w:t>；</w:t>
            </w:r>
          </w:p>
          <w:p>
            <w:pPr>
              <w:widowControl/>
              <w:spacing w:line="240" w:lineRule="auto"/>
              <w:ind w:firstLine="0" w:firstLineChars="0"/>
              <w:jc w:val="left"/>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lang w:val="en-US" w:eastAsia="zh-CN"/>
              </w:rPr>
              <w:t>2、</w:t>
            </w:r>
            <w:r>
              <w:rPr>
                <w:rFonts w:hint="eastAsia" w:ascii="宋体" w:hAnsi="宋体" w:eastAsia="宋体" w:cs="Times New Roman"/>
                <w:color w:val="000000"/>
                <w:kern w:val="0"/>
                <w:sz w:val="22"/>
                <w:szCs w:val="22"/>
              </w:rPr>
              <w:t>具有注册咨询工程师资格证书得2分，最高得2分；</w:t>
            </w:r>
            <w:r>
              <w:rPr>
                <w:rFonts w:hint="eastAsia" w:ascii="宋体" w:hAnsi="宋体" w:eastAsia="宋体" w:cs="Times New Roman"/>
                <w:color w:val="000000"/>
                <w:kern w:val="0"/>
                <w:sz w:val="22"/>
                <w:szCs w:val="22"/>
                <w:lang w:val="en-US" w:eastAsia="zh-CN"/>
              </w:rPr>
              <w:t>3、</w:t>
            </w:r>
            <w:r>
              <w:rPr>
                <w:rFonts w:hint="eastAsia" w:ascii="宋体" w:hAnsi="宋体" w:eastAsia="宋体" w:cs="Times New Roman"/>
                <w:color w:val="000000"/>
                <w:kern w:val="0"/>
                <w:sz w:val="22"/>
                <w:szCs w:val="22"/>
              </w:rPr>
              <w:t>具有注册土木工程师（水利水电）资格证书得2分。</w:t>
            </w:r>
          </w:p>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（投标时需提供相关证书复印件及投标人为其缴纳的社保材料复印件加盖CA签章，不提供不得分）</w:t>
            </w:r>
          </w:p>
        </w:tc>
        <w:tc>
          <w:tcPr>
            <w:tcW w:w="881" w:type="dxa"/>
            <w:shd w:val="clear" w:color="auto" w:fill="auto"/>
            <w:vAlign w:val="center"/>
          </w:tcPr>
          <w:p>
            <w:pPr>
              <w:widowControl/>
              <w:spacing w:line="240" w:lineRule="auto"/>
              <w:ind w:firstLine="0" w:firstLineChars="0"/>
              <w:jc w:val="center"/>
              <w:rPr>
                <w:rFonts w:hint="eastAsia" w:ascii="Times New Roman" w:hAnsi="Times New Roman" w:eastAsia="等线" w:cs="Times New Roman"/>
                <w:color w:val="000000"/>
                <w:kern w:val="0"/>
                <w:sz w:val="22"/>
                <w:szCs w:val="22"/>
                <w:lang w:eastAsia="zh-CN"/>
              </w:rPr>
            </w:pPr>
            <w:r>
              <w:rPr>
                <w:rFonts w:hint="eastAsia" w:ascii="Times New Roman" w:hAnsi="Times New Roman" w:eastAsia="等线" w:cs="Times New Roman"/>
                <w:color w:val="000000"/>
                <w:kern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vMerge w:val="continue"/>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rPr>
            </w:pPr>
            <w:r>
              <w:rPr>
                <w:rFonts w:hint="eastAsia" w:ascii="宋体" w:hAnsi="宋体" w:eastAsia="宋体" w:cs="Times New Roman"/>
                <w:color w:val="000000"/>
                <w:kern w:val="0"/>
                <w:sz w:val="22"/>
                <w:szCs w:val="22"/>
              </w:rPr>
              <w:t>项目组成员人员配备合理，专业齐全。</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1、</w:t>
            </w:r>
            <w:r>
              <w:rPr>
                <w:rFonts w:hint="eastAsia" w:ascii="宋体" w:hAnsi="宋体" w:eastAsia="宋体" w:cs="Times New Roman"/>
                <w:color w:val="000000"/>
                <w:kern w:val="0"/>
                <w:sz w:val="22"/>
                <w:szCs w:val="22"/>
                <w:lang w:eastAsia="zh-CN"/>
              </w:rPr>
              <w:t>投标人拟派人员中包含</w:t>
            </w:r>
            <w:r>
              <w:rPr>
                <w:rFonts w:hint="eastAsia" w:ascii="宋体" w:hAnsi="宋体" w:eastAsia="宋体" w:cs="Times New Roman"/>
                <w:color w:val="000000"/>
                <w:kern w:val="0"/>
                <w:sz w:val="22"/>
                <w:szCs w:val="22"/>
              </w:rPr>
              <w:t>水利工程专业</w:t>
            </w:r>
            <w:r>
              <w:rPr>
                <w:rFonts w:hint="eastAsia" w:ascii="宋体" w:hAnsi="宋体" w:eastAsia="宋体" w:cs="Times New Roman"/>
                <w:color w:val="000000"/>
                <w:kern w:val="0"/>
                <w:sz w:val="22"/>
                <w:szCs w:val="22"/>
                <w:lang w:eastAsia="zh-CN"/>
              </w:rPr>
              <w:t>的得</w:t>
            </w:r>
            <w:r>
              <w:rPr>
                <w:rFonts w:hint="eastAsia" w:ascii="宋体" w:hAnsi="宋体" w:eastAsia="宋体" w:cs="Times New Roman"/>
                <w:color w:val="000000"/>
                <w:kern w:val="0"/>
                <w:sz w:val="22"/>
                <w:szCs w:val="22"/>
                <w:lang w:val="en-US" w:eastAsia="zh-CN"/>
              </w:rPr>
              <w:t>1分；此外，具有此专业中级职称的得0.5分，具有此专业</w:t>
            </w:r>
            <w:r>
              <w:rPr>
                <w:rFonts w:hint="eastAsia" w:ascii="宋体" w:hAnsi="宋体" w:eastAsia="宋体" w:cs="Times New Roman"/>
                <w:color w:val="000000"/>
                <w:kern w:val="0"/>
                <w:sz w:val="22"/>
                <w:szCs w:val="22"/>
                <w:lang w:eastAsia="zh-CN"/>
              </w:rPr>
              <w:t>副</w:t>
            </w:r>
            <w:r>
              <w:rPr>
                <w:rFonts w:hint="eastAsia" w:ascii="宋体" w:hAnsi="宋体" w:eastAsia="宋体" w:cs="Times New Roman"/>
                <w:color w:val="000000"/>
                <w:kern w:val="0"/>
                <w:sz w:val="22"/>
                <w:szCs w:val="22"/>
                <w:lang w:val="en-US" w:eastAsia="zh-CN"/>
              </w:rPr>
              <w:t>高级职称的得1.5分，具有此专业正高级职称的得2分。本条最高得3分。</w:t>
            </w:r>
          </w:p>
          <w:p>
            <w:pPr>
              <w:widowControl/>
              <w:spacing w:line="240" w:lineRule="auto"/>
              <w:ind w:firstLine="0" w:firstLineChars="0"/>
              <w:jc w:val="left"/>
              <w:rPr>
                <w:rFonts w:hint="default"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2、</w:t>
            </w:r>
            <w:r>
              <w:rPr>
                <w:rFonts w:hint="eastAsia" w:ascii="宋体" w:hAnsi="宋体" w:eastAsia="宋体" w:cs="Times New Roman"/>
                <w:color w:val="000000"/>
                <w:kern w:val="0"/>
                <w:sz w:val="22"/>
                <w:szCs w:val="22"/>
                <w:lang w:eastAsia="zh-CN"/>
              </w:rPr>
              <w:t>投标人拟派人员中包含</w:t>
            </w:r>
            <w:r>
              <w:rPr>
                <w:rFonts w:hint="eastAsia" w:ascii="宋体" w:hAnsi="宋体" w:eastAsia="宋体" w:cs="Times New Roman"/>
                <w:color w:val="000000"/>
                <w:kern w:val="0"/>
                <w:sz w:val="22"/>
                <w:szCs w:val="22"/>
              </w:rPr>
              <w:t>水文水资源专业</w:t>
            </w:r>
            <w:r>
              <w:rPr>
                <w:rFonts w:hint="eastAsia" w:ascii="宋体" w:hAnsi="宋体" w:eastAsia="宋体" w:cs="Times New Roman"/>
                <w:color w:val="000000"/>
                <w:kern w:val="0"/>
                <w:sz w:val="22"/>
                <w:szCs w:val="22"/>
                <w:lang w:eastAsia="zh-CN"/>
              </w:rPr>
              <w:t>的得</w:t>
            </w:r>
            <w:r>
              <w:rPr>
                <w:rFonts w:hint="eastAsia" w:ascii="宋体" w:hAnsi="宋体" w:eastAsia="宋体" w:cs="Times New Roman"/>
                <w:color w:val="000000"/>
                <w:kern w:val="0"/>
                <w:sz w:val="22"/>
                <w:szCs w:val="22"/>
                <w:lang w:val="en-US" w:eastAsia="zh-CN"/>
              </w:rPr>
              <w:t>1分；此外，具有此专业中级职称的得0.5分，具有此专业</w:t>
            </w:r>
            <w:r>
              <w:rPr>
                <w:rFonts w:hint="eastAsia" w:ascii="宋体" w:hAnsi="宋体" w:eastAsia="宋体" w:cs="Times New Roman"/>
                <w:color w:val="000000"/>
                <w:kern w:val="0"/>
                <w:sz w:val="22"/>
                <w:szCs w:val="22"/>
                <w:lang w:eastAsia="zh-CN"/>
              </w:rPr>
              <w:t>副</w:t>
            </w:r>
            <w:r>
              <w:rPr>
                <w:rFonts w:hint="eastAsia" w:ascii="宋体" w:hAnsi="宋体" w:eastAsia="宋体" w:cs="Times New Roman"/>
                <w:color w:val="000000"/>
                <w:kern w:val="0"/>
                <w:sz w:val="22"/>
                <w:szCs w:val="22"/>
                <w:lang w:val="en-US" w:eastAsia="zh-CN"/>
              </w:rPr>
              <w:t>高级职称的得1.5分，具有此专业正高级职称的得2分。本条最高得3分。</w:t>
            </w:r>
          </w:p>
          <w:p>
            <w:pPr>
              <w:widowControl/>
              <w:spacing w:line="240" w:lineRule="auto"/>
              <w:ind w:firstLine="0" w:firstLineChars="0"/>
              <w:jc w:val="left"/>
              <w:rPr>
                <w:rFonts w:hint="default"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3、</w:t>
            </w:r>
            <w:r>
              <w:rPr>
                <w:rFonts w:hint="eastAsia" w:ascii="宋体" w:hAnsi="宋体" w:eastAsia="宋体" w:cs="Times New Roman"/>
                <w:color w:val="000000"/>
                <w:kern w:val="0"/>
                <w:sz w:val="22"/>
                <w:szCs w:val="22"/>
                <w:lang w:eastAsia="zh-CN"/>
              </w:rPr>
              <w:t>投标人拟派人员中包含</w:t>
            </w:r>
            <w:r>
              <w:rPr>
                <w:rFonts w:hint="eastAsia" w:ascii="宋体" w:hAnsi="宋体" w:eastAsia="宋体" w:cs="Times New Roman"/>
                <w:color w:val="000000"/>
                <w:kern w:val="0"/>
                <w:sz w:val="22"/>
                <w:szCs w:val="22"/>
              </w:rPr>
              <w:t>水环境专业</w:t>
            </w:r>
            <w:r>
              <w:rPr>
                <w:rFonts w:hint="eastAsia" w:ascii="宋体" w:hAnsi="宋体" w:eastAsia="宋体" w:cs="Times New Roman"/>
                <w:color w:val="000000"/>
                <w:kern w:val="0"/>
                <w:sz w:val="22"/>
                <w:szCs w:val="22"/>
                <w:lang w:eastAsia="zh-CN"/>
              </w:rPr>
              <w:t>的得</w:t>
            </w:r>
            <w:r>
              <w:rPr>
                <w:rFonts w:hint="eastAsia" w:ascii="宋体" w:hAnsi="宋体" w:eastAsia="宋体" w:cs="Times New Roman"/>
                <w:color w:val="000000"/>
                <w:kern w:val="0"/>
                <w:sz w:val="22"/>
                <w:szCs w:val="22"/>
                <w:lang w:val="en-US" w:eastAsia="zh-CN"/>
              </w:rPr>
              <w:t>1分；此外，具有此专业中级职称的得0.5分，具有此专业</w:t>
            </w:r>
            <w:r>
              <w:rPr>
                <w:rFonts w:hint="eastAsia" w:ascii="宋体" w:hAnsi="宋体" w:eastAsia="宋体" w:cs="Times New Roman"/>
                <w:color w:val="000000"/>
                <w:kern w:val="0"/>
                <w:sz w:val="22"/>
                <w:szCs w:val="22"/>
                <w:lang w:eastAsia="zh-CN"/>
              </w:rPr>
              <w:t>副</w:t>
            </w:r>
            <w:r>
              <w:rPr>
                <w:rFonts w:hint="eastAsia" w:ascii="宋体" w:hAnsi="宋体" w:eastAsia="宋体" w:cs="Times New Roman"/>
                <w:color w:val="000000"/>
                <w:kern w:val="0"/>
                <w:sz w:val="22"/>
                <w:szCs w:val="22"/>
                <w:lang w:val="en-US" w:eastAsia="zh-CN"/>
              </w:rPr>
              <w:t>高级职称的得1.5分，具有此专业正高级职称的得2分。本条最高得3分。</w:t>
            </w:r>
          </w:p>
          <w:p>
            <w:pPr>
              <w:widowControl/>
              <w:spacing w:line="240" w:lineRule="auto"/>
              <w:ind w:firstLine="0" w:firstLineChars="0"/>
              <w:jc w:val="left"/>
              <w:rPr>
                <w:rFonts w:hint="default"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4、</w:t>
            </w:r>
            <w:r>
              <w:rPr>
                <w:rFonts w:hint="eastAsia" w:ascii="宋体" w:hAnsi="宋体" w:eastAsia="宋体" w:cs="Times New Roman"/>
                <w:color w:val="000000"/>
                <w:kern w:val="0"/>
                <w:sz w:val="22"/>
                <w:szCs w:val="22"/>
                <w:lang w:eastAsia="zh-CN"/>
              </w:rPr>
              <w:t>投标人拟派人员中包含</w:t>
            </w:r>
            <w:r>
              <w:rPr>
                <w:rFonts w:hint="eastAsia" w:ascii="宋体" w:hAnsi="宋体" w:eastAsia="宋体" w:cs="Times New Roman"/>
                <w:color w:val="000000"/>
                <w:kern w:val="0"/>
                <w:sz w:val="22"/>
                <w:szCs w:val="22"/>
              </w:rPr>
              <w:t>水利工程测绘专业</w:t>
            </w:r>
            <w:r>
              <w:rPr>
                <w:rFonts w:hint="eastAsia" w:ascii="宋体" w:hAnsi="宋体" w:eastAsia="宋体" w:cs="Times New Roman"/>
                <w:color w:val="000000"/>
                <w:kern w:val="0"/>
                <w:sz w:val="22"/>
                <w:szCs w:val="22"/>
                <w:lang w:eastAsia="zh-CN"/>
              </w:rPr>
              <w:t>的得</w:t>
            </w:r>
            <w:r>
              <w:rPr>
                <w:rFonts w:hint="eastAsia" w:ascii="宋体" w:hAnsi="宋体" w:eastAsia="宋体" w:cs="Times New Roman"/>
                <w:color w:val="000000"/>
                <w:kern w:val="0"/>
                <w:sz w:val="22"/>
                <w:szCs w:val="22"/>
                <w:lang w:val="en-US" w:eastAsia="zh-CN"/>
              </w:rPr>
              <w:t>1分；此外，具有此专业中级职称的得0.5分，具有此专业</w:t>
            </w:r>
            <w:r>
              <w:rPr>
                <w:rFonts w:hint="eastAsia" w:ascii="宋体" w:hAnsi="宋体" w:eastAsia="宋体" w:cs="Times New Roman"/>
                <w:color w:val="000000"/>
                <w:kern w:val="0"/>
                <w:sz w:val="22"/>
                <w:szCs w:val="22"/>
                <w:lang w:eastAsia="zh-CN"/>
              </w:rPr>
              <w:t>副</w:t>
            </w:r>
            <w:r>
              <w:rPr>
                <w:rFonts w:hint="eastAsia" w:ascii="宋体" w:hAnsi="宋体" w:eastAsia="宋体" w:cs="Times New Roman"/>
                <w:color w:val="000000"/>
                <w:kern w:val="0"/>
                <w:sz w:val="22"/>
                <w:szCs w:val="22"/>
                <w:lang w:val="en-US" w:eastAsia="zh-CN"/>
              </w:rPr>
              <w:t>高级职称的得1.5分，具有此专业正高级职称的得2分。本条最高得3分。</w:t>
            </w:r>
          </w:p>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（投标时需提供相关证书复印件及投标人为其缴纳的社保材料复印件加盖CA签章，不提供不得分</w:t>
            </w:r>
            <w:r>
              <w:rPr>
                <w:rFonts w:hint="eastAsia" w:ascii="宋体" w:hAnsi="宋体" w:eastAsia="宋体" w:cs="Times New Roman"/>
                <w:color w:val="000000"/>
                <w:kern w:val="0"/>
                <w:sz w:val="22"/>
                <w:szCs w:val="22"/>
                <w:lang w:eastAsia="zh-CN"/>
              </w:rPr>
              <w:t>。同一专业多人或同一人多专业的，仅得一次分数</w:t>
            </w:r>
            <w:r>
              <w:rPr>
                <w:rFonts w:hint="eastAsia" w:ascii="宋体" w:hAnsi="宋体" w:eastAsia="宋体" w:cs="Times New Roman"/>
                <w:color w:val="000000"/>
                <w:kern w:val="0"/>
                <w:sz w:val="22"/>
                <w:szCs w:val="22"/>
              </w:rPr>
              <w:t>）</w:t>
            </w:r>
          </w:p>
        </w:tc>
        <w:tc>
          <w:tcPr>
            <w:tcW w:w="881" w:type="dxa"/>
            <w:shd w:val="clear" w:color="auto" w:fill="auto"/>
            <w:vAlign w:val="center"/>
          </w:tcPr>
          <w:p>
            <w:pPr>
              <w:widowControl/>
              <w:spacing w:line="240" w:lineRule="auto"/>
              <w:ind w:firstLine="0" w:firstLineChars="0"/>
              <w:jc w:val="center"/>
              <w:rPr>
                <w:rFonts w:hint="default" w:ascii="Times New Roman" w:hAnsi="Times New Roman" w:eastAsia="等线" w:cs="Times New Roman"/>
                <w:color w:val="000000"/>
                <w:kern w:val="0"/>
                <w:sz w:val="22"/>
                <w:szCs w:val="22"/>
                <w:lang w:val="en-US" w:eastAsia="zh-CN"/>
              </w:rPr>
            </w:pPr>
            <w:r>
              <w:rPr>
                <w:rFonts w:hint="eastAsia" w:ascii="Times New Roman" w:hAnsi="Times New Roman" w:eastAsia="等线" w:cs="Times New Roman"/>
                <w:color w:val="000000"/>
                <w:kern w:val="0"/>
                <w:sz w:val="22"/>
                <w:szCs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承担本项目的能力</w:t>
            </w:r>
          </w:p>
        </w:tc>
        <w:tc>
          <w:tcPr>
            <w:tcW w:w="5355" w:type="dxa"/>
            <w:shd w:val="clear" w:color="auto" w:fill="auto"/>
            <w:vAlign w:val="center"/>
          </w:tcPr>
          <w:p>
            <w:pPr>
              <w:widowControl/>
              <w:spacing w:line="240" w:lineRule="auto"/>
              <w:ind w:firstLine="0" w:firstLineChars="0"/>
              <w:jc w:val="left"/>
              <w:rPr>
                <w:rFonts w:ascii="宋体" w:hAnsi="宋体" w:eastAsia="宋体" w:cs="Times New Roman"/>
                <w:color w:val="000000"/>
                <w:kern w:val="0"/>
                <w:sz w:val="22"/>
                <w:szCs w:val="22"/>
              </w:rPr>
            </w:pPr>
            <w:r>
              <w:rPr>
                <w:rFonts w:ascii="Times New Roman" w:hAnsi="Times New Roman" w:eastAsia="等线" w:cs="Times New Roman"/>
                <w:color w:val="000000"/>
                <w:kern w:val="0"/>
                <w:sz w:val="22"/>
                <w:szCs w:val="22"/>
              </w:rPr>
              <w:t>1</w:t>
            </w:r>
            <w:r>
              <w:rPr>
                <w:rFonts w:hint="eastAsia" w:ascii="宋体" w:hAnsi="宋体" w:eastAsia="宋体" w:cs="Times New Roman"/>
                <w:color w:val="000000"/>
                <w:kern w:val="0"/>
                <w:sz w:val="22"/>
                <w:szCs w:val="22"/>
              </w:rPr>
              <w:t>、投标单位具有节水相关的软件著作权、作品著作权（即成果名称中包含</w:t>
            </w:r>
            <w:r>
              <w:rPr>
                <w:rFonts w:ascii="Times New Roman" w:hAnsi="Times New Roman" w:eastAsia="等线" w:cs="Times New Roman"/>
                <w:color w:val="000000"/>
                <w:kern w:val="0"/>
                <w:sz w:val="22"/>
                <w:szCs w:val="22"/>
              </w:rPr>
              <w:t>“</w:t>
            </w:r>
            <w:r>
              <w:rPr>
                <w:rFonts w:hint="eastAsia" w:ascii="宋体" w:hAnsi="宋体" w:eastAsia="宋体" w:cs="Times New Roman"/>
                <w:color w:val="000000"/>
                <w:kern w:val="0"/>
                <w:sz w:val="22"/>
                <w:szCs w:val="22"/>
              </w:rPr>
              <w:t>节水</w:t>
            </w:r>
            <w:r>
              <w:rPr>
                <w:rFonts w:ascii="Times New Roman" w:hAnsi="Times New Roman" w:eastAsia="等线" w:cs="Times New Roman"/>
                <w:color w:val="000000"/>
                <w:kern w:val="0"/>
                <w:sz w:val="22"/>
                <w:szCs w:val="22"/>
              </w:rPr>
              <w:t>”</w:t>
            </w:r>
            <w:r>
              <w:rPr>
                <w:rFonts w:hint="eastAsia" w:ascii="宋体" w:hAnsi="宋体" w:eastAsia="宋体" w:cs="Times New Roman"/>
                <w:color w:val="000000"/>
                <w:kern w:val="0"/>
                <w:sz w:val="22"/>
                <w:szCs w:val="22"/>
              </w:rPr>
              <w:t>等关键字）的，每提供一项得</w:t>
            </w:r>
            <w:r>
              <w:rPr>
                <w:rFonts w:ascii="Times New Roman" w:hAnsi="Times New Roman" w:eastAsia="等线" w:cs="Times New Roman"/>
                <w:color w:val="000000"/>
                <w:kern w:val="0"/>
                <w:sz w:val="22"/>
                <w:szCs w:val="22"/>
              </w:rPr>
              <w:t>1</w:t>
            </w:r>
            <w:r>
              <w:rPr>
                <w:rFonts w:hint="eastAsia" w:ascii="宋体" w:hAnsi="宋体" w:eastAsia="宋体" w:cs="Times New Roman"/>
                <w:color w:val="000000"/>
                <w:kern w:val="0"/>
                <w:sz w:val="22"/>
                <w:szCs w:val="22"/>
              </w:rPr>
              <w:t>分，最高得</w:t>
            </w:r>
            <w:r>
              <w:rPr>
                <w:rFonts w:ascii="Times New Roman" w:hAnsi="Times New Roman" w:eastAsia="等线" w:cs="Times New Roman"/>
                <w:color w:val="000000"/>
                <w:kern w:val="0"/>
                <w:sz w:val="22"/>
                <w:szCs w:val="22"/>
              </w:rPr>
              <w:t>2</w:t>
            </w:r>
            <w:r>
              <w:rPr>
                <w:rFonts w:hint="eastAsia" w:ascii="宋体" w:hAnsi="宋体" w:eastAsia="宋体" w:cs="Times New Roman"/>
                <w:color w:val="000000"/>
                <w:kern w:val="0"/>
                <w:sz w:val="22"/>
                <w:szCs w:val="22"/>
              </w:rPr>
              <w:t>分。</w:t>
            </w:r>
          </w:p>
          <w:p>
            <w:pPr>
              <w:widowControl/>
              <w:spacing w:line="240" w:lineRule="auto"/>
              <w:ind w:firstLine="0" w:firstLineChars="0"/>
              <w:jc w:val="left"/>
              <w:rPr>
                <w:rFonts w:ascii="宋体" w:hAnsi="宋体" w:eastAsia="宋体" w:cs="Times New Roman"/>
                <w:color w:val="000000"/>
                <w:kern w:val="0"/>
                <w:sz w:val="22"/>
                <w:szCs w:val="22"/>
              </w:rPr>
            </w:pPr>
            <w:r>
              <w:rPr>
                <w:rFonts w:ascii="Times New Roman" w:hAnsi="Times New Roman" w:eastAsia="等线" w:cs="Times New Roman"/>
                <w:color w:val="000000"/>
                <w:kern w:val="0"/>
                <w:sz w:val="22"/>
                <w:szCs w:val="22"/>
              </w:rPr>
              <w:t>2</w:t>
            </w:r>
            <w:r>
              <w:rPr>
                <w:rFonts w:hint="eastAsia" w:ascii="宋体" w:hAnsi="宋体" w:eastAsia="宋体" w:cs="Times New Roman"/>
                <w:color w:val="000000"/>
                <w:kern w:val="0"/>
                <w:sz w:val="22"/>
                <w:szCs w:val="22"/>
              </w:rPr>
              <w:t>、投标单位具有水资源相关的软件著作权、作品著作权（即成果名称中包含</w:t>
            </w:r>
            <w:r>
              <w:rPr>
                <w:rFonts w:ascii="Times New Roman" w:hAnsi="Times New Roman" w:eastAsia="等线" w:cs="Times New Roman"/>
                <w:color w:val="000000"/>
                <w:kern w:val="0"/>
                <w:sz w:val="22"/>
                <w:szCs w:val="22"/>
              </w:rPr>
              <w:t>“</w:t>
            </w:r>
            <w:r>
              <w:rPr>
                <w:rFonts w:hint="eastAsia" w:ascii="宋体" w:hAnsi="宋体" w:eastAsia="宋体" w:cs="Times New Roman"/>
                <w:color w:val="000000"/>
                <w:kern w:val="0"/>
                <w:sz w:val="22"/>
                <w:szCs w:val="22"/>
              </w:rPr>
              <w:t>水资源</w:t>
            </w:r>
            <w:r>
              <w:rPr>
                <w:rFonts w:ascii="Times New Roman" w:hAnsi="Times New Roman" w:eastAsia="等线" w:cs="Times New Roman"/>
                <w:color w:val="000000"/>
                <w:kern w:val="0"/>
                <w:sz w:val="22"/>
                <w:szCs w:val="22"/>
              </w:rPr>
              <w:t>”</w:t>
            </w:r>
            <w:r>
              <w:rPr>
                <w:rFonts w:hint="eastAsia" w:ascii="宋体" w:hAnsi="宋体" w:eastAsia="宋体" w:cs="Times New Roman"/>
                <w:color w:val="000000"/>
                <w:kern w:val="0"/>
                <w:sz w:val="22"/>
                <w:szCs w:val="22"/>
              </w:rPr>
              <w:t>等关键字）的，每提供一项得</w:t>
            </w:r>
            <w:r>
              <w:rPr>
                <w:rFonts w:ascii="Times New Roman" w:hAnsi="Times New Roman" w:eastAsia="等线" w:cs="Times New Roman"/>
                <w:color w:val="000000"/>
                <w:kern w:val="0"/>
                <w:sz w:val="22"/>
                <w:szCs w:val="22"/>
              </w:rPr>
              <w:t>1</w:t>
            </w:r>
            <w:r>
              <w:rPr>
                <w:rFonts w:hint="eastAsia" w:ascii="宋体" w:hAnsi="宋体" w:eastAsia="宋体" w:cs="Times New Roman"/>
                <w:color w:val="000000"/>
                <w:kern w:val="0"/>
                <w:sz w:val="22"/>
                <w:szCs w:val="22"/>
              </w:rPr>
              <w:t>分，最高得</w:t>
            </w:r>
            <w:r>
              <w:rPr>
                <w:rFonts w:ascii="Times New Roman" w:hAnsi="Times New Roman" w:eastAsia="等线" w:cs="Times New Roman"/>
                <w:color w:val="000000"/>
                <w:kern w:val="0"/>
                <w:sz w:val="22"/>
                <w:szCs w:val="22"/>
              </w:rPr>
              <w:t>2</w:t>
            </w:r>
            <w:r>
              <w:rPr>
                <w:rFonts w:hint="eastAsia" w:ascii="宋体" w:hAnsi="宋体" w:eastAsia="宋体" w:cs="Times New Roman"/>
                <w:color w:val="000000"/>
                <w:kern w:val="0"/>
                <w:sz w:val="22"/>
                <w:szCs w:val="22"/>
              </w:rPr>
              <w:t>分。</w:t>
            </w:r>
          </w:p>
          <w:p>
            <w:pPr>
              <w:widowControl/>
              <w:spacing w:line="240" w:lineRule="auto"/>
              <w:ind w:firstLine="0" w:firstLineChars="0"/>
              <w:jc w:val="left"/>
              <w:rPr>
                <w:rFonts w:hint="eastAsia" w:ascii="宋体" w:hAnsi="宋体" w:eastAsia="宋体" w:cs="Times New Roman"/>
                <w:color w:val="000000"/>
                <w:kern w:val="0"/>
                <w:sz w:val="22"/>
                <w:szCs w:val="22"/>
              </w:rPr>
            </w:pPr>
            <w:r>
              <w:rPr>
                <w:rFonts w:ascii="Times New Roman" w:hAnsi="Times New Roman" w:eastAsia="等线" w:cs="Times New Roman"/>
                <w:color w:val="000000"/>
                <w:kern w:val="0"/>
                <w:sz w:val="22"/>
                <w:szCs w:val="22"/>
              </w:rPr>
              <w:t>3</w:t>
            </w:r>
            <w:r>
              <w:rPr>
                <w:rFonts w:hint="eastAsia" w:ascii="宋体" w:hAnsi="宋体" w:eastAsia="宋体" w:cs="Times New Roman"/>
                <w:color w:val="000000"/>
                <w:kern w:val="0"/>
                <w:sz w:val="22"/>
                <w:szCs w:val="22"/>
              </w:rPr>
              <w:t>、投标单位具有水环境、生态配水相关的软件著作权、作品著作权（即成果名称中包含</w:t>
            </w:r>
            <w:r>
              <w:rPr>
                <w:rFonts w:ascii="Times New Roman" w:hAnsi="Times New Roman" w:eastAsia="等线" w:cs="Times New Roman"/>
                <w:color w:val="000000"/>
                <w:kern w:val="0"/>
                <w:sz w:val="22"/>
                <w:szCs w:val="22"/>
              </w:rPr>
              <w:t>“</w:t>
            </w:r>
            <w:r>
              <w:rPr>
                <w:rFonts w:hint="eastAsia" w:ascii="宋体" w:hAnsi="宋体" w:eastAsia="宋体" w:cs="Times New Roman"/>
                <w:color w:val="000000"/>
                <w:kern w:val="0"/>
                <w:sz w:val="22"/>
                <w:szCs w:val="22"/>
              </w:rPr>
              <w:t>水环境、生态配水</w:t>
            </w:r>
            <w:r>
              <w:rPr>
                <w:rFonts w:ascii="Times New Roman" w:hAnsi="Times New Roman" w:eastAsia="等线" w:cs="Times New Roman"/>
                <w:color w:val="000000"/>
                <w:kern w:val="0"/>
                <w:sz w:val="22"/>
                <w:szCs w:val="22"/>
              </w:rPr>
              <w:t>”</w:t>
            </w:r>
            <w:r>
              <w:rPr>
                <w:rFonts w:hint="eastAsia" w:ascii="宋体" w:hAnsi="宋体" w:eastAsia="宋体" w:cs="Times New Roman"/>
                <w:color w:val="000000"/>
                <w:kern w:val="0"/>
                <w:sz w:val="22"/>
                <w:szCs w:val="22"/>
              </w:rPr>
              <w:t>等关键字）的，每提供一项得</w:t>
            </w:r>
            <w:r>
              <w:rPr>
                <w:rFonts w:ascii="Times New Roman" w:hAnsi="Times New Roman" w:eastAsia="等线" w:cs="Times New Roman"/>
                <w:color w:val="000000"/>
                <w:kern w:val="0"/>
                <w:sz w:val="22"/>
                <w:szCs w:val="22"/>
              </w:rPr>
              <w:t>1</w:t>
            </w:r>
            <w:r>
              <w:rPr>
                <w:rFonts w:hint="eastAsia" w:ascii="宋体" w:hAnsi="宋体" w:eastAsia="宋体" w:cs="Times New Roman"/>
                <w:color w:val="000000"/>
                <w:kern w:val="0"/>
                <w:sz w:val="22"/>
                <w:szCs w:val="22"/>
              </w:rPr>
              <w:t>分，最高得</w:t>
            </w:r>
            <w:r>
              <w:rPr>
                <w:rFonts w:ascii="Times New Roman" w:hAnsi="Times New Roman" w:eastAsia="等线" w:cs="Times New Roman"/>
                <w:color w:val="000000"/>
                <w:kern w:val="0"/>
                <w:sz w:val="22"/>
                <w:szCs w:val="22"/>
              </w:rPr>
              <w:t>2</w:t>
            </w:r>
            <w:r>
              <w:rPr>
                <w:rFonts w:hint="eastAsia" w:ascii="宋体" w:hAnsi="宋体" w:eastAsia="宋体" w:cs="Times New Roman"/>
                <w:color w:val="000000"/>
                <w:kern w:val="0"/>
                <w:sz w:val="22"/>
                <w:szCs w:val="22"/>
              </w:rPr>
              <w:t>分。</w:t>
            </w:r>
          </w:p>
          <w:p>
            <w:pPr>
              <w:widowControl/>
              <w:spacing w:line="240" w:lineRule="auto"/>
              <w:ind w:firstLine="0" w:firstLineChars="0"/>
              <w:jc w:val="left"/>
              <w:rPr>
                <w:rFonts w:ascii="Times New Roman" w:hAnsi="Times New Roman" w:eastAsia="等线" w:cs="Times New Roman"/>
                <w:color w:val="000000"/>
                <w:kern w:val="0"/>
                <w:sz w:val="22"/>
                <w:szCs w:val="22"/>
              </w:rPr>
            </w:pPr>
            <w:bookmarkStart w:id="0" w:name="_GoBack"/>
            <w:bookmarkEnd w:id="0"/>
            <w:r>
              <w:rPr>
                <w:rFonts w:hint="eastAsia" w:ascii="宋体" w:hAnsi="宋体" w:eastAsia="宋体" w:cs="Times New Roman"/>
                <w:color w:val="000000"/>
                <w:kern w:val="0"/>
                <w:sz w:val="22"/>
                <w:szCs w:val="22"/>
              </w:rPr>
              <w:t>（投标时需提供相关证书复印件加盖</w:t>
            </w:r>
            <w:r>
              <w:rPr>
                <w:rFonts w:ascii="Times New Roman" w:hAnsi="Times New Roman" w:eastAsia="等线" w:cs="Times New Roman"/>
                <w:color w:val="000000"/>
                <w:kern w:val="0"/>
                <w:sz w:val="22"/>
                <w:szCs w:val="22"/>
              </w:rPr>
              <w:t>CA</w:t>
            </w:r>
            <w:r>
              <w:rPr>
                <w:rFonts w:hint="eastAsia" w:ascii="宋体" w:hAnsi="宋体" w:eastAsia="宋体" w:cs="Times New Roman"/>
                <w:color w:val="000000"/>
                <w:kern w:val="0"/>
                <w:sz w:val="22"/>
                <w:szCs w:val="22"/>
              </w:rPr>
              <w:t>签章，不提供不得分）</w:t>
            </w:r>
          </w:p>
        </w:tc>
        <w:tc>
          <w:tcPr>
            <w:tcW w:w="881" w:type="dxa"/>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276" w:type="dxa"/>
            <w:vMerge w:val="continue"/>
          </w:tcPr>
          <w:p>
            <w:pPr>
              <w:widowControl/>
              <w:snapToGrid w:val="0"/>
              <w:spacing w:line="240" w:lineRule="auto"/>
              <w:ind w:firstLine="0" w:firstLineChars="0"/>
              <w:jc w:val="left"/>
              <w:rPr>
                <w:rFonts w:ascii="宋体" w:hAnsi="宋体"/>
                <w:kern w:val="0"/>
                <w:sz w:val="22"/>
                <w:szCs w:val="22"/>
              </w:rPr>
            </w:pPr>
          </w:p>
        </w:tc>
        <w:tc>
          <w:tcPr>
            <w:tcW w:w="1277" w:type="dxa"/>
            <w:shd w:val="clear" w:color="auto" w:fill="auto"/>
            <w:vAlign w:val="center"/>
          </w:tcPr>
          <w:p>
            <w:pPr>
              <w:widowControl/>
              <w:snapToGrid w:val="0"/>
              <w:spacing w:line="240" w:lineRule="auto"/>
              <w:ind w:firstLine="0" w:firstLineChars="0"/>
              <w:jc w:val="left"/>
              <w:rPr>
                <w:rFonts w:ascii="宋体" w:hAnsi="宋体"/>
                <w:sz w:val="22"/>
                <w:szCs w:val="22"/>
              </w:rPr>
            </w:pPr>
            <w:r>
              <w:rPr>
                <w:rFonts w:hint="eastAsia" w:ascii="宋体" w:hAnsi="宋体"/>
                <w:kern w:val="0"/>
                <w:sz w:val="22"/>
                <w:szCs w:val="22"/>
              </w:rPr>
              <w:t>对本项目重点难点的分析</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lang w:eastAsia="zh-CN"/>
              </w:rPr>
            </w:pPr>
            <w:r>
              <w:rPr>
                <w:rFonts w:hint="eastAsia" w:ascii="宋体" w:hAnsi="宋体" w:eastAsia="宋体" w:cs="Times New Roman"/>
                <w:color w:val="000000"/>
                <w:kern w:val="0"/>
                <w:sz w:val="22"/>
                <w:szCs w:val="22"/>
                <w:lang w:eastAsia="zh-CN"/>
              </w:rPr>
              <w:t>根据投标人对本项目的重难点理解、把我和解决措施进行评分：</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eastAsia="zh-CN"/>
              </w:rPr>
              <w:t>投标人对本项目重点、难点的理解到位、把握准确，且有具体的解决措施，而且措施全面、可行、有效、有创意性的得（</w:t>
            </w:r>
            <w:r>
              <w:rPr>
                <w:rFonts w:hint="eastAsia" w:ascii="宋体" w:hAnsi="宋体" w:eastAsia="宋体" w:cs="Times New Roman"/>
                <w:color w:val="000000"/>
                <w:kern w:val="0"/>
                <w:sz w:val="22"/>
                <w:szCs w:val="22"/>
                <w:lang w:val="en-US" w:eastAsia="zh-CN"/>
              </w:rPr>
              <w:t>6,8]分；</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投标人对本项目重点、难点理解把握基本到位，且提出的解决措施基本合理的得</w:t>
            </w:r>
            <w:r>
              <w:rPr>
                <w:rFonts w:hint="eastAsia" w:ascii="宋体" w:hAnsi="宋体" w:eastAsia="宋体" w:cs="Times New Roman"/>
                <w:color w:val="000000"/>
                <w:kern w:val="0"/>
                <w:sz w:val="22"/>
                <w:szCs w:val="22"/>
                <w:lang w:eastAsia="zh-CN"/>
              </w:rPr>
              <w:t>（</w:t>
            </w:r>
            <w:r>
              <w:rPr>
                <w:rFonts w:hint="eastAsia" w:ascii="宋体" w:hAnsi="宋体" w:eastAsia="宋体" w:cs="Times New Roman"/>
                <w:color w:val="000000"/>
                <w:kern w:val="0"/>
                <w:sz w:val="22"/>
                <w:szCs w:val="22"/>
                <w:lang w:val="en-US" w:eastAsia="zh-CN"/>
              </w:rPr>
              <w:t>3,6]分；</w:t>
            </w:r>
          </w:p>
          <w:p>
            <w:pPr>
              <w:widowControl/>
              <w:spacing w:line="240" w:lineRule="auto"/>
              <w:ind w:firstLine="0" w:firstLineChars="0"/>
              <w:jc w:val="left"/>
              <w:rPr>
                <w:rFonts w:hint="default"/>
                <w:lang w:val="en-US" w:eastAsia="zh-CN"/>
              </w:rPr>
            </w:pPr>
            <w:r>
              <w:rPr>
                <w:rFonts w:hint="eastAsia" w:ascii="宋体" w:hAnsi="宋体" w:eastAsia="宋体" w:cs="Times New Roman"/>
                <w:color w:val="000000"/>
                <w:kern w:val="0"/>
                <w:sz w:val="22"/>
                <w:szCs w:val="22"/>
                <w:lang w:val="en-US" w:eastAsia="zh-CN"/>
              </w:rPr>
              <w:t>投标人对本项目重点、难点把握不够到位的，且未提出解决措施或措施不够合理的得[0,3]分。</w:t>
            </w:r>
          </w:p>
        </w:tc>
        <w:tc>
          <w:tcPr>
            <w:tcW w:w="881" w:type="dxa"/>
            <w:shd w:val="clear" w:color="auto" w:fill="auto"/>
            <w:vAlign w:val="center"/>
          </w:tcPr>
          <w:p>
            <w:pPr>
              <w:widowControl/>
              <w:spacing w:line="240" w:lineRule="auto"/>
              <w:ind w:firstLine="0" w:firstLineChars="0"/>
              <w:jc w:val="center"/>
              <w:rPr>
                <w:rFonts w:hint="eastAsia" w:ascii="Times New Roman" w:hAnsi="Times New Roman" w:eastAsia="等线" w:cs="Times New Roman"/>
                <w:color w:val="000000"/>
                <w:kern w:val="0"/>
                <w:sz w:val="22"/>
                <w:szCs w:val="22"/>
                <w:lang w:eastAsia="zh-CN"/>
              </w:rPr>
            </w:pPr>
            <w:r>
              <w:rPr>
                <w:rFonts w:hint="eastAsia" w:ascii="Times New Roman" w:hAnsi="Times New Roman" w:eastAsia="等线" w:cs="Times New Roman"/>
                <w:color w:val="000000"/>
                <w:kern w:val="0"/>
                <w:sz w:val="22"/>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vMerge w:val="restart"/>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项目实施方案</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lang w:eastAsia="zh-CN"/>
              </w:rPr>
            </w:pPr>
            <w:r>
              <w:rPr>
                <w:rFonts w:hint="eastAsia" w:ascii="宋体" w:hAnsi="宋体" w:eastAsia="宋体" w:cs="Times New Roman"/>
                <w:color w:val="000000"/>
                <w:kern w:val="0"/>
                <w:sz w:val="22"/>
                <w:szCs w:val="22"/>
                <w:lang w:eastAsia="zh-CN"/>
              </w:rPr>
              <w:t>根据投标人的项目实施方案进行评分：</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eastAsia="zh-CN"/>
              </w:rPr>
              <w:t>投标人项目实施方案科学合理，有针对性的得（</w:t>
            </w:r>
            <w:r>
              <w:rPr>
                <w:rFonts w:hint="eastAsia" w:ascii="宋体" w:hAnsi="宋体" w:eastAsia="宋体" w:cs="Times New Roman"/>
                <w:color w:val="000000"/>
                <w:kern w:val="0"/>
                <w:sz w:val="22"/>
                <w:szCs w:val="22"/>
                <w:lang w:val="en-US" w:eastAsia="zh-CN"/>
              </w:rPr>
              <w:t>6,8]分；</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投标人项目实施方案基本满足项目实际情况的得</w:t>
            </w:r>
            <w:r>
              <w:rPr>
                <w:rFonts w:hint="eastAsia" w:ascii="宋体" w:hAnsi="宋体" w:eastAsia="宋体" w:cs="Times New Roman"/>
                <w:color w:val="000000"/>
                <w:kern w:val="0"/>
                <w:sz w:val="22"/>
                <w:szCs w:val="22"/>
                <w:lang w:eastAsia="zh-CN"/>
              </w:rPr>
              <w:t>（</w:t>
            </w:r>
            <w:r>
              <w:rPr>
                <w:rFonts w:hint="eastAsia" w:ascii="宋体" w:hAnsi="宋体" w:eastAsia="宋体" w:cs="Times New Roman"/>
                <w:color w:val="000000"/>
                <w:kern w:val="0"/>
                <w:sz w:val="22"/>
                <w:szCs w:val="22"/>
                <w:lang w:val="en-US" w:eastAsia="zh-CN"/>
              </w:rPr>
              <w:t>3,6]分；</w:t>
            </w:r>
          </w:p>
          <w:p>
            <w:pPr>
              <w:widowControl/>
              <w:spacing w:line="240" w:lineRule="auto"/>
              <w:ind w:firstLine="0" w:firstLineChars="0"/>
              <w:jc w:val="left"/>
              <w:rPr>
                <w:rFonts w:hint="eastAsia"/>
                <w:lang w:eastAsia="zh-CN"/>
              </w:rPr>
            </w:pPr>
            <w:r>
              <w:rPr>
                <w:rFonts w:hint="eastAsia" w:ascii="宋体" w:hAnsi="宋体" w:eastAsia="宋体" w:cs="Times New Roman"/>
                <w:color w:val="000000"/>
                <w:kern w:val="0"/>
                <w:sz w:val="22"/>
                <w:szCs w:val="22"/>
                <w:lang w:val="en-US" w:eastAsia="zh-CN"/>
              </w:rPr>
              <w:t>投标人项目实施方案不够合理的得[0,3]分。</w:t>
            </w:r>
          </w:p>
        </w:tc>
        <w:tc>
          <w:tcPr>
            <w:tcW w:w="881" w:type="dxa"/>
            <w:shd w:val="clear" w:color="auto" w:fill="auto"/>
            <w:vAlign w:val="center"/>
          </w:tcPr>
          <w:p>
            <w:pPr>
              <w:widowControl/>
              <w:spacing w:line="240" w:lineRule="auto"/>
              <w:ind w:firstLine="0" w:firstLineChars="0"/>
              <w:jc w:val="center"/>
              <w:rPr>
                <w:rFonts w:hint="eastAsia" w:ascii="Times New Roman" w:hAnsi="Times New Roman" w:eastAsia="等线" w:cs="Times New Roman"/>
                <w:color w:val="000000"/>
                <w:kern w:val="0"/>
                <w:sz w:val="22"/>
                <w:szCs w:val="22"/>
                <w:lang w:eastAsia="zh-CN"/>
              </w:rPr>
            </w:pPr>
            <w:r>
              <w:rPr>
                <w:rFonts w:hint="eastAsia" w:ascii="Times New Roman" w:hAnsi="Times New Roman" w:eastAsia="等线" w:cs="Times New Roman"/>
                <w:color w:val="000000"/>
                <w:kern w:val="0"/>
                <w:sz w:val="22"/>
                <w:szCs w:val="2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vMerge w:val="continue"/>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lang w:eastAsia="zh-CN"/>
              </w:rPr>
            </w:pPr>
            <w:r>
              <w:rPr>
                <w:rFonts w:hint="eastAsia" w:ascii="宋体" w:hAnsi="宋体" w:eastAsia="宋体" w:cs="Times New Roman"/>
                <w:color w:val="000000"/>
                <w:kern w:val="0"/>
                <w:sz w:val="22"/>
                <w:szCs w:val="22"/>
                <w:lang w:eastAsia="zh-CN"/>
              </w:rPr>
              <w:t>根据投标人的项目进度、分工计划等进行评分：</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eastAsia="zh-CN"/>
              </w:rPr>
              <w:t>投标人进度方案、分工计划等科学合理，对项目切合度高的得（</w:t>
            </w:r>
            <w:r>
              <w:rPr>
                <w:rFonts w:hint="eastAsia" w:ascii="宋体" w:hAnsi="宋体" w:eastAsia="宋体" w:cs="Times New Roman"/>
                <w:color w:val="000000"/>
                <w:kern w:val="0"/>
                <w:sz w:val="22"/>
                <w:szCs w:val="22"/>
                <w:lang w:val="en-US" w:eastAsia="zh-CN"/>
              </w:rPr>
              <w:t>4,6]分；</w:t>
            </w:r>
          </w:p>
          <w:p>
            <w:pPr>
              <w:widowControl/>
              <w:spacing w:line="240" w:lineRule="auto"/>
              <w:ind w:firstLine="0" w:firstLineChars="0"/>
              <w:jc w:val="left"/>
              <w:rPr>
                <w:rFonts w:hint="eastAsia"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val="en-US" w:eastAsia="zh-CN"/>
              </w:rPr>
              <w:t>投标人进度方案、分工计划基本可以满足项目正常实施的得</w:t>
            </w:r>
            <w:r>
              <w:rPr>
                <w:rFonts w:hint="eastAsia" w:ascii="宋体" w:hAnsi="宋体" w:eastAsia="宋体" w:cs="Times New Roman"/>
                <w:color w:val="000000"/>
                <w:kern w:val="0"/>
                <w:sz w:val="22"/>
                <w:szCs w:val="22"/>
                <w:lang w:eastAsia="zh-CN"/>
              </w:rPr>
              <w:t>（</w:t>
            </w:r>
            <w:r>
              <w:rPr>
                <w:rFonts w:hint="eastAsia" w:ascii="宋体" w:hAnsi="宋体" w:eastAsia="宋体" w:cs="Times New Roman"/>
                <w:color w:val="000000"/>
                <w:kern w:val="0"/>
                <w:sz w:val="22"/>
                <w:szCs w:val="22"/>
                <w:lang w:val="en-US" w:eastAsia="zh-CN"/>
              </w:rPr>
              <w:t>2,4]分；</w:t>
            </w:r>
          </w:p>
          <w:p>
            <w:pPr>
              <w:widowControl/>
              <w:spacing w:line="240" w:lineRule="auto"/>
              <w:ind w:firstLine="0" w:firstLineChars="0"/>
              <w:jc w:val="left"/>
              <w:rPr>
                <w:rFonts w:hint="eastAsia"/>
                <w:lang w:eastAsia="zh-CN"/>
              </w:rPr>
            </w:pPr>
            <w:r>
              <w:rPr>
                <w:rFonts w:hint="eastAsia" w:ascii="宋体" w:hAnsi="宋体" w:eastAsia="宋体" w:cs="Times New Roman"/>
                <w:color w:val="000000"/>
                <w:kern w:val="0"/>
                <w:sz w:val="22"/>
                <w:szCs w:val="22"/>
                <w:lang w:val="en-US" w:eastAsia="zh-CN"/>
              </w:rPr>
              <w:t>投标人进度方案、分工计划不够合理的得[0,2]分。</w:t>
            </w:r>
          </w:p>
        </w:tc>
        <w:tc>
          <w:tcPr>
            <w:tcW w:w="881" w:type="dxa"/>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质量和进度保证</w:t>
            </w:r>
          </w:p>
        </w:tc>
        <w:tc>
          <w:tcPr>
            <w:tcW w:w="5355" w:type="dxa"/>
            <w:shd w:val="clear" w:color="auto" w:fill="auto"/>
            <w:vAlign w:val="center"/>
          </w:tcPr>
          <w:p>
            <w:pPr>
              <w:widowControl/>
              <w:spacing w:line="240" w:lineRule="auto"/>
              <w:ind w:firstLine="0" w:firstLineChars="0"/>
              <w:jc w:val="left"/>
              <w:rPr>
                <w:rFonts w:hint="eastAsia" w:ascii="宋体" w:hAnsi="宋体" w:eastAsia="宋体" w:cs="Times New Roman"/>
                <w:color w:val="000000"/>
                <w:kern w:val="0"/>
                <w:sz w:val="22"/>
                <w:szCs w:val="22"/>
                <w:lang w:eastAsia="zh-CN"/>
              </w:rPr>
            </w:pPr>
            <w:r>
              <w:rPr>
                <w:rFonts w:hint="eastAsia" w:ascii="宋体" w:hAnsi="宋体" w:eastAsia="宋体" w:cs="Times New Roman"/>
                <w:color w:val="000000"/>
                <w:kern w:val="0"/>
                <w:sz w:val="22"/>
                <w:szCs w:val="22"/>
                <w:lang w:eastAsia="zh-CN"/>
              </w:rPr>
              <w:t>根据投标人提供的针对本项目的质量和进度保证措施是否明确，内部校审制度是否齐全，措施方案是否科学有效等进行评分，最高</w:t>
            </w:r>
            <w:r>
              <w:rPr>
                <w:rFonts w:hint="eastAsia" w:ascii="宋体" w:hAnsi="宋体" w:eastAsia="宋体" w:cs="Times New Roman"/>
                <w:color w:val="000000"/>
                <w:kern w:val="0"/>
                <w:sz w:val="22"/>
                <w:szCs w:val="22"/>
                <w:lang w:val="en-US" w:eastAsia="zh-CN"/>
              </w:rPr>
              <w:t>4分</w:t>
            </w:r>
            <w:r>
              <w:rPr>
                <w:rFonts w:hint="eastAsia" w:ascii="宋体" w:hAnsi="宋体" w:eastAsia="宋体" w:cs="Times New Roman"/>
                <w:color w:val="000000"/>
                <w:kern w:val="0"/>
                <w:sz w:val="22"/>
                <w:szCs w:val="22"/>
                <w:lang w:eastAsia="zh-CN"/>
              </w:rPr>
              <w:t>。</w:t>
            </w:r>
          </w:p>
        </w:tc>
        <w:tc>
          <w:tcPr>
            <w:tcW w:w="881" w:type="dxa"/>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276" w:type="dxa"/>
            <w:vMerge w:val="continue"/>
          </w:tcPr>
          <w:p>
            <w:pPr>
              <w:widowControl/>
              <w:spacing w:line="240" w:lineRule="auto"/>
              <w:ind w:firstLine="0" w:firstLineChars="0"/>
              <w:jc w:val="left"/>
              <w:rPr>
                <w:rFonts w:ascii="Times New Roman" w:hAnsi="Times New Roman" w:eastAsia="等线" w:cs="Times New Roman"/>
                <w:color w:val="000000"/>
                <w:kern w:val="0"/>
                <w:sz w:val="22"/>
                <w:szCs w:val="22"/>
              </w:rPr>
            </w:pPr>
          </w:p>
        </w:tc>
        <w:tc>
          <w:tcPr>
            <w:tcW w:w="1277" w:type="dxa"/>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2"/>
                <w:szCs w:val="22"/>
              </w:rPr>
            </w:pPr>
            <w:r>
              <w:rPr>
                <w:rFonts w:hint="eastAsia" w:ascii="宋体" w:hAnsi="宋体" w:eastAsia="宋体" w:cs="Times New Roman"/>
                <w:color w:val="000000"/>
                <w:kern w:val="0"/>
                <w:sz w:val="22"/>
                <w:szCs w:val="22"/>
              </w:rPr>
              <w:t>售后服务</w:t>
            </w:r>
          </w:p>
        </w:tc>
        <w:tc>
          <w:tcPr>
            <w:tcW w:w="5355" w:type="dxa"/>
            <w:shd w:val="clear" w:color="auto" w:fill="auto"/>
            <w:vAlign w:val="center"/>
          </w:tcPr>
          <w:p>
            <w:pPr>
              <w:widowControl/>
              <w:spacing w:line="240" w:lineRule="auto"/>
              <w:ind w:firstLine="0" w:firstLineChars="0"/>
              <w:jc w:val="left"/>
              <w:rPr>
                <w:rFonts w:hint="default" w:ascii="宋体" w:hAnsi="宋体" w:eastAsia="宋体" w:cs="Times New Roman"/>
                <w:color w:val="000000"/>
                <w:kern w:val="0"/>
                <w:sz w:val="22"/>
                <w:szCs w:val="22"/>
                <w:lang w:val="en-US" w:eastAsia="zh-CN"/>
              </w:rPr>
            </w:pPr>
            <w:r>
              <w:rPr>
                <w:rFonts w:hint="eastAsia" w:ascii="宋体" w:hAnsi="宋体" w:eastAsia="宋体" w:cs="Times New Roman"/>
                <w:color w:val="000000"/>
                <w:kern w:val="0"/>
                <w:sz w:val="22"/>
                <w:szCs w:val="22"/>
                <w:lang w:eastAsia="zh-CN"/>
              </w:rPr>
              <w:t>根据投标人的后期服务、服务承诺和优惠政策等进行评分，最高</w:t>
            </w:r>
            <w:r>
              <w:rPr>
                <w:rFonts w:hint="eastAsia" w:ascii="宋体" w:hAnsi="宋体" w:eastAsia="宋体" w:cs="Times New Roman"/>
                <w:color w:val="000000"/>
                <w:kern w:val="0"/>
                <w:sz w:val="22"/>
                <w:szCs w:val="22"/>
                <w:lang w:val="en-US" w:eastAsia="zh-CN"/>
              </w:rPr>
              <w:t>4分。</w:t>
            </w:r>
          </w:p>
        </w:tc>
        <w:tc>
          <w:tcPr>
            <w:tcW w:w="881" w:type="dxa"/>
            <w:shd w:val="clear" w:color="auto" w:fill="auto"/>
            <w:vAlign w:val="center"/>
          </w:tcPr>
          <w:p>
            <w:pPr>
              <w:widowControl/>
              <w:spacing w:line="240" w:lineRule="auto"/>
              <w:ind w:firstLine="0" w:firstLineChars="0"/>
              <w:jc w:val="center"/>
              <w:rPr>
                <w:rFonts w:hint="eastAsia" w:ascii="Times New Roman" w:hAnsi="Times New Roman" w:eastAsia="等线" w:cs="Times New Roman"/>
                <w:color w:val="000000"/>
                <w:kern w:val="0"/>
                <w:sz w:val="22"/>
                <w:szCs w:val="22"/>
                <w:lang w:eastAsia="zh-CN"/>
              </w:rPr>
            </w:pPr>
            <w:r>
              <w:rPr>
                <w:rFonts w:hint="eastAsia" w:ascii="Times New Roman" w:hAnsi="Times New Roman" w:eastAsia="等线" w:cs="Times New Roman"/>
                <w:color w:val="000000"/>
                <w:kern w:val="0"/>
                <w:sz w:val="22"/>
                <w:szCs w:val="22"/>
                <w:lang w:val="en-US" w:eastAsia="zh-CN"/>
              </w:rPr>
              <w:t>4</w:t>
            </w:r>
          </w:p>
        </w:tc>
      </w:tr>
    </w:tbl>
    <w:p>
      <w:pPr>
        <w:rPr>
          <w:rFonts w:hint="eastAsia"/>
          <w:b/>
          <w:bCs/>
          <w:sz w:val="24"/>
          <w:szCs w:val="24"/>
          <w:lang w:val="en-US" w:eastAsia="zh-CN"/>
        </w:rPr>
      </w:pPr>
      <w:r>
        <w:rPr>
          <w:rFonts w:hint="eastAsia"/>
          <w:b/>
          <w:bCs/>
          <w:sz w:val="24"/>
          <w:szCs w:val="24"/>
          <w:lang w:val="en-US" w:eastAsia="zh-CN"/>
        </w:rPr>
        <w:br w:type="page"/>
      </w:r>
    </w:p>
    <w:p>
      <w:pPr>
        <w:keepNext/>
        <w:keepLines/>
        <w:widowControl w:val="0"/>
        <w:numPr>
          <w:ilvl w:val="0"/>
          <w:numId w:val="0"/>
        </w:numPr>
        <w:autoSpaceDE w:val="0"/>
        <w:autoSpaceDN w:val="0"/>
        <w:adjustRightInd w:val="0"/>
        <w:spacing w:before="340" w:after="330" w:line="576" w:lineRule="auto"/>
        <w:ind w:left="480" w:leftChars="0"/>
        <w:jc w:val="center"/>
        <w:outlineLvl w:val="0"/>
        <w:rPr>
          <w:rFonts w:hint="eastAsia" w:asciiTheme="minorEastAsia" w:hAnsiTheme="minorEastAsia" w:eastAsiaTheme="minorEastAsia" w:cstheme="minorEastAsia"/>
          <w:b/>
          <w:bCs/>
          <w:color w:val="000000"/>
          <w:kern w:val="44"/>
          <w:sz w:val="24"/>
          <w:szCs w:val="24"/>
          <w:lang w:val="en-US" w:eastAsia="zh-CN" w:bidi="ar-SA"/>
        </w:rPr>
      </w:pPr>
      <w:r>
        <w:rPr>
          <w:rFonts w:hint="eastAsia" w:asciiTheme="minorEastAsia" w:hAnsiTheme="minorEastAsia" w:eastAsiaTheme="minorEastAsia" w:cstheme="minorEastAsia"/>
          <w:b/>
          <w:bCs/>
          <w:color w:val="000000"/>
          <w:kern w:val="44"/>
          <w:sz w:val="24"/>
          <w:szCs w:val="24"/>
          <w:lang w:val="en-US" w:eastAsia="zh-CN" w:bidi="ar-SA"/>
        </w:rPr>
        <w:t>采购需求</w:t>
      </w:r>
    </w:p>
    <w:p>
      <w:pPr>
        <w:autoSpaceDE w:val="0"/>
        <w:autoSpaceDN w:val="0"/>
        <w:adjustRightInd w:val="0"/>
        <w:ind w:firstLine="482" w:firstLineChars="200"/>
        <w:rPr>
          <w:rFonts w:ascii="宋体" w:hAnsi="宋体" w:eastAsia="宋体" w:cs="Times New Roman"/>
          <w:b/>
          <w:bCs/>
          <w:kern w:val="0"/>
          <w:szCs w:val="21"/>
        </w:rPr>
      </w:pPr>
      <w:r>
        <w:rPr>
          <w:rFonts w:hint="eastAsia" w:ascii="宋体" w:hAnsi="宋体" w:eastAsia="宋体" w:cs="Times New Roman"/>
          <w:b/>
          <w:bCs/>
          <w:kern w:val="0"/>
          <w:szCs w:val="21"/>
        </w:rPr>
        <w:t>一、采购内容及要求</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（一）工作任务</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（1）2021年度用水总量调查统计</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根据省级相关工作部署与安排，按时完成诸暨市2021年度各行业用水情况调查、统计上报和台帐建设工作，并完成《诸暨市2021年用水总量统计分析报告》编制。</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（2）2021年度水资源公报编制</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按照省级相关技术要求，按时完成2021年度的诸暨市水资源公报数据整理、汇总、计算工作，形成诸暨市水资源公报成果，并完成上报工作。</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（3）2021年度最严格水资源管理技术支撑</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按照《国务院关于实行最严格水资源管理制度的意见》（国发〔2012〕3号）、《浙江省人民政府关于实行最严格水资源管理制度全面推进节水型社会建设的意见》（浙政发〔2012〕107号）和诸暨市水利局关于开展2021年度实行最严格水资源管理制度考核工作的要求，按照省、市要求及时、保质、保量上报相关台账和自查报告等。</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（4）2021年度取水户一户一档标准化</w:t>
      </w:r>
    </w:p>
    <w:p>
      <w:pPr>
        <w:autoSpaceDE w:val="0"/>
        <w:autoSpaceDN w:val="0"/>
        <w:adjustRightInd w:val="0"/>
        <w:ind w:firstLine="480" w:firstLineChars="200"/>
        <w:rPr>
          <w:rFonts w:asciiTheme="minorHAnsi" w:hAnsiTheme="minorHAnsi"/>
        </w:rPr>
      </w:pPr>
      <w:r>
        <w:rPr>
          <w:rFonts w:hint="eastAsia" w:ascii="宋体" w:hAnsi="宋体" w:eastAsia="宋体" w:cs="Times New Roman"/>
          <w:kern w:val="0"/>
          <w:szCs w:val="21"/>
        </w:rPr>
        <w:t>按照自备取水户“一户一档”标准化要求，完成全市自备取水户一户一档标准化材料整编支撑工作</w:t>
      </w:r>
      <w:r>
        <w:rPr>
          <w:rFonts w:asciiTheme="minorHAnsi" w:hAnsiTheme="minorHAnsi"/>
        </w:rPr>
        <w:t>，提出存在的问题和整改建议。</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（5）2021年度水源地达标评估</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收集陈蔡水库和石壁水库水源地保护相关制度文件、水量水质资料、取水口、入河排污口、相关治理和管理措施的档案文件，开展保护区内污染情况、植被绿化情况、监控情况的现状调查；针对水源地安全保障达标建设指标要求，编制陈蔡水库和石壁水库水源地2021年度自评估表，整理并汇编相关的档案材料或指标说明，编制2021年度支撑台账。</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（6）东、西江取水影响分析及补偿建议</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调研水权、水量占用补偿相关的法律法规，采用模型方法计算浦阳江东江和西江长系列的来水和用水过程，依据相关法律法规分析并确定东江、西江电站年取水量的取水权，按照考虑西湖生态引水和不考虑西湖生态引水两种工况，分析计算企业、生态引水取水对东、西江电站取水的影响，并依据现有补偿法律法规，遵循公平公正的原则提出补偿建议，为后续解决相关类型的取用水矛盾问题提供有益思路。</w:t>
      </w:r>
    </w:p>
    <w:p>
      <w:pPr>
        <w:autoSpaceDE w:val="0"/>
        <w:autoSpaceDN w:val="0"/>
        <w:adjustRightInd w:val="0"/>
        <w:ind w:firstLine="482" w:firstLineChars="200"/>
        <w:rPr>
          <w:rFonts w:ascii="宋体" w:hAnsi="宋体" w:eastAsia="宋体" w:cs="Times New Roman"/>
          <w:b/>
          <w:bCs/>
          <w:kern w:val="0"/>
          <w:szCs w:val="21"/>
        </w:rPr>
      </w:pPr>
      <w:r>
        <w:rPr>
          <w:rFonts w:hint="eastAsia" w:ascii="宋体" w:hAnsi="宋体" w:eastAsia="宋体" w:cs="Times New Roman"/>
          <w:b/>
          <w:bCs/>
          <w:kern w:val="0"/>
          <w:szCs w:val="21"/>
        </w:rPr>
        <w:t>（二）时间要求</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（1）2022年1月份完成诸暨市重点用水户和一般用水户的用水统计上报复核工作，2022年</w:t>
      </w:r>
      <w:r>
        <w:rPr>
          <w:rFonts w:ascii="宋体" w:hAnsi="宋体" w:eastAsia="宋体" w:cs="Times New Roman"/>
          <w:kern w:val="0"/>
          <w:szCs w:val="21"/>
        </w:rPr>
        <w:t>6</w:t>
      </w:r>
      <w:r>
        <w:rPr>
          <w:rFonts w:hint="eastAsia" w:ascii="宋体" w:hAnsi="宋体" w:eastAsia="宋体" w:cs="Times New Roman"/>
          <w:kern w:val="0"/>
          <w:szCs w:val="21"/>
        </w:rPr>
        <w:t>月底前完成《诸暨市2021年用水总量统计分析报告》；</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（2）2021年12月底前完成水资源公报资料的收集工作，2022年</w:t>
      </w:r>
      <w:r>
        <w:rPr>
          <w:rFonts w:ascii="宋体" w:hAnsi="宋体" w:eastAsia="宋体" w:cs="Times New Roman"/>
          <w:kern w:val="0"/>
          <w:szCs w:val="21"/>
        </w:rPr>
        <w:t>5</w:t>
      </w:r>
      <w:r>
        <w:rPr>
          <w:rFonts w:hint="eastAsia" w:ascii="宋体" w:hAnsi="宋体" w:eastAsia="宋体" w:cs="Times New Roman"/>
          <w:kern w:val="0"/>
          <w:szCs w:val="21"/>
        </w:rPr>
        <w:t>月底前配合诸暨市水利局完成诸暨市水资源公报编制工作；</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（3）根据省、绍兴市要求时间节点前完成最严格水资源管理制度考核自查报告和技术支撑台账等；</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（4）2021年12月底前完成全市自备取水户一户一档标准化材料整编支撑工作（不含水资源论证书（表）编制）；</w:t>
      </w:r>
    </w:p>
    <w:p>
      <w:pPr>
        <w:autoSpaceDE w:val="0"/>
        <w:autoSpaceDN w:val="0"/>
        <w:adjustRightInd w:val="0"/>
        <w:ind w:firstLine="480" w:firstLineChars="200"/>
        <w:rPr>
          <w:rFonts w:ascii="宋体" w:hAnsi="宋体" w:eastAsia="宋体" w:cs="Times New Roman"/>
          <w:kern w:val="0"/>
          <w:szCs w:val="21"/>
        </w:rPr>
      </w:pPr>
      <w:r>
        <w:rPr>
          <w:rFonts w:hint="eastAsia" w:ascii="宋体" w:hAnsi="宋体" w:eastAsia="宋体" w:cs="Times New Roman"/>
          <w:kern w:val="0"/>
          <w:szCs w:val="21"/>
        </w:rPr>
        <w:t>（5）2021年10月底前完成2021年度陈蔡水库和石壁水库水源地现状调查和评估分析，2021年11月底前完成2021年度陈蔡水库和石壁水库水源地评估报告、评估表及支撑台账；</w:t>
      </w:r>
    </w:p>
    <w:p>
      <w:pPr>
        <w:autoSpaceDE w:val="0"/>
        <w:autoSpaceDN w:val="0"/>
        <w:adjustRightInd w:val="0"/>
        <w:ind w:firstLine="480" w:firstLineChars="200"/>
        <w:rPr>
          <w:rFonts w:hint="eastAsia" w:ascii="宋体" w:hAnsi="宋体" w:eastAsia="宋体" w:cs="Times New Roman"/>
          <w:kern w:val="0"/>
          <w:szCs w:val="21"/>
        </w:rPr>
      </w:pPr>
      <w:r>
        <w:rPr>
          <w:rFonts w:hint="eastAsia" w:ascii="宋体" w:hAnsi="宋体" w:eastAsia="宋体" w:cs="Times New Roman"/>
          <w:kern w:val="0"/>
          <w:szCs w:val="21"/>
        </w:rPr>
        <w:t>（6）2021年9月份前完成《诸暨市浦阳江东、西江取水影响分析及补偿建议》初稿，2021年9月底前完成送审稿，2021年10月底前完成报批稿。</w:t>
      </w:r>
    </w:p>
    <w:p>
      <w:pPr>
        <w:autoSpaceDE w:val="0"/>
        <w:autoSpaceDN w:val="0"/>
        <w:adjustRightInd w:val="0"/>
        <w:ind w:firstLine="482" w:firstLineChars="200"/>
        <w:rPr>
          <w:rFonts w:asciiTheme="minorEastAsia" w:hAnsiTheme="minorEastAsia" w:eastAsiaTheme="minorEastAsia" w:cstheme="minorEastAsia"/>
          <w:b w:val="0"/>
          <w:bCs w:val="0"/>
          <w:color w:val="000000"/>
          <w:kern w:val="44"/>
          <w:sz w:val="24"/>
          <w:szCs w:val="24"/>
          <w:lang w:val="en-US" w:eastAsia="zh-CN" w:bidi="ar-SA"/>
        </w:rPr>
      </w:pPr>
      <w:r>
        <w:rPr>
          <w:rFonts w:hint="eastAsia" w:asciiTheme="minorEastAsia" w:hAnsiTheme="minorEastAsia" w:eastAsiaTheme="minorEastAsia" w:cstheme="minorEastAsia"/>
          <w:b/>
          <w:bCs/>
          <w:color w:val="000000"/>
          <w:kern w:val="44"/>
          <w:sz w:val="24"/>
          <w:szCs w:val="24"/>
          <w:lang w:val="en-US" w:eastAsia="zh-CN" w:bidi="ar-SA"/>
        </w:rPr>
        <w:t>（三）付款方式：</w:t>
      </w:r>
      <w:r>
        <w:rPr>
          <w:rFonts w:hint="eastAsia" w:asciiTheme="minorEastAsia" w:hAnsiTheme="minorEastAsia" w:eastAsiaTheme="minorEastAsia" w:cstheme="minorEastAsia"/>
          <w:b w:val="0"/>
          <w:bCs w:val="0"/>
          <w:color w:val="000000"/>
          <w:kern w:val="44"/>
          <w:sz w:val="24"/>
          <w:szCs w:val="24"/>
          <w:lang w:val="en-US" w:eastAsia="zh-CN" w:bidi="ar-SA"/>
        </w:rPr>
        <w:t>项目完成且通过采购人验收后一次性付清所有款项。</w:t>
      </w:r>
    </w:p>
    <w:p>
      <w:pPr>
        <w:widowControl/>
        <w:wordWrap w:val="0"/>
        <w:spacing w:line="240" w:lineRule="auto"/>
        <w:ind w:firstLine="482"/>
        <w:rPr>
          <w:rFonts w:asciiTheme="minorEastAsia" w:hAnsiTheme="minorEastAsia" w:cstheme="minorEastAsia"/>
          <w:b/>
          <w:bCs/>
          <w:spacing w:val="-8"/>
          <w:shd w:val="clear" w:color="auto" w:fill="CCFFFF"/>
        </w:rPr>
      </w:pPr>
      <w:r>
        <w:rPr>
          <w:rFonts w:hint="eastAsia" w:asciiTheme="minorEastAsia" w:hAnsiTheme="minorEastAsia" w:cstheme="minorEastAsia"/>
          <w:b/>
          <w:bCs/>
        </w:rPr>
        <w:t>（四）最高限价：</w:t>
      </w:r>
      <w:r>
        <w:rPr>
          <w:rFonts w:hint="eastAsia" w:asciiTheme="minorEastAsia" w:hAnsiTheme="minorEastAsia" w:cstheme="minorEastAsia"/>
          <w:b/>
          <w:bCs/>
          <w:kern w:val="0"/>
        </w:rPr>
        <w:t>本次招标标的最高限价为</w:t>
      </w:r>
      <w:r>
        <w:rPr>
          <w:rFonts w:hint="eastAsia" w:asciiTheme="minorEastAsia" w:hAnsiTheme="minorEastAsia" w:cstheme="minorEastAsia"/>
          <w:b/>
          <w:bCs/>
          <w:kern w:val="0"/>
          <w:u w:val="single"/>
        </w:rPr>
        <w:t>人民币</w:t>
      </w:r>
      <w:r>
        <w:rPr>
          <w:rFonts w:hint="eastAsia" w:asciiTheme="minorEastAsia" w:hAnsiTheme="minorEastAsia" w:cstheme="minorEastAsia"/>
          <w:b/>
          <w:bCs/>
          <w:kern w:val="0"/>
          <w:u w:val="single"/>
          <w:lang w:eastAsia="zh-CN"/>
        </w:rPr>
        <w:t>壹佰贰拾壹万贰仟元</w:t>
      </w:r>
      <w:r>
        <w:rPr>
          <w:rFonts w:hint="eastAsia" w:asciiTheme="minorEastAsia" w:hAnsiTheme="minorEastAsia" w:cstheme="minorEastAsia"/>
          <w:b/>
          <w:bCs/>
          <w:kern w:val="0"/>
          <w:u w:val="single"/>
        </w:rPr>
        <w:t>（¥1212000.00）整</w:t>
      </w:r>
      <w:r>
        <w:rPr>
          <w:rFonts w:hint="eastAsia" w:asciiTheme="minorEastAsia" w:hAnsiTheme="minorEastAsia" w:cstheme="minorEastAsia"/>
          <w:b/>
          <w:bCs/>
          <w:kern w:val="0"/>
        </w:rPr>
        <w:t>，任何超过最高限价的报价将被认定为无效报价。</w:t>
      </w:r>
    </w:p>
    <w:p>
      <w:pPr>
        <w:keepNext w:val="0"/>
        <w:keepLines w:val="0"/>
        <w:pageBreakBefore w:val="0"/>
        <w:widowControl/>
        <w:kinsoku/>
        <w:wordWrap w:val="0"/>
        <w:overflowPunct/>
        <w:topLinePunct w:val="0"/>
        <w:autoSpaceDE/>
        <w:autoSpaceDN/>
        <w:bidi w:val="0"/>
        <w:adjustRightInd/>
        <w:snapToGrid/>
        <w:spacing w:line="240" w:lineRule="auto"/>
        <w:ind w:firstLine="482"/>
        <w:textAlignment w:val="auto"/>
        <w:rPr>
          <w:rFonts w:hint="eastAsia" w:asciiTheme="minorEastAsia" w:hAnsiTheme="minorEastAsia" w:eastAsiaTheme="minorEastAsia" w:cstheme="minorEastAsia"/>
          <w:b/>
          <w:bCs/>
          <w:color w:val="auto"/>
          <w:spacing w:val="-8"/>
          <w:kern w:val="2"/>
          <w:sz w:val="24"/>
          <w:szCs w:val="24"/>
          <w:highlight w:val="none"/>
          <w:shd w:val="clear" w:color="auto" w:fill="CCFFFF"/>
        </w:rPr>
      </w:pPr>
    </w:p>
    <w:p>
      <w:pPr>
        <w:pStyle w:val="3"/>
        <w:numPr>
          <w:ilvl w:val="0"/>
          <w:numId w:val="0"/>
        </w:numPr>
        <w:spacing w:line="360" w:lineRule="auto"/>
        <w:ind w:left="480" w:leftChars="0"/>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3CF85"/>
    <w:multiLevelType w:val="multilevel"/>
    <w:tmpl w:val="A8D3CF85"/>
    <w:lvl w:ilvl="0" w:tentative="0">
      <w:start w:val="1"/>
      <w:numFmt w:val="chineseCounting"/>
      <w:pStyle w:val="3"/>
      <w:suff w:val="nothing"/>
      <w:lvlText w:val="%1、"/>
      <w:lvlJc w:val="left"/>
      <w:pPr>
        <w:ind w:left="0" w:firstLine="0"/>
      </w:pPr>
      <w:rPr>
        <w:rFonts w:hint="eastAsia"/>
      </w:rPr>
    </w:lvl>
    <w:lvl w:ilvl="1" w:tentative="0">
      <w:start w:val="1"/>
      <w:numFmt w:val="chineseCounting"/>
      <w:pStyle w:val="2"/>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8C10A03"/>
    <w:multiLevelType w:val="multilevel"/>
    <w:tmpl w:val="08C10A03"/>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default" w:ascii="Times New Roman" w:hAnsi="Times New Roman" w:eastAsia="宋体"/>
        <w:i w:val="0"/>
        <w:iCs w:val="0"/>
        <w:caps w:val="0"/>
        <w:smallCaps w:val="0"/>
        <w:strike w:val="0"/>
        <w:dstrike w:val="0"/>
        <w:vanish w:val="0"/>
        <w:spacing w:val="0"/>
        <w:position w:val="0"/>
        <w:u w:val="none"/>
        <w:vertAlign w:val="baseline"/>
        <w14:ligatures w14:val="none"/>
        <w14:numForm w14:val="default"/>
        <w14:numSpacing w14:val="default"/>
      </w:rPr>
    </w:lvl>
    <w:lvl w:ilvl="2" w:tentative="0">
      <w:start w:val="1"/>
      <w:numFmt w:val="decimal"/>
      <w:pStyle w:val="4"/>
      <w:suff w:val="space"/>
      <w:lvlText w:val="%1.%2.%3"/>
      <w:lvlJc w:val="left"/>
      <w:pPr>
        <w:ind w:left="709" w:hanging="709"/>
      </w:pPr>
      <w:rPr>
        <w:rFonts w:hint="eastAsia" w:ascii="Times New Roman" w:hAnsi="Times New Roman"/>
        <w:b/>
        <w:bCs w:val="0"/>
        <w:i w:val="0"/>
        <w:iCs w:val="0"/>
        <w:caps w:val="0"/>
        <w:smallCaps w:val="0"/>
        <w:strike w:val="0"/>
        <w:dstrike w:val="0"/>
        <w:vanish w:val="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space"/>
      <w:lvlText w:val="%1.%2.%3.%4."/>
      <w:lvlJc w:val="left"/>
      <w:pPr>
        <w:ind w:left="0" w:firstLine="0"/>
      </w:pPr>
      <w:rPr>
        <w:rFonts w:hint="eastAsia" w:ascii="Times New Roman" w:hAnsi="Times New Roman"/>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D01A23"/>
    <w:rsid w:val="05970DED"/>
    <w:rsid w:val="108977A6"/>
    <w:rsid w:val="168C7B9C"/>
    <w:rsid w:val="350D25B9"/>
    <w:rsid w:val="37302026"/>
    <w:rsid w:val="3F123AEE"/>
    <w:rsid w:val="3F3E2CD9"/>
    <w:rsid w:val="40CD5A52"/>
    <w:rsid w:val="48857677"/>
    <w:rsid w:val="4BD06BB6"/>
    <w:rsid w:val="533949CF"/>
    <w:rsid w:val="62D805F2"/>
    <w:rsid w:val="66BC5C31"/>
    <w:rsid w:val="6D586539"/>
    <w:rsid w:val="75334FFF"/>
    <w:rsid w:val="79D01A23"/>
    <w:rsid w:val="7F40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Ascii" w:hAnsiTheme="minorAscii" w:eastAsiaTheme="minorEastAsia" w:cstheme="minorBidi"/>
      <w:kern w:val="2"/>
      <w:sz w:val="24"/>
      <w:szCs w:val="24"/>
      <w:lang w:val="en-US" w:eastAsia="zh-CN" w:bidi="ar-SA"/>
    </w:rPr>
  </w:style>
  <w:style w:type="paragraph" w:styleId="3">
    <w:name w:val="heading 1"/>
    <w:next w:val="1"/>
    <w:qFormat/>
    <w:uiPriority w:val="0"/>
    <w:pPr>
      <w:keepNext/>
      <w:keepLines/>
      <w:widowControl w:val="0"/>
      <w:numPr>
        <w:ilvl w:val="0"/>
        <w:numId w:val="1"/>
      </w:numPr>
      <w:autoSpaceDE w:val="0"/>
      <w:autoSpaceDN w:val="0"/>
      <w:adjustRightInd w:val="0"/>
      <w:spacing w:before="340" w:after="330" w:line="576" w:lineRule="auto"/>
      <w:ind w:firstLine="480" w:firstLineChars="0"/>
      <w:jc w:val="both"/>
      <w:outlineLvl w:val="0"/>
    </w:pPr>
    <w:rPr>
      <w:rFonts w:ascii="Calibri" w:hAnsi="Calibri" w:eastAsia="宋体" w:cs="Times New Roman"/>
      <w:b/>
      <w:bCs/>
      <w:color w:val="000000"/>
      <w:kern w:val="44"/>
      <w:sz w:val="32"/>
      <w:szCs w:val="32"/>
      <w:lang w:val="en-US" w:eastAsia="zh-CN" w:bidi="ar-SA"/>
    </w:rPr>
  </w:style>
  <w:style w:type="paragraph" w:styleId="2">
    <w:name w:val="heading 2"/>
    <w:next w:val="1"/>
    <w:semiHidden/>
    <w:unhideWhenUsed/>
    <w:qFormat/>
    <w:uiPriority w:val="0"/>
    <w:pPr>
      <w:keepNext/>
      <w:keepLines/>
      <w:widowControl w:val="0"/>
      <w:numPr>
        <w:ilvl w:val="1"/>
        <w:numId w:val="1"/>
      </w:numPr>
      <w:autoSpaceDE w:val="0"/>
      <w:autoSpaceDN w:val="0"/>
      <w:adjustRightInd w:val="0"/>
      <w:spacing w:before="260" w:after="260" w:line="413" w:lineRule="auto"/>
      <w:ind w:firstLine="480" w:firstLineChars="0"/>
      <w:jc w:val="both"/>
      <w:outlineLvl w:val="1"/>
    </w:pPr>
    <w:rPr>
      <w:rFonts w:ascii="Arial" w:hAnsi="Arial" w:eastAsia="黑体" w:cstheme="minorBidi"/>
      <w:b/>
      <w:color w:val="000000"/>
      <w:sz w:val="32"/>
      <w:szCs w:val="21"/>
      <w:lang w:val="en-US" w:eastAsia="zh-CN" w:bidi="ar-SA"/>
    </w:rPr>
  </w:style>
  <w:style w:type="paragraph" w:styleId="4">
    <w:name w:val="heading 3"/>
    <w:next w:val="1"/>
    <w:unhideWhenUsed/>
    <w:qFormat/>
    <w:uiPriority w:val="9"/>
    <w:pPr>
      <w:keepNext/>
      <w:keepLines/>
      <w:numPr>
        <w:ilvl w:val="2"/>
        <w:numId w:val="2"/>
      </w:numPr>
      <w:spacing w:before="120" w:after="120"/>
      <w:outlineLvl w:val="2"/>
    </w:pPr>
    <w:rPr>
      <w:rFonts w:ascii="Times New Roman" w:hAnsi="Times New Roman" w:eastAsia="仿宋" w:cstheme="minorBidi"/>
      <w:b/>
      <w:bCs/>
      <w:kern w:val="2"/>
      <w:sz w:val="28"/>
      <w:szCs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next w:val="6"/>
    <w:qFormat/>
    <w:uiPriority w:val="0"/>
    <w:pPr>
      <w:spacing w:line="360" w:lineRule="auto"/>
      <w:ind w:firstLine="420" w:firstLineChars="200"/>
    </w:pPr>
    <w:rPr>
      <w:rFonts w:ascii="Times New Roman" w:hAnsi="Times New Roman" w:eastAsia="宋体" w:cstheme="minorBidi"/>
      <w:sz w:val="28"/>
      <w:szCs w:val="22"/>
      <w:lang w:val="en-US" w:eastAsia="zh-CN" w:bidi="ar-SA"/>
    </w:rPr>
  </w:style>
  <w:style w:type="paragraph" w:styleId="6">
    <w:name w:val="Body Text Indent"/>
    <w:next w:val="5"/>
    <w:qFormat/>
    <w:uiPriority w:val="0"/>
    <w:pPr>
      <w:spacing w:after="120" w:line="360" w:lineRule="auto"/>
      <w:ind w:left="420" w:leftChars="200" w:firstLine="480" w:firstLineChars="200"/>
    </w:pPr>
    <w:rPr>
      <w:rFonts w:ascii="Times New Roman" w:hAnsi="Times New Roman" w:eastAsia="宋体" w:cstheme="minorBidi"/>
      <w:sz w:val="28"/>
      <w:szCs w:val="22"/>
      <w:lang w:val="en-US" w:eastAsia="zh-CN" w:bidi="ar-SA"/>
    </w:rPr>
  </w:style>
  <w:style w:type="paragraph" w:styleId="7">
    <w:name w:val="Body Text"/>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8">
    <w:name w:val="Body Text First Indent 2"/>
    <w:next w:val="9"/>
    <w:qFormat/>
    <w:uiPriority w:val="0"/>
    <w:pPr>
      <w:spacing w:after="120" w:line="360" w:lineRule="auto"/>
      <w:ind w:left="420" w:leftChars="200" w:firstLine="420" w:firstLineChars="200"/>
    </w:pPr>
    <w:rPr>
      <w:rFonts w:ascii="Times New Roman" w:hAnsi="Times New Roman" w:eastAsia="宋体" w:cs="Times New Roman"/>
      <w:sz w:val="28"/>
      <w:szCs w:val="22"/>
      <w:lang w:val="en-US" w:eastAsia="zh-CN" w:bidi="ar-SA"/>
    </w:rPr>
  </w:style>
  <w:style w:type="paragraph" w:customStyle="1" w:styleId="9">
    <w:name w:val="xl53"/>
    <w:next w:val="1"/>
    <w:qFormat/>
    <w:uiPriority w:val="0"/>
    <w:pPr>
      <w:spacing w:before="280" w:after="280" w:line="100" w:lineRule="exact"/>
      <w:ind w:firstLine="480" w:firstLineChars="200"/>
      <w:jc w:val="center"/>
    </w:pPr>
    <w:rPr>
      <w:rFonts w:ascii="宋体" w:hAnsi="Times New Roman" w:eastAsia="宋体" w:cstheme="minorBidi"/>
      <w:b/>
      <w:sz w:val="20"/>
      <w:szCs w:val="22"/>
      <w:lang w:val="en-US" w:eastAsia="zh-CN" w:bidi="ar-SA"/>
    </w:rPr>
  </w:style>
  <w:style w:type="paragraph" w:customStyle="1" w:styleId="12">
    <w:name w:val="Body text|1"/>
    <w:qFormat/>
    <w:uiPriority w:val="0"/>
    <w:pPr>
      <w:widowControl w:val="0"/>
      <w:spacing w:line="449" w:lineRule="auto"/>
      <w:ind w:firstLine="400" w:firstLineChars="200"/>
    </w:pPr>
    <w:rPr>
      <w:rFonts w:ascii="宋体" w:hAnsi="宋体" w:eastAsia="宋体" w:cs="宋体"/>
      <w:sz w:val="26"/>
      <w:szCs w:val="26"/>
      <w:lang w:val="zh-TW" w:eastAsia="zh-TW" w:bidi="zh-TW"/>
    </w:rPr>
  </w:style>
  <w:style w:type="paragraph" w:customStyle="1" w:styleId="13">
    <w:name w:val="Table Paragraph"/>
    <w:qFormat/>
    <w:uiPriority w:val="1"/>
    <w:pPr>
      <w:widowControl w:val="0"/>
      <w:autoSpaceDE w:val="0"/>
      <w:autoSpaceDN w:val="0"/>
      <w:adjustRightInd w:val="0"/>
      <w:spacing w:line="360" w:lineRule="auto"/>
      <w:ind w:firstLine="480" w:firstLineChars="200"/>
      <w:jc w:val="both"/>
    </w:pPr>
    <w:rPr>
      <w:rFonts w:ascii="微软雅黑" w:hAnsi="微软雅黑" w:eastAsia="微软雅黑" w:cs="微软雅黑"/>
      <w:color w:val="000000"/>
      <w:sz w:val="28"/>
      <w:szCs w:val="21"/>
      <w:lang w:val="en-US" w:eastAsia="zh-CN" w:bidi="ar-SA"/>
    </w:rPr>
  </w:style>
  <w:style w:type="paragraph" w:customStyle="1" w:styleId="14">
    <w:name w:val="正文1"/>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szCs w:val="20"/>
      <w:lang w:val="en-US" w:eastAsia="zh-CN" w:bidi="ar-SA"/>
    </w:rPr>
  </w:style>
  <w:style w:type="paragraph" w:styleId="15">
    <w:name w:val="List Paragraph"/>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6">
    <w:name w:val="正文 "/>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szCs w:val="20"/>
      <w:lang w:val="en-US" w:eastAsia="zh-CN" w:bidi="ar-SA"/>
    </w:rPr>
  </w:style>
  <w:style w:type="paragraph" w:customStyle="1" w:styleId="17">
    <w:name w:val="表格1"/>
    <w:qFormat/>
    <w:uiPriority w:val="0"/>
    <w:pPr>
      <w:widowControl w:val="0"/>
      <w:jc w:val="both"/>
    </w:pPr>
    <w:rPr>
      <w:rFonts w:ascii="仿宋_GB2312"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2021-05-13T01:58:00Z</dcterms:created>
  <dc:creator>胡说八道的胖胖</dc:creator>
  <cp:lastModifiedBy>胡说八道的胖胖</cp:lastModifiedBy>
  <cp:lastPrinted>2021-06-02T07:11:00Z</cp:lastPrinted>
  <dcterms:modified xsi:type="dcterms:W3CDTF">2021-07-01T01:25:15Z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C675D1AA384840ECB9DED422D2E0CBEA</vt:lpwstr>
  </property>
</Properties>
</file>