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tabs>
          <w:tab w:val="center" w:pos="4590"/>
          <w:tab w:val="left" w:pos="8246"/>
        </w:tabs>
        <w:snapToGrid w:val="0"/>
        <w:spacing w:line="940" w:lineRule="exact"/>
        <w:jc w:val="center"/>
        <w:rPr>
          <w:rFonts w:ascii="仿宋_GB2312" w:hAnsi="宋体" w:eastAsia="仿宋_GB2312" w:cs="宋体"/>
          <w:b/>
          <w:bCs/>
          <w:spacing w:val="-20"/>
          <w:kern w:val="0"/>
          <w:sz w:val="48"/>
          <w:szCs w:val="48"/>
        </w:rPr>
      </w:pPr>
      <w:r>
        <w:rPr>
          <w:rFonts w:hint="eastAsia" w:ascii="仿宋_GB2312" w:hAnsi="宋体" w:eastAsia="仿宋_GB2312" w:cs="宋体"/>
          <w:b/>
          <w:bCs/>
          <w:spacing w:val="-20"/>
          <w:kern w:val="0"/>
          <w:sz w:val="48"/>
          <w:szCs w:val="48"/>
        </w:rPr>
        <w:t>长兴县太湖高级中学综合管理平台系统采购项目</w:t>
      </w:r>
    </w:p>
    <w:p>
      <w:pPr>
        <w:spacing w:beforeLines="50"/>
        <w:jc w:val="center"/>
        <w:rPr>
          <w:rFonts w:ascii="宋体" w:hAnsi="宋体" w:cs="宋体"/>
          <w:b/>
          <w:bCs/>
          <w:sz w:val="48"/>
          <w:szCs w:val="48"/>
        </w:rPr>
      </w:pPr>
    </w:p>
    <w:p>
      <w:pPr>
        <w:widowControl/>
        <w:jc w:val="left"/>
        <w:rPr>
          <w:rFonts w:ascii="宋体" w:hAnsi="宋体" w:cs="宋体"/>
          <w:b/>
          <w:bCs/>
          <w:kern w:val="0"/>
          <w:sz w:val="24"/>
        </w:rPr>
      </w:pPr>
    </w:p>
    <w:p>
      <w:pPr>
        <w:widowControl/>
        <w:jc w:val="left"/>
        <w:rPr>
          <w:rFonts w:ascii="宋体" w:hAnsi="宋体" w:cs="宋体"/>
          <w:b/>
          <w:bCs/>
          <w:kern w:val="0"/>
          <w:sz w:val="24"/>
        </w:rPr>
      </w:pPr>
    </w:p>
    <w:p>
      <w:pPr>
        <w:snapToGrid w:val="0"/>
        <w:spacing w:line="460" w:lineRule="exact"/>
        <w:ind w:firstLine="422" w:firstLineChars="200"/>
        <w:rPr>
          <w:rFonts w:ascii="宋体" w:hAnsi="宋体" w:cs="宋体"/>
          <w:b/>
          <w:bCs/>
          <w:szCs w:val="21"/>
        </w:rPr>
      </w:pPr>
    </w:p>
    <w:p>
      <w:pPr>
        <w:snapToGrid w:val="0"/>
        <w:spacing w:line="460" w:lineRule="exact"/>
        <w:ind w:firstLine="422" w:firstLineChars="200"/>
        <w:rPr>
          <w:rFonts w:ascii="宋体" w:hAnsi="宋体" w:cs="宋体"/>
          <w:b/>
          <w:bCs/>
          <w:szCs w:val="21"/>
        </w:rPr>
      </w:pPr>
    </w:p>
    <w:p>
      <w:pPr>
        <w:spacing w:beforeLines="50"/>
        <w:jc w:val="center"/>
        <w:rPr>
          <w:rFonts w:ascii="宋体" w:hAnsi="宋体" w:cs="宋体"/>
          <w:b/>
          <w:bCs/>
          <w:szCs w:val="21"/>
        </w:rPr>
      </w:pPr>
    </w:p>
    <w:p>
      <w:pPr>
        <w:spacing w:beforeLines="50"/>
        <w:rPr>
          <w:rFonts w:ascii="宋体" w:hAnsi="宋体" w:cs="宋体"/>
          <w:b/>
          <w:bCs/>
          <w:sz w:val="48"/>
          <w:szCs w:val="48"/>
        </w:rPr>
      </w:pPr>
    </w:p>
    <w:p>
      <w:pPr>
        <w:widowControl/>
        <w:tabs>
          <w:tab w:val="center" w:pos="4590"/>
          <w:tab w:val="left" w:pos="8246"/>
        </w:tabs>
        <w:snapToGrid w:val="0"/>
        <w:spacing w:line="940" w:lineRule="exact"/>
        <w:jc w:val="center"/>
        <w:rPr>
          <w:rFonts w:ascii="黑体" w:hAnsi="宋体" w:eastAsia="黑体" w:cs="宋体"/>
          <w:b/>
          <w:bCs/>
          <w:kern w:val="0"/>
          <w:sz w:val="72"/>
          <w:szCs w:val="72"/>
        </w:rPr>
      </w:pPr>
      <w:r>
        <w:rPr>
          <w:rFonts w:hint="eastAsia" w:ascii="黑体" w:hAnsi="宋体" w:eastAsia="黑体" w:cs="宋体"/>
          <w:b/>
          <w:bCs/>
          <w:kern w:val="0"/>
          <w:sz w:val="72"/>
          <w:szCs w:val="72"/>
        </w:rPr>
        <w:t>竞争性磋商文件</w:t>
      </w:r>
    </w:p>
    <w:p>
      <w:pPr>
        <w:widowControl/>
        <w:tabs>
          <w:tab w:val="center" w:pos="4590"/>
          <w:tab w:val="left" w:pos="8246"/>
        </w:tabs>
        <w:snapToGrid w:val="0"/>
        <w:spacing w:line="940" w:lineRule="exact"/>
        <w:jc w:val="center"/>
        <w:rPr>
          <w:rFonts w:ascii="宋体" w:hAnsi="宋体" w:cs="宋体"/>
          <w:b/>
          <w:bCs/>
          <w:kern w:val="0"/>
          <w:sz w:val="30"/>
          <w:szCs w:val="30"/>
        </w:rPr>
      </w:pPr>
    </w:p>
    <w:p>
      <w:pPr>
        <w:snapToGrid w:val="0"/>
        <w:spacing w:beforeLines="50" w:line="360" w:lineRule="auto"/>
        <w:rPr>
          <w:rFonts w:ascii="宋体" w:hAnsi="宋体" w:cs="宋体"/>
          <w:b/>
          <w:bCs/>
          <w:sz w:val="30"/>
          <w:szCs w:val="72"/>
        </w:rPr>
      </w:pPr>
    </w:p>
    <w:p>
      <w:pPr>
        <w:snapToGrid w:val="0"/>
        <w:spacing w:beforeLines="50" w:line="360" w:lineRule="auto"/>
        <w:rPr>
          <w:rFonts w:ascii="宋体" w:hAnsi="宋体" w:cs="宋体"/>
          <w:b/>
          <w:bCs/>
          <w:sz w:val="30"/>
          <w:szCs w:val="72"/>
        </w:rPr>
      </w:pPr>
    </w:p>
    <w:p>
      <w:pPr>
        <w:pStyle w:val="18"/>
        <w:snapToGrid w:val="0"/>
        <w:spacing w:before="120" w:after="120" w:line="360" w:lineRule="auto"/>
        <w:rPr>
          <w:rFonts w:hAnsi="宋体" w:cs="宋体"/>
          <w:b/>
          <w:bCs/>
          <w:sz w:val="30"/>
          <w:szCs w:val="30"/>
        </w:rPr>
      </w:pPr>
    </w:p>
    <w:p>
      <w:pPr>
        <w:autoSpaceDE w:val="0"/>
        <w:autoSpaceDN w:val="0"/>
        <w:rPr>
          <w:rFonts w:ascii="黑体" w:hAnsi="宋体" w:eastAsia="黑体"/>
          <w:color w:val="000000"/>
          <w:sz w:val="30"/>
          <w:szCs w:val="30"/>
        </w:rPr>
      </w:pPr>
      <w:r>
        <w:rPr>
          <w:rFonts w:hint="eastAsia" w:ascii="黑体" w:hAnsi="宋体" w:eastAsia="黑体"/>
          <w:color w:val="000000"/>
          <w:sz w:val="30"/>
          <w:szCs w:val="30"/>
        </w:rPr>
        <w:t>项目编号： HZJNCG-201</w:t>
      </w:r>
      <w:r>
        <w:rPr>
          <w:rFonts w:hint="eastAsia" w:ascii="黑体" w:hAnsi="宋体" w:eastAsia="黑体"/>
          <w:color w:val="000000"/>
          <w:sz w:val="30"/>
          <w:szCs w:val="30"/>
          <w:lang w:val="en-US" w:eastAsia="zh-CN"/>
        </w:rPr>
        <w:t>9</w:t>
      </w:r>
      <w:r>
        <w:rPr>
          <w:rFonts w:hint="eastAsia" w:ascii="黑体" w:hAnsi="宋体" w:eastAsia="黑体"/>
          <w:color w:val="000000"/>
          <w:sz w:val="30"/>
          <w:szCs w:val="30"/>
        </w:rPr>
        <w:t>-</w:t>
      </w:r>
      <w:r>
        <w:rPr>
          <w:rFonts w:hint="eastAsia" w:ascii="黑体" w:hAnsi="宋体" w:eastAsia="黑体"/>
          <w:color w:val="000000"/>
          <w:sz w:val="30"/>
          <w:szCs w:val="30"/>
          <w:lang w:val="en-US" w:eastAsia="zh-CN"/>
        </w:rPr>
        <w:t>04</w:t>
      </w:r>
    </w:p>
    <w:p>
      <w:pPr>
        <w:autoSpaceDE w:val="0"/>
        <w:autoSpaceDN w:val="0"/>
        <w:rPr>
          <w:rFonts w:ascii="黑体" w:hAnsi="宋体" w:eastAsia="黑体"/>
          <w:color w:val="000000"/>
          <w:sz w:val="30"/>
          <w:szCs w:val="30"/>
        </w:rPr>
      </w:pPr>
      <w:r>
        <w:rPr>
          <w:rFonts w:hint="eastAsia" w:ascii="黑体" w:hAnsi="宋体" w:eastAsia="黑体"/>
          <w:color w:val="000000"/>
          <w:sz w:val="30"/>
          <w:szCs w:val="30"/>
        </w:rPr>
        <w:t>项目名称：长兴县太湖高级中学综合管理平台系统采购项目</w:t>
      </w:r>
    </w:p>
    <w:p>
      <w:pPr>
        <w:autoSpaceDE w:val="0"/>
        <w:autoSpaceDN w:val="0"/>
        <w:rPr>
          <w:rFonts w:ascii="黑体" w:hAnsi="宋体" w:eastAsia="黑体"/>
          <w:color w:val="000000"/>
          <w:sz w:val="30"/>
          <w:szCs w:val="30"/>
        </w:rPr>
      </w:pPr>
      <w:r>
        <w:rPr>
          <w:rFonts w:hint="eastAsia" w:ascii="黑体" w:hAnsi="宋体" w:eastAsia="黑体"/>
          <w:color w:val="000000"/>
          <w:sz w:val="30"/>
          <w:szCs w:val="30"/>
        </w:rPr>
        <w:t>采购单位：长兴县太湖高级中学</w:t>
      </w:r>
    </w:p>
    <w:p>
      <w:pPr>
        <w:autoSpaceDE w:val="0"/>
        <w:autoSpaceDN w:val="0"/>
        <w:rPr>
          <w:rFonts w:ascii="黑体" w:hAnsi="宋体" w:eastAsia="黑体"/>
          <w:color w:val="000000"/>
          <w:sz w:val="30"/>
          <w:szCs w:val="30"/>
        </w:rPr>
      </w:pPr>
      <w:r>
        <w:rPr>
          <w:rFonts w:hint="eastAsia" w:ascii="黑体" w:hAnsi="宋体" w:eastAsia="黑体"/>
          <w:color w:val="000000"/>
          <w:sz w:val="30"/>
          <w:szCs w:val="30"/>
        </w:rPr>
        <w:t>代理机构：湖州建宁工程咨询有限公司</w:t>
      </w:r>
    </w:p>
    <w:p>
      <w:pPr>
        <w:widowControl/>
        <w:tabs>
          <w:tab w:val="center" w:pos="4590"/>
          <w:tab w:val="left" w:pos="8246"/>
        </w:tabs>
        <w:snapToGrid w:val="0"/>
        <w:spacing w:line="940" w:lineRule="exact"/>
        <w:jc w:val="center"/>
        <w:rPr>
          <w:rFonts w:ascii="宋体" w:hAnsi="宋体" w:cs="宋体"/>
          <w:b/>
          <w:bCs/>
          <w:kern w:val="0"/>
          <w:sz w:val="32"/>
          <w:szCs w:val="32"/>
        </w:rPr>
      </w:pPr>
    </w:p>
    <w:p>
      <w:pPr>
        <w:widowControl/>
        <w:tabs>
          <w:tab w:val="center" w:pos="4590"/>
          <w:tab w:val="left" w:pos="8246"/>
        </w:tabs>
        <w:snapToGrid w:val="0"/>
        <w:spacing w:line="940" w:lineRule="exact"/>
        <w:jc w:val="center"/>
        <w:rPr>
          <w:rFonts w:ascii="宋体" w:hAnsi="宋体" w:cs="宋体"/>
          <w:b/>
          <w:bCs/>
          <w:kern w:val="0"/>
          <w:sz w:val="32"/>
          <w:szCs w:val="32"/>
        </w:rPr>
      </w:pPr>
      <w:r>
        <w:rPr>
          <w:rFonts w:hint="eastAsia" w:ascii="宋体" w:hAnsi="宋体" w:cs="宋体"/>
          <w:b/>
          <w:bCs/>
          <w:kern w:val="0"/>
          <w:sz w:val="32"/>
          <w:szCs w:val="32"/>
        </w:rPr>
        <w:t>二O一</w:t>
      </w:r>
      <w:r>
        <w:rPr>
          <w:rFonts w:hint="eastAsia" w:ascii="宋体" w:hAnsi="宋体" w:cs="宋体"/>
          <w:b/>
          <w:bCs/>
          <w:kern w:val="0"/>
          <w:sz w:val="32"/>
          <w:szCs w:val="32"/>
          <w:lang w:val="en-US" w:eastAsia="zh-CN"/>
        </w:rPr>
        <w:t>九</w:t>
      </w:r>
      <w:r>
        <w:rPr>
          <w:rFonts w:hint="eastAsia" w:ascii="宋体" w:hAnsi="宋体" w:cs="宋体"/>
          <w:b/>
          <w:bCs/>
          <w:kern w:val="0"/>
          <w:sz w:val="32"/>
          <w:szCs w:val="32"/>
        </w:rPr>
        <w:t>年二月</w:t>
      </w:r>
    </w:p>
    <w:p>
      <w:pPr>
        <w:spacing w:line="360" w:lineRule="auto"/>
        <w:rPr>
          <w:rFonts w:ascii="宋体" w:hAnsi="宋体" w:cs="黑体"/>
          <w:b/>
          <w:bCs/>
          <w:sz w:val="32"/>
          <w:szCs w:val="32"/>
        </w:rPr>
      </w:pPr>
    </w:p>
    <w:p>
      <w:pPr>
        <w:adjustRightInd w:val="0"/>
        <w:snapToGrid w:val="0"/>
        <w:spacing w:line="600" w:lineRule="exact"/>
        <w:jc w:val="center"/>
        <w:rPr>
          <w:b/>
          <w:sz w:val="52"/>
          <w:szCs w:val="52"/>
        </w:rPr>
      </w:pPr>
    </w:p>
    <w:p>
      <w:pPr>
        <w:adjustRightInd w:val="0"/>
        <w:snapToGrid w:val="0"/>
        <w:spacing w:line="600" w:lineRule="exact"/>
        <w:jc w:val="center"/>
        <w:rPr>
          <w:b/>
          <w:sz w:val="52"/>
          <w:szCs w:val="52"/>
        </w:rPr>
      </w:pPr>
      <w:r>
        <w:rPr>
          <w:rFonts w:hint="eastAsia"/>
          <w:b/>
          <w:sz w:val="52"/>
          <w:szCs w:val="52"/>
        </w:rPr>
        <w:t>目    录</w:t>
      </w:r>
    </w:p>
    <w:p>
      <w:pPr>
        <w:adjustRightInd w:val="0"/>
        <w:snapToGrid w:val="0"/>
        <w:spacing w:line="400" w:lineRule="exact"/>
        <w:rPr>
          <w:b/>
          <w:sz w:val="28"/>
          <w:szCs w:val="28"/>
        </w:rPr>
      </w:pPr>
    </w:p>
    <w:p>
      <w:pPr>
        <w:pStyle w:val="25"/>
        <w:tabs>
          <w:tab w:val="right" w:leader="dot" w:pos="8799"/>
          <w:tab w:val="clear" w:pos="9628"/>
        </w:tabs>
      </w:pPr>
      <w:bookmarkStart w:id="0" w:name="_Toc267064626"/>
      <w:r>
        <w:fldChar w:fldCharType="begin"/>
      </w:r>
      <w:r>
        <w:instrText xml:space="preserve"> TOC \o "1-3" \h \z \u </w:instrText>
      </w:r>
      <w:r>
        <w:fldChar w:fldCharType="separate"/>
      </w:r>
      <w:r>
        <w:fldChar w:fldCharType="begin"/>
      </w:r>
      <w:r>
        <w:instrText xml:space="preserve"> HYPERLINK \l "_Toc26675" </w:instrText>
      </w:r>
      <w:r>
        <w:fldChar w:fldCharType="separate"/>
      </w:r>
      <w:r>
        <w:rPr>
          <w:rFonts w:hint="eastAsia" w:ascii="黑体" w:hAnsi="宋体" w:eastAsia="黑体"/>
          <w:kern w:val="2"/>
          <w:szCs w:val="30"/>
        </w:rPr>
        <w:t>第一章 竞争性磋商公告</w:t>
      </w:r>
      <w:r>
        <w:tab/>
      </w:r>
      <w:r>
        <w:fldChar w:fldCharType="begin"/>
      </w:r>
      <w:r>
        <w:instrText xml:space="preserve"> PAGEREF _Toc26675 </w:instrText>
      </w:r>
      <w:r>
        <w:fldChar w:fldCharType="separate"/>
      </w:r>
      <w:r>
        <w:t>- 2 -</w:t>
      </w:r>
      <w:r>
        <w:fldChar w:fldCharType="end"/>
      </w:r>
      <w:r>
        <w:fldChar w:fldCharType="end"/>
      </w:r>
    </w:p>
    <w:p>
      <w:pPr>
        <w:pStyle w:val="25"/>
        <w:tabs>
          <w:tab w:val="right" w:leader="dot" w:pos="8799"/>
          <w:tab w:val="clear" w:pos="9628"/>
        </w:tabs>
      </w:pPr>
      <w:r>
        <w:fldChar w:fldCharType="begin"/>
      </w:r>
      <w:r>
        <w:instrText xml:space="preserve"> HYPERLINK \l "_Toc6828" </w:instrText>
      </w:r>
      <w:r>
        <w:fldChar w:fldCharType="separate"/>
      </w:r>
      <w:r>
        <w:rPr>
          <w:rFonts w:hint="eastAsia" w:ascii="黑体" w:hAnsi="宋体" w:eastAsia="黑体"/>
          <w:kern w:val="2"/>
          <w:szCs w:val="30"/>
        </w:rPr>
        <w:t>第二章  磋商需求</w:t>
      </w:r>
      <w:r>
        <w:tab/>
      </w:r>
      <w:r>
        <w:fldChar w:fldCharType="begin"/>
      </w:r>
      <w:r>
        <w:instrText xml:space="preserve"> PAGEREF _Toc6828 </w:instrText>
      </w:r>
      <w:r>
        <w:fldChar w:fldCharType="separate"/>
      </w:r>
      <w:r>
        <w:t>- 4 -</w:t>
      </w:r>
      <w:r>
        <w:fldChar w:fldCharType="end"/>
      </w:r>
      <w:r>
        <w:fldChar w:fldCharType="end"/>
      </w:r>
    </w:p>
    <w:p>
      <w:pPr>
        <w:pStyle w:val="25"/>
        <w:tabs>
          <w:tab w:val="right" w:leader="dot" w:pos="8799"/>
          <w:tab w:val="clear" w:pos="9628"/>
        </w:tabs>
      </w:pPr>
      <w:r>
        <w:fldChar w:fldCharType="begin"/>
      </w:r>
      <w:r>
        <w:instrText xml:space="preserve"> HYPERLINK \l "_Toc20471" </w:instrText>
      </w:r>
      <w:r>
        <w:fldChar w:fldCharType="separate"/>
      </w:r>
      <w:r>
        <w:rPr>
          <w:rFonts w:hint="eastAsia" w:ascii="黑体" w:hAnsi="宋体" w:eastAsia="黑体"/>
          <w:kern w:val="2"/>
          <w:szCs w:val="30"/>
        </w:rPr>
        <w:t>第三章  磋商须知</w:t>
      </w:r>
      <w:r>
        <w:tab/>
      </w:r>
      <w:r>
        <w:fldChar w:fldCharType="begin"/>
      </w:r>
      <w:r>
        <w:instrText xml:space="preserve"> PAGEREF _Toc20471 </w:instrText>
      </w:r>
      <w:r>
        <w:fldChar w:fldCharType="separate"/>
      </w:r>
      <w:r>
        <w:t>- 19 -</w:t>
      </w:r>
      <w:r>
        <w:fldChar w:fldCharType="end"/>
      </w:r>
      <w:r>
        <w:fldChar w:fldCharType="end"/>
      </w:r>
    </w:p>
    <w:p>
      <w:pPr>
        <w:pStyle w:val="25"/>
        <w:tabs>
          <w:tab w:val="right" w:leader="dot" w:pos="8799"/>
          <w:tab w:val="clear" w:pos="9628"/>
        </w:tabs>
      </w:pPr>
      <w:r>
        <w:fldChar w:fldCharType="begin"/>
      </w:r>
      <w:r>
        <w:instrText xml:space="preserve"> HYPERLINK \l "_Toc18722" </w:instrText>
      </w:r>
      <w:r>
        <w:fldChar w:fldCharType="separate"/>
      </w:r>
      <w:r>
        <w:rPr>
          <w:rFonts w:hint="eastAsia" w:ascii="黑体" w:hAnsi="宋体" w:eastAsia="黑体"/>
          <w:kern w:val="2"/>
          <w:szCs w:val="30"/>
        </w:rPr>
        <w:t>第四章  评标办法及评分标准</w:t>
      </w:r>
      <w:r>
        <w:tab/>
      </w:r>
      <w:r>
        <w:fldChar w:fldCharType="begin"/>
      </w:r>
      <w:r>
        <w:instrText xml:space="preserve"> PAGEREF _Toc18722 </w:instrText>
      </w:r>
      <w:r>
        <w:fldChar w:fldCharType="separate"/>
      </w:r>
      <w:r>
        <w:t>- 29 -</w:t>
      </w:r>
      <w:r>
        <w:fldChar w:fldCharType="end"/>
      </w:r>
      <w:r>
        <w:fldChar w:fldCharType="end"/>
      </w:r>
    </w:p>
    <w:p>
      <w:pPr>
        <w:pStyle w:val="25"/>
        <w:tabs>
          <w:tab w:val="right" w:leader="dot" w:pos="8799"/>
          <w:tab w:val="clear" w:pos="9628"/>
        </w:tabs>
      </w:pPr>
      <w:r>
        <w:fldChar w:fldCharType="begin"/>
      </w:r>
      <w:r>
        <w:instrText xml:space="preserve"> HYPERLINK \l "_Toc21737" </w:instrText>
      </w:r>
      <w:r>
        <w:fldChar w:fldCharType="separate"/>
      </w:r>
      <w:r>
        <w:rPr>
          <w:rFonts w:hint="eastAsia" w:ascii="黑体" w:hAnsi="宋体" w:eastAsia="黑体"/>
          <w:kern w:val="2"/>
          <w:szCs w:val="30"/>
        </w:rPr>
        <w:t>第五章  合同条款</w:t>
      </w:r>
      <w:r>
        <w:tab/>
      </w:r>
      <w:r>
        <w:fldChar w:fldCharType="begin"/>
      </w:r>
      <w:r>
        <w:instrText xml:space="preserve"> PAGEREF _Toc21737 </w:instrText>
      </w:r>
      <w:r>
        <w:fldChar w:fldCharType="separate"/>
      </w:r>
      <w:r>
        <w:t>- 32 -</w:t>
      </w:r>
      <w:r>
        <w:fldChar w:fldCharType="end"/>
      </w:r>
      <w:r>
        <w:fldChar w:fldCharType="end"/>
      </w:r>
    </w:p>
    <w:p>
      <w:pPr>
        <w:pStyle w:val="25"/>
        <w:tabs>
          <w:tab w:val="right" w:leader="dot" w:pos="8799"/>
          <w:tab w:val="clear" w:pos="9628"/>
        </w:tabs>
      </w:pPr>
      <w:r>
        <w:fldChar w:fldCharType="begin"/>
      </w:r>
      <w:r>
        <w:instrText xml:space="preserve"> HYPERLINK \l "_Toc17520" </w:instrText>
      </w:r>
      <w:r>
        <w:fldChar w:fldCharType="separate"/>
      </w:r>
      <w:r>
        <w:rPr>
          <w:rFonts w:hint="eastAsia" w:ascii="黑体" w:hAnsi="宋体" w:eastAsia="黑体"/>
          <w:snapToGrid w:val="0"/>
          <w:szCs w:val="30"/>
        </w:rPr>
        <w:t>第六章</w:t>
      </w:r>
      <w:r>
        <w:rPr>
          <w:rFonts w:hint="eastAsia" w:ascii="黑体" w:hAnsi="宋体" w:eastAsia="黑体"/>
          <w:kern w:val="2"/>
          <w:szCs w:val="30"/>
        </w:rPr>
        <w:t>供应商磋商响应文件格式</w:t>
      </w:r>
      <w:r>
        <w:tab/>
      </w:r>
      <w:r>
        <w:fldChar w:fldCharType="begin"/>
      </w:r>
      <w:r>
        <w:instrText xml:space="preserve"> PAGEREF _Toc17520 </w:instrText>
      </w:r>
      <w:r>
        <w:fldChar w:fldCharType="separate"/>
      </w:r>
      <w:r>
        <w:t>- 36 -</w:t>
      </w:r>
      <w:r>
        <w:fldChar w:fldCharType="end"/>
      </w:r>
      <w:r>
        <w:fldChar w:fldCharType="end"/>
      </w:r>
    </w:p>
    <w:p>
      <w:r>
        <w:rPr>
          <w:rFonts w:cs="宋体"/>
          <w:kern w:val="0"/>
          <w:szCs w:val="28"/>
        </w:rPr>
        <w:fldChar w:fldCharType="end"/>
      </w:r>
    </w:p>
    <w:p/>
    <w:p/>
    <w:p/>
    <w:p/>
    <w:p/>
    <w:p/>
    <w:p/>
    <w:p/>
    <w:p/>
    <w:p/>
    <w:p/>
    <w:p/>
    <w:p/>
    <w:p/>
    <w:p/>
    <w:p/>
    <w:p/>
    <w:p/>
    <w:p/>
    <w:p/>
    <w:p/>
    <w:p/>
    <w:p/>
    <w:p/>
    <w:p/>
    <w:p/>
    <w:p>
      <w:pPr>
        <w:pStyle w:val="3"/>
        <w:spacing w:line="240" w:lineRule="auto"/>
        <w:jc w:val="center"/>
        <w:rPr>
          <w:rFonts w:ascii="黑体" w:hAnsi="宋体" w:eastAsia="黑体"/>
          <w:bCs w:val="0"/>
          <w:kern w:val="2"/>
          <w:sz w:val="30"/>
          <w:szCs w:val="30"/>
        </w:rPr>
      </w:pPr>
      <w:bookmarkStart w:id="1" w:name="_Toc456078612"/>
      <w:bookmarkStart w:id="2" w:name="_Toc26675"/>
      <w:r>
        <w:rPr>
          <w:rFonts w:hint="eastAsia" w:ascii="黑体" w:hAnsi="宋体" w:eastAsia="黑体"/>
          <w:bCs w:val="0"/>
          <w:kern w:val="2"/>
          <w:sz w:val="30"/>
          <w:szCs w:val="30"/>
        </w:rPr>
        <w:t xml:space="preserve">第一章 </w:t>
      </w:r>
      <w:bookmarkEnd w:id="0"/>
      <w:bookmarkStart w:id="3" w:name="_Toc172337883"/>
      <w:bookmarkStart w:id="4" w:name="_Toc182125817"/>
      <w:bookmarkStart w:id="5" w:name="_Toc182125894"/>
      <w:bookmarkStart w:id="6" w:name="_Toc269397666"/>
      <w:bookmarkStart w:id="7" w:name="_Toc174767467"/>
      <w:bookmarkStart w:id="8" w:name="_Toc172338033"/>
      <w:r>
        <w:rPr>
          <w:rFonts w:hint="eastAsia" w:ascii="黑体" w:hAnsi="宋体" w:eastAsia="黑体"/>
          <w:bCs w:val="0"/>
          <w:kern w:val="2"/>
          <w:sz w:val="30"/>
          <w:szCs w:val="30"/>
        </w:rPr>
        <w:t>竞争性磋商公告</w:t>
      </w:r>
      <w:bookmarkEnd w:id="1"/>
      <w:bookmarkEnd w:id="2"/>
    </w:p>
    <w:p>
      <w:pPr>
        <w:spacing w:line="420" w:lineRule="exact"/>
        <w:ind w:firstLine="420" w:firstLineChars="200"/>
        <w:rPr>
          <w:rFonts w:ascii="宋体" w:hAnsi="宋体" w:cs="宋体"/>
          <w:szCs w:val="21"/>
        </w:rPr>
      </w:pPr>
      <w:r>
        <w:rPr>
          <w:rFonts w:hint="eastAsia" w:ascii="宋体" w:hAnsi="宋体" w:cs="宋体"/>
          <w:szCs w:val="21"/>
        </w:rPr>
        <w:t>湖州建宁工程咨询有限公司受长兴县太湖高级中学的委托，经长兴县财政局批准，按照政府采购程序，对</w:t>
      </w:r>
      <w:r>
        <w:rPr>
          <w:rFonts w:hint="eastAsia" w:ascii="宋体" w:hAnsi="宋体" w:cs="宋体"/>
          <w:bCs/>
          <w:szCs w:val="21"/>
        </w:rPr>
        <w:t>长兴县太湖高级中学综合管理平台系统采购项目</w:t>
      </w:r>
      <w:r>
        <w:rPr>
          <w:rFonts w:hint="eastAsia" w:ascii="宋体" w:hAnsi="宋体" w:cs="宋体"/>
          <w:szCs w:val="21"/>
        </w:rPr>
        <w:t>进行竞争性磋商，欢迎符合资格条件的、有能力提供本项目所需服务的合格供应商参加本项目的磋商。</w:t>
      </w:r>
    </w:p>
    <w:p>
      <w:pPr>
        <w:spacing w:line="420" w:lineRule="exact"/>
        <w:ind w:firstLine="422" w:firstLineChars="200"/>
        <w:rPr>
          <w:rFonts w:ascii="宋体" w:hAnsi="宋体" w:cs="宋体"/>
          <w:b/>
          <w:szCs w:val="21"/>
        </w:rPr>
      </w:pPr>
      <w:r>
        <w:rPr>
          <w:rFonts w:hint="eastAsia" w:ascii="宋体" w:hAnsi="宋体" w:cs="宋体"/>
          <w:b/>
          <w:szCs w:val="21"/>
        </w:rPr>
        <w:t>一、采购项目名称：长兴县太湖高级中学综合管理平台系统采购项目</w:t>
      </w:r>
    </w:p>
    <w:p>
      <w:pPr>
        <w:spacing w:line="420" w:lineRule="exact"/>
        <w:ind w:firstLine="422" w:firstLineChars="200"/>
        <w:rPr>
          <w:rFonts w:ascii="宋体" w:hAnsi="宋体" w:cs="宋体"/>
          <w:b/>
          <w:szCs w:val="21"/>
        </w:rPr>
      </w:pPr>
      <w:r>
        <w:rPr>
          <w:rFonts w:hint="eastAsia" w:ascii="宋体" w:hAnsi="宋体" w:cs="宋体"/>
          <w:b/>
          <w:szCs w:val="21"/>
        </w:rPr>
        <w:t>二、采购项目编号：</w:t>
      </w:r>
      <w:r>
        <w:rPr>
          <w:rFonts w:hint="eastAsia" w:ascii="宋体" w:hAnsi="宋体" w:cs="Arial"/>
          <w:b/>
          <w:bCs/>
          <w:spacing w:val="-6"/>
          <w:sz w:val="24"/>
        </w:rPr>
        <w:t>HZJNCG-201</w:t>
      </w:r>
      <w:r>
        <w:rPr>
          <w:rFonts w:hint="eastAsia" w:ascii="宋体" w:hAnsi="宋体" w:cs="Arial"/>
          <w:b/>
          <w:bCs/>
          <w:spacing w:val="-6"/>
          <w:sz w:val="24"/>
          <w:lang w:val="en-US" w:eastAsia="zh-CN"/>
        </w:rPr>
        <w:t>9</w:t>
      </w:r>
      <w:r>
        <w:rPr>
          <w:rFonts w:hint="eastAsia" w:ascii="宋体" w:hAnsi="宋体" w:cs="Arial"/>
          <w:b/>
          <w:bCs/>
          <w:spacing w:val="-6"/>
          <w:sz w:val="24"/>
        </w:rPr>
        <w:t>-</w:t>
      </w:r>
      <w:r>
        <w:rPr>
          <w:rFonts w:hint="eastAsia" w:ascii="宋体" w:hAnsi="宋体" w:cs="Arial"/>
          <w:b/>
          <w:bCs/>
          <w:spacing w:val="-6"/>
          <w:sz w:val="24"/>
          <w:lang w:val="en-US" w:eastAsia="zh-CN"/>
        </w:rPr>
        <w:t>04</w:t>
      </w:r>
    </w:p>
    <w:p>
      <w:pPr>
        <w:spacing w:line="420" w:lineRule="exact"/>
        <w:ind w:firstLine="422" w:firstLineChars="200"/>
        <w:rPr>
          <w:rFonts w:ascii="宋体" w:hAnsi="宋体" w:cs="宋体"/>
          <w:b/>
          <w:szCs w:val="21"/>
        </w:rPr>
      </w:pPr>
      <w:r>
        <w:rPr>
          <w:rFonts w:hint="eastAsia" w:ascii="宋体" w:hAnsi="宋体" w:cs="宋体"/>
          <w:b/>
          <w:szCs w:val="21"/>
        </w:rPr>
        <w:t>三、采购组织类型：分散采购委托代理</w:t>
      </w:r>
    </w:p>
    <w:p>
      <w:pPr>
        <w:spacing w:line="420" w:lineRule="exact"/>
        <w:ind w:firstLine="422" w:firstLineChars="200"/>
        <w:rPr>
          <w:rFonts w:ascii="宋体" w:hAnsi="宋体" w:cs="宋体"/>
          <w:b/>
          <w:szCs w:val="21"/>
        </w:rPr>
      </w:pPr>
      <w:r>
        <w:rPr>
          <w:rFonts w:hint="eastAsia" w:ascii="宋体" w:hAnsi="宋体" w:cs="宋体"/>
          <w:b/>
          <w:szCs w:val="21"/>
        </w:rPr>
        <w:t>四、采购方式：竞争性磋商</w:t>
      </w:r>
    </w:p>
    <w:p>
      <w:pPr>
        <w:spacing w:line="420" w:lineRule="exact"/>
        <w:ind w:firstLine="422" w:firstLineChars="200"/>
        <w:rPr>
          <w:rFonts w:ascii="宋体" w:hAnsi="宋体"/>
          <w:bCs/>
          <w:kern w:val="0"/>
          <w:sz w:val="22"/>
          <w:szCs w:val="22"/>
        </w:rPr>
      </w:pPr>
      <w:r>
        <w:rPr>
          <w:rFonts w:hint="eastAsia" w:ascii="宋体" w:hAnsi="宋体" w:cs="宋体"/>
          <w:b/>
          <w:szCs w:val="21"/>
        </w:rPr>
        <w:t>五、采购</w:t>
      </w:r>
      <w:r>
        <w:rPr>
          <w:rFonts w:hint="eastAsia" w:ascii="宋体" w:hAnsi="宋体"/>
          <w:b/>
          <w:kern w:val="0"/>
          <w:sz w:val="22"/>
          <w:szCs w:val="22"/>
        </w:rPr>
        <w:t>项目概况</w:t>
      </w:r>
      <w:r>
        <w:rPr>
          <w:rFonts w:hint="eastAsia" w:ascii="宋体" w:hAnsi="宋体"/>
          <w:bCs/>
          <w:kern w:val="0"/>
          <w:sz w:val="22"/>
          <w:szCs w:val="22"/>
        </w:rPr>
        <w:t>（内容、用途、数量、简要技术要求等）：</w:t>
      </w:r>
    </w:p>
    <w:tbl>
      <w:tblPr>
        <w:tblStyle w:val="50"/>
        <w:tblW w:w="9015" w:type="dxa"/>
        <w:tblInd w:w="0" w:type="dxa"/>
        <w:tblLayout w:type="fixed"/>
        <w:tblCellMar>
          <w:top w:w="0" w:type="dxa"/>
          <w:left w:w="108" w:type="dxa"/>
          <w:bottom w:w="0" w:type="dxa"/>
          <w:right w:w="108" w:type="dxa"/>
        </w:tblCellMar>
      </w:tblPr>
      <w:tblGrid>
        <w:gridCol w:w="774"/>
        <w:gridCol w:w="2523"/>
        <w:gridCol w:w="774"/>
        <w:gridCol w:w="856"/>
        <w:gridCol w:w="1298"/>
        <w:gridCol w:w="2790"/>
      </w:tblGrid>
      <w:tr>
        <w:tblPrEx>
          <w:tblLayout w:type="fixed"/>
          <w:tblCellMar>
            <w:top w:w="0" w:type="dxa"/>
            <w:left w:w="108" w:type="dxa"/>
            <w:bottom w:w="0" w:type="dxa"/>
            <w:right w:w="108" w:type="dxa"/>
          </w:tblCellMar>
        </w:tblPrEx>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before="60" w:after="60" w:line="400" w:lineRule="exact"/>
              <w:ind w:left="60" w:right="60"/>
              <w:jc w:val="center"/>
              <w:rPr>
                <w:rFonts w:ascii="宋体" w:hAnsi="宋体"/>
                <w:bCs/>
                <w:kern w:val="0"/>
                <w:sz w:val="22"/>
                <w:szCs w:val="22"/>
              </w:rPr>
            </w:pPr>
            <w:bookmarkStart w:id="9" w:name="B09_招标内容"/>
            <w:bookmarkEnd w:id="9"/>
            <w:r>
              <w:rPr>
                <w:rFonts w:hint="eastAsia" w:ascii="宋体" w:hAnsi="宋体"/>
                <w:bCs/>
                <w:kern w:val="0"/>
                <w:sz w:val="22"/>
                <w:szCs w:val="22"/>
              </w:rPr>
              <w:t>序号</w:t>
            </w:r>
          </w:p>
        </w:tc>
        <w:tc>
          <w:tcPr>
            <w:tcW w:w="252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before="60" w:after="60" w:line="400" w:lineRule="exact"/>
              <w:ind w:left="60" w:right="60"/>
              <w:jc w:val="center"/>
              <w:rPr>
                <w:rFonts w:ascii="宋体" w:hAnsi="宋体"/>
                <w:bCs/>
                <w:kern w:val="0"/>
                <w:sz w:val="22"/>
                <w:szCs w:val="22"/>
              </w:rPr>
            </w:pPr>
            <w:r>
              <w:rPr>
                <w:rFonts w:hint="eastAsia" w:ascii="宋体" w:hAnsi="宋体"/>
                <w:bCs/>
                <w:kern w:val="0"/>
                <w:sz w:val="22"/>
                <w:szCs w:val="22"/>
              </w:rPr>
              <w:t>标项内容</w:t>
            </w: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before="60" w:after="60" w:line="400" w:lineRule="exact"/>
              <w:ind w:left="60" w:right="60"/>
              <w:jc w:val="center"/>
              <w:rPr>
                <w:rFonts w:ascii="宋体" w:hAnsi="宋体"/>
                <w:bCs/>
                <w:kern w:val="0"/>
                <w:sz w:val="22"/>
                <w:szCs w:val="22"/>
              </w:rPr>
            </w:pPr>
            <w:r>
              <w:rPr>
                <w:rFonts w:hint="eastAsia" w:ascii="宋体" w:hAnsi="宋体"/>
                <w:bCs/>
                <w:kern w:val="0"/>
                <w:sz w:val="22"/>
                <w:szCs w:val="22"/>
              </w:rPr>
              <w:t>数量</w:t>
            </w:r>
          </w:p>
        </w:tc>
        <w:tc>
          <w:tcPr>
            <w:tcW w:w="85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before="60" w:after="60" w:line="400" w:lineRule="exact"/>
              <w:ind w:left="60" w:right="60"/>
              <w:jc w:val="center"/>
              <w:rPr>
                <w:rFonts w:ascii="宋体" w:hAnsi="宋体"/>
                <w:bCs/>
                <w:kern w:val="0"/>
                <w:sz w:val="22"/>
                <w:szCs w:val="22"/>
              </w:rPr>
            </w:pPr>
            <w:r>
              <w:rPr>
                <w:rFonts w:hint="eastAsia" w:ascii="宋体" w:hAnsi="宋体"/>
                <w:bCs/>
                <w:kern w:val="0"/>
                <w:sz w:val="22"/>
                <w:szCs w:val="22"/>
              </w:rPr>
              <w:t>单位</w:t>
            </w:r>
          </w:p>
        </w:tc>
        <w:tc>
          <w:tcPr>
            <w:tcW w:w="129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before="60" w:after="60" w:line="400" w:lineRule="exact"/>
              <w:ind w:left="60" w:right="60"/>
              <w:jc w:val="center"/>
              <w:rPr>
                <w:rFonts w:ascii="宋体" w:hAnsi="宋体"/>
                <w:bCs/>
                <w:kern w:val="0"/>
                <w:sz w:val="22"/>
                <w:szCs w:val="22"/>
              </w:rPr>
            </w:pPr>
            <w:r>
              <w:rPr>
                <w:rFonts w:hint="eastAsia" w:ascii="宋体" w:hAnsi="宋体"/>
                <w:bCs/>
                <w:kern w:val="0"/>
                <w:sz w:val="22"/>
                <w:szCs w:val="22"/>
              </w:rPr>
              <w:t>预算金额(万元)</w:t>
            </w:r>
          </w:p>
        </w:tc>
        <w:tc>
          <w:tcPr>
            <w:tcW w:w="2790" w:type="dxa"/>
            <w:tcBorders>
              <w:top w:val="single" w:color="000000" w:sz="4" w:space="0"/>
              <w:left w:val="single" w:color="000000" w:sz="4" w:space="0"/>
              <w:bottom w:val="single" w:color="000000" w:sz="4" w:space="0"/>
              <w:right w:val="single" w:color="auto" w:sz="4" w:space="0"/>
            </w:tcBorders>
            <w:tcMar>
              <w:top w:w="0" w:type="dxa"/>
              <w:left w:w="108" w:type="dxa"/>
              <w:bottom w:w="0" w:type="dxa"/>
              <w:right w:w="108" w:type="dxa"/>
            </w:tcMar>
            <w:vAlign w:val="center"/>
          </w:tcPr>
          <w:p>
            <w:pPr>
              <w:widowControl/>
              <w:spacing w:before="60" w:after="60" w:line="400" w:lineRule="exact"/>
              <w:ind w:left="60" w:right="60"/>
              <w:jc w:val="center"/>
              <w:rPr>
                <w:rFonts w:ascii="宋体" w:hAnsi="宋体"/>
                <w:bCs/>
                <w:kern w:val="0"/>
                <w:sz w:val="22"/>
                <w:szCs w:val="22"/>
              </w:rPr>
            </w:pPr>
            <w:r>
              <w:rPr>
                <w:rFonts w:hint="eastAsia" w:ascii="宋体" w:hAnsi="宋体"/>
                <w:bCs/>
                <w:kern w:val="0"/>
                <w:sz w:val="22"/>
                <w:szCs w:val="22"/>
              </w:rPr>
              <w:t>简要技术要求、用途</w:t>
            </w:r>
          </w:p>
        </w:tc>
      </w:tr>
      <w:tr>
        <w:tblPrEx>
          <w:tblLayout w:type="fixed"/>
          <w:tblCellMar>
            <w:top w:w="0" w:type="dxa"/>
            <w:left w:w="108" w:type="dxa"/>
            <w:bottom w:w="0" w:type="dxa"/>
            <w:right w:w="108" w:type="dxa"/>
          </w:tblCellMar>
        </w:tblPrEx>
        <w:trPr>
          <w:trHeight w:val="911" w:hRule="atLeast"/>
        </w:trPr>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before="60" w:after="60"/>
              <w:jc w:val="center"/>
              <w:rPr>
                <w:rFonts w:ascii="宋体" w:hAnsi="宋体"/>
                <w:bCs/>
                <w:kern w:val="0"/>
                <w:sz w:val="22"/>
                <w:szCs w:val="22"/>
              </w:rPr>
            </w:pPr>
            <w:r>
              <w:rPr>
                <w:rFonts w:hint="eastAsia" w:ascii="宋体" w:hAnsi="宋体"/>
                <w:bCs/>
                <w:kern w:val="0"/>
                <w:sz w:val="22"/>
                <w:szCs w:val="22"/>
              </w:rPr>
              <w:t>1</w:t>
            </w:r>
          </w:p>
        </w:tc>
        <w:tc>
          <w:tcPr>
            <w:tcW w:w="252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宋体" w:hAnsi="宋体"/>
                <w:bCs/>
                <w:kern w:val="0"/>
                <w:sz w:val="22"/>
                <w:szCs w:val="22"/>
              </w:rPr>
            </w:pPr>
            <w:r>
              <w:rPr>
                <w:rFonts w:hint="eastAsia" w:ascii="宋体" w:hAnsi="宋体" w:cs="宋体"/>
                <w:bCs/>
                <w:szCs w:val="21"/>
              </w:rPr>
              <w:t>长兴县太湖高级中学综合管理平台系统采购项目</w:t>
            </w: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before="60" w:after="60"/>
              <w:jc w:val="center"/>
              <w:rPr>
                <w:rFonts w:ascii="宋体" w:hAnsi="宋体"/>
                <w:bCs/>
                <w:kern w:val="0"/>
                <w:sz w:val="22"/>
                <w:szCs w:val="22"/>
              </w:rPr>
            </w:pPr>
            <w:r>
              <w:rPr>
                <w:rFonts w:hint="eastAsia" w:ascii="宋体" w:hAnsi="宋体"/>
                <w:bCs/>
                <w:kern w:val="0"/>
                <w:sz w:val="22"/>
                <w:szCs w:val="22"/>
              </w:rPr>
              <w:t>1</w:t>
            </w:r>
          </w:p>
        </w:tc>
        <w:tc>
          <w:tcPr>
            <w:tcW w:w="85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before="60" w:after="60"/>
              <w:jc w:val="center"/>
              <w:rPr>
                <w:rFonts w:ascii="宋体" w:hAnsi="宋体"/>
                <w:bCs/>
                <w:kern w:val="0"/>
                <w:sz w:val="22"/>
                <w:szCs w:val="22"/>
              </w:rPr>
            </w:pPr>
            <w:r>
              <w:rPr>
                <w:rFonts w:hint="eastAsia" w:ascii="宋体" w:hAnsi="宋体"/>
                <w:bCs/>
                <w:kern w:val="0"/>
                <w:sz w:val="22"/>
                <w:szCs w:val="22"/>
              </w:rPr>
              <w:t>项</w:t>
            </w:r>
          </w:p>
        </w:tc>
        <w:tc>
          <w:tcPr>
            <w:tcW w:w="129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before="60" w:after="60"/>
              <w:jc w:val="center"/>
              <w:rPr>
                <w:rFonts w:ascii="宋体" w:hAnsi="宋体" w:cs="宋体"/>
                <w:kern w:val="58"/>
                <w:sz w:val="20"/>
              </w:rPr>
            </w:pPr>
            <w:r>
              <w:rPr>
                <w:rFonts w:hint="eastAsia" w:ascii="宋体" w:hAnsi="宋体" w:cs="宋体"/>
                <w:kern w:val="58"/>
                <w:sz w:val="20"/>
              </w:rPr>
              <w:t>40.8</w:t>
            </w:r>
          </w:p>
        </w:tc>
        <w:tc>
          <w:tcPr>
            <w:tcW w:w="2790" w:type="dxa"/>
            <w:tcBorders>
              <w:top w:val="single" w:color="000000" w:sz="4" w:space="0"/>
              <w:left w:val="single" w:color="000000" w:sz="4" w:space="0"/>
              <w:bottom w:val="single" w:color="000000" w:sz="4" w:space="0"/>
              <w:right w:val="single" w:color="auto" w:sz="4" w:space="0"/>
            </w:tcBorders>
            <w:tcMar>
              <w:top w:w="0" w:type="dxa"/>
              <w:left w:w="108" w:type="dxa"/>
              <w:bottom w:w="0" w:type="dxa"/>
              <w:right w:w="108" w:type="dxa"/>
            </w:tcMar>
            <w:vAlign w:val="center"/>
          </w:tcPr>
          <w:p>
            <w:pPr>
              <w:jc w:val="left"/>
              <w:rPr>
                <w:rFonts w:ascii="宋体" w:hAnsi="宋体" w:cs="宋体"/>
                <w:bCs/>
                <w:szCs w:val="21"/>
              </w:rPr>
            </w:pPr>
          </w:p>
          <w:p>
            <w:pPr>
              <w:jc w:val="left"/>
              <w:rPr>
                <w:rFonts w:ascii="宋体" w:hAnsi="宋体" w:cs="宋体"/>
                <w:kern w:val="58"/>
                <w:sz w:val="20"/>
              </w:rPr>
            </w:pPr>
            <w:r>
              <w:rPr>
                <w:rFonts w:hint="eastAsia" w:ascii="宋体" w:hAnsi="宋体" w:cs="宋体"/>
                <w:bCs/>
                <w:szCs w:val="21"/>
              </w:rPr>
              <w:t>本项目通过竞争性磋商的形式采购长兴县太湖高级中学长兴县太湖高级中学综合管理平台系统采购项目单位。</w:t>
            </w:r>
          </w:p>
        </w:tc>
      </w:tr>
    </w:tbl>
    <w:p>
      <w:pPr>
        <w:spacing w:line="420" w:lineRule="exact"/>
        <w:ind w:firstLine="420" w:firstLineChars="200"/>
        <w:rPr>
          <w:rFonts w:ascii="宋体" w:hAnsi="宋体" w:cs="宋体"/>
          <w:szCs w:val="21"/>
        </w:rPr>
      </w:pPr>
      <w:r>
        <w:rPr>
          <w:rFonts w:hint="eastAsia" w:ascii="宋体" w:hAnsi="宋体" w:cs="宋体"/>
          <w:szCs w:val="21"/>
        </w:rPr>
        <w:t>具体报价范围、服务范围及所应达到的具体要求，以本磋商文件的相应规定为准。供应商的磋商响应文件必须满足本次磋商的实质目的，完全实现所应有的全部要求。供应商若存在任何理解上无法正确确定之处，均应当按照竞争性磋商文件所规定的磋商前的澄清等程序提出，否则，由此导致的任何不利后果均应由供应商自行承担。</w:t>
      </w:r>
    </w:p>
    <w:p>
      <w:pPr>
        <w:snapToGrid w:val="0"/>
        <w:spacing w:line="340" w:lineRule="exact"/>
        <w:ind w:firstLine="310" w:firstLineChars="147"/>
        <w:rPr>
          <w:rFonts w:ascii="宋体" w:hAnsi="宋体" w:cs="宋体"/>
          <w:b/>
          <w:szCs w:val="21"/>
        </w:rPr>
      </w:pPr>
      <w:r>
        <w:rPr>
          <w:rFonts w:hint="eastAsia" w:ascii="宋体" w:hAnsi="宋体" w:cs="宋体"/>
          <w:b/>
          <w:szCs w:val="21"/>
        </w:rPr>
        <w:t xml:space="preserve"> 六、合格供应商的资格要求</w:t>
      </w:r>
    </w:p>
    <w:p>
      <w:pPr>
        <w:spacing w:line="420" w:lineRule="exact"/>
        <w:ind w:firstLine="420" w:firstLineChars="200"/>
        <w:rPr>
          <w:rFonts w:ascii="宋体" w:hAnsi="宋体" w:cs="宋体"/>
          <w:szCs w:val="21"/>
        </w:rPr>
      </w:pPr>
      <w:r>
        <w:rPr>
          <w:rFonts w:ascii="宋体" w:hAnsi="宋体" w:cs="宋体"/>
          <w:szCs w:val="21"/>
        </w:rPr>
        <w:t>符合</w:t>
      </w:r>
      <w:r>
        <w:rPr>
          <w:rFonts w:hint="eastAsia" w:ascii="宋体" w:hAnsi="宋体" w:cs="宋体"/>
          <w:szCs w:val="21"/>
        </w:rPr>
        <w:t>《中华人民共和国</w:t>
      </w:r>
      <w:r>
        <w:rPr>
          <w:rFonts w:ascii="宋体" w:hAnsi="宋体" w:cs="宋体"/>
          <w:szCs w:val="21"/>
        </w:rPr>
        <w:t>政府采购法</w:t>
      </w:r>
      <w:r>
        <w:rPr>
          <w:rFonts w:hint="eastAsia" w:ascii="宋体" w:hAnsi="宋体" w:cs="宋体"/>
          <w:szCs w:val="21"/>
        </w:rPr>
        <w:t>》</w:t>
      </w:r>
      <w:r>
        <w:rPr>
          <w:rFonts w:ascii="宋体" w:hAnsi="宋体" w:cs="宋体"/>
          <w:szCs w:val="21"/>
        </w:rPr>
        <w:t>第二十二条规定的</w:t>
      </w:r>
      <w:r>
        <w:rPr>
          <w:rFonts w:hint="eastAsia" w:ascii="宋体" w:hAnsi="宋体" w:cs="宋体"/>
          <w:szCs w:val="21"/>
        </w:rPr>
        <w:t>规定。</w:t>
      </w:r>
    </w:p>
    <w:p>
      <w:pPr>
        <w:spacing w:line="420" w:lineRule="exact"/>
        <w:ind w:firstLine="420" w:firstLineChars="200"/>
        <w:rPr>
          <w:rFonts w:ascii="宋体" w:hAnsi="宋体"/>
          <w:szCs w:val="21"/>
        </w:rPr>
      </w:pPr>
      <w:r>
        <w:rPr>
          <w:rFonts w:hint="eastAsia" w:ascii="宋体" w:hAnsi="宋体"/>
          <w:szCs w:val="21"/>
        </w:rPr>
        <w:t>符合《中华人民共和国政府采购法实施条例》第十七条规定的资格条件。</w:t>
      </w:r>
    </w:p>
    <w:p>
      <w:pPr>
        <w:snapToGrid w:val="0"/>
        <w:spacing w:line="400" w:lineRule="exact"/>
        <w:ind w:firstLine="210" w:firstLineChars="100"/>
        <w:rPr>
          <w:rFonts w:ascii="宋体" w:hAnsi="宋体" w:cs="宋体"/>
          <w:b/>
          <w:bCs/>
          <w:szCs w:val="21"/>
        </w:rPr>
      </w:pPr>
      <w:r>
        <w:rPr>
          <w:rFonts w:hint="eastAsia" w:ascii="宋体" w:hAnsi="宋体" w:cs="宋体"/>
          <w:szCs w:val="21"/>
        </w:rPr>
        <w:t>▲</w:t>
      </w:r>
      <w:r>
        <w:rPr>
          <w:rFonts w:hint="eastAsia" w:ascii="宋体" w:hAnsi="宋体" w:cs="宋体"/>
          <w:b/>
          <w:bCs/>
          <w:szCs w:val="21"/>
        </w:rPr>
        <w:t>供应商的特定条件：</w:t>
      </w:r>
    </w:p>
    <w:p>
      <w:pPr>
        <w:spacing w:line="400" w:lineRule="exact"/>
        <w:ind w:firstLine="315" w:firstLineChars="150"/>
        <w:rPr>
          <w:rFonts w:ascii="宋体" w:hAnsi="宋体" w:cs="宋体"/>
          <w:szCs w:val="21"/>
        </w:rPr>
      </w:pPr>
      <w:r>
        <w:rPr>
          <w:rFonts w:hint="eastAsia" w:ascii="宋体" w:hAnsi="宋体" w:cs="宋体"/>
          <w:szCs w:val="21"/>
        </w:rPr>
        <w:t>1、具有有效的企业《营业执照》。</w:t>
      </w:r>
    </w:p>
    <w:p>
      <w:pPr>
        <w:spacing w:line="400" w:lineRule="exact"/>
        <w:ind w:firstLine="315" w:firstLineChars="150"/>
        <w:rPr>
          <w:rFonts w:ascii="宋体" w:hAnsi="宋体" w:cs="Arial"/>
          <w:szCs w:val="21"/>
        </w:rPr>
      </w:pPr>
      <w:r>
        <w:rPr>
          <w:rFonts w:hint="eastAsia" w:ascii="宋体" w:hAnsi="宋体" w:cs="宋体"/>
          <w:szCs w:val="21"/>
        </w:rPr>
        <w:t>2、</w:t>
      </w:r>
      <w:r>
        <w:rPr>
          <w:rFonts w:hint="eastAsia" w:ascii="宋体" w:hAnsi="宋体" w:cs="Arial"/>
          <w:szCs w:val="21"/>
        </w:rPr>
        <w:t>本项目不接受联合体投标，拒绝转包和分包。</w:t>
      </w:r>
    </w:p>
    <w:p>
      <w:pPr>
        <w:widowControl/>
        <w:spacing w:line="340" w:lineRule="exact"/>
        <w:ind w:firstLine="482" w:firstLineChars="200"/>
        <w:rPr>
          <w:rFonts w:ascii="宋体" w:hAnsi="宋体" w:cs="Arial"/>
          <w:b/>
          <w:sz w:val="24"/>
        </w:rPr>
      </w:pPr>
      <w:r>
        <w:rPr>
          <w:rFonts w:hint="eastAsia" w:ascii="宋体" w:hAnsi="宋体" w:cs="Arial"/>
          <w:b/>
          <w:sz w:val="24"/>
        </w:rPr>
        <w:t>七、竞争性磋商文件的发售</w:t>
      </w:r>
    </w:p>
    <w:p>
      <w:pPr>
        <w:widowControl/>
        <w:spacing w:line="340" w:lineRule="exact"/>
        <w:ind w:firstLine="420" w:firstLineChars="200"/>
        <w:rPr>
          <w:rFonts w:ascii="宋体" w:hAnsi="宋体"/>
          <w:szCs w:val="21"/>
        </w:rPr>
      </w:pPr>
      <w:r>
        <w:rPr>
          <w:rFonts w:hint="eastAsia" w:ascii="宋体" w:hAnsi="宋体" w:cs="Arial"/>
          <w:szCs w:val="21"/>
        </w:rPr>
        <w:t>1、发售时间</w:t>
      </w:r>
      <w:r>
        <w:rPr>
          <w:rFonts w:hint="eastAsia" w:ascii="宋体" w:hAnsi="宋体"/>
          <w:szCs w:val="21"/>
        </w:rPr>
        <w:t>：</w:t>
      </w:r>
      <w:r>
        <w:rPr>
          <w:rFonts w:hint="eastAsia" w:ascii="宋体" w:hAnsi="宋体"/>
          <w:szCs w:val="21"/>
          <w:lang w:eastAsia="zh-CN"/>
        </w:rPr>
        <w:t>2019</w:t>
      </w:r>
      <w:r>
        <w:rPr>
          <w:rFonts w:hint="eastAsia" w:ascii="宋体" w:hAnsi="宋体"/>
          <w:szCs w:val="21"/>
        </w:rPr>
        <w:t>年X月31日-X月6日，上午08：30-11：30；下午14：30-16：30，节假日除外。</w:t>
      </w:r>
    </w:p>
    <w:p>
      <w:pPr>
        <w:widowControl/>
        <w:spacing w:line="340" w:lineRule="exact"/>
        <w:ind w:firstLine="420" w:firstLineChars="200"/>
        <w:rPr>
          <w:rFonts w:ascii="宋体" w:hAnsi="宋体" w:cs="Arial"/>
          <w:szCs w:val="21"/>
        </w:rPr>
      </w:pPr>
      <w:r>
        <w:rPr>
          <w:rFonts w:hint="eastAsia" w:ascii="宋体" w:hAnsi="宋体" w:cs="Arial"/>
          <w:szCs w:val="21"/>
        </w:rPr>
        <w:t>2、发售地点：</w:t>
      </w:r>
      <w:r>
        <w:rPr>
          <w:rFonts w:hint="eastAsia" w:ascii="宋体" w:hAnsi="宋体"/>
          <w:color w:val="000000"/>
        </w:rPr>
        <w:t>浙江省长兴县</w:t>
      </w:r>
      <w:r>
        <w:rPr>
          <w:rFonts w:hint="eastAsia" w:ascii="宋体" w:hAnsi="宋体" w:cs="Arial"/>
          <w:szCs w:val="21"/>
        </w:rPr>
        <w:t>湖州建宁工程咨询有限公司（长兴县雉城街道明珠路818号国际商务大厦六楼二科）</w:t>
      </w:r>
    </w:p>
    <w:p>
      <w:pPr>
        <w:widowControl/>
        <w:spacing w:line="340" w:lineRule="exact"/>
        <w:ind w:firstLine="420" w:firstLineChars="200"/>
        <w:rPr>
          <w:rFonts w:ascii="宋体" w:hAnsi="宋体" w:cs="Arial"/>
          <w:szCs w:val="21"/>
        </w:rPr>
      </w:pPr>
      <w:r>
        <w:rPr>
          <w:rFonts w:hint="eastAsia" w:ascii="宋体" w:hAnsi="宋体" w:cs="Arial"/>
          <w:szCs w:val="21"/>
        </w:rPr>
        <w:t>3、售价：竞争性磋商文件</w:t>
      </w:r>
      <w:r>
        <w:rPr>
          <w:rFonts w:ascii="宋体" w:hAnsi="宋体" w:cs="Arial"/>
          <w:szCs w:val="21"/>
        </w:rPr>
        <w:t>工本费每套</w:t>
      </w:r>
      <w:r>
        <w:rPr>
          <w:rFonts w:hint="eastAsia" w:ascii="宋体" w:hAnsi="宋体" w:cs="Arial"/>
          <w:szCs w:val="21"/>
          <w:u w:val="single"/>
        </w:rPr>
        <w:t xml:space="preserve">  300  </w:t>
      </w:r>
      <w:r>
        <w:rPr>
          <w:rFonts w:hint="eastAsia" w:ascii="宋体" w:hAnsi="宋体" w:cs="Arial"/>
          <w:szCs w:val="21"/>
        </w:rPr>
        <w:t>元</w:t>
      </w:r>
      <w:r>
        <w:rPr>
          <w:rFonts w:ascii="宋体" w:hAnsi="宋体" w:cs="Arial"/>
          <w:szCs w:val="21"/>
        </w:rPr>
        <w:t>，售后不退。</w:t>
      </w:r>
    </w:p>
    <w:p>
      <w:pPr>
        <w:widowControl/>
        <w:spacing w:line="340" w:lineRule="exact"/>
        <w:ind w:firstLine="482" w:firstLineChars="200"/>
        <w:rPr>
          <w:rFonts w:ascii="宋体" w:hAnsi="宋体" w:cs="Arial"/>
          <w:sz w:val="24"/>
        </w:rPr>
      </w:pPr>
      <w:r>
        <w:rPr>
          <w:rFonts w:hint="eastAsia" w:ascii="宋体" w:hAnsi="宋体" w:cs="Arial"/>
          <w:b/>
          <w:sz w:val="24"/>
        </w:rPr>
        <w:t>八、购买竞争性磋商文件时应提供以下资料</w:t>
      </w:r>
    </w:p>
    <w:p>
      <w:pPr>
        <w:widowControl/>
        <w:numPr>
          <w:ilvl w:val="0"/>
          <w:numId w:val="1"/>
        </w:numPr>
        <w:spacing w:before="60" w:after="60" w:line="400" w:lineRule="exact"/>
        <w:ind w:right="62" w:firstLine="415"/>
        <w:jc w:val="left"/>
        <w:rPr>
          <w:rFonts w:ascii="宋体" w:hAnsi="宋体"/>
          <w:bCs/>
          <w:kern w:val="0"/>
          <w:sz w:val="22"/>
          <w:szCs w:val="22"/>
        </w:rPr>
      </w:pPr>
      <w:r>
        <w:rPr>
          <w:rFonts w:hint="eastAsia"/>
          <w:bCs/>
        </w:rPr>
        <w:t>营业执照（或事业单位法人证书）、资质证书复印件（复印件加盖公章）；</w:t>
      </w:r>
    </w:p>
    <w:p>
      <w:pPr>
        <w:widowControl/>
        <w:numPr>
          <w:ilvl w:val="0"/>
          <w:numId w:val="1"/>
        </w:numPr>
        <w:spacing w:before="60" w:after="60" w:line="400" w:lineRule="exact"/>
        <w:ind w:right="62" w:firstLine="415"/>
        <w:jc w:val="left"/>
        <w:rPr>
          <w:rFonts w:ascii="宋体" w:hAnsi="宋体"/>
          <w:bCs/>
          <w:kern w:val="0"/>
          <w:sz w:val="22"/>
          <w:szCs w:val="22"/>
        </w:rPr>
      </w:pPr>
      <w:r>
        <w:rPr>
          <w:rFonts w:hint="eastAsia"/>
          <w:bCs/>
        </w:rPr>
        <w:t>经办人身份证复印件（复印件加盖公章）；</w:t>
      </w:r>
    </w:p>
    <w:p>
      <w:pPr>
        <w:spacing w:line="340" w:lineRule="exact"/>
        <w:ind w:left="-105" w:leftChars="-50" w:firstLine="979" w:firstLineChars="445"/>
        <w:rPr>
          <w:rFonts w:ascii="宋体" w:hAnsi="宋体"/>
          <w:bCs/>
          <w:kern w:val="0"/>
          <w:sz w:val="22"/>
          <w:szCs w:val="22"/>
        </w:rPr>
      </w:pPr>
      <w:r>
        <w:rPr>
          <w:rFonts w:hint="eastAsia" w:ascii="宋体" w:hAnsi="宋体"/>
          <w:bCs/>
          <w:kern w:val="0"/>
          <w:sz w:val="22"/>
          <w:szCs w:val="22"/>
        </w:rPr>
        <w:t>3）本单位的名称、地址、联系人、联系电话、邮箱、传真等联系资料一份。</w:t>
      </w:r>
    </w:p>
    <w:p>
      <w:pPr>
        <w:spacing w:line="340" w:lineRule="exact"/>
        <w:ind w:left="-105" w:leftChars="-50" w:firstLine="938" w:firstLineChars="445"/>
        <w:rPr>
          <w:rFonts w:ascii="宋体" w:hAnsi="宋体" w:cs="Arial"/>
          <w:b/>
          <w:szCs w:val="21"/>
          <w:u w:val="single"/>
        </w:rPr>
      </w:pPr>
      <w:r>
        <w:rPr>
          <w:rFonts w:hint="eastAsia" w:ascii="宋体" w:hAnsi="宋体" w:cs="Arial"/>
          <w:b/>
          <w:szCs w:val="21"/>
          <w:u w:val="single"/>
        </w:rPr>
        <w:t>以上相关资料需装订成册。复印件均需加盖单位公章，资格认定由招标代理机构采购人在开标后根据供应商磋商响应文件认定。</w:t>
      </w:r>
    </w:p>
    <w:p>
      <w:pPr>
        <w:widowControl/>
        <w:spacing w:line="400" w:lineRule="exact"/>
        <w:ind w:firstLine="354" w:firstLineChars="147"/>
        <w:rPr>
          <w:rFonts w:ascii="宋体" w:hAnsi="宋体" w:cs="宋体"/>
          <w:b/>
          <w:sz w:val="24"/>
        </w:rPr>
      </w:pPr>
      <w:r>
        <w:rPr>
          <w:rFonts w:hint="eastAsia" w:ascii="宋体" w:hAnsi="宋体" w:cs="Arial"/>
          <w:b/>
          <w:sz w:val="24"/>
        </w:rPr>
        <w:t>九、</w:t>
      </w:r>
      <w:r>
        <w:rPr>
          <w:rFonts w:hint="eastAsia" w:ascii="宋体" w:hAnsi="宋体" w:cs="宋体"/>
          <w:b/>
          <w:sz w:val="24"/>
        </w:rPr>
        <w:t>磋商保证金</w:t>
      </w:r>
    </w:p>
    <w:p>
      <w:pPr>
        <w:spacing w:line="340" w:lineRule="exact"/>
        <w:ind w:firstLine="420" w:firstLineChars="200"/>
        <w:rPr>
          <w:rFonts w:ascii="宋体" w:hAnsi="宋体" w:cs="宋体"/>
          <w:szCs w:val="21"/>
        </w:rPr>
      </w:pPr>
      <w:r>
        <w:rPr>
          <w:rFonts w:hint="eastAsia" w:ascii="宋体" w:hAnsi="宋体" w:cs="宋体"/>
          <w:szCs w:val="21"/>
        </w:rPr>
        <w:t>保证金金额：人民币8000元整</w:t>
      </w:r>
    </w:p>
    <w:p>
      <w:pPr>
        <w:spacing w:line="340" w:lineRule="exact"/>
        <w:ind w:firstLine="420" w:firstLineChars="200"/>
        <w:rPr>
          <w:rFonts w:ascii="宋体" w:hAnsi="宋体" w:cs="宋体"/>
          <w:szCs w:val="21"/>
        </w:rPr>
      </w:pPr>
      <w:r>
        <w:rPr>
          <w:rFonts w:hint="eastAsia" w:ascii="宋体" w:hAnsi="宋体" w:cs="宋体"/>
          <w:color w:val="FF0000"/>
          <w:szCs w:val="21"/>
        </w:rPr>
        <w:t>供应商应于</w:t>
      </w:r>
      <w:r>
        <w:rPr>
          <w:rFonts w:hint="eastAsia" w:ascii="宋体" w:hAnsi="宋体" w:cs="宋体"/>
          <w:color w:val="FF0000"/>
          <w:szCs w:val="21"/>
          <w:lang w:eastAsia="zh-CN"/>
        </w:rPr>
        <w:t>2019</w:t>
      </w:r>
      <w:r>
        <w:rPr>
          <w:rFonts w:hint="eastAsia" w:ascii="宋体" w:hAnsi="宋体" w:cs="宋体"/>
          <w:color w:val="FF0000"/>
          <w:szCs w:val="21"/>
        </w:rPr>
        <w:t>年X月9日17:00前</w:t>
      </w:r>
      <w:r>
        <w:rPr>
          <w:rFonts w:hint="eastAsia" w:ascii="宋体" w:hAnsi="宋体" w:cs="宋体"/>
          <w:szCs w:val="21"/>
        </w:rPr>
        <w:t>将磋商保证金以支票</w:t>
      </w:r>
      <w:r>
        <w:rPr>
          <w:rFonts w:ascii="宋体" w:hAnsi="宋体" w:cs="宋体"/>
          <w:szCs w:val="21"/>
        </w:rPr>
        <w:t>/</w:t>
      </w:r>
      <w:r>
        <w:rPr>
          <w:rFonts w:hint="eastAsia" w:ascii="宋体" w:hAnsi="宋体" w:cs="宋体"/>
          <w:szCs w:val="21"/>
        </w:rPr>
        <w:t>汇票</w:t>
      </w:r>
      <w:r>
        <w:rPr>
          <w:rFonts w:ascii="宋体" w:hAnsi="宋体" w:cs="宋体"/>
          <w:szCs w:val="21"/>
        </w:rPr>
        <w:t>/</w:t>
      </w:r>
      <w:r>
        <w:rPr>
          <w:rFonts w:hint="eastAsia" w:ascii="宋体" w:hAnsi="宋体" w:cs="宋体"/>
          <w:szCs w:val="21"/>
        </w:rPr>
        <w:t>电汇</w:t>
      </w:r>
      <w:r>
        <w:rPr>
          <w:rFonts w:ascii="宋体" w:hAnsi="宋体" w:cs="宋体"/>
          <w:szCs w:val="21"/>
        </w:rPr>
        <w:t>/</w:t>
      </w:r>
      <w:r>
        <w:rPr>
          <w:rFonts w:hint="eastAsia" w:ascii="宋体" w:hAnsi="宋体" w:cs="宋体"/>
          <w:szCs w:val="21"/>
        </w:rPr>
        <w:t>网上银行转帐形式交至下列帐户。为确保投标保证金及时到帐，各投标单位应提前从开户行汇出。）</w:t>
      </w:r>
    </w:p>
    <w:p>
      <w:pPr>
        <w:spacing w:line="340" w:lineRule="exact"/>
        <w:ind w:firstLine="420" w:firstLineChars="200"/>
        <w:rPr>
          <w:rFonts w:ascii="宋体" w:hAnsi="宋体" w:cs="宋体"/>
          <w:szCs w:val="21"/>
        </w:rPr>
      </w:pPr>
      <w:r>
        <w:rPr>
          <w:rFonts w:hint="eastAsia" w:ascii="宋体" w:hAnsi="宋体" w:cs="宋体"/>
          <w:szCs w:val="21"/>
        </w:rPr>
        <w:t>收款单位（户名）：湖州建宁工程咨询有限公司</w:t>
      </w:r>
    </w:p>
    <w:p>
      <w:pPr>
        <w:spacing w:line="340" w:lineRule="exact"/>
        <w:ind w:firstLine="420" w:firstLineChars="200"/>
        <w:rPr>
          <w:rFonts w:ascii="宋体" w:hAnsi="宋体" w:cs="宋体"/>
          <w:szCs w:val="21"/>
        </w:rPr>
      </w:pPr>
      <w:r>
        <w:rPr>
          <w:rFonts w:hint="eastAsia" w:ascii="宋体" w:hAnsi="宋体" w:cs="宋体"/>
          <w:szCs w:val="21"/>
        </w:rPr>
        <w:t>开户银行：中国建设银行长兴支行</w:t>
      </w:r>
    </w:p>
    <w:p>
      <w:pPr>
        <w:spacing w:line="340" w:lineRule="exact"/>
        <w:ind w:firstLine="420" w:firstLineChars="200"/>
        <w:rPr>
          <w:rFonts w:ascii="宋体" w:hAnsi="宋体" w:cs="宋体"/>
          <w:szCs w:val="21"/>
        </w:rPr>
      </w:pPr>
      <w:r>
        <w:rPr>
          <w:rFonts w:hint="eastAsia" w:ascii="宋体" w:hAnsi="宋体" w:cs="宋体"/>
          <w:szCs w:val="21"/>
        </w:rPr>
        <w:t>银行账号：33001647237050000650</w:t>
      </w:r>
    </w:p>
    <w:p>
      <w:pPr>
        <w:spacing w:line="340" w:lineRule="exact"/>
        <w:ind w:firstLine="420" w:firstLineChars="200"/>
        <w:rPr>
          <w:rFonts w:ascii="宋体" w:hAnsi="宋体" w:cs="宋体"/>
          <w:szCs w:val="21"/>
        </w:rPr>
      </w:pPr>
      <w:r>
        <w:rPr>
          <w:rFonts w:hint="eastAsia" w:ascii="宋体" w:hAnsi="宋体" w:cs="宋体"/>
          <w:szCs w:val="21"/>
        </w:rPr>
        <w:t>注：1.请供应商严格按照竞争性磋商文件规定的形式提交保证金，本项目不接受其他形式的保证金；</w:t>
      </w:r>
    </w:p>
    <w:p>
      <w:pPr>
        <w:snapToGrid w:val="0"/>
        <w:spacing w:line="340" w:lineRule="exact"/>
        <w:ind w:firstLine="420" w:firstLineChars="200"/>
        <w:jc w:val="left"/>
        <w:rPr>
          <w:rFonts w:ascii="宋体" w:hAnsi="宋体" w:cs="Arial"/>
          <w:b/>
          <w:sz w:val="24"/>
        </w:rPr>
      </w:pPr>
      <w:r>
        <w:rPr>
          <w:rFonts w:hint="eastAsia" w:ascii="宋体" w:hAnsi="宋体" w:cs="宋体"/>
          <w:szCs w:val="21"/>
        </w:rPr>
        <w:t>2.提交磋商保证金的主体与供应商主体必须完全一致，保证金必须为针对本项目专门提交，任何前期因其他项目缴纳的保证金都不得转作本项目的保证金。</w:t>
      </w:r>
    </w:p>
    <w:p>
      <w:pPr>
        <w:snapToGrid w:val="0"/>
        <w:spacing w:line="340" w:lineRule="exact"/>
        <w:ind w:firstLine="482" w:firstLineChars="200"/>
        <w:jc w:val="left"/>
        <w:rPr>
          <w:rFonts w:ascii="宋体" w:hAnsi="宋体" w:cs="Arial"/>
          <w:sz w:val="24"/>
          <w:szCs w:val="20"/>
        </w:rPr>
      </w:pPr>
      <w:r>
        <w:rPr>
          <w:rFonts w:hint="eastAsia" w:ascii="宋体" w:hAnsi="宋体" w:cs="Arial"/>
          <w:b/>
          <w:bCs/>
          <w:sz w:val="24"/>
        </w:rPr>
        <w:t>十、磋商截止时间和地点</w:t>
      </w:r>
      <w:r>
        <w:rPr>
          <w:rFonts w:hint="eastAsia" w:ascii="宋体" w:hAnsi="宋体" w:cs="Arial"/>
          <w:sz w:val="24"/>
        </w:rPr>
        <w:t>：</w:t>
      </w:r>
    </w:p>
    <w:p>
      <w:pPr>
        <w:snapToGrid w:val="0"/>
        <w:spacing w:line="340" w:lineRule="exact"/>
        <w:ind w:firstLine="420" w:firstLineChars="200"/>
        <w:jc w:val="left"/>
        <w:rPr>
          <w:rFonts w:ascii="宋体" w:hAnsi="宋体"/>
          <w:szCs w:val="21"/>
        </w:rPr>
      </w:pPr>
      <w:r>
        <w:rPr>
          <w:rFonts w:hint="eastAsia" w:ascii="宋体" w:hAnsi="宋体"/>
          <w:szCs w:val="21"/>
          <w:lang w:val="zh-CN"/>
        </w:rPr>
        <w:t>供应商</w:t>
      </w:r>
      <w:r>
        <w:rPr>
          <w:rFonts w:hint="eastAsia" w:ascii="宋体" w:hAnsi="宋体"/>
          <w:szCs w:val="21"/>
        </w:rPr>
        <w:t>应</w:t>
      </w:r>
      <w:r>
        <w:rPr>
          <w:rFonts w:hint="eastAsia" w:ascii="宋体" w:hAnsi="宋体" w:cs="Arial"/>
          <w:szCs w:val="21"/>
          <w:shd w:val="clear" w:color="FFFFFF" w:fill="D9D9D9"/>
        </w:rPr>
        <w:t>于</w:t>
      </w:r>
      <w:r>
        <w:rPr>
          <w:rFonts w:hint="eastAsia" w:ascii="宋体" w:hAnsi="宋体" w:cs="Arial"/>
          <w:szCs w:val="21"/>
          <w:shd w:val="clear" w:color="FFFFFF" w:fill="D9D9D9"/>
          <w:lang w:eastAsia="zh-CN"/>
        </w:rPr>
        <w:t>2019</w:t>
      </w:r>
      <w:r>
        <w:rPr>
          <w:rFonts w:hint="eastAsia" w:ascii="宋体" w:hAnsi="宋体" w:cs="Arial"/>
          <w:szCs w:val="21"/>
          <w:shd w:val="clear" w:color="FFFFFF" w:fill="D9D9D9"/>
        </w:rPr>
        <w:t>年X月10日09:00时前将磋商</w:t>
      </w:r>
      <w:r>
        <w:rPr>
          <w:rFonts w:hint="eastAsia" w:ascii="宋体" w:hAnsi="宋体"/>
          <w:szCs w:val="21"/>
        </w:rPr>
        <w:t>响应文件密封送交到</w:t>
      </w:r>
      <w:r>
        <w:rPr>
          <w:rFonts w:hint="eastAsia" w:ascii="宋体" w:hAnsi="宋体" w:cs="Arial"/>
          <w:szCs w:val="21"/>
          <w:shd w:val="clear" w:color="FFFFFF" w:fill="D9D9D9"/>
        </w:rPr>
        <w:t>长兴县公共资源交易中心（长兴县龙山街道锦绣路8号市民服务中心4楼）开标室（届时详见四楼大屏公告栏）</w:t>
      </w:r>
      <w:r>
        <w:rPr>
          <w:rFonts w:hint="eastAsia" w:ascii="宋体" w:hAnsi="宋体"/>
          <w:szCs w:val="21"/>
        </w:rPr>
        <w:t>，逾期送达或未密封将拒绝接收。</w:t>
      </w:r>
    </w:p>
    <w:p>
      <w:pPr>
        <w:snapToGrid w:val="0"/>
        <w:spacing w:line="340" w:lineRule="exact"/>
        <w:ind w:firstLine="482" w:firstLineChars="200"/>
        <w:rPr>
          <w:rFonts w:ascii="宋体" w:hAnsi="宋体" w:cs="Arial"/>
          <w:sz w:val="24"/>
          <w:szCs w:val="20"/>
        </w:rPr>
      </w:pPr>
      <w:r>
        <w:rPr>
          <w:rFonts w:hint="eastAsia" w:ascii="宋体" w:hAnsi="宋体" w:cs="Arial"/>
          <w:b/>
          <w:bCs/>
          <w:sz w:val="24"/>
        </w:rPr>
        <w:t>十、磋商时间及地点</w:t>
      </w:r>
      <w:r>
        <w:rPr>
          <w:rFonts w:hint="eastAsia" w:ascii="宋体" w:hAnsi="宋体" w:cs="Arial"/>
          <w:sz w:val="24"/>
        </w:rPr>
        <w:t>：</w:t>
      </w:r>
    </w:p>
    <w:p>
      <w:pPr>
        <w:snapToGrid w:val="0"/>
        <w:spacing w:line="340" w:lineRule="exact"/>
        <w:ind w:firstLine="420" w:firstLineChars="200"/>
        <w:rPr>
          <w:rFonts w:ascii="宋体" w:hAnsi="宋体" w:cs="Arial"/>
          <w:szCs w:val="21"/>
        </w:rPr>
      </w:pPr>
      <w:r>
        <w:rPr>
          <w:rFonts w:hint="eastAsia" w:ascii="宋体" w:hAnsi="宋体" w:cs="Arial"/>
          <w:szCs w:val="21"/>
        </w:rPr>
        <w:t>本次磋商</w:t>
      </w:r>
      <w:r>
        <w:rPr>
          <w:rFonts w:hint="eastAsia" w:ascii="宋体" w:hAnsi="宋体" w:cs="Arial"/>
          <w:szCs w:val="21"/>
          <w:shd w:val="clear" w:color="FFFFFF" w:fill="D9D9D9"/>
        </w:rPr>
        <w:t>将于</w:t>
      </w:r>
      <w:r>
        <w:rPr>
          <w:rFonts w:hint="eastAsia" w:ascii="宋体" w:hAnsi="宋体" w:cs="Arial"/>
          <w:szCs w:val="21"/>
          <w:shd w:val="clear" w:color="FFFFFF" w:fill="D9D9D9"/>
          <w:lang w:eastAsia="zh-CN"/>
        </w:rPr>
        <w:t>2019</w:t>
      </w:r>
      <w:r>
        <w:rPr>
          <w:rFonts w:hint="eastAsia" w:ascii="宋体" w:hAnsi="宋体" w:cs="Arial"/>
          <w:szCs w:val="21"/>
          <w:shd w:val="clear" w:color="FFFFFF" w:fill="D9D9D9"/>
        </w:rPr>
        <w:t>年X月10日09:00时在长兴县公共资源交易中心（长兴县龙山街道锦绣路8号市民服务中心4楼）开标室（届时详见四楼大屏公告栏）</w:t>
      </w:r>
      <w:r>
        <w:rPr>
          <w:rFonts w:hint="eastAsia" w:ascii="宋体" w:hAnsi="宋体"/>
          <w:szCs w:val="21"/>
        </w:rPr>
        <w:t>开</w:t>
      </w:r>
      <w:r>
        <w:rPr>
          <w:rFonts w:hint="eastAsia" w:ascii="宋体" w:hAnsi="宋体" w:cs="Arial"/>
          <w:szCs w:val="21"/>
        </w:rPr>
        <w:t>标，</w:t>
      </w:r>
      <w:r>
        <w:rPr>
          <w:rFonts w:hint="eastAsia" w:ascii="宋体" w:hAnsi="宋体"/>
          <w:szCs w:val="21"/>
          <w:lang w:val="zh-CN"/>
        </w:rPr>
        <w:t>供应商</w:t>
      </w:r>
      <w:r>
        <w:rPr>
          <w:rFonts w:hint="eastAsia" w:ascii="宋体" w:hAnsi="宋体" w:cs="Arial"/>
          <w:szCs w:val="21"/>
        </w:rPr>
        <w:t>可以派授权代表出席开标会议（携带法人代表授权委托书及身份证等有效证明出席）。</w:t>
      </w:r>
    </w:p>
    <w:p>
      <w:pPr>
        <w:spacing w:line="420" w:lineRule="exact"/>
        <w:ind w:firstLine="482" w:firstLineChars="200"/>
        <w:rPr>
          <w:rFonts w:ascii="宋体" w:hAnsi="宋体" w:cs="宋体"/>
          <w:b/>
          <w:szCs w:val="21"/>
        </w:rPr>
      </w:pPr>
      <w:r>
        <w:rPr>
          <w:rFonts w:hint="eastAsia" w:ascii="宋体" w:hAnsi="宋体" w:cs="Arial"/>
          <w:b/>
          <w:sz w:val="24"/>
        </w:rPr>
        <w:t>十一、</w:t>
      </w:r>
      <w:r>
        <w:rPr>
          <w:rFonts w:hint="eastAsia" w:ascii="宋体" w:hAnsi="宋体" w:cs="宋体"/>
          <w:b/>
          <w:szCs w:val="21"/>
        </w:rPr>
        <w:t>本次磋商公告发布媒体：</w:t>
      </w:r>
    </w:p>
    <w:p>
      <w:pPr>
        <w:snapToGrid w:val="0"/>
        <w:spacing w:line="340" w:lineRule="exact"/>
        <w:ind w:firstLine="420"/>
        <w:rPr>
          <w:rFonts w:ascii="宋体" w:hAnsi="宋体" w:cs="Arial"/>
          <w:szCs w:val="21"/>
        </w:rPr>
      </w:pPr>
      <w:r>
        <w:rPr>
          <w:rFonts w:hint="eastAsia" w:ascii="宋体" w:hAnsi="宋体" w:cs="Arial"/>
          <w:szCs w:val="21"/>
        </w:rPr>
        <w:t>“浙江省政府采购网”（ http://www.zjzfcg.gov.cn/）</w:t>
      </w:r>
    </w:p>
    <w:p>
      <w:pPr>
        <w:snapToGrid w:val="0"/>
        <w:spacing w:line="340" w:lineRule="exact"/>
        <w:ind w:firstLine="420"/>
        <w:rPr>
          <w:rFonts w:ascii="宋体" w:hAnsi="宋体" w:cs="Arial"/>
          <w:szCs w:val="21"/>
        </w:rPr>
      </w:pPr>
      <w:r>
        <w:rPr>
          <w:rFonts w:hint="eastAsia" w:ascii="宋体" w:hAnsi="宋体" w:cs="Arial"/>
          <w:szCs w:val="21"/>
        </w:rPr>
        <w:t>“长兴县公共资源交易中心”（http://www.cxztb.gov.cn:8081/cxweb/）</w:t>
      </w:r>
    </w:p>
    <w:p>
      <w:pPr>
        <w:snapToGrid w:val="0"/>
        <w:spacing w:line="340" w:lineRule="exact"/>
        <w:ind w:firstLine="420"/>
        <w:rPr>
          <w:rFonts w:ascii="宋体" w:hAnsi="宋体" w:cs="Arial"/>
          <w:b/>
          <w:sz w:val="24"/>
        </w:rPr>
      </w:pPr>
      <w:r>
        <w:rPr>
          <w:rFonts w:hint="eastAsia" w:ascii="宋体" w:hAnsi="宋体" w:cs="Arial"/>
          <w:b/>
          <w:sz w:val="24"/>
        </w:rPr>
        <w:t>十二、业务咨询：</w:t>
      </w:r>
    </w:p>
    <w:p>
      <w:pPr>
        <w:snapToGrid w:val="0"/>
        <w:spacing w:line="340" w:lineRule="exact"/>
        <w:ind w:firstLine="420"/>
        <w:rPr>
          <w:rFonts w:ascii="宋体" w:hAnsi="宋体" w:cs="Arial"/>
          <w:szCs w:val="21"/>
        </w:rPr>
      </w:pPr>
      <w:r>
        <w:rPr>
          <w:rFonts w:hint="eastAsia" w:ascii="宋体" w:hAnsi="宋体" w:cs="Arial"/>
          <w:szCs w:val="21"/>
        </w:rPr>
        <w:t xml:space="preserve">1、长兴县太湖高级中学    </w:t>
      </w:r>
    </w:p>
    <w:p>
      <w:pPr>
        <w:snapToGrid w:val="0"/>
        <w:spacing w:line="340" w:lineRule="exact"/>
        <w:ind w:firstLine="840" w:firstLineChars="400"/>
        <w:rPr>
          <w:rFonts w:ascii="宋体" w:hAnsi="宋体" w:cs="Arial"/>
          <w:szCs w:val="21"/>
        </w:rPr>
      </w:pPr>
      <w:r>
        <w:rPr>
          <w:rFonts w:hint="eastAsia" w:ascii="宋体" w:hAnsi="宋体" w:cs="Arial"/>
          <w:szCs w:val="21"/>
        </w:rPr>
        <w:t>联系人：朱主任    联系电话：0572-6369311</w:t>
      </w:r>
    </w:p>
    <w:p>
      <w:pPr>
        <w:snapToGrid w:val="0"/>
        <w:spacing w:line="340" w:lineRule="exact"/>
        <w:ind w:firstLine="420"/>
        <w:rPr>
          <w:rFonts w:ascii="宋体" w:hAnsi="宋体" w:cs="Arial"/>
          <w:szCs w:val="21"/>
        </w:rPr>
      </w:pPr>
      <w:r>
        <w:rPr>
          <w:rFonts w:hint="eastAsia" w:ascii="宋体" w:hAnsi="宋体" w:cs="Arial"/>
          <w:szCs w:val="21"/>
        </w:rPr>
        <w:t>2、湖州建宁工程咨询有限公司   联系人：敖工</w:t>
      </w:r>
    </w:p>
    <w:p>
      <w:pPr>
        <w:snapToGrid w:val="0"/>
        <w:spacing w:line="340" w:lineRule="exact"/>
        <w:ind w:firstLine="682" w:firstLineChars="325"/>
        <w:rPr>
          <w:rFonts w:ascii="宋体" w:hAnsi="宋体" w:cs="Arial"/>
          <w:szCs w:val="21"/>
        </w:rPr>
      </w:pPr>
      <w:r>
        <w:rPr>
          <w:rFonts w:hint="eastAsia" w:ascii="宋体" w:hAnsi="宋体" w:cs="Arial"/>
          <w:szCs w:val="21"/>
        </w:rPr>
        <w:t>联系电话：</w:t>
      </w:r>
      <w:r>
        <w:rPr>
          <w:rFonts w:ascii="宋体" w:hAnsi="宋体" w:cs="Arial"/>
          <w:szCs w:val="21"/>
        </w:rPr>
        <w:t>05</w:t>
      </w:r>
      <w:r>
        <w:rPr>
          <w:rFonts w:hint="eastAsia" w:ascii="宋体" w:hAnsi="宋体" w:cs="Arial"/>
          <w:szCs w:val="21"/>
        </w:rPr>
        <w:t>72-6025510  传  真：</w:t>
      </w:r>
      <w:r>
        <w:rPr>
          <w:rFonts w:ascii="宋体" w:hAnsi="宋体" w:cs="Arial"/>
          <w:szCs w:val="21"/>
        </w:rPr>
        <w:t>05</w:t>
      </w:r>
      <w:r>
        <w:rPr>
          <w:rFonts w:hint="eastAsia" w:ascii="宋体" w:hAnsi="宋体" w:cs="Arial"/>
          <w:szCs w:val="21"/>
        </w:rPr>
        <w:t>72-6025520</w:t>
      </w:r>
    </w:p>
    <w:p>
      <w:pPr>
        <w:snapToGrid w:val="0"/>
        <w:spacing w:line="340" w:lineRule="exact"/>
        <w:ind w:firstLine="420" w:firstLineChars="200"/>
        <w:rPr>
          <w:rFonts w:ascii="宋体" w:hAnsi="宋体" w:cs="Arial"/>
          <w:szCs w:val="21"/>
        </w:rPr>
      </w:pPr>
      <w:r>
        <w:rPr>
          <w:rFonts w:hint="eastAsia" w:ascii="宋体" w:hAnsi="宋体" w:cs="Arial"/>
          <w:szCs w:val="21"/>
        </w:rPr>
        <w:t xml:space="preserve">3、政府采购投诉受理部门：长兴县财政局   </w:t>
      </w:r>
    </w:p>
    <w:p>
      <w:pPr>
        <w:snapToGrid w:val="0"/>
        <w:spacing w:line="340" w:lineRule="exact"/>
        <w:ind w:left="359" w:leftChars="171" w:firstLine="420" w:firstLineChars="200"/>
        <w:rPr>
          <w:rFonts w:ascii="宋体" w:hAnsi="宋体" w:cs="Arial"/>
          <w:szCs w:val="21"/>
        </w:rPr>
      </w:pPr>
      <w:r>
        <w:rPr>
          <w:rFonts w:hint="eastAsia" w:ascii="宋体" w:hAnsi="宋体" w:cs="Arial"/>
          <w:szCs w:val="21"/>
        </w:rPr>
        <w:t xml:space="preserve"> 联系电话：0572-6036050</w:t>
      </w:r>
    </w:p>
    <w:p>
      <w:pPr>
        <w:snapToGrid w:val="0"/>
        <w:spacing w:line="340" w:lineRule="exact"/>
        <w:ind w:firstLine="780" w:firstLineChars="325"/>
        <w:rPr>
          <w:rFonts w:ascii="宋体" w:hAnsi="宋体" w:cs="Arial"/>
          <w:sz w:val="24"/>
        </w:rPr>
      </w:pPr>
    </w:p>
    <w:p>
      <w:pPr>
        <w:snapToGrid w:val="0"/>
        <w:spacing w:line="340" w:lineRule="exact"/>
        <w:ind w:left="238"/>
        <w:jc w:val="center"/>
        <w:rPr>
          <w:rFonts w:ascii="宋体" w:hAnsi="宋体" w:cs="Arial"/>
          <w:sz w:val="24"/>
        </w:rPr>
      </w:pPr>
      <w:r>
        <w:rPr>
          <w:rFonts w:hint="eastAsia" w:ascii="宋体" w:hAnsi="宋体" w:cs="Arial"/>
          <w:sz w:val="24"/>
        </w:rPr>
        <w:t>长兴县太湖高级中学</w:t>
      </w:r>
    </w:p>
    <w:p>
      <w:pPr>
        <w:snapToGrid w:val="0"/>
        <w:spacing w:line="340" w:lineRule="exact"/>
        <w:ind w:left="238"/>
        <w:jc w:val="right"/>
        <w:rPr>
          <w:rFonts w:ascii="宋体" w:hAnsi="宋体" w:cs="Arial"/>
          <w:sz w:val="24"/>
        </w:rPr>
      </w:pPr>
      <w:r>
        <w:rPr>
          <w:rFonts w:hint="eastAsia" w:ascii="宋体" w:hAnsi="宋体" w:cs="Arial"/>
          <w:sz w:val="24"/>
        </w:rPr>
        <w:t>湖州建宁工程咨询有限公司</w:t>
      </w:r>
    </w:p>
    <w:p>
      <w:pPr>
        <w:wordWrap w:val="0"/>
        <w:snapToGrid w:val="0"/>
        <w:spacing w:line="340" w:lineRule="exact"/>
        <w:ind w:left="238" w:right="480"/>
        <w:jc w:val="right"/>
        <w:rPr>
          <w:rFonts w:ascii="宋体" w:hAnsi="宋体"/>
          <w:b/>
          <w:sz w:val="24"/>
        </w:rPr>
        <w:sectPr>
          <w:headerReference r:id="rId3" w:type="default"/>
          <w:footerReference r:id="rId4" w:type="default"/>
          <w:footerReference r:id="rId5" w:type="even"/>
          <w:type w:val="continuous"/>
          <w:pgSz w:w="11906" w:h="16838"/>
          <w:pgMar w:top="1474" w:right="1508" w:bottom="1247" w:left="1599" w:header="851" w:footer="851" w:gutter="0"/>
          <w:pgNumType w:fmt="numberInDash" w:start="0"/>
          <w:cols w:space="720" w:num="1"/>
          <w:titlePg/>
          <w:docGrid w:linePitch="312" w:charSpace="0"/>
        </w:sectPr>
      </w:pPr>
      <w:r>
        <w:rPr>
          <w:rFonts w:hint="eastAsia" w:ascii="宋体" w:hAnsi="宋体"/>
          <w:sz w:val="24"/>
          <w:lang w:eastAsia="zh-CN"/>
        </w:rPr>
        <w:t>2019</w:t>
      </w:r>
      <w:r>
        <w:rPr>
          <w:rFonts w:hint="eastAsia" w:ascii="宋体" w:hAnsi="宋体"/>
          <w:sz w:val="24"/>
        </w:rPr>
        <w:t>年X月31日</w:t>
      </w:r>
    </w:p>
    <w:p>
      <w:pPr>
        <w:pStyle w:val="3"/>
        <w:spacing w:line="240" w:lineRule="auto"/>
        <w:jc w:val="center"/>
        <w:rPr>
          <w:rFonts w:ascii="黑体" w:hAnsi="宋体" w:eastAsia="黑体"/>
          <w:bCs w:val="0"/>
          <w:kern w:val="2"/>
          <w:sz w:val="30"/>
          <w:szCs w:val="30"/>
        </w:rPr>
      </w:pPr>
      <w:bookmarkStart w:id="10" w:name="_Toc6828"/>
      <w:bookmarkStart w:id="11" w:name="_Toc456078613"/>
      <w:r>
        <w:rPr>
          <w:rFonts w:hint="eastAsia" w:ascii="黑体" w:hAnsi="宋体" w:eastAsia="黑体"/>
          <w:bCs w:val="0"/>
          <w:kern w:val="2"/>
          <w:sz w:val="30"/>
          <w:szCs w:val="30"/>
        </w:rPr>
        <w:t>第二章  磋商需求</w:t>
      </w:r>
      <w:bookmarkEnd w:id="10"/>
      <w:bookmarkEnd w:id="11"/>
    </w:p>
    <w:p>
      <w:pPr>
        <w:spacing w:line="400" w:lineRule="exact"/>
        <w:ind w:left="-481" w:leftChars="-229" w:firstLine="420" w:firstLineChars="200"/>
        <w:rPr>
          <w:rFonts w:ascii="宋体" w:hAnsi="宋体" w:cs="宋体"/>
          <w:szCs w:val="21"/>
        </w:rPr>
      </w:pPr>
    </w:p>
    <w:p>
      <w:pPr>
        <w:snapToGrid w:val="0"/>
        <w:spacing w:line="360" w:lineRule="auto"/>
        <w:ind w:firstLine="420" w:firstLineChars="200"/>
        <w:rPr>
          <w:rFonts w:ascii="宋体" w:hAnsi="宋体"/>
          <w:szCs w:val="21"/>
        </w:rPr>
      </w:pPr>
      <w:r>
        <w:rPr>
          <w:rFonts w:hint="eastAsia" w:ascii="宋体" w:hAnsi="宋体"/>
          <w:szCs w:val="21"/>
        </w:rPr>
        <w:t>本技术要求适用于《长兴县太湖高级中学综合管理平台系统采购项目》的采购，是采购人为该项目的供应商提出的技术规范要求，为供应商完成响应文件的依据。本章所提出的内容为本项目的最低要求，供应商必须认真阅读以下内容，以免造成磋商损失。</w:t>
      </w:r>
    </w:p>
    <w:p>
      <w:pPr>
        <w:numPr>
          <w:ilvl w:val="0"/>
          <w:numId w:val="2"/>
        </w:numPr>
        <w:spacing w:line="400" w:lineRule="exact"/>
        <w:rPr>
          <w:rFonts w:ascii="宋体" w:hAnsi="宋体"/>
          <w:kern w:val="0"/>
          <w:szCs w:val="21"/>
        </w:rPr>
      </w:pPr>
      <w:r>
        <w:rPr>
          <w:rFonts w:hint="eastAsia" w:ascii="宋体" w:hAnsi="宋体"/>
          <w:szCs w:val="21"/>
        </w:rPr>
        <w:t>项目名称：</w:t>
      </w:r>
      <w:r>
        <w:rPr>
          <w:rFonts w:hint="eastAsia" w:ascii="宋体" w:hAnsi="宋体"/>
          <w:kern w:val="0"/>
          <w:szCs w:val="21"/>
        </w:rPr>
        <w:t>长兴县太湖高级中学综合管理平台系统采购项目</w:t>
      </w:r>
    </w:p>
    <w:p>
      <w:pPr>
        <w:spacing w:line="400" w:lineRule="exact"/>
        <w:rPr>
          <w:rFonts w:ascii="宋体" w:hAnsi="宋体"/>
          <w:szCs w:val="21"/>
        </w:rPr>
      </w:pPr>
      <w:r>
        <w:rPr>
          <w:rFonts w:hint="eastAsia" w:ascii="宋体" w:hAnsi="宋体"/>
          <w:szCs w:val="21"/>
        </w:rPr>
        <w:t>二、采购内容：</w:t>
      </w:r>
      <w:r>
        <w:rPr>
          <w:rFonts w:hint="eastAsia" w:ascii="宋体" w:hAnsi="宋体"/>
          <w:kern w:val="0"/>
          <w:szCs w:val="21"/>
        </w:rPr>
        <w:t>综合管理平台系统</w:t>
      </w:r>
      <w:r>
        <w:rPr>
          <w:rFonts w:hint="eastAsia" w:ascii="宋体" w:hAnsi="宋体" w:cs="宋体"/>
          <w:kern w:val="0"/>
          <w:szCs w:val="21"/>
        </w:rPr>
        <w:t>采购及安装</w:t>
      </w:r>
      <w:r>
        <w:rPr>
          <w:rFonts w:hint="eastAsia" w:ascii="宋体" w:hAnsi="宋体"/>
          <w:szCs w:val="21"/>
        </w:rPr>
        <w:t>（详见清单）。</w:t>
      </w:r>
    </w:p>
    <w:tbl>
      <w:tblPr>
        <w:tblStyle w:val="50"/>
        <w:tblW w:w="94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6"/>
        <w:gridCol w:w="841"/>
        <w:gridCol w:w="7227"/>
        <w:gridCol w:w="9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7" w:hRule="atLeast"/>
        </w:trPr>
        <w:tc>
          <w:tcPr>
            <w:tcW w:w="446" w:type="dxa"/>
            <w:vAlign w:val="center"/>
          </w:tcPr>
          <w:p>
            <w:pPr>
              <w:jc w:val="center"/>
              <w:rPr>
                <w:rFonts w:ascii="宋体" w:hAnsi="宋体" w:cs="宋体"/>
                <w:bCs/>
                <w:szCs w:val="21"/>
              </w:rPr>
            </w:pPr>
            <w:r>
              <w:rPr>
                <w:rFonts w:hint="eastAsia" w:ascii="宋体" w:hAnsi="宋体" w:cs="宋体"/>
                <w:bCs/>
                <w:szCs w:val="21"/>
              </w:rPr>
              <w:t>序号</w:t>
            </w:r>
          </w:p>
        </w:tc>
        <w:tc>
          <w:tcPr>
            <w:tcW w:w="841" w:type="dxa"/>
            <w:vAlign w:val="center"/>
          </w:tcPr>
          <w:p>
            <w:pPr>
              <w:jc w:val="center"/>
              <w:rPr>
                <w:rFonts w:ascii="宋体" w:hAnsi="宋体" w:cs="宋体"/>
                <w:bCs/>
                <w:szCs w:val="21"/>
              </w:rPr>
            </w:pPr>
            <w:r>
              <w:rPr>
                <w:rFonts w:hint="eastAsia" w:ascii="宋体" w:hAnsi="宋体" w:cs="宋体"/>
                <w:bCs/>
                <w:szCs w:val="21"/>
              </w:rPr>
              <w:t>项目名称</w:t>
            </w:r>
          </w:p>
        </w:tc>
        <w:tc>
          <w:tcPr>
            <w:tcW w:w="7227" w:type="dxa"/>
            <w:vAlign w:val="center"/>
          </w:tcPr>
          <w:p>
            <w:pPr>
              <w:jc w:val="center"/>
              <w:rPr>
                <w:rFonts w:ascii="宋体" w:hAnsi="宋体" w:cs="宋体"/>
                <w:bCs/>
                <w:szCs w:val="21"/>
              </w:rPr>
            </w:pPr>
            <w:r>
              <w:rPr>
                <w:rFonts w:hint="eastAsia" w:ascii="宋体" w:hAnsi="宋体" w:cs="宋体"/>
                <w:bCs/>
                <w:szCs w:val="21"/>
              </w:rPr>
              <w:t>技术参数及配置</w:t>
            </w:r>
          </w:p>
        </w:tc>
        <w:tc>
          <w:tcPr>
            <w:tcW w:w="915" w:type="dxa"/>
            <w:vAlign w:val="center"/>
          </w:tcPr>
          <w:p>
            <w:pPr>
              <w:jc w:val="center"/>
              <w:rPr>
                <w:rFonts w:ascii="宋体" w:hAnsi="宋体" w:cs="宋体"/>
                <w:bCs/>
                <w:szCs w:val="21"/>
              </w:rPr>
            </w:pPr>
            <w:r>
              <w:rPr>
                <w:rFonts w:hint="eastAsia" w:ascii="宋体" w:hAnsi="宋体" w:cs="宋体"/>
                <w:bCs/>
                <w:szCs w:val="21"/>
              </w:rPr>
              <w:t>单位及数量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 w:hRule="atLeast"/>
        </w:trPr>
        <w:tc>
          <w:tcPr>
            <w:tcW w:w="446" w:type="dxa"/>
            <w:vAlign w:val="center"/>
          </w:tcPr>
          <w:p>
            <w:pPr>
              <w:jc w:val="center"/>
              <w:rPr>
                <w:rFonts w:ascii="宋体" w:hAnsi="宋体" w:cs="宋体"/>
                <w:bCs/>
                <w:szCs w:val="21"/>
              </w:rPr>
            </w:pPr>
            <w:r>
              <w:rPr>
                <w:rFonts w:hint="eastAsia" w:ascii="宋体" w:hAnsi="宋体" w:cs="宋体"/>
                <w:bCs/>
                <w:szCs w:val="21"/>
              </w:rPr>
              <w:t>1</w:t>
            </w:r>
          </w:p>
        </w:tc>
        <w:tc>
          <w:tcPr>
            <w:tcW w:w="841" w:type="dxa"/>
            <w:vAlign w:val="center"/>
          </w:tcPr>
          <w:p>
            <w:pPr>
              <w:jc w:val="center"/>
              <w:rPr>
                <w:rFonts w:ascii="宋体" w:hAnsi="宋体" w:cs="宋体"/>
                <w:bCs/>
                <w:szCs w:val="21"/>
              </w:rPr>
            </w:pPr>
            <w:r>
              <w:rPr>
                <w:rFonts w:hint="eastAsia" w:ascii="宋体" w:hAnsi="宋体" w:cs="宋体"/>
                <w:bCs/>
                <w:szCs w:val="21"/>
              </w:rPr>
              <w:t>数据中心</w:t>
            </w:r>
          </w:p>
        </w:tc>
        <w:tc>
          <w:tcPr>
            <w:tcW w:w="7227" w:type="dxa"/>
            <w:vAlign w:val="center"/>
          </w:tcPr>
          <w:p>
            <w:pPr>
              <w:ind w:firstLine="420" w:firstLineChars="200"/>
              <w:rPr>
                <w:rFonts w:ascii="宋体" w:hAnsi="宋体" w:cs="宋体"/>
                <w:bCs/>
                <w:szCs w:val="21"/>
              </w:rPr>
            </w:pPr>
            <w:r>
              <w:rPr>
                <w:rFonts w:hint="eastAsia" w:ascii="宋体" w:hAnsi="宋体" w:cs="宋体"/>
                <w:bCs/>
                <w:szCs w:val="21"/>
              </w:rPr>
              <w:t>一、系统建设要求</w:t>
            </w:r>
          </w:p>
          <w:p>
            <w:pPr>
              <w:ind w:firstLine="420" w:firstLineChars="200"/>
              <w:rPr>
                <w:rFonts w:ascii="宋体" w:hAnsi="宋体" w:cs="宋体"/>
                <w:bCs/>
                <w:szCs w:val="21"/>
              </w:rPr>
            </w:pPr>
            <w:r>
              <w:rPr>
                <w:rFonts w:hint="eastAsia" w:ascii="宋体" w:hAnsi="宋体" w:cs="宋体"/>
                <w:bCs/>
                <w:szCs w:val="21"/>
              </w:rPr>
              <w:t>建立一整套标准统一、信息准确的集学校所有基本信息、业务信息、分析信息、统计信息、决策信息为一体的数据接口服务。是一个面向应用、安全可靠、操作便捷、技术先进、规范统一、灵活可扩的系统。它服务于学校的教学、科研、管理和生活等各个方面。通过多种方式满足学校老师、学生、管理人员和领导等用户的访问和应用。</w:t>
            </w:r>
          </w:p>
          <w:p>
            <w:pPr>
              <w:ind w:firstLine="420" w:firstLineChars="200"/>
              <w:rPr>
                <w:rFonts w:ascii="宋体" w:hAnsi="宋体" w:cs="宋体"/>
                <w:bCs/>
                <w:szCs w:val="21"/>
              </w:rPr>
            </w:pPr>
            <w:r>
              <w:rPr>
                <w:rFonts w:hint="eastAsia" w:ascii="宋体" w:hAnsi="宋体" w:cs="宋体"/>
                <w:bCs/>
                <w:szCs w:val="21"/>
              </w:rPr>
              <w:t>现有部分系统的数据迁移，使旧系统中的数据不被丢失。</w:t>
            </w:r>
          </w:p>
          <w:p>
            <w:pPr>
              <w:ind w:firstLine="420" w:firstLineChars="200"/>
              <w:rPr>
                <w:rFonts w:ascii="宋体" w:hAnsi="宋体" w:cs="宋体"/>
                <w:bCs/>
                <w:szCs w:val="21"/>
              </w:rPr>
            </w:pPr>
            <w:r>
              <w:rPr>
                <w:rFonts w:hint="eastAsia" w:ascii="宋体" w:hAnsi="宋体" w:cs="宋体"/>
                <w:bCs/>
                <w:szCs w:val="21"/>
              </w:rPr>
              <w:t>功能特点要求：</w:t>
            </w:r>
          </w:p>
          <w:p>
            <w:pPr>
              <w:ind w:firstLine="420" w:firstLineChars="200"/>
              <w:rPr>
                <w:rFonts w:ascii="宋体" w:hAnsi="宋体" w:cs="宋体"/>
                <w:bCs/>
                <w:szCs w:val="21"/>
              </w:rPr>
            </w:pPr>
            <w:r>
              <w:rPr>
                <w:rFonts w:hint="eastAsia" w:ascii="宋体" w:hAnsi="宋体" w:cs="宋体"/>
                <w:bCs/>
                <w:szCs w:val="21"/>
              </w:rPr>
              <w:t>需要是统一的整套系统而不是多家系统的整合</w:t>
            </w:r>
          </w:p>
          <w:p>
            <w:pPr>
              <w:ind w:firstLine="420" w:firstLineChars="200"/>
              <w:rPr>
                <w:rFonts w:ascii="宋体" w:hAnsi="宋体" w:cs="宋体"/>
                <w:bCs/>
                <w:szCs w:val="21"/>
              </w:rPr>
            </w:pPr>
            <w:r>
              <w:rPr>
                <w:rFonts w:hint="eastAsia" w:ascii="宋体" w:hAnsi="宋体" w:cs="宋体"/>
                <w:bCs/>
                <w:szCs w:val="21"/>
              </w:rPr>
              <w:t>全校标准统一、信息准确的各类信息为一体的数据仓库</w:t>
            </w:r>
          </w:p>
          <w:p>
            <w:pPr>
              <w:ind w:firstLine="420" w:firstLineChars="200"/>
              <w:rPr>
                <w:rFonts w:ascii="宋体" w:hAnsi="宋体" w:cs="宋体"/>
                <w:bCs/>
                <w:szCs w:val="21"/>
              </w:rPr>
            </w:pPr>
            <w:r>
              <w:rPr>
                <w:rFonts w:hint="eastAsia" w:ascii="宋体" w:hAnsi="宋体" w:cs="宋体"/>
                <w:bCs/>
                <w:szCs w:val="21"/>
              </w:rPr>
              <w:t>支持国标、部标、行标和学校标准，基于统一的数据标准和规范</w:t>
            </w:r>
          </w:p>
          <w:p>
            <w:pPr>
              <w:ind w:firstLine="420" w:firstLineChars="200"/>
              <w:rPr>
                <w:rFonts w:ascii="宋体" w:hAnsi="宋体" w:cs="宋体"/>
                <w:bCs/>
                <w:szCs w:val="21"/>
              </w:rPr>
            </w:pPr>
            <w:r>
              <w:rPr>
                <w:rFonts w:hint="eastAsia" w:ascii="宋体" w:hAnsi="宋体" w:cs="宋体"/>
                <w:bCs/>
                <w:szCs w:val="21"/>
              </w:rPr>
              <w:t>数据挖掘、分析功能</w:t>
            </w:r>
          </w:p>
          <w:p>
            <w:pPr>
              <w:ind w:firstLine="420" w:firstLineChars="200"/>
              <w:rPr>
                <w:rFonts w:ascii="宋体" w:hAnsi="宋体" w:cs="宋体"/>
                <w:bCs/>
                <w:szCs w:val="21"/>
              </w:rPr>
            </w:pPr>
            <w:r>
              <w:rPr>
                <w:rFonts w:hint="eastAsia" w:ascii="宋体" w:hAnsi="宋体" w:cs="宋体"/>
                <w:bCs/>
                <w:szCs w:val="21"/>
              </w:rPr>
              <w:t>数据统计功能</w:t>
            </w:r>
          </w:p>
          <w:p>
            <w:pPr>
              <w:ind w:firstLine="420" w:firstLineChars="200"/>
              <w:rPr>
                <w:rFonts w:ascii="宋体" w:hAnsi="宋体" w:cs="宋体"/>
                <w:bCs/>
                <w:szCs w:val="21"/>
              </w:rPr>
            </w:pPr>
            <w:r>
              <w:rPr>
                <w:rFonts w:hint="eastAsia" w:ascii="宋体" w:hAnsi="宋体" w:cs="宋体"/>
                <w:bCs/>
                <w:szCs w:val="21"/>
              </w:rPr>
              <w:t>提供决策支持功能</w:t>
            </w:r>
          </w:p>
          <w:p>
            <w:pPr>
              <w:ind w:firstLine="420" w:firstLineChars="200"/>
              <w:rPr>
                <w:rFonts w:ascii="宋体" w:hAnsi="宋体" w:cs="宋体"/>
                <w:bCs/>
                <w:szCs w:val="21"/>
              </w:rPr>
            </w:pPr>
            <w:r>
              <w:rPr>
                <w:rFonts w:hint="eastAsia" w:ascii="宋体" w:hAnsi="宋体" w:cs="宋体"/>
                <w:bCs/>
                <w:szCs w:val="21"/>
              </w:rPr>
              <w:t>海量数据自优化</w:t>
            </w:r>
          </w:p>
          <w:p>
            <w:pPr>
              <w:ind w:firstLine="420" w:firstLineChars="200"/>
              <w:rPr>
                <w:rFonts w:ascii="宋体" w:hAnsi="宋体" w:cs="宋体"/>
                <w:bCs/>
                <w:szCs w:val="21"/>
              </w:rPr>
            </w:pPr>
            <w:r>
              <w:rPr>
                <w:rFonts w:hint="eastAsia" w:ascii="宋体" w:hAnsi="宋体" w:cs="宋体"/>
                <w:bCs/>
                <w:szCs w:val="21"/>
              </w:rPr>
              <w:t>历史数据智能分析</w:t>
            </w:r>
          </w:p>
          <w:p>
            <w:pPr>
              <w:ind w:firstLine="420" w:firstLineChars="200"/>
              <w:rPr>
                <w:rFonts w:ascii="宋体" w:hAnsi="宋体" w:cs="宋体"/>
                <w:bCs/>
                <w:szCs w:val="21"/>
              </w:rPr>
            </w:pPr>
            <w:r>
              <w:rPr>
                <w:rFonts w:hint="eastAsia" w:ascii="宋体" w:hAnsi="宋体" w:cs="宋体"/>
                <w:bCs/>
                <w:szCs w:val="21"/>
              </w:rPr>
              <w:t>兼容不同业务系统的标准</w:t>
            </w:r>
          </w:p>
          <w:p>
            <w:pPr>
              <w:ind w:firstLine="420" w:firstLineChars="200"/>
              <w:rPr>
                <w:rFonts w:ascii="宋体" w:hAnsi="宋体" w:cs="宋体"/>
                <w:bCs/>
                <w:szCs w:val="21"/>
              </w:rPr>
            </w:pPr>
            <w:r>
              <w:rPr>
                <w:rFonts w:hint="eastAsia" w:ascii="宋体" w:hAnsi="宋体" w:cs="宋体"/>
                <w:bCs/>
                <w:szCs w:val="21"/>
              </w:rPr>
              <w:t>与统一身份认证平台结合</w:t>
            </w:r>
          </w:p>
          <w:p>
            <w:pPr>
              <w:ind w:firstLine="420" w:firstLineChars="200"/>
              <w:rPr>
                <w:rFonts w:ascii="宋体" w:hAnsi="宋体" w:cs="宋体"/>
                <w:bCs/>
                <w:szCs w:val="21"/>
              </w:rPr>
            </w:pPr>
            <w:r>
              <w:rPr>
                <w:rFonts w:hint="eastAsia" w:ascii="宋体" w:hAnsi="宋体" w:cs="宋体"/>
                <w:bCs/>
                <w:szCs w:val="21"/>
              </w:rPr>
              <w:t>完善的安全设计</w:t>
            </w:r>
          </w:p>
          <w:p>
            <w:pPr>
              <w:ind w:firstLine="420" w:firstLineChars="200"/>
              <w:rPr>
                <w:rFonts w:ascii="宋体" w:hAnsi="宋体" w:cs="宋体"/>
                <w:bCs/>
                <w:szCs w:val="21"/>
              </w:rPr>
            </w:pPr>
            <w:r>
              <w:rPr>
                <w:rFonts w:hint="eastAsia" w:ascii="宋体" w:hAnsi="宋体" w:cs="宋体"/>
                <w:bCs/>
                <w:szCs w:val="21"/>
              </w:rPr>
              <w:t>技术要求：基于B/S结构（Browser/Server，浏览器/服务器模式），采用LAMP架构(Linux+Apache+Mysql+ PHP)，系统架构分层应具备信息展示层、业务处理层及数据管理层等。本次项目需支持多种部署方式：本地化部署或云化平台部署。</w:t>
            </w:r>
          </w:p>
        </w:tc>
        <w:tc>
          <w:tcPr>
            <w:tcW w:w="915" w:type="dxa"/>
            <w:vMerge w:val="restart"/>
            <w:vAlign w:val="center"/>
          </w:tcPr>
          <w:p>
            <w:pPr>
              <w:jc w:val="center"/>
              <w:rPr>
                <w:rFonts w:ascii="宋体" w:hAnsi="宋体" w:cs="宋体"/>
                <w:bCs/>
                <w:szCs w:val="21"/>
              </w:rPr>
            </w:pPr>
            <w:r>
              <w:rPr>
                <w:rFonts w:hint="eastAsia" w:ascii="宋体" w:hAnsi="宋体" w:cs="宋体"/>
                <w:bCs/>
                <w:szCs w:val="21"/>
              </w:rPr>
              <w:t>套/1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5" w:hRule="atLeast"/>
        </w:trPr>
        <w:tc>
          <w:tcPr>
            <w:tcW w:w="446" w:type="dxa"/>
            <w:vAlign w:val="center"/>
          </w:tcPr>
          <w:p>
            <w:pPr>
              <w:jc w:val="center"/>
              <w:rPr>
                <w:rFonts w:ascii="宋体" w:hAnsi="宋体" w:cs="宋体"/>
                <w:bCs/>
                <w:szCs w:val="21"/>
              </w:rPr>
            </w:pPr>
            <w:r>
              <w:rPr>
                <w:rFonts w:hint="eastAsia" w:ascii="宋体" w:hAnsi="宋体" w:cs="宋体"/>
                <w:bCs/>
                <w:szCs w:val="21"/>
              </w:rPr>
              <w:t>2</w:t>
            </w:r>
          </w:p>
        </w:tc>
        <w:tc>
          <w:tcPr>
            <w:tcW w:w="841" w:type="dxa"/>
            <w:vAlign w:val="center"/>
          </w:tcPr>
          <w:p>
            <w:pPr>
              <w:jc w:val="center"/>
              <w:rPr>
                <w:rFonts w:ascii="宋体" w:hAnsi="宋体" w:cs="宋体"/>
                <w:bCs/>
                <w:szCs w:val="21"/>
              </w:rPr>
            </w:pPr>
            <w:r>
              <w:rPr>
                <w:rFonts w:hint="eastAsia" w:ascii="宋体" w:hAnsi="宋体" w:cs="宋体"/>
                <w:bCs/>
                <w:szCs w:val="21"/>
              </w:rPr>
              <w:t>个人事务系统</w:t>
            </w:r>
          </w:p>
        </w:tc>
        <w:tc>
          <w:tcPr>
            <w:tcW w:w="7227" w:type="dxa"/>
            <w:vAlign w:val="center"/>
          </w:tcPr>
          <w:p>
            <w:pPr>
              <w:ind w:firstLine="420" w:firstLineChars="200"/>
              <w:rPr>
                <w:rFonts w:ascii="宋体" w:hAnsi="宋体" w:cs="宋体"/>
                <w:bCs/>
                <w:szCs w:val="21"/>
              </w:rPr>
            </w:pPr>
            <w:r>
              <w:rPr>
                <w:rFonts w:hint="eastAsia" w:ascii="宋体" w:hAnsi="宋体" w:cs="宋体"/>
                <w:bCs/>
                <w:szCs w:val="21"/>
              </w:rPr>
              <w:t>个人日常办公事务系统包含：我的桌面、通知公告、校内新闻、我的文件柜、短信平台、日程管理、通讯录、消息管理、调查投票、个人考勤、单点登录、控制面板等子功能模块。</w:t>
            </w:r>
          </w:p>
        </w:tc>
        <w:tc>
          <w:tcPr>
            <w:tcW w:w="915" w:type="dxa"/>
            <w:vMerge w:val="continue"/>
            <w:vAlign w:val="center"/>
          </w:tcPr>
          <w:p>
            <w:pPr>
              <w:ind w:firstLine="420" w:firstLineChars="200"/>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5" w:hRule="atLeast"/>
        </w:trPr>
        <w:tc>
          <w:tcPr>
            <w:tcW w:w="446" w:type="dxa"/>
            <w:vAlign w:val="center"/>
          </w:tcPr>
          <w:p>
            <w:pPr>
              <w:jc w:val="center"/>
              <w:rPr>
                <w:rFonts w:ascii="宋体" w:hAnsi="宋体" w:cs="宋体"/>
                <w:bCs/>
                <w:szCs w:val="21"/>
              </w:rPr>
            </w:pPr>
            <w:r>
              <w:rPr>
                <w:rFonts w:hint="eastAsia" w:ascii="宋体" w:hAnsi="宋体" w:cs="宋体"/>
                <w:bCs/>
                <w:szCs w:val="21"/>
              </w:rPr>
              <w:t>3</w:t>
            </w:r>
          </w:p>
        </w:tc>
        <w:tc>
          <w:tcPr>
            <w:tcW w:w="841" w:type="dxa"/>
            <w:vAlign w:val="center"/>
          </w:tcPr>
          <w:p>
            <w:pPr>
              <w:jc w:val="center"/>
              <w:rPr>
                <w:rFonts w:ascii="宋体" w:hAnsi="宋体" w:cs="宋体"/>
                <w:bCs/>
                <w:szCs w:val="21"/>
              </w:rPr>
            </w:pPr>
            <w:r>
              <w:rPr>
                <w:rFonts w:hint="eastAsia" w:ascii="宋体" w:hAnsi="宋体" w:cs="宋体"/>
                <w:bCs/>
                <w:szCs w:val="21"/>
              </w:rPr>
              <w:t>管理权限细化</w:t>
            </w:r>
          </w:p>
          <w:p>
            <w:pPr>
              <w:jc w:val="center"/>
              <w:rPr>
                <w:rFonts w:ascii="宋体" w:hAnsi="宋体" w:cs="宋体"/>
                <w:bCs/>
                <w:szCs w:val="21"/>
              </w:rPr>
            </w:pPr>
          </w:p>
        </w:tc>
        <w:tc>
          <w:tcPr>
            <w:tcW w:w="7227" w:type="dxa"/>
            <w:vAlign w:val="center"/>
          </w:tcPr>
          <w:p>
            <w:pPr>
              <w:ind w:firstLine="420" w:firstLineChars="200"/>
              <w:rPr>
                <w:rFonts w:ascii="宋体" w:hAnsi="宋体" w:cs="宋体"/>
                <w:bCs/>
                <w:szCs w:val="21"/>
              </w:rPr>
            </w:pPr>
            <w:r>
              <w:rPr>
                <w:rFonts w:hint="eastAsia" w:ascii="宋体" w:hAnsi="宋体" w:cs="宋体"/>
                <w:bCs/>
                <w:color w:val="FF0000"/>
                <w:szCs w:val="21"/>
              </w:rPr>
              <w:t>★</w:t>
            </w:r>
            <w:r>
              <w:rPr>
                <w:rFonts w:hint="eastAsia" w:ascii="宋体" w:hAnsi="宋体" w:cs="宋体"/>
                <w:bCs/>
                <w:szCs w:val="21"/>
              </w:rPr>
              <w:t>依据部门细化权限，即处于同一部门的教师权限等同，并根据需要教师可关联多个部门及可授予多个角色，其操作功能将进行叠加；</w:t>
            </w:r>
          </w:p>
          <w:p>
            <w:pPr>
              <w:ind w:firstLine="420" w:firstLineChars="200"/>
              <w:rPr>
                <w:rFonts w:ascii="宋体" w:hAnsi="宋体" w:cs="宋体"/>
                <w:bCs/>
                <w:szCs w:val="21"/>
              </w:rPr>
            </w:pPr>
            <w:r>
              <w:rPr>
                <w:rFonts w:hint="eastAsia" w:ascii="宋体" w:hAnsi="宋体" w:cs="宋体"/>
                <w:bCs/>
                <w:szCs w:val="21"/>
              </w:rPr>
              <w:t>用户日志：对信息管理系统各用户操作日志进行查询，管理，方便管理员对信息管理系统进行系统管理。</w:t>
            </w:r>
          </w:p>
        </w:tc>
        <w:tc>
          <w:tcPr>
            <w:tcW w:w="915" w:type="dxa"/>
            <w:vMerge w:val="continue"/>
            <w:vAlign w:val="center"/>
          </w:tcPr>
          <w:p>
            <w:pPr>
              <w:ind w:firstLine="420" w:firstLineChars="200"/>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5" w:hRule="atLeast"/>
        </w:trPr>
        <w:tc>
          <w:tcPr>
            <w:tcW w:w="446" w:type="dxa"/>
            <w:vAlign w:val="center"/>
          </w:tcPr>
          <w:p>
            <w:pPr>
              <w:jc w:val="center"/>
              <w:rPr>
                <w:rFonts w:ascii="宋体" w:hAnsi="宋体" w:cs="宋体"/>
                <w:bCs/>
                <w:szCs w:val="21"/>
              </w:rPr>
            </w:pPr>
            <w:r>
              <w:rPr>
                <w:rFonts w:hint="eastAsia" w:ascii="宋体" w:hAnsi="宋体" w:cs="宋体"/>
                <w:bCs/>
                <w:szCs w:val="21"/>
              </w:rPr>
              <w:t>4</w:t>
            </w:r>
          </w:p>
        </w:tc>
        <w:tc>
          <w:tcPr>
            <w:tcW w:w="841" w:type="dxa"/>
            <w:vAlign w:val="center"/>
          </w:tcPr>
          <w:p>
            <w:pPr>
              <w:jc w:val="center"/>
              <w:rPr>
                <w:rFonts w:ascii="宋体" w:hAnsi="宋体" w:cs="宋体"/>
                <w:bCs/>
                <w:szCs w:val="21"/>
              </w:rPr>
            </w:pPr>
            <w:r>
              <w:rPr>
                <w:rFonts w:hint="eastAsia" w:ascii="宋体" w:hAnsi="宋体" w:cs="宋体"/>
                <w:bCs/>
                <w:szCs w:val="21"/>
              </w:rPr>
              <w:t>系统基础框架</w:t>
            </w:r>
          </w:p>
        </w:tc>
        <w:tc>
          <w:tcPr>
            <w:tcW w:w="7227" w:type="dxa"/>
            <w:vAlign w:val="center"/>
          </w:tcPr>
          <w:p>
            <w:pPr>
              <w:ind w:firstLine="420" w:firstLineChars="200"/>
              <w:rPr>
                <w:rFonts w:ascii="宋体" w:hAnsi="宋体" w:cs="宋体"/>
                <w:bCs/>
                <w:szCs w:val="21"/>
              </w:rPr>
            </w:pPr>
            <w:r>
              <w:rPr>
                <w:rFonts w:hint="eastAsia" w:ascii="宋体" w:hAnsi="宋体" w:cs="宋体"/>
                <w:szCs w:val="21"/>
              </w:rPr>
              <w:t>主</w:t>
            </w:r>
            <w:r>
              <w:rPr>
                <w:rFonts w:hint="eastAsia" w:ascii="宋体" w:hAnsi="宋体" w:cs="宋体"/>
                <w:bCs/>
                <w:szCs w:val="21"/>
              </w:rPr>
              <w:t>要包含系统登录及操作管理界面，用户管理、角色管理系统、部门及系统基础设置；</w:t>
            </w:r>
          </w:p>
          <w:p>
            <w:pPr>
              <w:ind w:firstLine="420" w:firstLineChars="200"/>
              <w:rPr>
                <w:rFonts w:ascii="宋体" w:hAnsi="宋体" w:cs="宋体"/>
                <w:bCs/>
                <w:szCs w:val="21"/>
              </w:rPr>
            </w:pPr>
            <w:r>
              <w:rPr>
                <w:rFonts w:hint="eastAsia" w:ascii="宋体" w:hAnsi="宋体" w:cs="宋体"/>
                <w:bCs/>
                <w:szCs w:val="21"/>
              </w:rPr>
              <w:t>用户管理：对信息管理系统的用户进行管理，对用户进行分组管理，根据用户功能的不同进行分组授权。用户对象应分为：教师、管理员、班主任、年级组长、学生等。</w:t>
            </w:r>
          </w:p>
          <w:p>
            <w:pPr>
              <w:ind w:firstLine="420" w:firstLineChars="200"/>
              <w:rPr>
                <w:rFonts w:ascii="宋体" w:hAnsi="宋体" w:cs="宋体"/>
                <w:bCs/>
                <w:szCs w:val="21"/>
              </w:rPr>
            </w:pPr>
            <w:r>
              <w:rPr>
                <w:rFonts w:hint="eastAsia" w:ascii="宋体" w:hAnsi="宋体" w:cs="宋体"/>
                <w:bCs/>
                <w:szCs w:val="21"/>
              </w:rPr>
              <w:t>角色管理：对信息管理系统中用户角色进行管理，便于信息管理系统用户权限的分配。</w:t>
            </w:r>
          </w:p>
          <w:p>
            <w:pPr>
              <w:ind w:firstLine="420" w:firstLineChars="200"/>
              <w:rPr>
                <w:rFonts w:ascii="宋体" w:hAnsi="宋体" w:cs="宋体"/>
                <w:bCs/>
                <w:szCs w:val="21"/>
              </w:rPr>
            </w:pPr>
            <w:r>
              <w:rPr>
                <w:rFonts w:hint="eastAsia" w:ascii="宋体" w:hAnsi="宋体" w:cs="宋体"/>
                <w:bCs/>
                <w:szCs w:val="21"/>
              </w:rPr>
              <w:t>部门设置：对信息管理系统中组织结构的管理，包括部门管理，部门人员管理。</w:t>
            </w:r>
          </w:p>
          <w:p>
            <w:pPr>
              <w:ind w:firstLine="420" w:firstLineChars="200"/>
              <w:rPr>
                <w:rFonts w:ascii="宋体" w:hAnsi="宋体" w:cs="宋体"/>
                <w:bCs/>
                <w:szCs w:val="21"/>
              </w:rPr>
            </w:pPr>
            <w:r>
              <w:rPr>
                <w:rFonts w:hint="eastAsia" w:ascii="宋体" w:hAnsi="宋体" w:cs="宋体"/>
                <w:bCs/>
                <w:szCs w:val="21"/>
              </w:rPr>
              <w:t>系统设置：对信息管理系统的一些基本设置或系统开关进行设置，方便系统灵活应用，包含：课程设置、考试类型、时间段、年级班级、职称设置等。</w:t>
            </w:r>
          </w:p>
          <w:p>
            <w:pPr>
              <w:ind w:firstLine="420" w:firstLineChars="200"/>
              <w:rPr>
                <w:rFonts w:ascii="宋体" w:hAnsi="宋体" w:cs="宋体"/>
                <w:szCs w:val="21"/>
              </w:rPr>
            </w:pPr>
            <w:r>
              <w:rPr>
                <w:rFonts w:hint="eastAsia" w:ascii="宋体" w:hAnsi="宋体" w:cs="宋体"/>
                <w:bCs/>
                <w:szCs w:val="21"/>
              </w:rPr>
              <w:t>★考察班牌的扩展性能力，现场通过后台安装一款第三方apk并推送至智能触摸一体式应用终端，学生可在应用终端刷卡进入个人空间点击apk图标进行应用操作，退出后仍回到班牌操作系统</w:t>
            </w:r>
          </w:p>
        </w:tc>
        <w:tc>
          <w:tcPr>
            <w:tcW w:w="915" w:type="dxa"/>
            <w:vMerge w:val="continue"/>
            <w:vAlign w:val="center"/>
          </w:tcPr>
          <w:p>
            <w:pPr>
              <w:ind w:firstLine="420" w:firstLineChars="200"/>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2" w:hRule="atLeast"/>
        </w:trPr>
        <w:tc>
          <w:tcPr>
            <w:tcW w:w="446" w:type="dxa"/>
            <w:vAlign w:val="center"/>
          </w:tcPr>
          <w:p>
            <w:pPr>
              <w:jc w:val="center"/>
              <w:rPr>
                <w:rFonts w:ascii="宋体" w:hAnsi="宋体" w:cs="宋体"/>
                <w:bCs/>
                <w:szCs w:val="21"/>
              </w:rPr>
            </w:pPr>
            <w:r>
              <w:rPr>
                <w:rFonts w:hint="eastAsia" w:ascii="宋体" w:hAnsi="宋体" w:cs="宋体"/>
                <w:bCs/>
                <w:szCs w:val="21"/>
              </w:rPr>
              <w:t>5</w:t>
            </w:r>
          </w:p>
        </w:tc>
        <w:tc>
          <w:tcPr>
            <w:tcW w:w="841" w:type="dxa"/>
            <w:vAlign w:val="center"/>
          </w:tcPr>
          <w:p>
            <w:pPr>
              <w:jc w:val="center"/>
              <w:rPr>
                <w:rFonts w:ascii="宋体" w:hAnsi="宋体" w:cs="宋体"/>
                <w:bCs/>
                <w:szCs w:val="21"/>
              </w:rPr>
            </w:pPr>
            <w:r>
              <w:rPr>
                <w:rFonts w:hint="eastAsia" w:ascii="宋体" w:hAnsi="宋体" w:cs="宋体"/>
                <w:bCs/>
                <w:szCs w:val="21"/>
              </w:rPr>
              <w:t>教工管理系统</w:t>
            </w:r>
          </w:p>
        </w:tc>
        <w:tc>
          <w:tcPr>
            <w:tcW w:w="7227" w:type="dxa"/>
            <w:vAlign w:val="center"/>
          </w:tcPr>
          <w:p>
            <w:pPr>
              <w:ind w:firstLine="420" w:firstLineChars="200"/>
              <w:rPr>
                <w:rFonts w:ascii="宋体" w:hAnsi="宋体" w:cs="宋体"/>
                <w:bCs/>
                <w:szCs w:val="21"/>
              </w:rPr>
            </w:pPr>
            <w:r>
              <w:rPr>
                <w:rFonts w:hint="eastAsia" w:ascii="宋体" w:hAnsi="宋体" w:cs="宋体"/>
                <w:bCs/>
                <w:szCs w:val="21"/>
              </w:rPr>
              <w:t>查询学校教师资料，支持单个教师信息的录入、编辑及删除，支持依据给定模板批量导入教师资料及批量编辑教师资料，支持教师资料的批量导出，支持同步创建及更新登录账号。</w:t>
            </w:r>
          </w:p>
          <w:p>
            <w:pPr>
              <w:rPr>
                <w:rFonts w:ascii="宋体" w:hAnsi="宋体" w:cs="宋体"/>
                <w:bCs/>
                <w:szCs w:val="21"/>
              </w:rPr>
            </w:pPr>
            <w:r>
              <w:rPr>
                <w:rFonts w:hint="eastAsia" w:ascii="宋体" w:hAnsi="宋体" w:cs="宋体"/>
                <w:bCs/>
                <w:szCs w:val="21"/>
              </w:rPr>
              <w:t>(1)录入/导入教职工(在职人员/离退休人员)基本信息；录入教职工相关信息：包括家庭及社会关系、学习经历(学历/学位/进修)、工作经历(含兼职情况)、政治面貌与宗教信仰、担任职务(行政职务/技术职务)、职业技能、领域专家等。</w:t>
            </w:r>
          </w:p>
          <w:p>
            <w:pPr>
              <w:rPr>
                <w:rFonts w:ascii="宋体" w:hAnsi="宋体" w:cs="宋体"/>
                <w:bCs/>
                <w:szCs w:val="21"/>
              </w:rPr>
            </w:pPr>
            <w:r>
              <w:rPr>
                <w:rFonts w:hint="eastAsia" w:ascii="宋体" w:hAnsi="宋体" w:cs="宋体"/>
                <w:bCs/>
                <w:szCs w:val="21"/>
              </w:rPr>
              <w:t>(2)记录教职工异动信息(含调动、离退、离岗、离职、返聘、延退等)。</w:t>
            </w:r>
          </w:p>
          <w:p>
            <w:pPr>
              <w:rPr>
                <w:rFonts w:ascii="宋体" w:hAnsi="宋体" w:cs="宋体"/>
                <w:bCs/>
                <w:szCs w:val="21"/>
              </w:rPr>
            </w:pPr>
            <w:r>
              <w:rPr>
                <w:rFonts w:hint="eastAsia" w:ascii="宋体" w:hAnsi="宋体" w:cs="宋体"/>
                <w:bCs/>
                <w:szCs w:val="21"/>
              </w:rPr>
              <w:t>(3)打印个人履历表、教职工名册。</w:t>
            </w:r>
          </w:p>
          <w:p>
            <w:pPr>
              <w:rPr>
                <w:rFonts w:ascii="宋体" w:hAnsi="宋体" w:cs="宋体"/>
                <w:bCs/>
                <w:szCs w:val="21"/>
              </w:rPr>
            </w:pPr>
            <w:r>
              <w:rPr>
                <w:rFonts w:hint="eastAsia" w:ascii="宋体" w:hAnsi="宋体" w:cs="宋体"/>
                <w:bCs/>
                <w:szCs w:val="21"/>
              </w:rPr>
              <w:t>(4)统计分析教职工的学历、学位、职称、年龄、工龄与异动情况</w:t>
            </w:r>
          </w:p>
          <w:p>
            <w:pPr>
              <w:rPr>
                <w:rFonts w:ascii="宋体" w:hAnsi="宋体" w:cs="宋体"/>
                <w:bCs/>
                <w:szCs w:val="21"/>
              </w:rPr>
            </w:pPr>
            <w:r>
              <w:rPr>
                <w:rFonts w:hint="eastAsia" w:ascii="宋体" w:hAnsi="宋体" w:cs="宋体"/>
                <w:bCs/>
                <w:szCs w:val="21"/>
              </w:rPr>
              <w:t>为科学记录教师专业成长过程，增强教师自我反思、主动发展的意识和能力，完善教师发展性评价体系，建立教师专业成长档案。档案的内容将包括教师基本信息、个人档案、主要荣誉、培训信息、流动信息和职称信息等。</w:t>
            </w:r>
          </w:p>
        </w:tc>
        <w:tc>
          <w:tcPr>
            <w:tcW w:w="915" w:type="dxa"/>
            <w:vMerge w:val="continue"/>
            <w:vAlign w:val="center"/>
          </w:tcPr>
          <w:p>
            <w:pP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446" w:type="dxa"/>
            <w:vAlign w:val="center"/>
          </w:tcPr>
          <w:p>
            <w:pPr>
              <w:jc w:val="center"/>
              <w:rPr>
                <w:rFonts w:ascii="宋体" w:hAnsi="宋体" w:cs="宋体"/>
                <w:bCs/>
                <w:szCs w:val="21"/>
              </w:rPr>
            </w:pPr>
            <w:r>
              <w:rPr>
                <w:rFonts w:hint="eastAsia" w:ascii="宋体" w:hAnsi="宋体" w:cs="宋体"/>
                <w:bCs/>
                <w:szCs w:val="21"/>
              </w:rPr>
              <w:t>6</w:t>
            </w:r>
          </w:p>
        </w:tc>
        <w:tc>
          <w:tcPr>
            <w:tcW w:w="841" w:type="dxa"/>
            <w:vAlign w:val="center"/>
          </w:tcPr>
          <w:p>
            <w:pPr>
              <w:jc w:val="center"/>
              <w:rPr>
                <w:rFonts w:ascii="宋体" w:hAnsi="宋体" w:cs="宋体"/>
                <w:bCs/>
                <w:szCs w:val="21"/>
              </w:rPr>
            </w:pPr>
            <w:r>
              <w:rPr>
                <w:rFonts w:hint="eastAsia" w:ascii="宋体" w:hAnsi="宋体" w:cs="宋体"/>
                <w:bCs/>
                <w:szCs w:val="21"/>
              </w:rPr>
              <w:t>OA办公系统</w:t>
            </w:r>
          </w:p>
        </w:tc>
        <w:tc>
          <w:tcPr>
            <w:tcW w:w="7227" w:type="dxa"/>
            <w:vAlign w:val="center"/>
          </w:tcPr>
          <w:p>
            <w:pPr>
              <w:ind w:firstLine="420" w:firstLineChars="200"/>
              <w:rPr>
                <w:rFonts w:ascii="宋体" w:hAnsi="宋体" w:cs="宋体"/>
                <w:bCs/>
                <w:szCs w:val="21"/>
              </w:rPr>
            </w:pPr>
            <w:r>
              <w:rPr>
                <w:rFonts w:hint="eastAsia" w:ascii="宋体" w:hAnsi="宋体" w:cs="宋体"/>
                <w:bCs/>
                <w:szCs w:val="21"/>
              </w:rPr>
              <w:t>工资查询：是为教师提供详细薪酬的窗口，将教师工资详细构成录入系统中，每一位教师登录后进入该系统，就可以方便、快捷、准确的获取本人工资总额、扣费、扣缴、津贴、补助等情况。</w:t>
            </w:r>
          </w:p>
          <w:p>
            <w:pPr>
              <w:rPr>
                <w:rFonts w:ascii="宋体" w:hAnsi="宋体" w:cs="宋体"/>
                <w:bCs/>
                <w:szCs w:val="21"/>
              </w:rPr>
            </w:pPr>
            <w:r>
              <w:rPr>
                <w:rFonts w:hint="eastAsia" w:ascii="宋体" w:hAnsi="宋体" w:cs="宋体"/>
                <w:bCs/>
                <w:szCs w:val="21"/>
              </w:rPr>
              <w:t>通知公告：</w:t>
            </w:r>
          </w:p>
          <w:p>
            <w:pPr>
              <w:rPr>
                <w:rFonts w:ascii="宋体" w:hAnsi="宋体" w:cs="宋体"/>
                <w:bCs/>
                <w:szCs w:val="21"/>
              </w:rPr>
            </w:pPr>
            <w:r>
              <w:rPr>
                <w:rFonts w:hint="eastAsia" w:ascii="宋体" w:hAnsi="宋体" w:cs="宋体"/>
                <w:bCs/>
                <w:szCs w:val="21"/>
              </w:rPr>
              <w:t>（1）通过公告名称、发布教师查询，可添加公告，添加时跳转至文本编辑窗口编辑后保存发布即可。选择多个公告可批量删除，可选择是否置顶公告，对已有公告可以修改和删除。页面中显示公告的阅读人数。</w:t>
            </w:r>
          </w:p>
          <w:p>
            <w:pPr>
              <w:rPr>
                <w:rFonts w:ascii="宋体" w:hAnsi="宋体" w:cs="宋体"/>
                <w:bCs/>
                <w:szCs w:val="21"/>
              </w:rPr>
            </w:pPr>
            <w:r>
              <w:rPr>
                <w:rFonts w:hint="eastAsia" w:ascii="宋体" w:hAnsi="宋体" w:cs="宋体"/>
                <w:bCs/>
                <w:szCs w:val="21"/>
              </w:rPr>
              <w:t>（2.）发布的公告，支持查询与添加、修改和删除，页面中显示所发布公告的阅读人数。</w:t>
            </w:r>
          </w:p>
          <w:p>
            <w:pPr>
              <w:rPr>
                <w:rFonts w:ascii="宋体" w:hAnsi="宋体" w:cs="宋体"/>
                <w:bCs/>
                <w:szCs w:val="21"/>
              </w:rPr>
            </w:pPr>
            <w:r>
              <w:rPr>
                <w:rFonts w:hint="eastAsia" w:ascii="宋体" w:hAnsi="宋体" w:cs="宋体"/>
                <w:bCs/>
                <w:szCs w:val="21"/>
              </w:rPr>
              <w:t>（3）呈现所有公告，支持查询，可以显示阅读人数</w:t>
            </w:r>
          </w:p>
          <w:p>
            <w:pPr>
              <w:rPr>
                <w:rFonts w:ascii="宋体" w:hAnsi="宋体" w:cs="宋体"/>
                <w:bCs/>
                <w:szCs w:val="21"/>
              </w:rPr>
            </w:pPr>
            <w:r>
              <w:rPr>
                <w:rFonts w:hint="eastAsia" w:ascii="宋体" w:hAnsi="宋体" w:cs="宋体"/>
                <w:bCs/>
                <w:szCs w:val="21"/>
              </w:rPr>
              <w:t>工作计划：</w:t>
            </w:r>
          </w:p>
          <w:p>
            <w:pPr>
              <w:rPr>
                <w:rFonts w:ascii="宋体" w:hAnsi="宋体" w:cs="宋体"/>
                <w:bCs/>
                <w:szCs w:val="21"/>
              </w:rPr>
            </w:pPr>
            <w:r>
              <w:rPr>
                <w:rFonts w:hint="eastAsia" w:ascii="宋体" w:hAnsi="宋体" w:cs="宋体"/>
                <w:bCs/>
                <w:szCs w:val="21"/>
              </w:rPr>
              <w:t>（1）周计划提交：填报工作内容、责任领导、责任部门等信息</w:t>
            </w:r>
          </w:p>
          <w:p>
            <w:pPr>
              <w:rPr>
                <w:rFonts w:ascii="宋体" w:hAnsi="宋体" w:cs="宋体"/>
                <w:bCs/>
                <w:szCs w:val="21"/>
              </w:rPr>
            </w:pPr>
            <w:r>
              <w:rPr>
                <w:rFonts w:hint="eastAsia" w:ascii="宋体" w:hAnsi="宋体" w:cs="宋体"/>
                <w:bCs/>
                <w:szCs w:val="21"/>
              </w:rPr>
              <w:t>（2）工作督察：包括工作内容、分管领导、责任科室、完成情况</w:t>
            </w:r>
          </w:p>
        </w:tc>
        <w:tc>
          <w:tcPr>
            <w:tcW w:w="915" w:type="dxa"/>
            <w:vMerge w:val="continue"/>
            <w:vAlign w:val="center"/>
          </w:tcPr>
          <w:p>
            <w:pP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446" w:type="dxa"/>
            <w:vAlign w:val="center"/>
          </w:tcPr>
          <w:p>
            <w:pPr>
              <w:jc w:val="center"/>
              <w:rPr>
                <w:rFonts w:ascii="宋体" w:hAnsi="宋体" w:cs="宋体"/>
                <w:bCs/>
                <w:szCs w:val="21"/>
              </w:rPr>
            </w:pPr>
            <w:r>
              <w:rPr>
                <w:rFonts w:hint="eastAsia" w:ascii="宋体" w:hAnsi="宋体" w:cs="宋体"/>
                <w:bCs/>
                <w:szCs w:val="21"/>
              </w:rPr>
              <w:t>7</w:t>
            </w:r>
          </w:p>
        </w:tc>
        <w:tc>
          <w:tcPr>
            <w:tcW w:w="841" w:type="dxa"/>
            <w:vAlign w:val="center"/>
          </w:tcPr>
          <w:p>
            <w:pPr>
              <w:jc w:val="center"/>
              <w:rPr>
                <w:rFonts w:ascii="宋体" w:hAnsi="宋体" w:cs="宋体"/>
                <w:bCs/>
                <w:szCs w:val="21"/>
              </w:rPr>
            </w:pPr>
            <w:r>
              <w:rPr>
                <w:rFonts w:hint="eastAsia" w:ascii="宋体" w:hAnsi="宋体" w:cs="宋体"/>
                <w:bCs/>
                <w:szCs w:val="21"/>
              </w:rPr>
              <w:t>教务管理系统</w:t>
            </w:r>
          </w:p>
        </w:tc>
        <w:tc>
          <w:tcPr>
            <w:tcW w:w="7227" w:type="dxa"/>
            <w:vAlign w:val="center"/>
          </w:tcPr>
          <w:p>
            <w:pPr>
              <w:ind w:firstLine="420" w:firstLineChars="200"/>
              <w:rPr>
                <w:rFonts w:ascii="宋体" w:hAnsi="宋体" w:cs="宋体"/>
                <w:bCs/>
                <w:szCs w:val="21"/>
              </w:rPr>
            </w:pPr>
            <w:r>
              <w:rPr>
                <w:rFonts w:hint="eastAsia" w:ascii="宋体" w:hAnsi="宋体" w:cs="宋体"/>
                <w:bCs/>
                <w:szCs w:val="21"/>
              </w:rPr>
              <w:t>提供课程信息管理、班级及教师计划管理设置、教学场地管理、班主任管理及课表查询（包含：教室课表、教师课表、班级课表、年级课表等课表的统一汇总查询）。</w:t>
            </w:r>
          </w:p>
        </w:tc>
        <w:tc>
          <w:tcPr>
            <w:tcW w:w="915" w:type="dxa"/>
            <w:vMerge w:val="continue"/>
            <w:vAlign w:val="center"/>
          </w:tcPr>
          <w:p>
            <w:pPr>
              <w:ind w:firstLine="420" w:firstLineChars="200"/>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2" w:hRule="atLeast"/>
        </w:trPr>
        <w:tc>
          <w:tcPr>
            <w:tcW w:w="446" w:type="dxa"/>
            <w:vAlign w:val="center"/>
          </w:tcPr>
          <w:p>
            <w:pPr>
              <w:jc w:val="center"/>
              <w:rPr>
                <w:rFonts w:ascii="宋体" w:hAnsi="宋体" w:cs="宋体"/>
                <w:bCs/>
                <w:szCs w:val="21"/>
              </w:rPr>
            </w:pPr>
            <w:r>
              <w:rPr>
                <w:rFonts w:hint="eastAsia" w:ascii="宋体" w:hAnsi="宋体" w:cs="宋体"/>
                <w:bCs/>
                <w:szCs w:val="21"/>
              </w:rPr>
              <w:t>8</w:t>
            </w:r>
          </w:p>
        </w:tc>
        <w:tc>
          <w:tcPr>
            <w:tcW w:w="841" w:type="dxa"/>
            <w:vAlign w:val="center"/>
          </w:tcPr>
          <w:p>
            <w:pPr>
              <w:jc w:val="center"/>
              <w:rPr>
                <w:rFonts w:ascii="宋体" w:hAnsi="宋体" w:cs="宋体"/>
                <w:bCs/>
                <w:szCs w:val="21"/>
              </w:rPr>
            </w:pPr>
            <w:r>
              <w:rPr>
                <w:rFonts w:hint="eastAsia" w:ascii="宋体" w:hAnsi="宋体" w:cs="宋体"/>
                <w:bCs/>
                <w:szCs w:val="21"/>
              </w:rPr>
              <w:t>成绩分析管理系统</w:t>
            </w:r>
          </w:p>
        </w:tc>
        <w:tc>
          <w:tcPr>
            <w:tcW w:w="7227" w:type="dxa"/>
            <w:vAlign w:val="center"/>
          </w:tcPr>
          <w:p>
            <w:pPr>
              <w:ind w:firstLine="420" w:firstLineChars="200"/>
              <w:rPr>
                <w:rFonts w:ascii="宋体" w:hAnsi="宋体" w:cs="宋体"/>
                <w:bCs/>
                <w:szCs w:val="21"/>
              </w:rPr>
            </w:pPr>
            <w:r>
              <w:rPr>
                <w:rFonts w:hint="eastAsia" w:ascii="宋体" w:hAnsi="宋体" w:cs="宋体"/>
                <w:bCs/>
                <w:szCs w:val="21"/>
              </w:rPr>
              <w:t>总分录入：查询录入学生各科考试成绩，支持成绩的批量模板导入，并实时给出学生成绩的班级排名、年级段排名等信息；支持分数及等次形式成绩的导入；</w:t>
            </w:r>
          </w:p>
          <w:p>
            <w:pPr>
              <w:ind w:firstLine="420" w:firstLineChars="200"/>
              <w:rPr>
                <w:rFonts w:ascii="宋体" w:hAnsi="宋体" w:cs="宋体"/>
                <w:bCs/>
                <w:szCs w:val="21"/>
              </w:rPr>
            </w:pPr>
            <w:r>
              <w:rPr>
                <w:rFonts w:hint="eastAsia" w:ascii="宋体" w:hAnsi="宋体" w:cs="宋体"/>
                <w:bCs/>
                <w:szCs w:val="21"/>
              </w:rPr>
              <w:t>支持分重点班、文理科班及特长班的方式对班级成绩进行排名分析。</w:t>
            </w:r>
          </w:p>
          <w:p>
            <w:pPr>
              <w:ind w:firstLine="420" w:firstLineChars="200"/>
              <w:rPr>
                <w:rFonts w:ascii="宋体" w:hAnsi="宋体" w:cs="宋体"/>
                <w:bCs/>
                <w:szCs w:val="21"/>
              </w:rPr>
            </w:pPr>
            <w:r>
              <w:rPr>
                <w:rFonts w:hint="eastAsia" w:ascii="宋体" w:hAnsi="宋体" w:cs="宋体"/>
                <w:bCs/>
                <w:szCs w:val="21"/>
              </w:rPr>
              <w:t>成绩分析使用两次考试的学科水平差值计算,并考虑当次考试的学科水平。比较高分人数与高分率、达标人数与达标率及后进人数与后进率等.</w:t>
            </w:r>
          </w:p>
        </w:tc>
        <w:tc>
          <w:tcPr>
            <w:tcW w:w="915" w:type="dxa"/>
            <w:vMerge w:val="continue"/>
            <w:vAlign w:val="center"/>
          </w:tcPr>
          <w:p>
            <w:pPr>
              <w:ind w:firstLine="420" w:firstLineChars="200"/>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5" w:hRule="atLeast"/>
        </w:trPr>
        <w:tc>
          <w:tcPr>
            <w:tcW w:w="446" w:type="dxa"/>
            <w:vAlign w:val="center"/>
          </w:tcPr>
          <w:p>
            <w:pPr>
              <w:jc w:val="center"/>
              <w:rPr>
                <w:rFonts w:ascii="宋体" w:hAnsi="宋体" w:cs="宋体"/>
                <w:bCs/>
                <w:szCs w:val="21"/>
              </w:rPr>
            </w:pPr>
            <w:r>
              <w:rPr>
                <w:rFonts w:hint="eastAsia" w:ascii="宋体" w:hAnsi="宋体" w:cs="宋体"/>
                <w:bCs/>
                <w:szCs w:val="21"/>
              </w:rPr>
              <w:t>9</w:t>
            </w:r>
          </w:p>
        </w:tc>
        <w:tc>
          <w:tcPr>
            <w:tcW w:w="841" w:type="dxa"/>
            <w:vAlign w:val="center"/>
          </w:tcPr>
          <w:p>
            <w:pPr>
              <w:jc w:val="center"/>
              <w:rPr>
                <w:rFonts w:ascii="宋体" w:hAnsi="宋体" w:cs="宋体"/>
                <w:bCs/>
                <w:szCs w:val="21"/>
              </w:rPr>
            </w:pPr>
            <w:r>
              <w:rPr>
                <w:rFonts w:hint="eastAsia" w:ascii="宋体" w:hAnsi="宋体" w:cs="宋体"/>
                <w:bCs/>
                <w:szCs w:val="21"/>
              </w:rPr>
              <w:t>选课管理系统</w:t>
            </w:r>
          </w:p>
        </w:tc>
        <w:tc>
          <w:tcPr>
            <w:tcW w:w="7227" w:type="dxa"/>
            <w:vAlign w:val="center"/>
          </w:tcPr>
          <w:p>
            <w:pPr>
              <w:ind w:firstLine="420" w:firstLineChars="200"/>
              <w:rPr>
                <w:rFonts w:ascii="宋体" w:hAnsi="宋体" w:cs="宋体"/>
                <w:bCs/>
                <w:szCs w:val="21"/>
              </w:rPr>
            </w:pPr>
            <w:r>
              <w:rPr>
                <w:rFonts w:hint="eastAsia" w:ascii="宋体" w:hAnsi="宋体" w:cs="宋体"/>
                <w:bCs/>
                <w:szCs w:val="21"/>
              </w:rPr>
              <w:t>公共选修课、公共选修课安排 、公共选修课排课、指定选修课等。提供网上选课管理、选课教学计划、选修课程课表、选修学生课表、选课调查问卷及选课学生点评等方面管理。</w:t>
            </w:r>
          </w:p>
        </w:tc>
        <w:tc>
          <w:tcPr>
            <w:tcW w:w="915" w:type="dxa"/>
            <w:vMerge w:val="continue"/>
            <w:vAlign w:val="center"/>
          </w:tcPr>
          <w:p>
            <w:pPr>
              <w:ind w:firstLine="420" w:firstLineChars="200"/>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2" w:hRule="atLeast"/>
        </w:trPr>
        <w:tc>
          <w:tcPr>
            <w:tcW w:w="446" w:type="dxa"/>
            <w:vAlign w:val="center"/>
          </w:tcPr>
          <w:p>
            <w:pPr>
              <w:jc w:val="center"/>
              <w:rPr>
                <w:rFonts w:ascii="宋体" w:hAnsi="宋体" w:cs="宋体"/>
                <w:bCs/>
                <w:szCs w:val="21"/>
              </w:rPr>
            </w:pPr>
            <w:r>
              <w:rPr>
                <w:rFonts w:hint="eastAsia" w:ascii="宋体" w:hAnsi="宋体" w:cs="宋体"/>
                <w:bCs/>
                <w:szCs w:val="21"/>
              </w:rPr>
              <w:t>10</w:t>
            </w:r>
          </w:p>
        </w:tc>
        <w:tc>
          <w:tcPr>
            <w:tcW w:w="841" w:type="dxa"/>
            <w:vAlign w:val="center"/>
          </w:tcPr>
          <w:p>
            <w:pPr>
              <w:jc w:val="center"/>
              <w:rPr>
                <w:rFonts w:ascii="宋体" w:hAnsi="宋体" w:cs="宋体"/>
                <w:bCs/>
                <w:szCs w:val="21"/>
              </w:rPr>
            </w:pPr>
            <w:r>
              <w:rPr>
                <w:rFonts w:hint="eastAsia" w:ascii="宋体" w:hAnsi="宋体" w:cs="宋体"/>
                <w:bCs/>
                <w:szCs w:val="21"/>
              </w:rPr>
              <w:t>排课系统</w:t>
            </w:r>
          </w:p>
        </w:tc>
        <w:tc>
          <w:tcPr>
            <w:tcW w:w="7227" w:type="dxa"/>
            <w:vAlign w:val="center"/>
          </w:tcPr>
          <w:p>
            <w:pPr>
              <w:ind w:firstLine="420" w:firstLineChars="200"/>
              <w:rPr>
                <w:rFonts w:ascii="宋体" w:hAnsi="宋体" w:cs="宋体"/>
                <w:bCs/>
                <w:szCs w:val="21"/>
              </w:rPr>
            </w:pPr>
            <w:r>
              <w:rPr>
                <w:rFonts w:hint="eastAsia" w:ascii="宋体" w:hAnsi="宋体" w:cs="宋体"/>
                <w:bCs/>
                <w:szCs w:val="21"/>
              </w:rPr>
              <w:t>课表基本设置：支持课表条件设置，课表条件如：教师任课、主副课程设置、周课时、各课程课时、固定场所、特殊时间学科不排、特殊时间按部门和教师不排、固定课、连堂课、合并课等；</w:t>
            </w:r>
          </w:p>
          <w:p>
            <w:pPr>
              <w:ind w:firstLine="420" w:firstLineChars="200"/>
              <w:rPr>
                <w:rFonts w:ascii="宋体" w:hAnsi="宋体" w:cs="宋体"/>
                <w:bCs/>
                <w:szCs w:val="21"/>
              </w:rPr>
            </w:pPr>
            <w:r>
              <w:rPr>
                <w:rFonts w:hint="eastAsia" w:ascii="宋体" w:hAnsi="宋体" w:cs="宋体"/>
                <w:bCs/>
                <w:szCs w:val="21"/>
              </w:rPr>
              <w:t>课表合班设置、课表过程、课表查询、我的课程表及我的班级课表。支持学生及教师登陆系统查看课表。</w:t>
            </w:r>
          </w:p>
        </w:tc>
        <w:tc>
          <w:tcPr>
            <w:tcW w:w="915" w:type="dxa"/>
            <w:vMerge w:val="continue"/>
            <w:vAlign w:val="center"/>
          </w:tcPr>
          <w:p>
            <w:pPr>
              <w:ind w:firstLine="420" w:firstLineChars="200"/>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446" w:type="dxa"/>
            <w:vAlign w:val="center"/>
          </w:tcPr>
          <w:p>
            <w:pPr>
              <w:jc w:val="center"/>
              <w:rPr>
                <w:rFonts w:ascii="宋体" w:hAnsi="宋体" w:cs="宋体"/>
                <w:bCs/>
                <w:szCs w:val="21"/>
              </w:rPr>
            </w:pPr>
            <w:r>
              <w:rPr>
                <w:rFonts w:hint="eastAsia" w:ascii="宋体" w:hAnsi="宋体" w:cs="宋体"/>
                <w:bCs/>
                <w:szCs w:val="21"/>
              </w:rPr>
              <w:t>11</w:t>
            </w:r>
          </w:p>
        </w:tc>
        <w:tc>
          <w:tcPr>
            <w:tcW w:w="841" w:type="dxa"/>
            <w:vAlign w:val="center"/>
          </w:tcPr>
          <w:p>
            <w:pPr>
              <w:jc w:val="center"/>
              <w:rPr>
                <w:rFonts w:ascii="宋体" w:hAnsi="宋体" w:cs="宋体"/>
                <w:bCs/>
                <w:szCs w:val="21"/>
              </w:rPr>
            </w:pPr>
            <w:r>
              <w:rPr>
                <w:rFonts w:hint="eastAsia" w:ascii="宋体" w:hAnsi="宋体" w:cs="宋体"/>
                <w:bCs/>
                <w:szCs w:val="21"/>
              </w:rPr>
              <w:t>学生评教系统</w:t>
            </w:r>
          </w:p>
        </w:tc>
        <w:tc>
          <w:tcPr>
            <w:tcW w:w="7227" w:type="dxa"/>
            <w:vAlign w:val="center"/>
          </w:tcPr>
          <w:p>
            <w:pPr>
              <w:ind w:firstLine="420" w:firstLineChars="200"/>
              <w:rPr>
                <w:rFonts w:ascii="宋体" w:hAnsi="宋体" w:cs="宋体"/>
                <w:bCs/>
                <w:szCs w:val="21"/>
              </w:rPr>
            </w:pPr>
            <w:r>
              <w:rPr>
                <w:rFonts w:hint="eastAsia" w:ascii="宋体" w:hAnsi="宋体" w:cs="宋体"/>
                <w:bCs/>
                <w:szCs w:val="21"/>
              </w:rPr>
              <w:t>学生评教设置：支持教师教学学生评教项目的设置，可依据教学时间段单独进行；</w:t>
            </w:r>
          </w:p>
          <w:p>
            <w:pPr>
              <w:ind w:firstLine="420" w:firstLineChars="200"/>
              <w:rPr>
                <w:rFonts w:ascii="宋体" w:hAnsi="宋体" w:cs="宋体"/>
                <w:bCs/>
                <w:szCs w:val="21"/>
              </w:rPr>
            </w:pPr>
            <w:r>
              <w:rPr>
                <w:rFonts w:hint="eastAsia" w:ascii="宋体" w:hAnsi="宋体" w:cs="宋体"/>
                <w:bCs/>
                <w:szCs w:val="21"/>
              </w:rPr>
              <w:t>教师教学评分：支持学生对于教师教学质量的考评操作，并针对教师教学的满意程度给予打分；</w:t>
            </w:r>
          </w:p>
          <w:p>
            <w:pPr>
              <w:ind w:firstLine="420" w:firstLineChars="200"/>
              <w:rPr>
                <w:rFonts w:ascii="宋体" w:hAnsi="宋体" w:cs="宋体"/>
                <w:bCs/>
                <w:szCs w:val="21"/>
              </w:rPr>
            </w:pPr>
            <w:r>
              <w:rPr>
                <w:rFonts w:hint="eastAsia" w:ascii="宋体" w:hAnsi="宋体" w:cs="宋体"/>
                <w:bCs/>
                <w:szCs w:val="21"/>
              </w:rPr>
              <w:t>学生评教统计：查询学生评教信息，并分综合、年级段及学历段给出各项排名结果，支持数据的批量导出；</w:t>
            </w:r>
          </w:p>
          <w:p>
            <w:pPr>
              <w:ind w:firstLine="420" w:firstLineChars="200"/>
              <w:rPr>
                <w:rFonts w:ascii="宋体" w:hAnsi="宋体" w:cs="宋体"/>
                <w:bCs/>
                <w:szCs w:val="21"/>
              </w:rPr>
            </w:pPr>
            <w:r>
              <w:rPr>
                <w:rFonts w:hint="eastAsia" w:ascii="宋体" w:hAnsi="宋体" w:cs="宋体"/>
                <w:bCs/>
                <w:szCs w:val="21"/>
              </w:rPr>
              <w:t>我的学生评教：查询学期学生对于教师教学质量评分，支持区分不同班级的明细查询；</w:t>
            </w:r>
          </w:p>
        </w:tc>
        <w:tc>
          <w:tcPr>
            <w:tcW w:w="915" w:type="dxa"/>
            <w:vMerge w:val="continue"/>
            <w:vAlign w:val="center"/>
          </w:tcPr>
          <w:p>
            <w:pPr>
              <w:ind w:firstLine="420" w:firstLineChars="200"/>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4" w:hRule="atLeast"/>
        </w:trPr>
        <w:tc>
          <w:tcPr>
            <w:tcW w:w="446" w:type="dxa"/>
            <w:vAlign w:val="center"/>
          </w:tcPr>
          <w:p>
            <w:pPr>
              <w:jc w:val="center"/>
              <w:rPr>
                <w:rFonts w:ascii="宋体" w:hAnsi="宋体" w:cs="宋体"/>
                <w:bCs/>
                <w:szCs w:val="21"/>
              </w:rPr>
            </w:pPr>
            <w:r>
              <w:rPr>
                <w:rFonts w:hint="eastAsia" w:ascii="宋体" w:hAnsi="宋体" w:cs="宋体"/>
                <w:bCs/>
                <w:szCs w:val="21"/>
              </w:rPr>
              <w:t>12</w:t>
            </w:r>
          </w:p>
        </w:tc>
        <w:tc>
          <w:tcPr>
            <w:tcW w:w="841" w:type="dxa"/>
            <w:vAlign w:val="center"/>
          </w:tcPr>
          <w:p>
            <w:pPr>
              <w:jc w:val="center"/>
              <w:rPr>
                <w:rFonts w:ascii="宋体" w:hAnsi="宋体" w:cs="宋体"/>
                <w:bCs/>
                <w:szCs w:val="21"/>
              </w:rPr>
            </w:pPr>
            <w:r>
              <w:rPr>
                <w:rFonts w:hint="eastAsia" w:ascii="宋体" w:hAnsi="宋体" w:cs="宋体"/>
                <w:bCs/>
                <w:szCs w:val="21"/>
              </w:rPr>
              <w:t>问卷调查系统</w:t>
            </w:r>
          </w:p>
        </w:tc>
        <w:tc>
          <w:tcPr>
            <w:tcW w:w="7227" w:type="dxa"/>
            <w:vAlign w:val="center"/>
          </w:tcPr>
          <w:p>
            <w:pPr>
              <w:ind w:firstLine="420" w:firstLineChars="200"/>
              <w:rPr>
                <w:rFonts w:ascii="宋体" w:hAnsi="宋体" w:cs="宋体"/>
                <w:bCs/>
                <w:szCs w:val="21"/>
              </w:rPr>
            </w:pPr>
            <w:r>
              <w:rPr>
                <w:rFonts w:hint="eastAsia" w:ascii="宋体" w:hAnsi="宋体" w:cs="宋体"/>
                <w:bCs/>
                <w:szCs w:val="21"/>
              </w:rPr>
              <w:t>提供针对学生、教师等对象可以分班级、部门等多种形式的问卷调查，并汇总成分班级、年级段等等多种报表形式</w:t>
            </w:r>
          </w:p>
        </w:tc>
        <w:tc>
          <w:tcPr>
            <w:tcW w:w="915" w:type="dxa"/>
            <w:vMerge w:val="continue"/>
            <w:vAlign w:val="center"/>
          </w:tcPr>
          <w:p>
            <w:pPr>
              <w:ind w:firstLine="420" w:firstLineChars="200"/>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1" w:hRule="atLeast"/>
        </w:trPr>
        <w:tc>
          <w:tcPr>
            <w:tcW w:w="446" w:type="dxa"/>
            <w:vAlign w:val="center"/>
          </w:tcPr>
          <w:p>
            <w:pPr>
              <w:jc w:val="center"/>
              <w:rPr>
                <w:rFonts w:ascii="宋体" w:hAnsi="宋体" w:cs="宋体"/>
                <w:bCs/>
                <w:szCs w:val="21"/>
              </w:rPr>
            </w:pPr>
            <w:r>
              <w:rPr>
                <w:rFonts w:hint="eastAsia" w:ascii="宋体" w:hAnsi="宋体" w:cs="宋体"/>
                <w:bCs/>
                <w:szCs w:val="21"/>
              </w:rPr>
              <w:t>13</w:t>
            </w:r>
          </w:p>
        </w:tc>
        <w:tc>
          <w:tcPr>
            <w:tcW w:w="841" w:type="dxa"/>
            <w:vAlign w:val="center"/>
          </w:tcPr>
          <w:p>
            <w:pPr>
              <w:jc w:val="center"/>
              <w:rPr>
                <w:rFonts w:ascii="宋体" w:hAnsi="宋体" w:cs="宋体"/>
                <w:bCs/>
                <w:szCs w:val="21"/>
              </w:rPr>
            </w:pPr>
            <w:r>
              <w:rPr>
                <w:rFonts w:hint="eastAsia" w:ascii="宋体" w:hAnsi="宋体" w:cs="宋体"/>
                <w:bCs/>
                <w:szCs w:val="21"/>
              </w:rPr>
              <w:t>测评系统（民主测评）</w:t>
            </w:r>
          </w:p>
        </w:tc>
        <w:tc>
          <w:tcPr>
            <w:tcW w:w="7227" w:type="dxa"/>
            <w:vAlign w:val="center"/>
          </w:tcPr>
          <w:p>
            <w:pPr>
              <w:ind w:firstLine="420" w:firstLineChars="200"/>
              <w:rPr>
                <w:rFonts w:ascii="宋体" w:hAnsi="宋体" w:cs="宋体"/>
                <w:bCs/>
                <w:szCs w:val="21"/>
              </w:rPr>
            </w:pPr>
            <w:r>
              <w:rPr>
                <w:rFonts w:hint="eastAsia" w:ascii="宋体" w:hAnsi="宋体" w:cs="宋体"/>
                <w:bCs/>
                <w:szCs w:val="21"/>
              </w:rPr>
              <w:t>针对教师对教师、教师对职员、教师对中高层等提供不同形式的评价项目，可对评分对象单独设置评价项目及汇总统计表报，导出及打印等。</w:t>
            </w:r>
          </w:p>
        </w:tc>
        <w:tc>
          <w:tcPr>
            <w:tcW w:w="915" w:type="dxa"/>
            <w:vMerge w:val="continue"/>
            <w:vAlign w:val="center"/>
          </w:tcPr>
          <w:p>
            <w:pPr>
              <w:ind w:firstLine="420" w:firstLineChars="200"/>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8" w:hRule="atLeast"/>
        </w:trPr>
        <w:tc>
          <w:tcPr>
            <w:tcW w:w="446" w:type="dxa"/>
            <w:vAlign w:val="center"/>
          </w:tcPr>
          <w:p>
            <w:pPr>
              <w:jc w:val="center"/>
              <w:rPr>
                <w:rFonts w:ascii="宋体" w:hAnsi="宋体" w:cs="宋体"/>
                <w:bCs/>
                <w:szCs w:val="21"/>
              </w:rPr>
            </w:pPr>
            <w:r>
              <w:rPr>
                <w:rFonts w:hint="eastAsia" w:ascii="宋体" w:hAnsi="宋体" w:cs="宋体"/>
                <w:bCs/>
                <w:szCs w:val="21"/>
              </w:rPr>
              <w:t>14</w:t>
            </w:r>
          </w:p>
        </w:tc>
        <w:tc>
          <w:tcPr>
            <w:tcW w:w="841" w:type="dxa"/>
            <w:vAlign w:val="center"/>
          </w:tcPr>
          <w:p>
            <w:pPr>
              <w:jc w:val="center"/>
              <w:rPr>
                <w:rFonts w:ascii="宋体" w:hAnsi="宋体" w:cs="宋体"/>
                <w:bCs/>
                <w:szCs w:val="21"/>
              </w:rPr>
            </w:pPr>
            <w:r>
              <w:rPr>
                <w:rFonts w:hint="eastAsia" w:ascii="宋体" w:hAnsi="宋体" w:cs="宋体"/>
                <w:bCs/>
                <w:szCs w:val="21"/>
              </w:rPr>
              <w:t>校产管理</w:t>
            </w:r>
          </w:p>
        </w:tc>
        <w:tc>
          <w:tcPr>
            <w:tcW w:w="7227" w:type="dxa"/>
            <w:vAlign w:val="center"/>
          </w:tcPr>
          <w:p>
            <w:pPr>
              <w:ind w:firstLine="420" w:firstLineChars="200"/>
              <w:rPr>
                <w:rFonts w:ascii="宋体" w:hAnsi="宋体" w:cs="宋体"/>
                <w:bCs/>
                <w:szCs w:val="21"/>
              </w:rPr>
            </w:pPr>
            <w:r>
              <w:rPr>
                <w:rFonts w:hint="eastAsia" w:ascii="宋体" w:hAnsi="宋体" w:cs="宋体"/>
                <w:bCs/>
                <w:szCs w:val="21"/>
              </w:rPr>
              <w:t>资产类别：查询：通过了类别编号、资产类别查询/重置，添加和录入资产类别、类别编号、以及备注信息，支持修改、删除；</w:t>
            </w:r>
          </w:p>
          <w:p>
            <w:pPr>
              <w:ind w:firstLine="420" w:firstLineChars="200"/>
              <w:rPr>
                <w:rFonts w:ascii="宋体" w:hAnsi="宋体" w:cs="宋体"/>
                <w:bCs/>
                <w:szCs w:val="21"/>
              </w:rPr>
            </w:pPr>
            <w:r>
              <w:rPr>
                <w:rFonts w:hint="eastAsia" w:ascii="宋体" w:hAnsi="宋体" w:cs="宋体"/>
                <w:bCs/>
                <w:szCs w:val="21"/>
              </w:rPr>
              <w:t>资产信息：查询条件有资产名称、存放地点、资产类别、使用状态、使用人、使用部门、资产编号/重置</w:t>
            </w:r>
          </w:p>
          <w:p>
            <w:pPr>
              <w:ind w:firstLine="420" w:firstLineChars="200"/>
              <w:rPr>
                <w:rFonts w:ascii="宋体" w:hAnsi="宋体" w:cs="宋体"/>
                <w:bCs/>
                <w:szCs w:val="21"/>
              </w:rPr>
            </w:pPr>
            <w:r>
              <w:rPr>
                <w:rFonts w:hint="eastAsia" w:ascii="宋体" w:hAnsi="宋体" w:cs="宋体"/>
                <w:bCs/>
                <w:szCs w:val="21"/>
              </w:rPr>
              <w:t>领用/借用管理：</w:t>
            </w:r>
          </w:p>
          <w:p>
            <w:pPr>
              <w:ind w:firstLine="420" w:firstLineChars="200"/>
              <w:rPr>
                <w:rFonts w:ascii="宋体" w:hAnsi="宋体" w:cs="宋体"/>
                <w:bCs/>
                <w:szCs w:val="21"/>
              </w:rPr>
            </w:pPr>
            <w:r>
              <w:rPr>
                <w:rFonts w:hint="eastAsia" w:ascii="宋体" w:hAnsi="宋体" w:cs="宋体"/>
                <w:bCs/>
                <w:szCs w:val="21"/>
              </w:rPr>
              <w:t>1）栏目包含我要申请、申请列表、申请审核、已审审核、待出库、出库信息、申领统计等；</w:t>
            </w:r>
          </w:p>
          <w:p>
            <w:pPr>
              <w:ind w:firstLine="420" w:firstLineChars="200"/>
              <w:rPr>
                <w:rFonts w:ascii="宋体" w:hAnsi="宋体" w:cs="宋体"/>
                <w:bCs/>
                <w:szCs w:val="21"/>
              </w:rPr>
            </w:pPr>
            <w:r>
              <w:rPr>
                <w:rFonts w:hint="eastAsia" w:ascii="宋体" w:hAnsi="宋体" w:cs="宋体"/>
                <w:bCs/>
                <w:szCs w:val="21"/>
              </w:rPr>
              <w:t>2）物品申领的各流程（申请、审核、审核通过等）可以推送至管理平台、移动客户端、IM即时通讯、短信实时同步，后三者可以即时提醒；支持老师通过手机APP（安卓或苹果）进行操作。</w:t>
            </w:r>
          </w:p>
          <w:p>
            <w:pPr>
              <w:ind w:firstLine="420" w:firstLineChars="200"/>
              <w:rPr>
                <w:rFonts w:ascii="宋体" w:hAnsi="宋体" w:cs="宋体"/>
                <w:bCs/>
                <w:szCs w:val="21"/>
              </w:rPr>
            </w:pPr>
            <w:r>
              <w:rPr>
                <w:rFonts w:hint="eastAsia" w:ascii="宋体" w:hAnsi="宋体" w:cs="宋体"/>
                <w:bCs/>
                <w:szCs w:val="21"/>
              </w:rPr>
              <w:t>3）物品申领流程可以根据学校总务管理流程智能设置，审核层级无限制，审核人员自定义设置；</w:t>
            </w:r>
          </w:p>
          <w:p>
            <w:pPr>
              <w:ind w:firstLine="420" w:firstLineChars="200"/>
              <w:rPr>
                <w:rFonts w:ascii="宋体" w:hAnsi="宋体" w:cs="宋体"/>
                <w:bCs/>
                <w:szCs w:val="21"/>
              </w:rPr>
            </w:pPr>
            <w:r>
              <w:rPr>
                <w:rFonts w:hint="eastAsia" w:ascii="宋体" w:hAnsi="宋体" w:cs="宋体"/>
                <w:bCs/>
                <w:szCs w:val="21"/>
              </w:rPr>
              <w:t>4）物品申领配套基础的低值易耗财产管理来使用，其包含出入库管理，出库信息以及物品类别自定义维护；</w:t>
            </w:r>
          </w:p>
          <w:p>
            <w:pPr>
              <w:ind w:firstLine="420" w:firstLineChars="200"/>
              <w:rPr>
                <w:rFonts w:ascii="宋体" w:hAnsi="宋体" w:cs="宋体"/>
                <w:bCs/>
                <w:szCs w:val="21"/>
              </w:rPr>
            </w:pPr>
            <w:r>
              <w:rPr>
                <w:rFonts w:hint="eastAsia" w:ascii="宋体" w:hAnsi="宋体" w:cs="宋体"/>
                <w:bCs/>
                <w:szCs w:val="21"/>
              </w:rPr>
              <w:t>5）数据分析可以按照用户排名、按年级组、按教研组统计，既有报表又有图表；</w:t>
            </w:r>
          </w:p>
          <w:p>
            <w:pPr>
              <w:ind w:firstLine="420" w:firstLineChars="200"/>
              <w:rPr>
                <w:rFonts w:ascii="宋体" w:hAnsi="宋体" w:cs="宋体"/>
                <w:bCs/>
                <w:szCs w:val="21"/>
              </w:rPr>
            </w:pPr>
            <w:r>
              <w:rPr>
                <w:rFonts w:hint="eastAsia" w:ascii="宋体" w:hAnsi="宋体" w:cs="宋体"/>
                <w:bCs/>
                <w:szCs w:val="21"/>
              </w:rPr>
              <w:t>6）支持报表导出；</w:t>
            </w:r>
          </w:p>
          <w:p>
            <w:pPr>
              <w:ind w:firstLine="420" w:firstLineChars="200"/>
              <w:rPr>
                <w:rFonts w:ascii="宋体" w:hAnsi="宋体" w:cs="宋体"/>
                <w:bCs/>
                <w:szCs w:val="21"/>
              </w:rPr>
            </w:pPr>
            <w:r>
              <w:rPr>
                <w:rFonts w:hint="eastAsia" w:ascii="宋体" w:hAnsi="宋体" w:cs="宋体"/>
                <w:bCs/>
                <w:szCs w:val="21"/>
              </w:rPr>
              <w:t>申购报批系统</w:t>
            </w:r>
          </w:p>
          <w:p>
            <w:pPr>
              <w:ind w:firstLine="420" w:firstLineChars="200"/>
              <w:rPr>
                <w:rFonts w:ascii="宋体" w:hAnsi="宋体" w:cs="宋体"/>
                <w:bCs/>
                <w:szCs w:val="21"/>
              </w:rPr>
            </w:pPr>
            <w:r>
              <w:rPr>
                <w:rFonts w:hint="eastAsia" w:ascii="宋体" w:hAnsi="宋体" w:cs="宋体"/>
                <w:bCs/>
                <w:szCs w:val="21"/>
              </w:rPr>
              <w:t>1）栏目包含我要申购、申购列表、申购审核、已审申购、分类维护、流程管理、申购统计等；</w:t>
            </w:r>
          </w:p>
          <w:p>
            <w:pPr>
              <w:ind w:firstLine="420" w:firstLineChars="200"/>
              <w:rPr>
                <w:rFonts w:ascii="宋体" w:hAnsi="宋体" w:cs="宋体"/>
                <w:bCs/>
                <w:szCs w:val="21"/>
              </w:rPr>
            </w:pPr>
            <w:r>
              <w:rPr>
                <w:rFonts w:hint="eastAsia" w:ascii="宋体" w:hAnsi="宋体" w:cs="宋体"/>
                <w:bCs/>
                <w:szCs w:val="21"/>
              </w:rPr>
              <w:t>2）物品申购的各流程（申请、审核、审核通过等）</w:t>
            </w:r>
          </w:p>
        </w:tc>
        <w:tc>
          <w:tcPr>
            <w:tcW w:w="915" w:type="dxa"/>
            <w:vMerge w:val="continue"/>
            <w:vAlign w:val="center"/>
          </w:tcPr>
          <w:p>
            <w:pPr>
              <w:ind w:firstLine="420" w:firstLineChars="200"/>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95" w:hRule="atLeast"/>
        </w:trPr>
        <w:tc>
          <w:tcPr>
            <w:tcW w:w="446" w:type="dxa"/>
            <w:vAlign w:val="center"/>
          </w:tcPr>
          <w:p>
            <w:pPr>
              <w:jc w:val="center"/>
              <w:rPr>
                <w:rFonts w:ascii="宋体" w:hAnsi="宋体" w:cs="宋体"/>
                <w:bCs/>
                <w:szCs w:val="21"/>
              </w:rPr>
            </w:pPr>
            <w:r>
              <w:rPr>
                <w:rFonts w:hint="eastAsia" w:ascii="宋体" w:hAnsi="宋体" w:cs="宋体"/>
                <w:bCs/>
                <w:szCs w:val="21"/>
              </w:rPr>
              <w:t>15</w:t>
            </w:r>
          </w:p>
        </w:tc>
        <w:tc>
          <w:tcPr>
            <w:tcW w:w="841" w:type="dxa"/>
            <w:vAlign w:val="center"/>
          </w:tcPr>
          <w:p>
            <w:pPr>
              <w:jc w:val="center"/>
              <w:rPr>
                <w:rFonts w:ascii="宋体" w:hAnsi="宋体" w:cs="宋体"/>
                <w:bCs/>
                <w:szCs w:val="21"/>
              </w:rPr>
            </w:pPr>
            <w:r>
              <w:rPr>
                <w:rFonts w:hint="eastAsia" w:ascii="宋体" w:hAnsi="宋体" w:cs="宋体"/>
                <w:bCs/>
                <w:szCs w:val="21"/>
              </w:rPr>
              <w:t>报修管理</w:t>
            </w:r>
          </w:p>
          <w:p>
            <w:pPr>
              <w:jc w:val="center"/>
              <w:rPr>
                <w:rFonts w:ascii="宋体" w:hAnsi="宋体" w:cs="宋体"/>
                <w:bCs/>
                <w:szCs w:val="21"/>
              </w:rPr>
            </w:pPr>
          </w:p>
        </w:tc>
        <w:tc>
          <w:tcPr>
            <w:tcW w:w="7227" w:type="dxa"/>
            <w:vAlign w:val="center"/>
          </w:tcPr>
          <w:p>
            <w:pPr>
              <w:ind w:firstLine="420" w:firstLineChars="200"/>
              <w:rPr>
                <w:rFonts w:ascii="宋体" w:hAnsi="宋体" w:cs="宋体"/>
                <w:bCs/>
                <w:szCs w:val="21"/>
              </w:rPr>
            </w:pPr>
            <w:r>
              <w:rPr>
                <w:rFonts w:hint="eastAsia" w:ascii="宋体" w:hAnsi="宋体" w:cs="宋体"/>
                <w:bCs/>
                <w:szCs w:val="21"/>
              </w:rPr>
              <w:t>申请报修：页面提供申请人提交的所有申请，并可查看申请状态，主要分为四类：未审批、审批通过、已归还。未审批的申请可以修改申请表格或删除；审批通过和已归还的申请可以查看详细信息</w:t>
            </w:r>
          </w:p>
          <w:p>
            <w:pPr>
              <w:ind w:firstLine="420" w:firstLineChars="200"/>
              <w:rPr>
                <w:rFonts w:ascii="宋体" w:hAnsi="宋体" w:cs="宋体"/>
                <w:bCs/>
                <w:szCs w:val="21"/>
              </w:rPr>
            </w:pPr>
            <w:r>
              <w:rPr>
                <w:rFonts w:hint="eastAsia" w:ascii="宋体" w:hAnsi="宋体" w:cs="宋体"/>
                <w:bCs/>
                <w:szCs w:val="21"/>
              </w:rPr>
              <w:t>报修审批：页面提供所有申请的信息，包括时间、原因、状态等，状态包括未审批、已审批、驳回、已维修。未审批的条目后可以进行审批操作。已审批的条目后可以进行维修登记；已维修与驳回的条目后可以查看审批信息</w:t>
            </w:r>
          </w:p>
          <w:p>
            <w:pPr>
              <w:ind w:firstLine="420" w:firstLineChars="200"/>
              <w:rPr>
                <w:rFonts w:ascii="宋体" w:hAnsi="宋体" w:cs="宋体"/>
                <w:bCs/>
                <w:szCs w:val="21"/>
              </w:rPr>
            </w:pPr>
            <w:r>
              <w:rPr>
                <w:rFonts w:hint="eastAsia" w:ascii="宋体" w:hAnsi="宋体" w:cs="宋体"/>
                <w:bCs/>
                <w:szCs w:val="21"/>
              </w:rPr>
              <w:t>报修统计：统计所有申请的详细信息，包括申请人、共申请的次数、未审批的次数、审批通过、已维修、驳回的次数</w:t>
            </w:r>
          </w:p>
        </w:tc>
        <w:tc>
          <w:tcPr>
            <w:tcW w:w="915" w:type="dxa"/>
            <w:vMerge w:val="continue"/>
            <w:vAlign w:val="center"/>
          </w:tcPr>
          <w:p>
            <w:pPr>
              <w:ind w:firstLine="420" w:firstLineChars="200"/>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2" w:hRule="atLeast"/>
        </w:trPr>
        <w:tc>
          <w:tcPr>
            <w:tcW w:w="446" w:type="dxa"/>
            <w:vAlign w:val="center"/>
          </w:tcPr>
          <w:p>
            <w:pPr>
              <w:jc w:val="center"/>
              <w:rPr>
                <w:rFonts w:ascii="宋体" w:hAnsi="宋体" w:cs="宋体"/>
                <w:bCs/>
                <w:szCs w:val="21"/>
              </w:rPr>
            </w:pPr>
            <w:r>
              <w:rPr>
                <w:rFonts w:hint="eastAsia" w:ascii="宋体" w:hAnsi="宋体" w:cs="宋体"/>
                <w:bCs/>
                <w:szCs w:val="21"/>
              </w:rPr>
              <w:t>16</w:t>
            </w:r>
          </w:p>
        </w:tc>
        <w:tc>
          <w:tcPr>
            <w:tcW w:w="841" w:type="dxa"/>
            <w:vAlign w:val="center"/>
          </w:tcPr>
          <w:p>
            <w:pPr>
              <w:jc w:val="center"/>
              <w:rPr>
                <w:rFonts w:ascii="宋体" w:hAnsi="宋体" w:cs="宋体"/>
                <w:bCs/>
                <w:szCs w:val="21"/>
              </w:rPr>
            </w:pPr>
            <w:r>
              <w:rPr>
                <w:rFonts w:hint="eastAsia" w:ascii="宋体" w:hAnsi="宋体" w:cs="宋体"/>
                <w:bCs/>
                <w:szCs w:val="21"/>
              </w:rPr>
              <w:t>教师请假管理</w:t>
            </w:r>
          </w:p>
        </w:tc>
        <w:tc>
          <w:tcPr>
            <w:tcW w:w="7227" w:type="dxa"/>
            <w:vAlign w:val="center"/>
          </w:tcPr>
          <w:p>
            <w:pPr>
              <w:ind w:firstLine="420" w:firstLineChars="200"/>
              <w:rPr>
                <w:rFonts w:ascii="宋体" w:hAnsi="宋体" w:cs="宋体"/>
                <w:bCs/>
                <w:szCs w:val="21"/>
              </w:rPr>
            </w:pPr>
            <w:r>
              <w:rPr>
                <w:rFonts w:hint="eastAsia" w:ascii="宋体" w:hAnsi="宋体" w:cs="宋体"/>
                <w:bCs/>
                <w:szCs w:val="21"/>
              </w:rPr>
              <w:t>支持老师通过手机APP（安卓或苹果）进行调课，调课可以设置具体的请假流程设置，自定义请假流程，请假名称，请假类型及适用部门。显示步骤数。消息通知设置可以设置关联短信接口及是否关联课表，如关联课则会在请假流程后自动判断可以与请假人调课的人及相关课程。以便请假人发起课程调课。</w:t>
            </w:r>
          </w:p>
          <w:p>
            <w:pPr>
              <w:ind w:firstLine="420" w:firstLineChars="200"/>
              <w:rPr>
                <w:rFonts w:ascii="宋体" w:hAnsi="宋体" w:cs="宋体"/>
                <w:bCs/>
                <w:szCs w:val="21"/>
              </w:rPr>
            </w:pPr>
            <w:r>
              <w:rPr>
                <w:rFonts w:hint="eastAsia" w:ascii="宋体" w:hAnsi="宋体" w:cs="宋体"/>
                <w:bCs/>
                <w:szCs w:val="21"/>
              </w:rPr>
              <w:t>1）栏目包含每日请假、请假申请、我的申请、申请审核、已审审核、流程管理、请假统计等；</w:t>
            </w:r>
          </w:p>
          <w:p>
            <w:pPr>
              <w:ind w:firstLine="420" w:firstLineChars="200"/>
              <w:rPr>
                <w:rFonts w:ascii="宋体" w:hAnsi="宋体" w:cs="宋体"/>
                <w:bCs/>
                <w:szCs w:val="21"/>
              </w:rPr>
            </w:pPr>
            <w:r>
              <w:rPr>
                <w:rFonts w:hint="eastAsia" w:ascii="宋体" w:hAnsi="宋体" w:cs="宋体"/>
                <w:bCs/>
                <w:szCs w:val="21"/>
              </w:rPr>
              <w:t>2）请假管理的各流程（申请、审核、审核通过等）可以推送至管理平台、移动客户端、IM即时通讯、短信实时同步，后三者可以即时提醒；</w:t>
            </w:r>
          </w:p>
          <w:p>
            <w:pPr>
              <w:ind w:firstLine="420" w:firstLineChars="200"/>
              <w:rPr>
                <w:rFonts w:ascii="宋体" w:hAnsi="宋体" w:cs="宋体"/>
                <w:bCs/>
                <w:szCs w:val="21"/>
              </w:rPr>
            </w:pPr>
            <w:r>
              <w:rPr>
                <w:rFonts w:hint="eastAsia" w:ascii="宋体" w:hAnsi="宋体" w:cs="宋体"/>
                <w:bCs/>
                <w:szCs w:val="21"/>
              </w:rPr>
              <w:t>3）请假可以自定义选择有代课和无代课两种情况，选择代课可以自行选择，也可以根据流程由教学管理部门指定，可统计汇总代课情况；</w:t>
            </w:r>
          </w:p>
          <w:p>
            <w:pPr>
              <w:ind w:firstLine="420" w:firstLineChars="200"/>
              <w:rPr>
                <w:rFonts w:ascii="宋体" w:hAnsi="宋体" w:cs="宋体"/>
                <w:bCs/>
                <w:szCs w:val="21"/>
              </w:rPr>
            </w:pPr>
            <w:r>
              <w:rPr>
                <w:rFonts w:hint="eastAsia" w:ascii="宋体" w:hAnsi="宋体" w:cs="宋体"/>
                <w:bCs/>
                <w:szCs w:val="21"/>
              </w:rPr>
              <w:t>4）请假管理流程可以根据学校管理情况智能设置，具体设置各级领导审批，审核层级无限制，审核人员自定义设置；</w:t>
            </w:r>
          </w:p>
          <w:p>
            <w:pPr>
              <w:ind w:firstLine="420" w:firstLineChars="200"/>
              <w:rPr>
                <w:rFonts w:ascii="宋体" w:hAnsi="宋体" w:cs="宋体"/>
                <w:bCs/>
                <w:szCs w:val="21"/>
              </w:rPr>
            </w:pPr>
            <w:r>
              <w:rPr>
                <w:rFonts w:hint="eastAsia" w:ascii="宋体" w:hAnsi="宋体" w:cs="宋体"/>
                <w:bCs/>
                <w:szCs w:val="21"/>
              </w:rPr>
              <w:t>5）数据分析可以按照用户排名、按年级组、按教研组统计，既有报表又有图表；</w:t>
            </w:r>
          </w:p>
          <w:p>
            <w:pPr>
              <w:ind w:firstLine="420" w:firstLineChars="200"/>
              <w:rPr>
                <w:rFonts w:ascii="宋体" w:hAnsi="宋体" w:cs="宋体"/>
                <w:bCs/>
                <w:szCs w:val="21"/>
              </w:rPr>
            </w:pPr>
            <w:r>
              <w:rPr>
                <w:rFonts w:hint="eastAsia" w:ascii="宋体" w:hAnsi="宋体" w:cs="宋体"/>
                <w:bCs/>
                <w:szCs w:val="21"/>
              </w:rPr>
              <w:t>6）支持报表导出；</w:t>
            </w:r>
          </w:p>
        </w:tc>
        <w:tc>
          <w:tcPr>
            <w:tcW w:w="915" w:type="dxa"/>
            <w:vMerge w:val="continue"/>
            <w:vAlign w:val="center"/>
          </w:tcPr>
          <w:p>
            <w:pPr>
              <w:ind w:firstLine="420" w:firstLineChars="200"/>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2" w:hRule="atLeast"/>
        </w:trPr>
        <w:tc>
          <w:tcPr>
            <w:tcW w:w="446" w:type="dxa"/>
            <w:vAlign w:val="center"/>
          </w:tcPr>
          <w:p>
            <w:pPr>
              <w:jc w:val="center"/>
              <w:rPr>
                <w:rFonts w:ascii="宋体" w:hAnsi="宋体" w:cs="宋体"/>
                <w:bCs/>
                <w:szCs w:val="21"/>
              </w:rPr>
            </w:pPr>
            <w:r>
              <w:rPr>
                <w:rFonts w:hint="eastAsia" w:ascii="宋体" w:hAnsi="宋体" w:cs="宋体"/>
                <w:bCs/>
                <w:szCs w:val="21"/>
              </w:rPr>
              <w:t>17</w:t>
            </w:r>
          </w:p>
        </w:tc>
        <w:tc>
          <w:tcPr>
            <w:tcW w:w="841" w:type="dxa"/>
            <w:vAlign w:val="center"/>
          </w:tcPr>
          <w:p>
            <w:pPr>
              <w:jc w:val="center"/>
              <w:rPr>
                <w:rFonts w:ascii="宋体" w:hAnsi="宋体" w:cs="宋体"/>
                <w:bCs/>
                <w:szCs w:val="21"/>
              </w:rPr>
            </w:pPr>
            <w:r>
              <w:rPr>
                <w:rFonts w:hint="eastAsia" w:ascii="宋体" w:hAnsi="宋体" w:cs="宋体"/>
                <w:bCs/>
                <w:szCs w:val="21"/>
              </w:rPr>
              <w:t>学生生涯档案</w:t>
            </w:r>
          </w:p>
        </w:tc>
        <w:tc>
          <w:tcPr>
            <w:tcW w:w="7227" w:type="dxa"/>
            <w:vAlign w:val="center"/>
          </w:tcPr>
          <w:p>
            <w:pPr>
              <w:ind w:firstLine="420" w:firstLineChars="200"/>
              <w:rPr>
                <w:rFonts w:ascii="宋体" w:hAnsi="宋体" w:cs="宋体"/>
                <w:bCs/>
                <w:szCs w:val="21"/>
              </w:rPr>
            </w:pPr>
            <w:r>
              <w:rPr>
                <w:rFonts w:hint="eastAsia" w:ascii="宋体" w:hAnsi="宋体" w:cs="宋体"/>
                <w:bCs/>
                <w:color w:val="FF0000"/>
                <w:szCs w:val="21"/>
              </w:rPr>
              <w:t>★</w:t>
            </w:r>
            <w:r>
              <w:rPr>
                <w:rFonts w:hint="eastAsia" w:ascii="宋体" w:hAnsi="宋体" w:cs="宋体"/>
                <w:bCs/>
                <w:szCs w:val="21"/>
              </w:rPr>
              <w:t>可以对学生生涯报告单进行各项基本设置，默认成绩评价可以灵活定义为APE等表现形式。可自定义奖级级别。譬如国家级，省部级，省教育厅级，地市教育局级县(市、区)，教育局级，学校级，其他，国外等级别。可以设置成绩单打印模板，设置长宽高等，并设置学生评语并限制字数。学科项目可细化到每个小类，并关联学科，关联评分，关联阶段。学生综合评定，班主任可对本班级学生进行评语评定，并打出好良好等评定。学生成绩评价可以根据学生的成绩自动划定等级，并可和校园活动记录，学生奖项记录仪器汇总学生成绩报告并进行一键打印。</w:t>
            </w:r>
          </w:p>
        </w:tc>
        <w:tc>
          <w:tcPr>
            <w:tcW w:w="915" w:type="dxa"/>
            <w:vMerge w:val="continue"/>
            <w:vAlign w:val="center"/>
          </w:tcPr>
          <w:p>
            <w:pPr>
              <w:ind w:firstLine="420" w:firstLineChars="200"/>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2" w:hRule="atLeast"/>
        </w:trPr>
        <w:tc>
          <w:tcPr>
            <w:tcW w:w="446" w:type="dxa"/>
            <w:vAlign w:val="center"/>
          </w:tcPr>
          <w:p>
            <w:pPr>
              <w:jc w:val="center"/>
              <w:rPr>
                <w:rFonts w:ascii="宋体" w:hAnsi="宋体" w:cs="宋体"/>
                <w:bCs/>
                <w:szCs w:val="21"/>
              </w:rPr>
            </w:pPr>
            <w:r>
              <w:rPr>
                <w:rFonts w:hint="eastAsia" w:ascii="宋体" w:hAnsi="宋体" w:cs="宋体"/>
                <w:bCs/>
                <w:szCs w:val="21"/>
              </w:rPr>
              <w:t>18</w:t>
            </w:r>
          </w:p>
        </w:tc>
        <w:tc>
          <w:tcPr>
            <w:tcW w:w="841" w:type="dxa"/>
            <w:vAlign w:val="center"/>
          </w:tcPr>
          <w:p>
            <w:pPr>
              <w:jc w:val="center"/>
              <w:rPr>
                <w:rFonts w:ascii="宋体" w:hAnsi="宋体" w:cs="宋体"/>
                <w:bCs/>
                <w:szCs w:val="21"/>
              </w:rPr>
            </w:pPr>
            <w:r>
              <w:rPr>
                <w:rFonts w:hint="eastAsia" w:ascii="宋体" w:hAnsi="宋体" w:cs="宋体"/>
                <w:bCs/>
                <w:szCs w:val="21"/>
              </w:rPr>
              <w:t>在线考试系统</w:t>
            </w:r>
          </w:p>
        </w:tc>
        <w:tc>
          <w:tcPr>
            <w:tcW w:w="7227" w:type="dxa"/>
            <w:vAlign w:val="center"/>
          </w:tcPr>
          <w:p>
            <w:pPr>
              <w:ind w:firstLine="420" w:firstLineChars="200"/>
              <w:rPr>
                <w:rFonts w:ascii="宋体" w:hAnsi="宋体" w:cs="宋体"/>
                <w:bCs/>
                <w:szCs w:val="21"/>
              </w:rPr>
            </w:pPr>
            <w:r>
              <w:rPr>
                <w:rFonts w:hint="eastAsia" w:ascii="宋体" w:hAnsi="宋体" w:cs="宋体"/>
                <w:bCs/>
                <w:szCs w:val="21"/>
              </w:rPr>
              <w:t>可以设置考试项目。进行题目新增或批量导入题目。形成试卷支持PC端，手机端，班牌等进行考试操作。</w:t>
            </w:r>
          </w:p>
        </w:tc>
        <w:tc>
          <w:tcPr>
            <w:tcW w:w="915" w:type="dxa"/>
            <w:vMerge w:val="continue"/>
            <w:vAlign w:val="center"/>
          </w:tcPr>
          <w:p>
            <w:pPr>
              <w:ind w:firstLine="420" w:firstLineChars="200"/>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2" w:hRule="atLeast"/>
        </w:trPr>
        <w:tc>
          <w:tcPr>
            <w:tcW w:w="446" w:type="dxa"/>
            <w:vAlign w:val="center"/>
          </w:tcPr>
          <w:p>
            <w:pPr>
              <w:jc w:val="center"/>
              <w:rPr>
                <w:rFonts w:ascii="宋体" w:hAnsi="宋体" w:cs="宋体"/>
                <w:bCs/>
                <w:szCs w:val="21"/>
              </w:rPr>
            </w:pPr>
            <w:r>
              <w:rPr>
                <w:rFonts w:hint="eastAsia" w:ascii="宋体" w:hAnsi="宋体" w:cs="宋体"/>
                <w:bCs/>
                <w:szCs w:val="21"/>
              </w:rPr>
              <w:t>19</w:t>
            </w:r>
          </w:p>
        </w:tc>
        <w:tc>
          <w:tcPr>
            <w:tcW w:w="841" w:type="dxa"/>
            <w:vAlign w:val="center"/>
          </w:tcPr>
          <w:p>
            <w:pPr>
              <w:jc w:val="center"/>
              <w:rPr>
                <w:rFonts w:ascii="宋体" w:hAnsi="宋体" w:cs="宋体"/>
                <w:bCs/>
                <w:szCs w:val="21"/>
              </w:rPr>
            </w:pPr>
            <w:r>
              <w:rPr>
                <w:rFonts w:hint="eastAsia" w:ascii="宋体" w:hAnsi="宋体" w:cs="宋体"/>
                <w:bCs/>
                <w:szCs w:val="21"/>
              </w:rPr>
              <w:t>工资推送</w:t>
            </w:r>
          </w:p>
        </w:tc>
        <w:tc>
          <w:tcPr>
            <w:tcW w:w="7227" w:type="dxa"/>
            <w:vAlign w:val="center"/>
          </w:tcPr>
          <w:p>
            <w:pPr>
              <w:ind w:firstLine="420" w:firstLineChars="200"/>
              <w:rPr>
                <w:rFonts w:ascii="宋体" w:hAnsi="宋体" w:cs="宋体"/>
                <w:bCs/>
                <w:szCs w:val="21"/>
              </w:rPr>
            </w:pPr>
            <w:r>
              <w:rPr>
                <w:rFonts w:hint="eastAsia" w:ascii="宋体" w:hAnsi="宋体" w:cs="宋体"/>
                <w:bCs/>
                <w:szCs w:val="21"/>
              </w:rPr>
              <w:t>支持</w:t>
            </w:r>
            <w:r>
              <w:rPr>
                <w:rFonts w:hint="eastAsia" w:ascii="宋体" w:hAnsi="宋体" w:cs="宋体"/>
                <w:bCs/>
                <w:szCs w:val="21"/>
                <w:shd w:val="clear" w:color="auto" w:fill="FFFFFF"/>
              </w:rPr>
              <w:t>工资表文件定义和统计项目定义，然后财务老师通过后台上传对应格式的EXCEL表格。老师们就可以通过PC端或手机端（支持安卓和苹果）进行工资查看查询。</w:t>
            </w:r>
          </w:p>
        </w:tc>
        <w:tc>
          <w:tcPr>
            <w:tcW w:w="915" w:type="dxa"/>
            <w:vMerge w:val="continue"/>
            <w:vAlign w:val="center"/>
          </w:tcPr>
          <w:p>
            <w:pPr>
              <w:ind w:firstLine="420" w:firstLineChars="200"/>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2" w:hRule="atLeast"/>
        </w:trPr>
        <w:tc>
          <w:tcPr>
            <w:tcW w:w="446" w:type="dxa"/>
            <w:vAlign w:val="center"/>
          </w:tcPr>
          <w:p>
            <w:pPr>
              <w:jc w:val="center"/>
              <w:rPr>
                <w:rFonts w:ascii="宋体" w:hAnsi="宋体" w:cs="宋体"/>
                <w:bCs/>
                <w:szCs w:val="21"/>
              </w:rPr>
            </w:pPr>
            <w:r>
              <w:rPr>
                <w:rFonts w:hint="eastAsia" w:ascii="宋体" w:hAnsi="宋体" w:cs="宋体"/>
                <w:bCs/>
                <w:szCs w:val="21"/>
              </w:rPr>
              <w:t>20</w:t>
            </w:r>
          </w:p>
        </w:tc>
        <w:tc>
          <w:tcPr>
            <w:tcW w:w="841" w:type="dxa"/>
            <w:vAlign w:val="center"/>
          </w:tcPr>
          <w:p>
            <w:pPr>
              <w:jc w:val="center"/>
              <w:rPr>
                <w:rFonts w:ascii="宋体" w:hAnsi="宋体" w:cs="宋体"/>
                <w:bCs/>
                <w:szCs w:val="21"/>
              </w:rPr>
            </w:pPr>
            <w:r>
              <w:rPr>
                <w:rFonts w:hint="eastAsia" w:ascii="宋体" w:hAnsi="宋体" w:cs="宋体"/>
                <w:bCs/>
                <w:szCs w:val="21"/>
              </w:rPr>
              <w:t>实验室物品管理</w:t>
            </w:r>
          </w:p>
        </w:tc>
        <w:tc>
          <w:tcPr>
            <w:tcW w:w="7227" w:type="dxa"/>
            <w:vAlign w:val="center"/>
          </w:tcPr>
          <w:p>
            <w:pPr>
              <w:ind w:firstLine="420" w:firstLineChars="200"/>
              <w:rPr>
                <w:rFonts w:ascii="宋体" w:hAnsi="宋体" w:cs="宋体"/>
                <w:bCs/>
                <w:szCs w:val="21"/>
              </w:rPr>
            </w:pPr>
            <w:r>
              <w:rPr>
                <w:rFonts w:hint="eastAsia" w:ascii="宋体" w:hAnsi="宋体" w:cs="宋体"/>
                <w:bCs/>
                <w:color w:val="FF0000"/>
                <w:szCs w:val="21"/>
              </w:rPr>
              <w:t>★</w:t>
            </w:r>
            <w:r>
              <w:rPr>
                <w:rFonts w:hint="eastAsia" w:ascii="宋体" w:hAnsi="宋体" w:cs="宋体"/>
                <w:bCs/>
                <w:szCs w:val="21"/>
              </w:rPr>
              <w:t>支持老师通过手机APP（安卓或苹果）进行操作。</w:t>
            </w:r>
          </w:p>
          <w:p>
            <w:pPr>
              <w:ind w:firstLine="420" w:firstLineChars="200"/>
              <w:rPr>
                <w:rFonts w:ascii="宋体" w:hAnsi="宋体" w:cs="宋体"/>
                <w:bCs/>
                <w:szCs w:val="21"/>
              </w:rPr>
            </w:pPr>
            <w:r>
              <w:rPr>
                <w:rFonts w:hint="eastAsia" w:ascii="宋体" w:hAnsi="宋体" w:cs="宋体"/>
                <w:bCs/>
                <w:szCs w:val="21"/>
              </w:rPr>
              <w:t>实验室物品类别：查询：通过了类别编号、资产类别查询/重置，添加和录入资产类别、类别编号、以及备注信息，支持修改、删除；</w:t>
            </w:r>
          </w:p>
          <w:p>
            <w:pPr>
              <w:ind w:firstLine="420" w:firstLineChars="200"/>
              <w:rPr>
                <w:rFonts w:ascii="宋体" w:hAnsi="宋体" w:cs="宋体"/>
                <w:bCs/>
                <w:szCs w:val="21"/>
              </w:rPr>
            </w:pPr>
            <w:r>
              <w:rPr>
                <w:rFonts w:hint="eastAsia" w:ascii="宋体" w:hAnsi="宋体" w:cs="宋体"/>
                <w:bCs/>
                <w:szCs w:val="21"/>
              </w:rPr>
              <w:t>资产信息：查询条件有资产名称、存放地点、资产类别、使用状态、使用人、使用部门、资产编号/重置</w:t>
            </w:r>
          </w:p>
          <w:p>
            <w:pPr>
              <w:ind w:firstLine="420" w:firstLineChars="200"/>
              <w:rPr>
                <w:rFonts w:ascii="宋体" w:hAnsi="宋体" w:cs="宋体"/>
                <w:bCs/>
                <w:szCs w:val="21"/>
              </w:rPr>
            </w:pPr>
            <w:r>
              <w:rPr>
                <w:rFonts w:hint="eastAsia" w:ascii="宋体" w:hAnsi="宋体" w:cs="宋体"/>
                <w:bCs/>
                <w:szCs w:val="21"/>
              </w:rPr>
              <w:t>领用/借用管理：</w:t>
            </w:r>
          </w:p>
          <w:p>
            <w:pPr>
              <w:ind w:firstLine="420" w:firstLineChars="200"/>
              <w:rPr>
                <w:rFonts w:ascii="宋体" w:hAnsi="宋体" w:cs="宋体"/>
                <w:bCs/>
                <w:szCs w:val="21"/>
              </w:rPr>
            </w:pPr>
            <w:r>
              <w:rPr>
                <w:rFonts w:hint="eastAsia" w:ascii="宋体" w:hAnsi="宋体" w:cs="宋体"/>
                <w:bCs/>
                <w:szCs w:val="21"/>
              </w:rPr>
              <w:t>1）栏目包含我要申请、申请列表、申请审核、已审审核、待出库、出库信息、申领统计等；</w:t>
            </w:r>
          </w:p>
          <w:p>
            <w:pPr>
              <w:ind w:firstLine="420" w:firstLineChars="200"/>
              <w:rPr>
                <w:rFonts w:ascii="宋体" w:hAnsi="宋体" w:cs="宋体"/>
                <w:bCs/>
                <w:szCs w:val="21"/>
              </w:rPr>
            </w:pPr>
            <w:r>
              <w:rPr>
                <w:rFonts w:hint="eastAsia" w:ascii="宋体" w:hAnsi="宋体" w:cs="宋体"/>
                <w:bCs/>
                <w:szCs w:val="21"/>
              </w:rPr>
              <w:t>2）实验室物品申领的各流程（申请、审核、审核通过等）可以推送至管理平台、移动客户端、IM即时通讯、短信实时同步，后三者可以即时提醒；</w:t>
            </w:r>
          </w:p>
          <w:p>
            <w:pPr>
              <w:ind w:firstLine="420" w:firstLineChars="200"/>
              <w:rPr>
                <w:rFonts w:ascii="宋体" w:hAnsi="宋体" w:cs="宋体"/>
                <w:bCs/>
                <w:szCs w:val="21"/>
              </w:rPr>
            </w:pPr>
            <w:r>
              <w:rPr>
                <w:rFonts w:hint="eastAsia" w:ascii="宋体" w:hAnsi="宋体" w:cs="宋体"/>
                <w:bCs/>
                <w:szCs w:val="21"/>
              </w:rPr>
              <w:t>3）实验室物品申领流程可以根据学校总务管理流程智能设置，审核层级无限制，审核人员自定义设置；</w:t>
            </w:r>
          </w:p>
          <w:p>
            <w:pPr>
              <w:ind w:firstLine="420" w:firstLineChars="200"/>
              <w:rPr>
                <w:rFonts w:ascii="宋体" w:hAnsi="宋体" w:cs="宋体"/>
                <w:bCs/>
                <w:szCs w:val="21"/>
              </w:rPr>
            </w:pPr>
            <w:r>
              <w:rPr>
                <w:rFonts w:hint="eastAsia" w:ascii="宋体" w:hAnsi="宋体" w:cs="宋体"/>
                <w:bCs/>
                <w:szCs w:val="21"/>
              </w:rPr>
              <w:t>4）实验室物品申领配套基础的低值易耗财产管理来使用，其包含出入1库管理，出库信息以及物品类别自定义维护；</w:t>
            </w:r>
          </w:p>
          <w:p>
            <w:pPr>
              <w:ind w:firstLine="420" w:firstLineChars="200"/>
              <w:rPr>
                <w:rFonts w:ascii="宋体" w:hAnsi="宋体" w:cs="宋体"/>
                <w:bCs/>
                <w:szCs w:val="21"/>
              </w:rPr>
            </w:pPr>
            <w:r>
              <w:rPr>
                <w:rFonts w:hint="eastAsia" w:ascii="宋体" w:hAnsi="宋体" w:cs="宋体"/>
                <w:bCs/>
                <w:szCs w:val="21"/>
              </w:rPr>
              <w:t>5）实验室物品数据分析可以按照用户排名、按年级组、按教研组统计，既有报表又有图表；</w:t>
            </w:r>
          </w:p>
          <w:p>
            <w:pPr>
              <w:ind w:firstLine="420" w:firstLineChars="200"/>
              <w:rPr>
                <w:rFonts w:ascii="宋体" w:hAnsi="宋体" w:cs="宋体"/>
                <w:bCs/>
                <w:szCs w:val="21"/>
              </w:rPr>
            </w:pPr>
            <w:r>
              <w:rPr>
                <w:rFonts w:hint="eastAsia" w:ascii="宋体" w:hAnsi="宋体" w:cs="宋体"/>
                <w:bCs/>
                <w:szCs w:val="21"/>
              </w:rPr>
              <w:t>6）支持报表导出；</w:t>
            </w:r>
          </w:p>
          <w:p>
            <w:pPr>
              <w:ind w:firstLine="420" w:firstLineChars="200"/>
              <w:rPr>
                <w:rFonts w:ascii="宋体" w:hAnsi="宋体" w:cs="宋体"/>
                <w:bCs/>
                <w:szCs w:val="21"/>
              </w:rPr>
            </w:pPr>
            <w:r>
              <w:rPr>
                <w:rFonts w:hint="eastAsia" w:ascii="宋体" w:hAnsi="宋体" w:cs="宋体"/>
                <w:bCs/>
                <w:szCs w:val="21"/>
              </w:rPr>
              <w:t>实验室物品只能有授权老师进行领用借用申请，授权老师可在后台进行设置。</w:t>
            </w:r>
          </w:p>
        </w:tc>
        <w:tc>
          <w:tcPr>
            <w:tcW w:w="915" w:type="dxa"/>
            <w:vMerge w:val="continue"/>
            <w:vAlign w:val="center"/>
          </w:tcPr>
          <w:p>
            <w:pPr>
              <w:ind w:firstLine="420" w:firstLineChars="200"/>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446" w:type="dxa"/>
            <w:vAlign w:val="center"/>
          </w:tcPr>
          <w:p>
            <w:pPr>
              <w:jc w:val="center"/>
              <w:rPr>
                <w:rFonts w:ascii="宋体" w:hAnsi="宋体" w:cs="宋体"/>
                <w:bCs/>
                <w:szCs w:val="21"/>
              </w:rPr>
            </w:pPr>
            <w:r>
              <w:rPr>
                <w:rFonts w:hint="eastAsia" w:ascii="宋体" w:hAnsi="宋体" w:cs="宋体"/>
                <w:bCs/>
                <w:szCs w:val="21"/>
              </w:rPr>
              <w:t>21</w:t>
            </w:r>
          </w:p>
        </w:tc>
        <w:tc>
          <w:tcPr>
            <w:tcW w:w="841" w:type="dxa"/>
            <w:vAlign w:val="center"/>
          </w:tcPr>
          <w:p>
            <w:pPr>
              <w:jc w:val="center"/>
              <w:rPr>
                <w:rFonts w:ascii="宋体" w:hAnsi="宋体" w:cs="宋体"/>
                <w:bCs/>
                <w:szCs w:val="21"/>
              </w:rPr>
            </w:pPr>
            <w:r>
              <w:rPr>
                <w:rFonts w:hint="eastAsia" w:ascii="宋体" w:hAnsi="宋体" w:cs="宋体"/>
                <w:bCs/>
                <w:szCs w:val="21"/>
              </w:rPr>
              <w:t>研训进修管理</w:t>
            </w:r>
          </w:p>
        </w:tc>
        <w:tc>
          <w:tcPr>
            <w:tcW w:w="7227" w:type="dxa"/>
            <w:vAlign w:val="center"/>
          </w:tcPr>
          <w:p>
            <w:pPr>
              <w:ind w:firstLine="420" w:firstLineChars="200"/>
              <w:rPr>
                <w:rFonts w:ascii="宋体" w:hAnsi="宋体" w:cs="宋体"/>
                <w:bCs/>
                <w:szCs w:val="21"/>
              </w:rPr>
            </w:pPr>
            <w:r>
              <w:rPr>
                <w:rFonts w:hint="eastAsia" w:ascii="宋体" w:hAnsi="宋体" w:cs="宋体"/>
                <w:bCs/>
                <w:szCs w:val="21"/>
              </w:rPr>
              <w:t>科研管理：针对各类教学获奖进行登记，支持自由定义表单内容，支持多文件的上传。</w:t>
            </w:r>
          </w:p>
          <w:p>
            <w:pPr>
              <w:ind w:firstLine="420" w:firstLineChars="200"/>
              <w:rPr>
                <w:rFonts w:ascii="宋体" w:hAnsi="宋体" w:cs="宋体"/>
                <w:bCs/>
                <w:szCs w:val="21"/>
              </w:rPr>
            </w:pPr>
            <w:r>
              <w:rPr>
                <w:rFonts w:hint="eastAsia" w:ascii="宋体" w:hAnsi="宋体" w:cs="宋体"/>
                <w:bCs/>
                <w:szCs w:val="21"/>
              </w:rPr>
              <w:t>教师进修：提供教师各类进修结果的登记，如学历证书、职业培训证书等，支持自由定义表单内容。</w:t>
            </w:r>
          </w:p>
          <w:p>
            <w:pPr>
              <w:ind w:firstLine="420" w:firstLineChars="200"/>
              <w:rPr>
                <w:rFonts w:ascii="宋体" w:hAnsi="宋体" w:cs="宋体"/>
                <w:bCs/>
                <w:szCs w:val="21"/>
              </w:rPr>
            </w:pPr>
            <w:r>
              <w:rPr>
                <w:rFonts w:hint="eastAsia" w:ascii="宋体" w:hAnsi="宋体" w:cs="宋体"/>
                <w:bCs/>
                <w:szCs w:val="21"/>
              </w:rPr>
              <w:t>数据统计：支持分学期进行统计，并形成图表方便查看。</w:t>
            </w:r>
          </w:p>
        </w:tc>
        <w:tc>
          <w:tcPr>
            <w:tcW w:w="915" w:type="dxa"/>
            <w:vMerge w:val="continue"/>
            <w:vAlign w:val="center"/>
          </w:tcPr>
          <w:p>
            <w:pPr>
              <w:ind w:firstLine="420" w:firstLineChars="200"/>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5" w:hRule="atLeast"/>
        </w:trPr>
        <w:tc>
          <w:tcPr>
            <w:tcW w:w="446" w:type="dxa"/>
            <w:vAlign w:val="center"/>
          </w:tcPr>
          <w:p>
            <w:pPr>
              <w:jc w:val="center"/>
              <w:rPr>
                <w:rFonts w:ascii="宋体" w:hAnsi="宋体" w:cs="宋体"/>
                <w:bCs/>
                <w:szCs w:val="21"/>
              </w:rPr>
            </w:pPr>
            <w:r>
              <w:rPr>
                <w:rFonts w:hint="eastAsia" w:ascii="宋体" w:hAnsi="宋体" w:cs="宋体"/>
                <w:bCs/>
                <w:szCs w:val="21"/>
              </w:rPr>
              <w:t>22</w:t>
            </w:r>
          </w:p>
        </w:tc>
        <w:tc>
          <w:tcPr>
            <w:tcW w:w="841" w:type="dxa"/>
            <w:vAlign w:val="center"/>
          </w:tcPr>
          <w:p>
            <w:pPr>
              <w:jc w:val="center"/>
              <w:rPr>
                <w:rFonts w:ascii="宋体" w:hAnsi="宋体" w:cs="宋体"/>
                <w:bCs/>
                <w:szCs w:val="21"/>
              </w:rPr>
            </w:pPr>
            <w:r>
              <w:rPr>
                <w:rFonts w:hint="eastAsia" w:ascii="宋体" w:hAnsi="宋体" w:cs="宋体"/>
                <w:bCs/>
                <w:szCs w:val="21"/>
              </w:rPr>
              <w:t>七选三走班选课系统</w:t>
            </w:r>
          </w:p>
        </w:tc>
        <w:tc>
          <w:tcPr>
            <w:tcW w:w="7227" w:type="dxa"/>
            <w:vAlign w:val="center"/>
          </w:tcPr>
          <w:p>
            <w:pPr>
              <w:ind w:firstLine="420" w:firstLineChars="200"/>
              <w:rPr>
                <w:rFonts w:ascii="宋体" w:hAnsi="宋体" w:cs="宋体"/>
                <w:bCs/>
                <w:szCs w:val="21"/>
              </w:rPr>
            </w:pPr>
            <w:r>
              <w:rPr>
                <w:rFonts w:hint="eastAsia" w:ascii="宋体" w:hAnsi="宋体" w:cs="宋体"/>
                <w:bCs/>
                <w:szCs w:val="21"/>
              </w:rPr>
              <w:t>根据高考改革方案，新高考实行必考科目+选考科目形式。选考科目从政治、历史、地理、物理、化学、生物、技术等7门科目中选择3门进行，因此存在35种组合形式。针对新高考方案下的学生不同选考组合方式，相同班级内学生又存在多种不同的组合，因此对传统教学来讲面临不小的挑战。本系统是为了解决不同选考组合下的学生课表及考勤、教师课表及考勤等系列问题。使学校形成良好的学风、班风和教风，从而提高学校的教育教学水平，提高学生学业成绩。</w:t>
            </w:r>
          </w:p>
          <w:p>
            <w:pPr>
              <w:ind w:firstLine="420" w:firstLineChars="200"/>
              <w:rPr>
                <w:rFonts w:ascii="宋体" w:hAnsi="宋体" w:cs="宋体"/>
                <w:bCs/>
                <w:szCs w:val="21"/>
              </w:rPr>
            </w:pPr>
            <w:r>
              <w:rPr>
                <w:rFonts w:hint="eastAsia" w:ascii="宋体" w:hAnsi="宋体" w:cs="宋体"/>
                <w:bCs/>
                <w:szCs w:val="21"/>
              </w:rPr>
              <w:t>1、走班基本设置</w:t>
            </w:r>
          </w:p>
          <w:p>
            <w:pPr>
              <w:ind w:firstLine="420" w:firstLineChars="200"/>
              <w:rPr>
                <w:rFonts w:ascii="宋体" w:hAnsi="宋体" w:cs="宋体"/>
                <w:bCs/>
                <w:szCs w:val="21"/>
              </w:rPr>
            </w:pPr>
            <w:r>
              <w:rPr>
                <w:rFonts w:hint="eastAsia" w:ascii="宋体" w:hAnsi="宋体" w:cs="宋体"/>
                <w:bCs/>
                <w:szCs w:val="21"/>
              </w:rPr>
              <w:t>设置学考、选考课程及等次评分分值。</w:t>
            </w:r>
          </w:p>
          <w:p>
            <w:pPr>
              <w:ind w:firstLine="420" w:firstLineChars="200"/>
              <w:rPr>
                <w:rFonts w:ascii="宋体" w:hAnsi="宋体" w:cs="宋体"/>
                <w:bCs/>
                <w:szCs w:val="21"/>
              </w:rPr>
            </w:pPr>
            <w:r>
              <w:rPr>
                <w:rFonts w:hint="eastAsia" w:ascii="宋体" w:hAnsi="宋体" w:cs="宋体"/>
                <w:bCs/>
                <w:szCs w:val="21"/>
              </w:rPr>
              <w:t>2、走班选课管理</w:t>
            </w:r>
          </w:p>
          <w:p>
            <w:pPr>
              <w:ind w:firstLine="420" w:firstLineChars="200"/>
              <w:rPr>
                <w:rFonts w:ascii="宋体" w:hAnsi="宋体" w:cs="宋体"/>
                <w:bCs/>
                <w:szCs w:val="21"/>
              </w:rPr>
            </w:pPr>
            <w:r>
              <w:rPr>
                <w:rFonts w:hint="eastAsia" w:ascii="宋体" w:hAnsi="宋体" w:cs="宋体"/>
                <w:bCs/>
                <w:szCs w:val="21"/>
              </w:rPr>
              <w:t>1）选课调查任务</w:t>
            </w:r>
          </w:p>
          <w:p>
            <w:pPr>
              <w:ind w:firstLine="420" w:firstLineChars="200"/>
              <w:rPr>
                <w:rFonts w:ascii="宋体" w:hAnsi="宋体" w:cs="宋体"/>
                <w:bCs/>
                <w:szCs w:val="21"/>
              </w:rPr>
            </w:pPr>
            <w:r>
              <w:rPr>
                <w:rFonts w:hint="eastAsia" w:ascii="宋体" w:hAnsi="宋体" w:cs="宋体"/>
                <w:bCs/>
                <w:szCs w:val="21"/>
              </w:rPr>
              <w:t>新建调查任务，添加课程方式分为套餐或者单门课程，在添加套餐的时候会自动生成单门课程。</w:t>
            </w:r>
          </w:p>
          <w:p>
            <w:pPr>
              <w:ind w:firstLine="420" w:firstLineChars="200"/>
              <w:rPr>
                <w:rFonts w:ascii="宋体" w:hAnsi="宋体" w:cs="宋体"/>
                <w:bCs/>
                <w:szCs w:val="21"/>
              </w:rPr>
            </w:pPr>
            <w:r>
              <w:rPr>
                <w:rFonts w:hint="eastAsia" w:ascii="宋体" w:hAnsi="宋体" w:cs="宋体"/>
                <w:bCs/>
                <w:szCs w:val="21"/>
              </w:rPr>
              <w:t>2）选课数据统计</w:t>
            </w:r>
          </w:p>
          <w:p>
            <w:pPr>
              <w:ind w:firstLine="420" w:firstLineChars="200"/>
              <w:rPr>
                <w:rFonts w:ascii="宋体" w:hAnsi="宋体" w:cs="宋体"/>
                <w:bCs/>
                <w:szCs w:val="21"/>
              </w:rPr>
            </w:pPr>
            <w:r>
              <w:rPr>
                <w:rFonts w:hint="eastAsia" w:ascii="宋体" w:hAnsi="宋体" w:cs="宋体"/>
                <w:bCs/>
                <w:szCs w:val="21"/>
              </w:rPr>
              <w:t>可按套餐、三门组合、二门组合及单科的形式进行统计。</w:t>
            </w:r>
          </w:p>
          <w:p>
            <w:pPr>
              <w:ind w:firstLine="420" w:firstLineChars="200"/>
              <w:rPr>
                <w:rFonts w:ascii="宋体" w:hAnsi="宋体" w:cs="宋体"/>
                <w:bCs/>
                <w:szCs w:val="21"/>
              </w:rPr>
            </w:pPr>
            <w:r>
              <w:rPr>
                <w:rFonts w:hint="eastAsia" w:ascii="宋体" w:hAnsi="宋体" w:cs="宋体"/>
                <w:bCs/>
                <w:szCs w:val="21"/>
              </w:rPr>
              <w:t>3、走班教务管理</w:t>
            </w:r>
          </w:p>
          <w:p>
            <w:pPr>
              <w:ind w:firstLine="420" w:firstLineChars="200"/>
              <w:rPr>
                <w:rFonts w:ascii="宋体" w:hAnsi="宋体" w:cs="宋体"/>
                <w:bCs/>
                <w:szCs w:val="21"/>
              </w:rPr>
            </w:pPr>
            <w:r>
              <w:rPr>
                <w:rFonts w:hint="eastAsia" w:ascii="宋体" w:hAnsi="宋体" w:cs="宋体"/>
                <w:bCs/>
                <w:szCs w:val="21"/>
              </w:rPr>
              <w:t>1）学生选考志愿</w:t>
            </w:r>
          </w:p>
          <w:p>
            <w:pPr>
              <w:ind w:firstLine="420" w:firstLineChars="200"/>
              <w:rPr>
                <w:rFonts w:ascii="宋体" w:hAnsi="宋体" w:cs="宋体"/>
                <w:bCs/>
                <w:szCs w:val="21"/>
              </w:rPr>
            </w:pPr>
            <w:r>
              <w:rPr>
                <w:rFonts w:hint="eastAsia" w:ascii="宋体" w:hAnsi="宋体" w:cs="宋体"/>
                <w:bCs/>
                <w:szCs w:val="21"/>
              </w:rPr>
              <w:t>管理维护学生的选考志愿，支持多种形式的导入。可根据调查结果自动导入；可根据Execl表格导入</w:t>
            </w:r>
          </w:p>
          <w:p>
            <w:pPr>
              <w:ind w:firstLine="420" w:firstLineChars="200"/>
              <w:rPr>
                <w:rFonts w:ascii="宋体" w:hAnsi="宋体" w:cs="宋体"/>
                <w:bCs/>
                <w:szCs w:val="21"/>
              </w:rPr>
            </w:pPr>
            <w:r>
              <w:rPr>
                <w:rFonts w:hint="eastAsia" w:ascii="宋体" w:hAnsi="宋体" w:cs="宋体"/>
                <w:bCs/>
                <w:szCs w:val="21"/>
              </w:rPr>
              <w:t>2）走班教室管理</w:t>
            </w:r>
          </w:p>
          <w:p>
            <w:pPr>
              <w:ind w:firstLine="420" w:firstLineChars="200"/>
              <w:rPr>
                <w:rFonts w:ascii="宋体" w:hAnsi="宋体" w:cs="宋体"/>
                <w:bCs/>
                <w:szCs w:val="21"/>
              </w:rPr>
            </w:pPr>
            <w:r>
              <w:rPr>
                <w:rFonts w:hint="eastAsia" w:ascii="宋体" w:hAnsi="宋体" w:cs="宋体"/>
                <w:bCs/>
                <w:szCs w:val="21"/>
              </w:rPr>
              <w:t>管理走班学生的上课教室，每学期都需要进行设置。每个教室对应教授的走班课程。支持批量导入建立</w:t>
            </w:r>
          </w:p>
          <w:p>
            <w:pPr>
              <w:ind w:firstLine="420" w:firstLineChars="200"/>
              <w:rPr>
                <w:rFonts w:ascii="宋体" w:hAnsi="宋体" w:cs="宋体"/>
                <w:bCs/>
                <w:szCs w:val="21"/>
              </w:rPr>
            </w:pPr>
            <w:r>
              <w:rPr>
                <w:rFonts w:hint="eastAsia" w:ascii="宋体" w:hAnsi="宋体" w:cs="宋体"/>
                <w:bCs/>
                <w:szCs w:val="21"/>
              </w:rPr>
              <w:t>3）走班学生分班</w:t>
            </w:r>
          </w:p>
          <w:p>
            <w:pPr>
              <w:ind w:firstLine="420" w:firstLineChars="200"/>
              <w:rPr>
                <w:rFonts w:ascii="宋体" w:hAnsi="宋体" w:cs="宋体"/>
                <w:bCs/>
                <w:szCs w:val="21"/>
              </w:rPr>
            </w:pPr>
            <w:r>
              <w:rPr>
                <w:rFonts w:hint="eastAsia" w:ascii="宋体" w:hAnsi="宋体" w:cs="宋体"/>
                <w:bCs/>
                <w:szCs w:val="21"/>
              </w:rPr>
              <w:t>在走班教室设置之后，可对学生进行分班，形成教室、课程、学生的对应关系。并实时显示未分和实际班级人数。</w:t>
            </w:r>
          </w:p>
          <w:p>
            <w:pPr>
              <w:ind w:firstLine="420" w:firstLineChars="200"/>
              <w:rPr>
                <w:rFonts w:ascii="宋体" w:hAnsi="宋体" w:cs="宋体"/>
                <w:bCs/>
                <w:szCs w:val="21"/>
              </w:rPr>
            </w:pPr>
            <w:r>
              <w:rPr>
                <w:rFonts w:hint="eastAsia" w:ascii="宋体" w:hAnsi="宋体" w:cs="宋体"/>
                <w:bCs/>
                <w:szCs w:val="21"/>
              </w:rPr>
              <w:t>4）走班学生管理</w:t>
            </w:r>
          </w:p>
          <w:p>
            <w:pPr>
              <w:ind w:firstLine="420" w:firstLineChars="200"/>
              <w:rPr>
                <w:rFonts w:ascii="宋体" w:hAnsi="宋体" w:cs="宋体"/>
                <w:bCs/>
                <w:szCs w:val="21"/>
              </w:rPr>
            </w:pPr>
            <w:r>
              <w:rPr>
                <w:rFonts w:hint="eastAsia" w:ascii="宋体" w:hAnsi="宋体" w:cs="宋体"/>
                <w:bCs/>
                <w:szCs w:val="21"/>
              </w:rPr>
              <w:t>管理已分班完成的班级学生资料。支持对走班学生的导入</w:t>
            </w:r>
          </w:p>
          <w:p>
            <w:pPr>
              <w:ind w:firstLine="420" w:firstLineChars="200"/>
              <w:rPr>
                <w:rFonts w:ascii="宋体" w:hAnsi="宋体" w:cs="宋体"/>
                <w:bCs/>
                <w:szCs w:val="21"/>
              </w:rPr>
            </w:pPr>
            <w:r>
              <w:rPr>
                <w:rFonts w:hint="eastAsia" w:ascii="宋体" w:hAnsi="宋体" w:cs="宋体"/>
                <w:bCs/>
                <w:szCs w:val="21"/>
              </w:rPr>
              <w:t>5）走班任课教师</w:t>
            </w:r>
          </w:p>
          <w:p>
            <w:pPr>
              <w:ind w:firstLine="420" w:firstLineChars="200"/>
              <w:rPr>
                <w:rFonts w:ascii="宋体" w:hAnsi="宋体" w:cs="宋体"/>
                <w:bCs/>
                <w:szCs w:val="21"/>
              </w:rPr>
            </w:pPr>
            <w:r>
              <w:rPr>
                <w:rFonts w:hint="eastAsia" w:ascii="宋体" w:hAnsi="宋体" w:cs="宋体"/>
                <w:bCs/>
                <w:szCs w:val="21"/>
              </w:rPr>
              <w:t>管理走班教室课程对应的任课教师，支持批量导入形式创建；支持任课教师批量导入</w:t>
            </w:r>
          </w:p>
          <w:p>
            <w:pPr>
              <w:ind w:firstLine="420" w:firstLineChars="200"/>
              <w:rPr>
                <w:rFonts w:ascii="宋体" w:hAnsi="宋体" w:cs="宋体"/>
                <w:bCs/>
                <w:szCs w:val="21"/>
              </w:rPr>
            </w:pPr>
            <w:r>
              <w:rPr>
                <w:rFonts w:hint="eastAsia" w:ascii="宋体" w:hAnsi="宋体" w:cs="宋体"/>
                <w:bCs/>
                <w:szCs w:val="21"/>
              </w:rPr>
              <w:t>6）走班自动分班</w:t>
            </w:r>
          </w:p>
          <w:p>
            <w:pPr>
              <w:ind w:firstLine="420" w:firstLineChars="200"/>
              <w:rPr>
                <w:rFonts w:ascii="宋体" w:hAnsi="宋体" w:cs="宋体"/>
                <w:bCs/>
                <w:szCs w:val="21"/>
              </w:rPr>
            </w:pPr>
            <w:r>
              <w:rPr>
                <w:rFonts w:hint="eastAsia" w:ascii="宋体" w:hAnsi="宋体" w:cs="宋体"/>
                <w:bCs/>
                <w:szCs w:val="21"/>
              </w:rPr>
              <w:t>通过Execl模板表格进行分析，模板如下：包含两个工作表走班教室表、学生资料表；</w:t>
            </w:r>
          </w:p>
          <w:p>
            <w:pPr>
              <w:ind w:firstLine="420" w:firstLineChars="200"/>
              <w:rPr>
                <w:rFonts w:ascii="宋体" w:hAnsi="宋体" w:cs="宋体"/>
                <w:bCs/>
                <w:szCs w:val="21"/>
              </w:rPr>
            </w:pPr>
            <w:r>
              <w:rPr>
                <w:rFonts w:hint="eastAsia" w:ascii="宋体" w:hAnsi="宋体" w:cs="宋体"/>
                <w:bCs/>
                <w:szCs w:val="21"/>
              </w:rPr>
              <w:t>4、走班课表管理</w:t>
            </w:r>
          </w:p>
          <w:p>
            <w:pPr>
              <w:ind w:firstLine="420" w:firstLineChars="200"/>
              <w:rPr>
                <w:rFonts w:ascii="宋体" w:hAnsi="宋体" w:cs="宋体"/>
                <w:bCs/>
                <w:szCs w:val="21"/>
              </w:rPr>
            </w:pPr>
            <w:r>
              <w:rPr>
                <w:rFonts w:hint="eastAsia" w:ascii="宋体" w:hAnsi="宋体" w:cs="宋体"/>
                <w:bCs/>
                <w:szCs w:val="21"/>
              </w:rPr>
              <w:t>1）查询走班教室的课表信息。</w:t>
            </w:r>
          </w:p>
          <w:p>
            <w:pPr>
              <w:ind w:firstLine="420" w:firstLineChars="200"/>
              <w:rPr>
                <w:rFonts w:ascii="宋体" w:hAnsi="宋体" w:cs="宋体"/>
                <w:bCs/>
                <w:szCs w:val="21"/>
              </w:rPr>
            </w:pPr>
            <w:r>
              <w:rPr>
                <w:rFonts w:hint="eastAsia" w:ascii="宋体" w:hAnsi="宋体" w:cs="宋体"/>
                <w:bCs/>
                <w:szCs w:val="21"/>
              </w:rPr>
              <w:t>2）学生走班课表</w:t>
            </w:r>
          </w:p>
          <w:p>
            <w:pPr>
              <w:ind w:firstLine="420" w:firstLineChars="200"/>
              <w:rPr>
                <w:rFonts w:ascii="宋体" w:hAnsi="宋体" w:cs="宋体"/>
                <w:bCs/>
                <w:szCs w:val="21"/>
              </w:rPr>
            </w:pPr>
            <w:r>
              <w:rPr>
                <w:rFonts w:hint="eastAsia" w:ascii="宋体" w:hAnsi="宋体" w:cs="宋体"/>
                <w:bCs/>
                <w:szCs w:val="21"/>
              </w:rPr>
              <w:t>即一人一表，针对班级每个学生的课表查询</w:t>
            </w:r>
          </w:p>
          <w:p>
            <w:pPr>
              <w:ind w:firstLine="420" w:firstLineChars="200"/>
              <w:rPr>
                <w:rFonts w:ascii="宋体" w:hAnsi="宋体" w:cs="宋体"/>
                <w:bCs/>
                <w:szCs w:val="21"/>
              </w:rPr>
            </w:pPr>
            <w:r>
              <w:rPr>
                <w:rFonts w:hint="eastAsia" w:ascii="宋体" w:hAnsi="宋体" w:cs="宋体"/>
                <w:bCs/>
                <w:szCs w:val="21"/>
              </w:rPr>
              <w:t>5、学生管理端</w:t>
            </w:r>
          </w:p>
          <w:p>
            <w:pPr>
              <w:ind w:firstLine="420" w:firstLineChars="200"/>
              <w:rPr>
                <w:rFonts w:ascii="宋体" w:hAnsi="宋体" w:cs="宋体"/>
                <w:bCs/>
                <w:szCs w:val="21"/>
              </w:rPr>
            </w:pPr>
            <w:r>
              <w:rPr>
                <w:rFonts w:hint="eastAsia" w:ascii="宋体" w:hAnsi="宋体" w:cs="宋体"/>
                <w:bCs/>
                <w:szCs w:val="21"/>
              </w:rPr>
              <w:t>根据管理员设置的不同，可支持选择固定组合套餐或者自由组合课程的形式提交调查记录。支持查学生看走班课表。</w:t>
            </w:r>
          </w:p>
          <w:p>
            <w:pPr>
              <w:ind w:firstLine="420" w:firstLineChars="200"/>
              <w:rPr>
                <w:rFonts w:ascii="宋体" w:hAnsi="宋体" w:cs="宋体"/>
                <w:bCs/>
                <w:szCs w:val="21"/>
              </w:rPr>
            </w:pPr>
            <w:r>
              <w:rPr>
                <w:rFonts w:hint="eastAsia" w:ascii="宋体" w:hAnsi="宋体" w:cs="宋体"/>
                <w:bCs/>
                <w:szCs w:val="21"/>
              </w:rPr>
              <w:t>4）课程调整</w:t>
            </w:r>
          </w:p>
          <w:p>
            <w:pPr>
              <w:ind w:firstLine="420" w:firstLineChars="200"/>
              <w:rPr>
                <w:rFonts w:ascii="宋体" w:hAnsi="宋体" w:cs="宋体"/>
                <w:bCs/>
                <w:szCs w:val="21"/>
              </w:rPr>
            </w:pPr>
            <w:r>
              <w:rPr>
                <w:rFonts w:hint="eastAsia" w:ascii="宋体" w:hAnsi="宋体" w:cs="宋体"/>
                <w:bCs/>
                <w:szCs w:val="21"/>
              </w:rPr>
              <w:t>按班级或教师调整课程；点击名称，可以查看单个课表，并支持拖动调整及手工添加任课信息；可批量更换任课教师或任教班级。</w:t>
            </w:r>
          </w:p>
          <w:p>
            <w:pPr>
              <w:ind w:firstLine="420" w:firstLineChars="200"/>
              <w:rPr>
                <w:rFonts w:ascii="宋体" w:hAnsi="宋体" w:cs="宋体"/>
                <w:bCs/>
                <w:szCs w:val="21"/>
              </w:rPr>
            </w:pPr>
            <w:r>
              <w:rPr>
                <w:rFonts w:hint="eastAsia" w:ascii="宋体" w:hAnsi="宋体" w:cs="宋体"/>
                <w:bCs/>
                <w:szCs w:val="21"/>
              </w:rPr>
              <w:t>5）课表查询</w:t>
            </w:r>
          </w:p>
          <w:p>
            <w:pPr>
              <w:ind w:firstLine="420" w:firstLineChars="200"/>
              <w:rPr>
                <w:rFonts w:ascii="宋体" w:hAnsi="宋体" w:cs="宋体"/>
                <w:bCs/>
                <w:szCs w:val="21"/>
              </w:rPr>
            </w:pPr>
            <w:r>
              <w:rPr>
                <w:rFonts w:hint="eastAsia" w:ascii="宋体" w:hAnsi="宋体" w:cs="宋体"/>
                <w:bCs/>
                <w:szCs w:val="21"/>
              </w:rPr>
              <w:t>教师课程表，显示所有的任课教师，可通过课程、或教师进行筛选；</w:t>
            </w:r>
          </w:p>
          <w:p>
            <w:pPr>
              <w:ind w:firstLine="420" w:firstLineChars="200"/>
              <w:rPr>
                <w:rFonts w:ascii="宋体" w:hAnsi="宋体" w:cs="宋体"/>
                <w:bCs/>
                <w:szCs w:val="21"/>
              </w:rPr>
            </w:pPr>
            <w:r>
              <w:rPr>
                <w:rFonts w:hint="eastAsia" w:ascii="宋体" w:hAnsi="宋体" w:cs="宋体"/>
                <w:bCs/>
                <w:szCs w:val="21"/>
              </w:rPr>
              <w:t>班级课程表，显示所有已排有课表的班级，可根据需要筛选查看当个班级；</w:t>
            </w:r>
          </w:p>
          <w:p>
            <w:pPr>
              <w:ind w:firstLine="420" w:firstLineChars="200"/>
              <w:rPr>
                <w:rFonts w:ascii="宋体" w:hAnsi="宋体" w:cs="宋体"/>
                <w:bCs/>
                <w:szCs w:val="21"/>
              </w:rPr>
            </w:pPr>
            <w:r>
              <w:rPr>
                <w:rFonts w:hint="eastAsia" w:ascii="宋体" w:hAnsi="宋体" w:cs="宋体"/>
                <w:bCs/>
                <w:szCs w:val="21"/>
              </w:rPr>
              <w:t>教室课程表，显示所有已排有课表的教室，可根据需要筛选查看当个教室；默认每个班级已经绑定了一个教室，所以教室课表也包含了班级课表的显示6、学生作业</w:t>
            </w:r>
          </w:p>
          <w:p>
            <w:pPr>
              <w:ind w:firstLine="420" w:firstLineChars="200"/>
              <w:rPr>
                <w:rFonts w:ascii="宋体" w:hAnsi="宋体" w:cs="宋体"/>
                <w:bCs/>
                <w:szCs w:val="21"/>
              </w:rPr>
            </w:pPr>
            <w:r>
              <w:rPr>
                <w:rFonts w:hint="eastAsia" w:ascii="宋体" w:hAnsi="宋体" w:cs="宋体"/>
                <w:bCs/>
                <w:szCs w:val="21"/>
              </w:rPr>
              <w:t>作业表现作为过程性教学评价的一部分，学生每完成一次作业，任课教师在教学管理平台中对学生进行作业表现评价。</w:t>
            </w:r>
          </w:p>
        </w:tc>
        <w:tc>
          <w:tcPr>
            <w:tcW w:w="915" w:type="dxa"/>
            <w:vMerge w:val="continue"/>
            <w:vAlign w:val="center"/>
          </w:tcPr>
          <w:p>
            <w:pPr>
              <w:ind w:firstLine="420" w:firstLineChars="200"/>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 w:hRule="atLeast"/>
        </w:trPr>
        <w:tc>
          <w:tcPr>
            <w:tcW w:w="446" w:type="dxa"/>
            <w:vAlign w:val="center"/>
          </w:tcPr>
          <w:p>
            <w:pPr>
              <w:jc w:val="center"/>
              <w:rPr>
                <w:rFonts w:ascii="宋体" w:hAnsi="宋体" w:cs="宋体"/>
                <w:bCs/>
                <w:szCs w:val="21"/>
              </w:rPr>
            </w:pPr>
            <w:r>
              <w:rPr>
                <w:rFonts w:hint="eastAsia" w:ascii="宋体" w:hAnsi="宋体" w:cs="宋体"/>
                <w:bCs/>
                <w:szCs w:val="21"/>
              </w:rPr>
              <w:t>23</w:t>
            </w:r>
          </w:p>
        </w:tc>
        <w:tc>
          <w:tcPr>
            <w:tcW w:w="841" w:type="dxa"/>
            <w:vAlign w:val="center"/>
          </w:tcPr>
          <w:p>
            <w:pPr>
              <w:rPr>
                <w:rFonts w:ascii="宋体" w:hAnsi="宋体" w:cs="宋体"/>
                <w:bCs/>
                <w:szCs w:val="21"/>
              </w:rPr>
            </w:pPr>
            <w:r>
              <w:rPr>
                <w:rFonts w:hint="eastAsia" w:ascii="宋体" w:hAnsi="宋体" w:cs="宋体"/>
                <w:bCs/>
                <w:szCs w:val="21"/>
              </w:rPr>
              <w:t>走班制成绩管理系统</w:t>
            </w:r>
          </w:p>
          <w:p>
            <w:pPr>
              <w:jc w:val="center"/>
              <w:rPr>
                <w:rFonts w:ascii="宋体" w:hAnsi="宋体" w:cs="宋体"/>
                <w:bCs/>
                <w:szCs w:val="21"/>
              </w:rPr>
            </w:pPr>
          </w:p>
        </w:tc>
        <w:tc>
          <w:tcPr>
            <w:tcW w:w="7227" w:type="dxa"/>
            <w:vAlign w:val="center"/>
          </w:tcPr>
          <w:p>
            <w:pPr>
              <w:ind w:firstLine="420" w:firstLineChars="200"/>
              <w:rPr>
                <w:rFonts w:ascii="宋体" w:hAnsi="宋体" w:cs="宋体"/>
                <w:bCs/>
                <w:szCs w:val="21"/>
              </w:rPr>
            </w:pPr>
            <w:r>
              <w:rPr>
                <w:rFonts w:hint="eastAsia" w:ascii="宋体" w:hAnsi="宋体" w:cs="宋体"/>
                <w:bCs/>
                <w:szCs w:val="21"/>
              </w:rPr>
              <w:t>总分录入：查询录入学生各科考试成绩，支持成绩的批量模板导入，并实时给出学生成绩的班级排名、年级段排名等信息；支持分数及等次形式成绩的导入；</w:t>
            </w:r>
          </w:p>
          <w:p>
            <w:pPr>
              <w:ind w:firstLine="420" w:firstLineChars="200"/>
              <w:rPr>
                <w:rFonts w:ascii="宋体" w:hAnsi="宋体" w:cs="宋体"/>
                <w:bCs/>
                <w:szCs w:val="21"/>
              </w:rPr>
            </w:pPr>
            <w:r>
              <w:rPr>
                <w:rFonts w:hint="eastAsia" w:ascii="宋体" w:hAnsi="宋体" w:cs="宋体"/>
                <w:bCs/>
                <w:szCs w:val="21"/>
              </w:rPr>
              <w:t>支持分重点班、文理科班及特长班的方式对班级成绩进行排名分析。</w:t>
            </w:r>
          </w:p>
          <w:p>
            <w:pPr>
              <w:ind w:firstLine="420" w:firstLineChars="200"/>
              <w:rPr>
                <w:rFonts w:ascii="宋体" w:hAnsi="宋体" w:cs="宋体"/>
                <w:bCs/>
                <w:szCs w:val="21"/>
              </w:rPr>
            </w:pPr>
            <w:r>
              <w:rPr>
                <w:rFonts w:hint="eastAsia" w:ascii="宋体" w:hAnsi="宋体" w:cs="宋体"/>
                <w:bCs/>
                <w:szCs w:val="21"/>
              </w:rPr>
              <w:t>选考成绩分析：考生成绩位次按普通类所有考生总分排定。考生总分相同时，按文化总分、语文数学总分、语文或数学单科成绩、外语单科成绩、选考科目单科成绩高低排序，全部相同者为同位次。意思是当考生高考总分相同时，先去掉政策加分比裸分，仍然相同的时比“语文+数学”总分，再相同时比语文或数学的最高分。</w:t>
            </w:r>
          </w:p>
          <w:p>
            <w:pPr>
              <w:ind w:firstLine="420" w:firstLineChars="200"/>
              <w:rPr>
                <w:rFonts w:ascii="宋体" w:hAnsi="宋体" w:cs="宋体"/>
                <w:bCs/>
                <w:szCs w:val="21"/>
              </w:rPr>
            </w:pPr>
            <w:r>
              <w:rPr>
                <w:rFonts w:hint="eastAsia" w:ascii="宋体" w:hAnsi="宋体" w:cs="宋体"/>
                <w:bCs/>
                <w:color w:val="FF0000"/>
                <w:szCs w:val="21"/>
              </w:rPr>
              <w:t>★</w:t>
            </w:r>
            <w:r>
              <w:rPr>
                <w:rFonts w:hint="eastAsia" w:ascii="宋体" w:hAnsi="宋体" w:cs="宋体"/>
                <w:bCs/>
                <w:szCs w:val="21"/>
              </w:rPr>
              <w:t>总分相同重新排名次：语文+数学 &gt; 语文或数学的最高分 &gt; 外语 &gt; 选考赋分中的最高分。</w:t>
            </w:r>
          </w:p>
        </w:tc>
        <w:tc>
          <w:tcPr>
            <w:tcW w:w="915" w:type="dxa"/>
            <w:vMerge w:val="continue"/>
            <w:vAlign w:val="center"/>
          </w:tcPr>
          <w:p>
            <w:pPr>
              <w:ind w:firstLine="420" w:firstLineChars="200"/>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91" w:hRule="atLeast"/>
        </w:trPr>
        <w:tc>
          <w:tcPr>
            <w:tcW w:w="446" w:type="dxa"/>
            <w:vAlign w:val="center"/>
          </w:tcPr>
          <w:p>
            <w:pPr>
              <w:jc w:val="center"/>
              <w:rPr>
                <w:rFonts w:ascii="宋体" w:hAnsi="宋体" w:cs="宋体"/>
                <w:bCs/>
                <w:szCs w:val="21"/>
              </w:rPr>
            </w:pPr>
            <w:r>
              <w:rPr>
                <w:rFonts w:hint="eastAsia" w:ascii="宋体" w:hAnsi="宋体" w:cs="宋体"/>
                <w:bCs/>
                <w:szCs w:val="21"/>
              </w:rPr>
              <w:t>24</w:t>
            </w:r>
          </w:p>
        </w:tc>
        <w:tc>
          <w:tcPr>
            <w:tcW w:w="841" w:type="dxa"/>
            <w:vAlign w:val="center"/>
          </w:tcPr>
          <w:p>
            <w:pPr>
              <w:jc w:val="center"/>
              <w:rPr>
                <w:rFonts w:ascii="宋体" w:hAnsi="宋体" w:cs="宋体"/>
                <w:bCs/>
                <w:szCs w:val="21"/>
              </w:rPr>
            </w:pPr>
            <w:r>
              <w:rPr>
                <w:rFonts w:hint="eastAsia" w:ascii="宋体" w:hAnsi="宋体" w:cs="宋体"/>
                <w:bCs/>
                <w:szCs w:val="21"/>
              </w:rPr>
              <w:t>系统建设应符合基本技术原则</w:t>
            </w:r>
          </w:p>
        </w:tc>
        <w:tc>
          <w:tcPr>
            <w:tcW w:w="7227" w:type="dxa"/>
            <w:vAlign w:val="center"/>
          </w:tcPr>
          <w:p>
            <w:pPr>
              <w:ind w:firstLine="420" w:firstLineChars="200"/>
              <w:rPr>
                <w:rFonts w:ascii="宋体" w:hAnsi="宋体" w:cs="宋体"/>
                <w:bCs/>
                <w:szCs w:val="21"/>
              </w:rPr>
            </w:pPr>
            <w:r>
              <w:rPr>
                <w:rFonts w:hint="eastAsia" w:ascii="宋体" w:hAnsi="宋体" w:cs="宋体"/>
                <w:bCs/>
                <w:szCs w:val="21"/>
              </w:rPr>
              <w:t>1、系统应能支持面向服务的体系架构，以支持更好的业务灵活性，并能满足学校未来的业务需求，使得学校能够快速有效地应对教务需求的变化。</w:t>
            </w:r>
          </w:p>
          <w:p>
            <w:pPr>
              <w:ind w:firstLine="420" w:firstLineChars="200"/>
              <w:rPr>
                <w:rFonts w:ascii="宋体" w:hAnsi="宋体" w:cs="宋体"/>
                <w:bCs/>
                <w:szCs w:val="21"/>
              </w:rPr>
            </w:pPr>
            <w:r>
              <w:rPr>
                <w:rFonts w:hint="eastAsia" w:ascii="宋体" w:hAnsi="宋体" w:cs="宋体"/>
                <w:bCs/>
                <w:szCs w:val="21"/>
              </w:rPr>
              <w:t>2、应充分考虑技术的先进性，采用先进成熟的技术，确保系统的技术先进性，保证投资的有效性和延续性。</w:t>
            </w:r>
          </w:p>
          <w:p>
            <w:pPr>
              <w:ind w:firstLine="420" w:firstLineChars="200"/>
              <w:rPr>
                <w:rFonts w:ascii="宋体" w:hAnsi="宋体" w:cs="宋体"/>
                <w:bCs/>
                <w:szCs w:val="21"/>
              </w:rPr>
            </w:pPr>
            <w:r>
              <w:rPr>
                <w:rFonts w:hint="eastAsia" w:ascii="宋体" w:hAnsi="宋体" w:cs="宋体"/>
                <w:bCs/>
                <w:szCs w:val="21"/>
              </w:rPr>
              <w:t>3、要全面考虑系统及应用安全，提供各个层次的安全访问和用户权限控制，确保整个系统的安全可靠运行。</w:t>
            </w:r>
          </w:p>
          <w:p>
            <w:pPr>
              <w:ind w:firstLine="420" w:firstLineChars="200"/>
              <w:rPr>
                <w:rFonts w:ascii="宋体" w:hAnsi="宋体" w:cs="宋体"/>
                <w:bCs/>
                <w:szCs w:val="21"/>
              </w:rPr>
            </w:pPr>
            <w:r>
              <w:rPr>
                <w:rFonts w:hint="eastAsia" w:ascii="宋体" w:hAnsi="宋体" w:cs="宋体"/>
                <w:bCs/>
                <w:szCs w:val="21"/>
              </w:rPr>
              <w:t>4、系统要整合学校相关各种不同应用，要确保和现有应用系统之间的整合，并充分考虑对新应用的整合能力；将内部资源与业务系统有效结合，提供强大的信息、资源展现服务。</w:t>
            </w:r>
          </w:p>
          <w:p>
            <w:pPr>
              <w:ind w:firstLine="420" w:firstLineChars="200"/>
              <w:rPr>
                <w:rFonts w:ascii="宋体" w:hAnsi="宋体" w:cs="宋体"/>
                <w:bCs/>
                <w:szCs w:val="21"/>
              </w:rPr>
            </w:pPr>
            <w:r>
              <w:rPr>
                <w:rFonts w:hint="eastAsia" w:ascii="宋体" w:hAnsi="宋体" w:cs="宋体"/>
                <w:bCs/>
                <w:szCs w:val="21"/>
              </w:rPr>
              <w:t>5、充分考虑到系统的可扩展性，具备良好的伸缩性，以适应未来业务的不断发展和业务规模的扩张。</w:t>
            </w:r>
          </w:p>
          <w:p>
            <w:pPr>
              <w:ind w:firstLine="420" w:firstLineChars="200"/>
              <w:rPr>
                <w:rFonts w:ascii="宋体" w:hAnsi="宋体" w:cs="宋体"/>
                <w:bCs/>
                <w:szCs w:val="21"/>
              </w:rPr>
            </w:pPr>
            <w:r>
              <w:rPr>
                <w:rFonts w:hint="eastAsia" w:ascii="宋体" w:hAnsi="宋体" w:cs="宋体"/>
                <w:bCs/>
                <w:szCs w:val="21"/>
              </w:rPr>
              <w:t>6、系统的可实施性体现在产品部署的难度、工作量及实施时需要的客户化工作等，系统应具有一定的快速实施部署能力。</w:t>
            </w:r>
          </w:p>
          <w:p>
            <w:pPr>
              <w:ind w:firstLine="420" w:firstLineChars="200"/>
              <w:rPr>
                <w:rFonts w:ascii="宋体" w:hAnsi="宋体" w:cs="宋体"/>
                <w:bCs/>
                <w:szCs w:val="21"/>
              </w:rPr>
            </w:pPr>
            <w:r>
              <w:rPr>
                <w:rFonts w:hint="eastAsia" w:ascii="宋体" w:hAnsi="宋体" w:cs="宋体"/>
                <w:bCs/>
                <w:szCs w:val="21"/>
              </w:rPr>
              <w:t>7、系统应力求易用性，确保系统对用户的友好性、可操作性，以便于用户的理解、学习、掌握和使用。</w:t>
            </w:r>
          </w:p>
          <w:p>
            <w:pPr>
              <w:ind w:firstLine="420" w:firstLineChars="200"/>
              <w:rPr>
                <w:rFonts w:ascii="宋体" w:hAnsi="宋体" w:cs="宋体"/>
                <w:bCs/>
                <w:szCs w:val="21"/>
              </w:rPr>
            </w:pPr>
            <w:r>
              <w:rPr>
                <w:rFonts w:hint="eastAsia" w:ascii="宋体" w:hAnsi="宋体" w:cs="宋体"/>
                <w:bCs/>
                <w:szCs w:val="21"/>
              </w:rPr>
              <w:t>8、系统方案应考虑经济成本与效益的因素，充分利用和保护用户现有的IT系统及投资。产品方案应尽可能帮助客户缩短项目开发周期，降低项目实施成本。</w:t>
            </w:r>
          </w:p>
          <w:p>
            <w:pPr>
              <w:ind w:firstLine="420" w:firstLineChars="200"/>
              <w:rPr>
                <w:rFonts w:ascii="宋体" w:hAnsi="宋体" w:cs="宋体"/>
                <w:bCs/>
                <w:szCs w:val="21"/>
              </w:rPr>
            </w:pPr>
            <w:r>
              <w:rPr>
                <w:rFonts w:hint="eastAsia" w:ascii="宋体" w:hAnsi="宋体" w:cs="宋体"/>
                <w:bCs/>
                <w:szCs w:val="21"/>
              </w:rPr>
              <w:t>9、系统建设也必须在国家电子政务相关的技术标准下进行，从而保证技术架构的兼容性、一致性，实现系统应用和数据在更广泛范围内的共享。</w:t>
            </w:r>
          </w:p>
        </w:tc>
        <w:tc>
          <w:tcPr>
            <w:tcW w:w="915" w:type="dxa"/>
            <w:vMerge w:val="continue"/>
            <w:vAlign w:val="center"/>
          </w:tcPr>
          <w:p>
            <w:pPr>
              <w:ind w:firstLine="420" w:firstLineChars="200"/>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81" w:hRule="atLeast"/>
        </w:trPr>
        <w:tc>
          <w:tcPr>
            <w:tcW w:w="446" w:type="dxa"/>
            <w:vAlign w:val="center"/>
          </w:tcPr>
          <w:p>
            <w:pPr>
              <w:jc w:val="center"/>
              <w:rPr>
                <w:rFonts w:ascii="宋体" w:hAnsi="宋体" w:cs="宋体"/>
                <w:bCs/>
                <w:szCs w:val="21"/>
              </w:rPr>
            </w:pPr>
            <w:r>
              <w:rPr>
                <w:rFonts w:hint="eastAsia" w:ascii="宋体" w:hAnsi="宋体" w:cs="宋体"/>
                <w:bCs/>
                <w:szCs w:val="21"/>
              </w:rPr>
              <w:t>25</w:t>
            </w:r>
          </w:p>
        </w:tc>
        <w:tc>
          <w:tcPr>
            <w:tcW w:w="841" w:type="dxa"/>
            <w:vAlign w:val="center"/>
          </w:tcPr>
          <w:p>
            <w:pPr>
              <w:jc w:val="center"/>
              <w:rPr>
                <w:rFonts w:ascii="宋体" w:hAnsi="宋体" w:cs="宋体"/>
                <w:bCs/>
                <w:szCs w:val="21"/>
              </w:rPr>
            </w:pPr>
            <w:r>
              <w:rPr>
                <w:rFonts w:hint="eastAsia" w:ascii="宋体" w:hAnsi="宋体" w:cs="宋体"/>
                <w:bCs/>
                <w:szCs w:val="21"/>
              </w:rPr>
              <w:t>与班牌统一数据中心</w:t>
            </w:r>
          </w:p>
        </w:tc>
        <w:tc>
          <w:tcPr>
            <w:tcW w:w="7227" w:type="dxa"/>
            <w:vAlign w:val="center"/>
          </w:tcPr>
          <w:p>
            <w:pPr>
              <w:ind w:firstLine="420" w:firstLineChars="200"/>
              <w:rPr>
                <w:rFonts w:ascii="宋体" w:hAnsi="宋体" w:cs="宋体"/>
                <w:bCs/>
                <w:szCs w:val="21"/>
              </w:rPr>
            </w:pPr>
            <w:r>
              <w:rPr>
                <w:rFonts w:hint="eastAsia" w:ascii="宋体" w:hAnsi="宋体" w:cs="宋体"/>
                <w:bCs/>
                <w:szCs w:val="21"/>
              </w:rPr>
              <w:t>1、个人信息门户</w:t>
            </w:r>
          </w:p>
          <w:p>
            <w:pPr>
              <w:ind w:firstLine="420" w:firstLineChars="200"/>
              <w:rPr>
                <w:rFonts w:ascii="宋体" w:hAnsi="宋体" w:cs="宋体"/>
                <w:bCs/>
                <w:szCs w:val="21"/>
              </w:rPr>
            </w:pPr>
            <w:r>
              <w:rPr>
                <w:rFonts w:hint="eastAsia" w:ascii="宋体" w:hAnsi="宋体" w:cs="宋体"/>
                <w:bCs/>
                <w:szCs w:val="21"/>
              </w:rPr>
              <w:t>提供搭建及部署具有扩展性的门户网站所需的基础架构，使全校师生通过统一信息门户平台可以随时、随地、按需访问信息。它通过网站提供一个拥有统一入口的服务，用户根据角色的定义得到相应的服务。</w:t>
            </w:r>
          </w:p>
          <w:p>
            <w:pPr>
              <w:ind w:firstLine="420" w:firstLineChars="200"/>
              <w:rPr>
                <w:rFonts w:ascii="宋体" w:hAnsi="宋体" w:cs="宋体"/>
                <w:bCs/>
                <w:szCs w:val="21"/>
              </w:rPr>
            </w:pPr>
            <w:r>
              <w:rPr>
                <w:rFonts w:hint="eastAsia" w:ascii="宋体" w:hAnsi="宋体" w:cs="宋体"/>
                <w:bCs/>
                <w:szCs w:val="21"/>
              </w:rPr>
              <w:t>2、个人事务系统</w:t>
            </w:r>
          </w:p>
          <w:p>
            <w:pPr>
              <w:ind w:firstLine="420" w:firstLineChars="200"/>
              <w:rPr>
                <w:rFonts w:ascii="宋体" w:hAnsi="宋体" w:cs="宋体"/>
                <w:bCs/>
                <w:szCs w:val="21"/>
              </w:rPr>
            </w:pPr>
            <w:r>
              <w:rPr>
                <w:rFonts w:hint="eastAsia" w:ascii="宋体" w:hAnsi="宋体" w:cs="宋体"/>
                <w:bCs/>
                <w:szCs w:val="21"/>
              </w:rPr>
              <w:t>个人日常办公事务系统包含：我的桌面、通知公告、校内新闻、我的文件柜、短信平台、日程管理、通讯录、消息管理、调查投票、单点登录、控制面板等子功能模块。</w:t>
            </w:r>
          </w:p>
          <w:p>
            <w:pPr>
              <w:ind w:firstLine="420" w:firstLineChars="200"/>
              <w:rPr>
                <w:rFonts w:ascii="宋体" w:hAnsi="宋体" w:cs="宋体"/>
                <w:bCs/>
                <w:szCs w:val="21"/>
              </w:rPr>
            </w:pPr>
            <w:r>
              <w:rPr>
                <w:rFonts w:hint="eastAsia" w:ascii="宋体" w:hAnsi="宋体" w:cs="宋体"/>
                <w:bCs/>
                <w:szCs w:val="21"/>
              </w:rPr>
              <w:t>3、学籍管理系统</w:t>
            </w:r>
          </w:p>
          <w:p>
            <w:pPr>
              <w:ind w:firstLine="420" w:firstLineChars="200"/>
              <w:rPr>
                <w:rFonts w:ascii="宋体" w:hAnsi="宋体" w:cs="宋体"/>
                <w:bCs/>
                <w:szCs w:val="21"/>
              </w:rPr>
            </w:pPr>
            <w:r>
              <w:rPr>
                <w:rFonts w:hint="eastAsia" w:ascii="宋体" w:hAnsi="宋体" w:cs="宋体"/>
                <w:bCs/>
                <w:szCs w:val="21"/>
              </w:rPr>
              <w:t>在籍学生管理：查询学期在籍学生资料，支持单个学生学籍信息的录入、编辑及删除，支持依据给定模板批量导入学生资料及批量编辑学生资料，支持学生学籍资料的批量导出，支持学生升留级操作，支持同步创建及更新登录账号。</w:t>
            </w:r>
          </w:p>
          <w:p>
            <w:pPr>
              <w:ind w:firstLine="420" w:firstLineChars="200"/>
              <w:rPr>
                <w:rFonts w:ascii="宋体" w:hAnsi="宋体" w:cs="宋体"/>
                <w:bCs/>
                <w:szCs w:val="21"/>
              </w:rPr>
            </w:pPr>
            <w:r>
              <w:rPr>
                <w:rFonts w:hint="eastAsia" w:ascii="宋体" w:hAnsi="宋体" w:cs="宋体"/>
                <w:bCs/>
                <w:szCs w:val="21"/>
              </w:rPr>
              <w:t>4、教工管理系统</w:t>
            </w:r>
          </w:p>
          <w:p>
            <w:pPr>
              <w:ind w:firstLine="420" w:firstLineChars="200"/>
              <w:rPr>
                <w:rFonts w:ascii="宋体" w:hAnsi="宋体" w:cs="宋体"/>
                <w:bCs/>
                <w:szCs w:val="21"/>
              </w:rPr>
            </w:pPr>
            <w:r>
              <w:rPr>
                <w:rFonts w:hint="eastAsia" w:ascii="宋体" w:hAnsi="宋体" w:cs="宋体"/>
                <w:bCs/>
                <w:szCs w:val="21"/>
              </w:rPr>
              <w:t>查询学校教师资料，支持单个教师信息的录入、编辑及删除，支持依据给定模板批量导入教师资料及批量编辑教师资料，支持教师资料的批量导出，支持同步创建及更新登录账号。</w:t>
            </w:r>
          </w:p>
          <w:p>
            <w:pPr>
              <w:ind w:firstLine="420" w:firstLineChars="200"/>
              <w:rPr>
                <w:rFonts w:ascii="宋体" w:hAnsi="宋体" w:cs="宋体"/>
                <w:bCs/>
                <w:szCs w:val="21"/>
              </w:rPr>
            </w:pPr>
            <w:r>
              <w:rPr>
                <w:rFonts w:hint="eastAsia" w:ascii="宋体" w:hAnsi="宋体" w:cs="宋体"/>
                <w:bCs/>
                <w:szCs w:val="21"/>
              </w:rPr>
              <w:t>5、教务管理系统</w:t>
            </w:r>
          </w:p>
          <w:p>
            <w:pPr>
              <w:ind w:firstLine="420" w:firstLineChars="200"/>
              <w:rPr>
                <w:rFonts w:ascii="宋体" w:hAnsi="宋体" w:cs="宋体"/>
                <w:bCs/>
                <w:szCs w:val="21"/>
              </w:rPr>
            </w:pPr>
            <w:r>
              <w:rPr>
                <w:rFonts w:hint="eastAsia" w:ascii="宋体" w:hAnsi="宋体" w:cs="宋体"/>
                <w:bCs/>
                <w:szCs w:val="21"/>
              </w:rPr>
              <w:t>提供课程信息管理、学校及教师计划管理设置、教学场地管理、指定负责人管理等</w:t>
            </w:r>
          </w:p>
          <w:p>
            <w:pPr>
              <w:ind w:firstLine="420" w:firstLineChars="200"/>
              <w:rPr>
                <w:rFonts w:ascii="宋体" w:hAnsi="宋体" w:cs="宋体"/>
                <w:bCs/>
                <w:szCs w:val="21"/>
              </w:rPr>
            </w:pPr>
            <w:r>
              <w:rPr>
                <w:rFonts w:hint="eastAsia" w:ascii="宋体" w:hAnsi="宋体" w:cs="宋体"/>
                <w:bCs/>
                <w:szCs w:val="21"/>
              </w:rPr>
              <w:t>6、管理权限细化</w:t>
            </w:r>
          </w:p>
          <w:p>
            <w:pPr>
              <w:ind w:firstLine="420" w:firstLineChars="200"/>
              <w:rPr>
                <w:rFonts w:ascii="宋体" w:hAnsi="宋体" w:cs="宋体"/>
                <w:bCs/>
                <w:szCs w:val="21"/>
              </w:rPr>
            </w:pPr>
            <w:r>
              <w:rPr>
                <w:rFonts w:hint="eastAsia" w:ascii="宋体" w:hAnsi="宋体" w:cs="宋体"/>
                <w:bCs/>
                <w:szCs w:val="21"/>
              </w:rPr>
              <w:t>依据部门细化权限，即处于同一部门的教师权限等同，并根据需要教师可关联多个部门及可授予多个角色，其操作功能将进行叠加；</w:t>
            </w:r>
          </w:p>
          <w:p>
            <w:pPr>
              <w:ind w:firstLine="420" w:firstLineChars="200"/>
              <w:rPr>
                <w:rFonts w:ascii="宋体" w:hAnsi="宋体" w:cs="宋体"/>
                <w:bCs/>
                <w:szCs w:val="21"/>
              </w:rPr>
            </w:pPr>
            <w:r>
              <w:rPr>
                <w:rFonts w:hint="eastAsia" w:ascii="宋体" w:hAnsi="宋体" w:cs="宋体"/>
                <w:bCs/>
                <w:szCs w:val="21"/>
              </w:rPr>
              <w:t>用户日志：对信息管理系统各用户操作日志进行查询，管理，方便管理员对信息管理系统进行系统管理。</w:t>
            </w:r>
          </w:p>
          <w:p>
            <w:pPr>
              <w:ind w:firstLine="420" w:firstLineChars="200"/>
              <w:rPr>
                <w:rFonts w:ascii="宋体" w:hAnsi="宋体" w:cs="宋体"/>
                <w:bCs/>
                <w:szCs w:val="21"/>
              </w:rPr>
            </w:pPr>
            <w:r>
              <w:rPr>
                <w:rFonts w:hint="eastAsia" w:ascii="宋体" w:hAnsi="宋体" w:cs="宋体"/>
                <w:bCs/>
                <w:szCs w:val="21"/>
              </w:rPr>
              <w:t>7、系统基础框架</w:t>
            </w:r>
          </w:p>
          <w:p>
            <w:pPr>
              <w:ind w:firstLine="420" w:firstLineChars="200"/>
              <w:rPr>
                <w:rFonts w:ascii="宋体" w:hAnsi="宋体" w:cs="宋体"/>
                <w:bCs/>
                <w:szCs w:val="21"/>
              </w:rPr>
            </w:pPr>
            <w:r>
              <w:rPr>
                <w:rFonts w:hint="eastAsia" w:ascii="宋体" w:hAnsi="宋体" w:cs="宋体"/>
                <w:bCs/>
                <w:szCs w:val="21"/>
              </w:rPr>
              <w:t>主要包含系统登录及操作管理界面，用户管理、角色管理系统、部门及系统基础设置；</w:t>
            </w:r>
          </w:p>
          <w:p>
            <w:pPr>
              <w:ind w:firstLine="420" w:firstLineChars="200"/>
              <w:rPr>
                <w:rFonts w:ascii="宋体" w:hAnsi="宋体" w:cs="宋体"/>
                <w:bCs/>
                <w:szCs w:val="21"/>
              </w:rPr>
            </w:pPr>
            <w:r>
              <w:rPr>
                <w:rFonts w:hint="eastAsia" w:ascii="宋体" w:hAnsi="宋体" w:cs="宋体"/>
                <w:bCs/>
                <w:szCs w:val="21"/>
              </w:rPr>
              <w:t>用户管理：对信息管理系统的用户进行管理，对用户进行分组管理，根据用户功能的不同进行分组授权。用户对象应分为：教师、管理员、指定负责人、年级组长、学生等。</w:t>
            </w:r>
          </w:p>
          <w:p>
            <w:pPr>
              <w:ind w:firstLine="420" w:firstLineChars="200"/>
              <w:rPr>
                <w:rFonts w:ascii="宋体" w:hAnsi="宋体" w:cs="宋体"/>
                <w:bCs/>
                <w:szCs w:val="21"/>
              </w:rPr>
            </w:pPr>
            <w:r>
              <w:rPr>
                <w:rFonts w:hint="eastAsia" w:ascii="宋体" w:hAnsi="宋体" w:cs="宋体"/>
                <w:bCs/>
                <w:szCs w:val="21"/>
              </w:rPr>
              <w:t>角色管理：对信息管理系统中用户角色进行管理，便于信息管理系统中用户权限的分配。</w:t>
            </w:r>
          </w:p>
          <w:p>
            <w:pPr>
              <w:ind w:firstLine="420" w:firstLineChars="200"/>
              <w:rPr>
                <w:rFonts w:ascii="宋体" w:hAnsi="宋体" w:cs="宋体"/>
                <w:bCs/>
                <w:szCs w:val="21"/>
              </w:rPr>
            </w:pPr>
            <w:r>
              <w:rPr>
                <w:rFonts w:hint="eastAsia" w:ascii="宋体" w:hAnsi="宋体" w:cs="宋体"/>
                <w:bCs/>
                <w:szCs w:val="21"/>
              </w:rPr>
              <w:t>部门设置：对信息管理系统中组织结构的管理，包括部门管理，部门人员管理。</w:t>
            </w:r>
          </w:p>
          <w:p>
            <w:pPr>
              <w:ind w:firstLine="420" w:firstLineChars="200"/>
              <w:rPr>
                <w:rFonts w:ascii="宋体" w:hAnsi="宋体" w:cs="宋体"/>
                <w:bCs/>
                <w:szCs w:val="21"/>
              </w:rPr>
            </w:pPr>
            <w:r>
              <w:rPr>
                <w:rFonts w:hint="eastAsia" w:ascii="宋体" w:hAnsi="宋体" w:cs="宋体"/>
                <w:bCs/>
                <w:szCs w:val="21"/>
              </w:rPr>
              <w:t>系统设置：对信息管理系统的一些基本设置或系统开关进行设置，方便系统灵活应用，包含：课程设置、考试类型、时间段、年级学校、职称设置等。</w:t>
            </w:r>
          </w:p>
          <w:p>
            <w:pPr>
              <w:ind w:firstLine="420" w:firstLineChars="200"/>
              <w:rPr>
                <w:rFonts w:ascii="宋体" w:hAnsi="宋体" w:cs="宋体"/>
                <w:bCs/>
                <w:szCs w:val="21"/>
              </w:rPr>
            </w:pPr>
            <w:r>
              <w:rPr>
                <w:rFonts w:hint="eastAsia" w:ascii="宋体" w:hAnsi="宋体" w:cs="宋体"/>
                <w:bCs/>
                <w:szCs w:val="21"/>
              </w:rPr>
              <w:t>8、学生数据库</w:t>
            </w:r>
          </w:p>
          <w:p>
            <w:pPr>
              <w:ind w:firstLine="420" w:firstLineChars="200"/>
              <w:rPr>
                <w:rFonts w:ascii="宋体" w:hAnsi="宋体" w:cs="宋体"/>
                <w:bCs/>
                <w:szCs w:val="21"/>
              </w:rPr>
            </w:pPr>
            <w:r>
              <w:rPr>
                <w:rFonts w:hint="eastAsia" w:ascii="宋体" w:hAnsi="宋体" w:cs="宋体"/>
                <w:bCs/>
                <w:szCs w:val="21"/>
              </w:rPr>
              <w:t>基本信息：学生查看自己的姓名、性别、学号、出生日期、籍贯、学校、入学日期、家庭住址、电话、父母亲信息、证件照片等。</w:t>
            </w:r>
          </w:p>
          <w:p>
            <w:pPr>
              <w:ind w:firstLine="420" w:firstLineChars="200"/>
              <w:rPr>
                <w:rFonts w:ascii="宋体" w:hAnsi="宋体" w:cs="宋体"/>
                <w:bCs/>
                <w:szCs w:val="21"/>
              </w:rPr>
            </w:pPr>
            <w:r>
              <w:rPr>
                <w:rFonts w:hint="eastAsia" w:ascii="宋体" w:hAnsi="宋体" w:cs="宋体"/>
                <w:bCs/>
                <w:szCs w:val="21"/>
              </w:rPr>
              <w:t>成绩档案：包含期中期末考试成绩，学考成绩，走班考试成绩，</w:t>
            </w:r>
          </w:p>
          <w:p>
            <w:pPr>
              <w:ind w:firstLine="420" w:firstLineChars="200"/>
              <w:rPr>
                <w:rFonts w:ascii="宋体" w:hAnsi="宋体" w:cs="宋体"/>
                <w:bCs/>
                <w:szCs w:val="21"/>
              </w:rPr>
            </w:pPr>
            <w:r>
              <w:rPr>
                <w:rFonts w:hint="eastAsia" w:ascii="宋体" w:hAnsi="宋体" w:cs="宋体"/>
                <w:bCs/>
                <w:szCs w:val="21"/>
              </w:rPr>
              <w:t>成长记录：学生查看自己的成长信息，包括指定负责人评语、学期目标、</w:t>
            </w:r>
          </w:p>
          <w:p>
            <w:pPr>
              <w:ind w:firstLine="420" w:firstLineChars="200"/>
              <w:rPr>
                <w:rFonts w:ascii="宋体" w:hAnsi="宋体" w:cs="宋体"/>
                <w:bCs/>
                <w:szCs w:val="21"/>
              </w:rPr>
            </w:pPr>
            <w:r>
              <w:rPr>
                <w:rFonts w:hint="eastAsia" w:ascii="宋体" w:hAnsi="宋体" w:cs="宋体"/>
                <w:bCs/>
                <w:szCs w:val="21"/>
              </w:rPr>
              <w:t>自我认识、精彩记录、奖励、任职、违纪、社会实践等。</w:t>
            </w:r>
          </w:p>
          <w:p>
            <w:pPr>
              <w:ind w:firstLine="420" w:firstLineChars="200"/>
              <w:rPr>
                <w:rFonts w:ascii="宋体" w:hAnsi="宋体" w:cs="宋体"/>
                <w:bCs/>
                <w:szCs w:val="21"/>
              </w:rPr>
            </w:pPr>
            <w:r>
              <w:rPr>
                <w:rFonts w:hint="eastAsia" w:ascii="宋体" w:hAnsi="宋体" w:cs="宋体"/>
                <w:bCs/>
                <w:szCs w:val="21"/>
              </w:rPr>
              <w:t>通讯录：学生通讯录包含学生家长，指定负责人，以及辅导导员、教务</w:t>
            </w:r>
          </w:p>
          <w:p>
            <w:pPr>
              <w:ind w:firstLine="420" w:firstLineChars="200"/>
              <w:rPr>
                <w:rFonts w:ascii="宋体" w:hAnsi="宋体" w:cs="宋体"/>
                <w:bCs/>
                <w:szCs w:val="21"/>
              </w:rPr>
            </w:pPr>
            <w:r>
              <w:rPr>
                <w:rFonts w:hint="eastAsia" w:ascii="宋体" w:hAnsi="宋体" w:cs="宋体"/>
                <w:bCs/>
                <w:szCs w:val="21"/>
              </w:rPr>
              <w:t>主任的联系方式。</w:t>
            </w:r>
          </w:p>
          <w:p>
            <w:pPr>
              <w:ind w:firstLine="420" w:firstLineChars="200"/>
              <w:rPr>
                <w:rFonts w:ascii="宋体" w:hAnsi="宋体" w:cs="宋体"/>
                <w:bCs/>
                <w:szCs w:val="21"/>
              </w:rPr>
            </w:pPr>
            <w:r>
              <w:rPr>
                <w:rFonts w:hint="eastAsia" w:ascii="宋体" w:hAnsi="宋体" w:cs="宋体"/>
                <w:bCs/>
                <w:szCs w:val="21"/>
              </w:rPr>
              <w:t>9、教师数据库</w:t>
            </w:r>
          </w:p>
          <w:p>
            <w:pPr>
              <w:ind w:firstLine="420" w:firstLineChars="200"/>
              <w:rPr>
                <w:rFonts w:ascii="宋体" w:hAnsi="宋体" w:cs="宋体"/>
                <w:bCs/>
                <w:szCs w:val="21"/>
              </w:rPr>
            </w:pPr>
            <w:r>
              <w:rPr>
                <w:rFonts w:hint="eastAsia" w:ascii="宋体" w:hAnsi="宋体" w:cs="宋体"/>
                <w:bCs/>
                <w:szCs w:val="21"/>
              </w:rPr>
              <w:t>基本信息：教师查看自己的姓名、性别、出生日期、籍贯、部门、电话、学历、职称、教龄、政治面貌、证件照片等基本信息。</w:t>
            </w:r>
          </w:p>
          <w:p>
            <w:pPr>
              <w:ind w:firstLine="420" w:firstLineChars="200"/>
              <w:rPr>
                <w:rFonts w:ascii="宋体" w:hAnsi="宋体" w:cs="宋体"/>
                <w:bCs/>
                <w:szCs w:val="21"/>
              </w:rPr>
            </w:pPr>
            <w:r>
              <w:rPr>
                <w:rFonts w:hint="eastAsia" w:ascii="宋体" w:hAnsi="宋体" w:cs="宋体"/>
                <w:bCs/>
                <w:szCs w:val="21"/>
              </w:rPr>
              <w:t>健康信息。查看健康信息。</w:t>
            </w:r>
          </w:p>
          <w:p>
            <w:pPr>
              <w:ind w:firstLine="420" w:firstLineChars="200"/>
              <w:rPr>
                <w:rFonts w:ascii="宋体" w:hAnsi="宋体" w:cs="宋体"/>
                <w:bCs/>
                <w:szCs w:val="21"/>
              </w:rPr>
            </w:pPr>
            <w:r>
              <w:rPr>
                <w:rFonts w:hint="eastAsia" w:ascii="宋体" w:hAnsi="宋体" w:cs="宋体"/>
                <w:bCs/>
                <w:szCs w:val="21"/>
              </w:rPr>
              <w:t>成长信息：老师查看自己的成长信息，包括培训、兼职、获奖、荣誉、组织活动、我的专著等。</w:t>
            </w:r>
          </w:p>
          <w:p>
            <w:pPr>
              <w:ind w:firstLine="420" w:firstLineChars="200"/>
              <w:rPr>
                <w:rFonts w:ascii="宋体" w:hAnsi="宋体" w:cs="宋体"/>
                <w:bCs/>
                <w:szCs w:val="21"/>
              </w:rPr>
            </w:pPr>
            <w:r>
              <w:rPr>
                <w:rFonts w:hint="eastAsia" w:ascii="宋体" w:hAnsi="宋体" w:cs="宋体"/>
                <w:bCs/>
                <w:szCs w:val="21"/>
              </w:rPr>
              <w:t>研训管理：包括科研管理和进修管理，可以查看申报的科研活动进度，认证结果，进修所获得的学历证书等详细内容。</w:t>
            </w:r>
          </w:p>
          <w:p>
            <w:pPr>
              <w:ind w:firstLine="420" w:firstLineChars="200"/>
              <w:rPr>
                <w:rFonts w:ascii="宋体" w:hAnsi="宋体" w:cs="宋体"/>
                <w:bCs/>
                <w:szCs w:val="21"/>
              </w:rPr>
            </w:pPr>
            <w:r>
              <w:rPr>
                <w:rFonts w:hint="eastAsia" w:ascii="宋体" w:hAnsi="宋体" w:cs="宋体"/>
                <w:bCs/>
                <w:szCs w:val="21"/>
              </w:rPr>
              <w:t>学校工作：可以对学校学生管理、班委管理、学校小组管理、学生课表管理等进行维护操作。</w:t>
            </w:r>
          </w:p>
          <w:p>
            <w:pPr>
              <w:ind w:firstLine="420" w:firstLineChars="200"/>
              <w:rPr>
                <w:rFonts w:ascii="宋体" w:hAnsi="宋体" w:cs="宋体"/>
                <w:bCs/>
                <w:szCs w:val="21"/>
              </w:rPr>
            </w:pPr>
            <w:r>
              <w:rPr>
                <w:rFonts w:hint="eastAsia" w:ascii="宋体" w:hAnsi="宋体" w:cs="宋体"/>
                <w:bCs/>
                <w:szCs w:val="21"/>
              </w:rPr>
              <w:t>通讯录：教师通讯录包含教师自己的手机号码信息，学校学生家长的联系方式，以及各个部门同事，领导的联系方式。</w:t>
            </w:r>
          </w:p>
          <w:p>
            <w:pPr>
              <w:ind w:firstLine="420" w:firstLineChars="200"/>
              <w:rPr>
                <w:rFonts w:ascii="宋体" w:hAnsi="宋体" w:cs="宋体"/>
                <w:bCs/>
                <w:szCs w:val="21"/>
              </w:rPr>
            </w:pPr>
          </w:p>
        </w:tc>
        <w:tc>
          <w:tcPr>
            <w:tcW w:w="915" w:type="dxa"/>
            <w:vMerge w:val="continue"/>
            <w:vAlign w:val="center"/>
          </w:tcPr>
          <w:p>
            <w:pPr>
              <w:ind w:firstLine="420" w:firstLineChars="200"/>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14" w:hRule="atLeast"/>
        </w:trPr>
        <w:tc>
          <w:tcPr>
            <w:tcW w:w="446" w:type="dxa"/>
            <w:vAlign w:val="center"/>
          </w:tcPr>
          <w:p>
            <w:pPr>
              <w:jc w:val="center"/>
              <w:rPr>
                <w:rFonts w:ascii="宋体" w:hAnsi="宋体" w:cs="宋体"/>
                <w:bCs/>
                <w:szCs w:val="21"/>
              </w:rPr>
            </w:pPr>
            <w:r>
              <w:rPr>
                <w:rFonts w:hint="eastAsia" w:ascii="宋体" w:hAnsi="宋体" w:cs="宋体"/>
                <w:bCs/>
                <w:szCs w:val="21"/>
              </w:rPr>
              <w:t>26</w:t>
            </w:r>
          </w:p>
        </w:tc>
        <w:tc>
          <w:tcPr>
            <w:tcW w:w="841" w:type="dxa"/>
            <w:vAlign w:val="center"/>
          </w:tcPr>
          <w:p>
            <w:pPr>
              <w:jc w:val="center"/>
              <w:rPr>
                <w:rFonts w:ascii="宋体" w:hAnsi="宋体" w:cs="宋体"/>
                <w:bCs/>
                <w:szCs w:val="21"/>
              </w:rPr>
            </w:pPr>
            <w:r>
              <w:rPr>
                <w:rFonts w:hint="eastAsia" w:ascii="宋体" w:hAnsi="宋体" w:cs="宋体"/>
                <w:bCs/>
                <w:szCs w:val="21"/>
              </w:rPr>
              <w:t>考勤管理系统</w:t>
            </w:r>
          </w:p>
        </w:tc>
        <w:tc>
          <w:tcPr>
            <w:tcW w:w="7227" w:type="dxa"/>
            <w:vAlign w:val="center"/>
          </w:tcPr>
          <w:p>
            <w:pPr>
              <w:ind w:firstLine="420" w:firstLineChars="200"/>
              <w:jc w:val="left"/>
              <w:rPr>
                <w:rFonts w:ascii="宋体" w:hAnsi="宋体" w:cs="宋体"/>
                <w:szCs w:val="21"/>
              </w:rPr>
            </w:pPr>
            <w:r>
              <w:rPr>
                <w:rFonts w:hint="eastAsia" w:ascii="宋体" w:hAnsi="宋体" w:cs="宋体"/>
                <w:szCs w:val="21"/>
              </w:rPr>
              <w:t>考勤设备管理：通过电子班牌等设备设置教学场地绑定的考勤设置识别码及访问IP，为后续考勤数据采集做归类管理；</w:t>
            </w:r>
          </w:p>
          <w:p>
            <w:pPr>
              <w:ind w:firstLine="420" w:firstLineChars="200"/>
              <w:rPr>
                <w:rFonts w:ascii="宋体" w:hAnsi="宋体" w:cs="宋体"/>
                <w:szCs w:val="21"/>
              </w:rPr>
            </w:pPr>
            <w:r>
              <w:rPr>
                <w:rFonts w:hint="eastAsia" w:ascii="宋体" w:hAnsi="宋体" w:cs="宋体"/>
                <w:szCs w:val="21"/>
              </w:rPr>
              <w:t>考勤卡管理：维护和管理学生、教师的考勤卡号资料，做到一人一卡，对丢失等情况补卡后应及时更新数据；</w:t>
            </w:r>
          </w:p>
          <w:p>
            <w:pPr>
              <w:pStyle w:val="2"/>
              <w:rPr>
                <w:rFonts w:ascii="宋体" w:hAnsi="宋体" w:cs="宋体"/>
                <w:szCs w:val="21"/>
              </w:rPr>
            </w:pPr>
            <w:r>
              <w:rPr>
                <w:rFonts w:hint="eastAsia" w:ascii="宋体" w:hAnsi="宋体" w:cs="宋体"/>
                <w:bCs/>
                <w:color w:val="FF0000"/>
                <w:szCs w:val="21"/>
              </w:rPr>
              <w:t>★</w:t>
            </w:r>
            <w:r>
              <w:rPr>
                <w:rFonts w:hint="eastAsia" w:ascii="宋体" w:hAnsi="宋体" w:cs="宋体"/>
                <w:szCs w:val="21"/>
              </w:rPr>
              <w:t>学生通过校园卡到电子班牌上刷卡，可实现上课打卡考勤。</w:t>
            </w:r>
          </w:p>
        </w:tc>
        <w:tc>
          <w:tcPr>
            <w:tcW w:w="915" w:type="dxa"/>
            <w:vMerge w:val="continue"/>
            <w:vAlign w:val="center"/>
          </w:tcPr>
          <w:p>
            <w:pPr>
              <w:ind w:firstLine="420" w:firstLineChars="200"/>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5" w:hRule="atLeast"/>
        </w:trPr>
        <w:tc>
          <w:tcPr>
            <w:tcW w:w="446" w:type="dxa"/>
            <w:vAlign w:val="center"/>
          </w:tcPr>
          <w:p>
            <w:pPr>
              <w:jc w:val="center"/>
              <w:rPr>
                <w:rFonts w:ascii="宋体" w:hAnsi="宋体" w:cs="宋体"/>
                <w:bCs/>
                <w:szCs w:val="21"/>
              </w:rPr>
            </w:pPr>
            <w:r>
              <w:rPr>
                <w:rFonts w:hint="eastAsia" w:ascii="宋体" w:hAnsi="宋体" w:cs="宋体"/>
                <w:bCs/>
                <w:szCs w:val="21"/>
              </w:rPr>
              <w:t>27</w:t>
            </w:r>
          </w:p>
        </w:tc>
        <w:tc>
          <w:tcPr>
            <w:tcW w:w="841" w:type="dxa"/>
            <w:vAlign w:val="center"/>
          </w:tcPr>
          <w:p>
            <w:pPr>
              <w:jc w:val="center"/>
              <w:rPr>
                <w:rFonts w:ascii="宋体" w:hAnsi="宋体" w:cs="宋体"/>
                <w:bCs/>
                <w:szCs w:val="21"/>
              </w:rPr>
            </w:pPr>
            <w:r>
              <w:rPr>
                <w:rFonts w:hint="eastAsia" w:ascii="宋体" w:hAnsi="宋体" w:cs="宋体"/>
                <w:bCs/>
                <w:szCs w:val="21"/>
              </w:rPr>
              <w:t>拓展定制</w:t>
            </w:r>
          </w:p>
        </w:tc>
        <w:tc>
          <w:tcPr>
            <w:tcW w:w="7227" w:type="dxa"/>
            <w:vAlign w:val="center"/>
          </w:tcPr>
          <w:p>
            <w:pPr>
              <w:ind w:firstLine="420" w:firstLineChars="200"/>
              <w:rPr>
                <w:rFonts w:ascii="宋体" w:hAnsi="宋体" w:cs="宋体"/>
                <w:bCs/>
                <w:szCs w:val="21"/>
              </w:rPr>
            </w:pPr>
            <w:r>
              <w:rPr>
                <w:rFonts w:hint="eastAsia" w:ascii="宋体" w:hAnsi="宋体" w:cs="宋体"/>
                <w:bCs/>
                <w:szCs w:val="21"/>
              </w:rPr>
              <w:t>整合校务平台及智慧校园信息，方便教师、学生及家长及时查询和了解学校信息</w:t>
            </w:r>
          </w:p>
          <w:p>
            <w:pPr>
              <w:ind w:firstLine="420" w:firstLineChars="200"/>
              <w:rPr>
                <w:rFonts w:ascii="宋体" w:hAnsi="宋体" w:cs="宋体"/>
                <w:bCs/>
                <w:szCs w:val="21"/>
              </w:rPr>
            </w:pPr>
            <w:r>
              <w:rPr>
                <w:rFonts w:hint="eastAsia" w:ascii="宋体" w:hAnsi="宋体" w:cs="宋体"/>
                <w:bCs/>
                <w:szCs w:val="21"/>
              </w:rPr>
              <w:t>将校园信息通过电子班牌、大屏幕等及时传递给学生，</w:t>
            </w:r>
          </w:p>
          <w:p>
            <w:pPr>
              <w:ind w:firstLine="420" w:firstLineChars="200"/>
              <w:rPr>
                <w:rFonts w:ascii="宋体" w:hAnsi="宋体" w:cs="宋体"/>
                <w:bCs/>
                <w:szCs w:val="21"/>
              </w:rPr>
            </w:pPr>
            <w:r>
              <w:rPr>
                <w:rFonts w:hint="eastAsia" w:ascii="宋体" w:hAnsi="宋体" w:cs="宋体"/>
                <w:bCs/>
                <w:szCs w:val="21"/>
              </w:rPr>
              <w:t>学生点餐：消费点餐、修改查询(与智慧校园衔接)</w:t>
            </w:r>
          </w:p>
          <w:p>
            <w:pPr>
              <w:ind w:firstLine="420" w:firstLineChars="200"/>
              <w:rPr>
                <w:rFonts w:ascii="宋体" w:hAnsi="宋体" w:cs="宋体"/>
                <w:bCs/>
                <w:szCs w:val="21"/>
              </w:rPr>
            </w:pPr>
            <w:r>
              <w:rPr>
                <w:rFonts w:hint="eastAsia" w:ascii="宋体" w:hAnsi="宋体" w:cs="宋体"/>
                <w:bCs/>
                <w:szCs w:val="21"/>
              </w:rPr>
              <w:t>班级及班级信息：显示班级信息、形象风采、功课信息</w:t>
            </w:r>
          </w:p>
          <w:p>
            <w:pPr>
              <w:ind w:firstLine="420" w:firstLineChars="200"/>
              <w:rPr>
                <w:rFonts w:ascii="宋体" w:hAnsi="宋体" w:cs="宋体"/>
                <w:bCs/>
                <w:szCs w:val="21"/>
              </w:rPr>
            </w:pPr>
            <w:r>
              <w:rPr>
                <w:rFonts w:hint="eastAsia" w:ascii="宋体" w:hAnsi="宋体" w:cs="宋体"/>
                <w:bCs/>
                <w:szCs w:val="21"/>
              </w:rPr>
              <w:t>通知信息：学校通知、年段通知、家人留言（信息员负责）</w:t>
            </w:r>
          </w:p>
          <w:p>
            <w:pPr>
              <w:ind w:firstLine="420" w:firstLineChars="200"/>
              <w:rPr>
                <w:rFonts w:ascii="宋体" w:hAnsi="宋体" w:cs="宋体"/>
                <w:bCs/>
                <w:szCs w:val="21"/>
              </w:rPr>
            </w:pPr>
            <w:r>
              <w:rPr>
                <w:rFonts w:hint="eastAsia" w:ascii="宋体" w:hAnsi="宋体" w:cs="宋体"/>
                <w:bCs/>
                <w:szCs w:val="21"/>
              </w:rPr>
              <w:t>信息查询：学生个人信息查询、家人留言</w:t>
            </w:r>
          </w:p>
          <w:p>
            <w:pPr>
              <w:ind w:firstLine="420" w:firstLineChars="200"/>
              <w:rPr>
                <w:rFonts w:ascii="宋体" w:hAnsi="宋体" w:cs="宋体"/>
                <w:bCs/>
                <w:szCs w:val="21"/>
              </w:rPr>
            </w:pPr>
            <w:r>
              <w:rPr>
                <w:rFonts w:hint="eastAsia" w:ascii="宋体" w:hAnsi="宋体" w:cs="宋体"/>
                <w:bCs/>
                <w:szCs w:val="21"/>
              </w:rPr>
              <w:t>学校信息及校园电视台节目展播</w:t>
            </w:r>
          </w:p>
          <w:p>
            <w:pPr>
              <w:pStyle w:val="2"/>
              <w:ind w:firstLine="420" w:firstLineChars="200"/>
              <w:rPr>
                <w:rFonts w:ascii="宋体" w:hAnsi="宋体" w:cs="宋体"/>
                <w:bCs/>
                <w:szCs w:val="21"/>
              </w:rPr>
            </w:pPr>
            <w:r>
              <w:rPr>
                <w:rFonts w:hint="eastAsia" w:ascii="宋体" w:hAnsi="宋体" w:cs="宋体"/>
                <w:bCs/>
                <w:szCs w:val="21"/>
              </w:rPr>
              <w:t>学校门口及行政楼大厅设置展示机</w:t>
            </w:r>
          </w:p>
        </w:tc>
        <w:tc>
          <w:tcPr>
            <w:tcW w:w="915" w:type="dxa"/>
            <w:vMerge w:val="continue"/>
            <w:vAlign w:val="center"/>
          </w:tcPr>
          <w:p>
            <w:pPr>
              <w:ind w:firstLine="420" w:firstLineChars="200"/>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446" w:type="dxa"/>
            <w:vAlign w:val="center"/>
          </w:tcPr>
          <w:p>
            <w:pPr>
              <w:jc w:val="center"/>
              <w:rPr>
                <w:rFonts w:ascii="宋体" w:hAnsi="宋体" w:cs="宋体"/>
                <w:bCs/>
                <w:szCs w:val="21"/>
              </w:rPr>
            </w:pPr>
            <w:r>
              <w:rPr>
                <w:rFonts w:hint="eastAsia" w:ascii="宋体" w:hAnsi="宋体" w:cs="宋体"/>
                <w:bCs/>
                <w:szCs w:val="21"/>
              </w:rPr>
              <w:t>28</w:t>
            </w:r>
          </w:p>
        </w:tc>
        <w:tc>
          <w:tcPr>
            <w:tcW w:w="841" w:type="dxa"/>
            <w:vAlign w:val="center"/>
          </w:tcPr>
          <w:p>
            <w:pPr>
              <w:jc w:val="center"/>
              <w:rPr>
                <w:rFonts w:ascii="宋体" w:hAnsi="宋体" w:cs="宋体"/>
                <w:szCs w:val="21"/>
              </w:rPr>
            </w:pPr>
            <w:r>
              <w:rPr>
                <w:rFonts w:hint="eastAsia" w:ascii="宋体" w:hAnsi="宋体" w:cs="宋体"/>
                <w:szCs w:val="21"/>
              </w:rPr>
              <w:t>学生请假系统</w:t>
            </w:r>
          </w:p>
          <w:p>
            <w:pPr>
              <w:pStyle w:val="2"/>
              <w:rPr>
                <w:rFonts w:ascii="宋体" w:hAnsi="宋体" w:cs="宋体"/>
                <w:szCs w:val="21"/>
              </w:rPr>
            </w:pPr>
            <w:r>
              <w:rPr>
                <w:rFonts w:hint="eastAsia" w:ascii="宋体" w:hAnsi="宋体" w:cs="宋体"/>
                <w:szCs w:val="21"/>
              </w:rPr>
              <w:t>班牌预约</w:t>
            </w:r>
          </w:p>
        </w:tc>
        <w:tc>
          <w:tcPr>
            <w:tcW w:w="7227" w:type="dxa"/>
            <w:vAlign w:val="center"/>
          </w:tcPr>
          <w:p>
            <w:pPr>
              <w:ind w:firstLine="420" w:firstLineChars="200"/>
              <w:rPr>
                <w:rFonts w:ascii="宋体" w:hAnsi="宋体" w:cs="宋体"/>
                <w:bCs/>
                <w:szCs w:val="21"/>
              </w:rPr>
            </w:pPr>
            <w:r>
              <w:rPr>
                <w:rFonts w:hint="eastAsia" w:ascii="宋体" w:hAnsi="宋体" w:cs="宋体"/>
                <w:bCs/>
                <w:szCs w:val="21"/>
              </w:rPr>
              <w:t>学生通过电子班牌或学生家长通过手机端APP（支持安卓苹果）进行请假。权限牵涉到7个用户层级学生、家长、班主任、政教、教务、门卫、普通教师查询及后台管理。</w:t>
            </w:r>
          </w:p>
          <w:p>
            <w:pPr>
              <w:pStyle w:val="2"/>
              <w:ind w:firstLine="420" w:firstLineChars="200"/>
              <w:rPr>
                <w:rFonts w:ascii="宋体" w:hAnsi="宋体" w:cs="宋体"/>
                <w:bCs/>
                <w:szCs w:val="21"/>
              </w:rPr>
            </w:pPr>
            <w:r>
              <w:rPr>
                <w:rFonts w:hint="eastAsia" w:ascii="宋体" w:hAnsi="宋体" w:cs="宋体"/>
                <w:bCs/>
                <w:szCs w:val="21"/>
              </w:rPr>
              <w:t>请假之后根据类型推送给班主任或政教处进行审核，期间有短信提醒。审核通过推送至门卫。门卫可以通过门卫处电子班牌或APP进行检查及学生出入管理。管理后台有请假的查询统计。</w:t>
            </w:r>
          </w:p>
          <w:p>
            <w:pPr>
              <w:pStyle w:val="2"/>
              <w:ind w:firstLine="420" w:firstLineChars="200"/>
              <w:rPr>
                <w:rFonts w:ascii="宋体" w:hAnsi="宋体" w:cs="宋体"/>
                <w:bCs/>
                <w:szCs w:val="21"/>
              </w:rPr>
            </w:pPr>
            <w:r>
              <w:rPr>
                <w:rFonts w:hint="eastAsia" w:ascii="宋体" w:hAnsi="宋体" w:cs="宋体"/>
                <w:bCs/>
                <w:color w:val="FF0000"/>
                <w:szCs w:val="21"/>
              </w:rPr>
              <w:t>★提供现场演示</w:t>
            </w:r>
          </w:p>
        </w:tc>
        <w:tc>
          <w:tcPr>
            <w:tcW w:w="915" w:type="dxa"/>
            <w:vMerge w:val="continue"/>
            <w:vAlign w:val="center"/>
          </w:tcPr>
          <w:p>
            <w:pPr>
              <w:ind w:firstLine="420" w:firstLineChars="200"/>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20" w:hRule="atLeast"/>
        </w:trPr>
        <w:tc>
          <w:tcPr>
            <w:tcW w:w="446" w:type="dxa"/>
            <w:vAlign w:val="center"/>
          </w:tcPr>
          <w:p>
            <w:pPr>
              <w:jc w:val="center"/>
              <w:rPr>
                <w:rFonts w:ascii="宋体" w:hAnsi="宋体" w:cs="宋体"/>
                <w:bCs/>
                <w:szCs w:val="21"/>
              </w:rPr>
            </w:pPr>
            <w:r>
              <w:rPr>
                <w:rFonts w:hint="eastAsia" w:ascii="宋体" w:hAnsi="宋体" w:cs="宋体"/>
                <w:bCs/>
                <w:szCs w:val="21"/>
              </w:rPr>
              <w:t>29</w:t>
            </w:r>
          </w:p>
        </w:tc>
        <w:tc>
          <w:tcPr>
            <w:tcW w:w="841" w:type="dxa"/>
            <w:vAlign w:val="center"/>
          </w:tcPr>
          <w:p>
            <w:pPr>
              <w:jc w:val="center"/>
              <w:rPr>
                <w:rFonts w:ascii="宋体" w:hAnsi="宋体" w:cs="宋体"/>
                <w:szCs w:val="21"/>
              </w:rPr>
            </w:pPr>
            <w:r>
              <w:rPr>
                <w:rFonts w:hint="eastAsia" w:ascii="宋体" w:hAnsi="宋体" w:cs="宋体"/>
                <w:szCs w:val="21"/>
              </w:rPr>
              <w:t>功能室班牌预约管理</w:t>
            </w:r>
          </w:p>
        </w:tc>
        <w:tc>
          <w:tcPr>
            <w:tcW w:w="7227" w:type="dxa"/>
            <w:vAlign w:val="center"/>
          </w:tcPr>
          <w:p>
            <w:pPr>
              <w:pStyle w:val="2"/>
              <w:ind w:firstLine="420" w:firstLineChars="200"/>
              <w:rPr>
                <w:rFonts w:ascii="宋体" w:hAnsi="宋体" w:cs="宋体"/>
                <w:bCs/>
                <w:szCs w:val="21"/>
              </w:rPr>
            </w:pPr>
            <w:r>
              <w:rPr>
                <w:rFonts w:hint="eastAsia" w:ascii="宋体" w:hAnsi="宋体" w:cs="宋体"/>
                <w:bCs/>
                <w:szCs w:val="21"/>
              </w:rPr>
              <w:t>无论是教师的借用还是管理员的审批全部在网上完成。</w:t>
            </w:r>
            <w:r>
              <w:rPr>
                <w:rFonts w:hint="eastAsia" w:ascii="宋体" w:hAnsi="宋体" w:cs="宋体"/>
                <w:bCs/>
                <w:szCs w:val="21"/>
              </w:rPr>
              <w:br w:type="textWrapping"/>
            </w:r>
            <w:r>
              <w:rPr>
                <w:rFonts w:hint="eastAsia" w:ascii="宋体" w:hAnsi="宋体" w:cs="宋体"/>
                <w:bCs/>
                <w:szCs w:val="21"/>
              </w:rPr>
              <w:t>1、登录界面：选择身份为教师或管理员，输入账号和密码，系统依据账号和密码判断是否属于教师或管理员。</w:t>
            </w:r>
            <w:r>
              <w:rPr>
                <w:rFonts w:hint="eastAsia" w:ascii="宋体" w:hAnsi="宋体" w:cs="宋体"/>
                <w:bCs/>
                <w:szCs w:val="21"/>
              </w:rPr>
              <w:br w:type="textWrapping"/>
            </w:r>
            <w:r>
              <w:rPr>
                <w:rFonts w:hint="eastAsia" w:ascii="宋体" w:hAnsi="宋体" w:cs="宋体"/>
                <w:bCs/>
                <w:szCs w:val="21"/>
              </w:rPr>
              <w:t>2、教师在登录界面登录后进入主界面，系统显示您已经预定的教室信息。此时主菜单“修改预定”，“删除预定”不可选，修改（删除）信息时，单击表格前箭头，使要修改的条目转为蓝色，“修改预定”，“删除预定”变为可选，点击即可进入。“查询教室信息”分按时间查询和按教室查询两种，点击可进入；点击“教室预定”即可预定；点击“退出”，退出系统；点击“刷新”，刷新纪录；点击“重新登录”，进入登录界面。</w:t>
            </w:r>
            <w:r>
              <w:rPr>
                <w:rFonts w:hint="eastAsia" w:ascii="宋体" w:hAnsi="宋体" w:cs="宋体"/>
                <w:bCs/>
                <w:szCs w:val="21"/>
              </w:rPr>
              <w:br w:type="textWrapping"/>
            </w:r>
            <w:r>
              <w:rPr>
                <w:rFonts w:hint="eastAsia" w:ascii="宋体" w:hAnsi="宋体" w:cs="宋体"/>
                <w:bCs/>
                <w:szCs w:val="21"/>
              </w:rPr>
              <w:t>3、后台管理功能包括：</w:t>
            </w:r>
            <w:r>
              <w:rPr>
                <w:rFonts w:hint="eastAsia" w:ascii="宋体" w:hAnsi="宋体" w:cs="宋体"/>
                <w:bCs/>
                <w:szCs w:val="21"/>
              </w:rPr>
              <w:br w:type="textWrapping"/>
            </w:r>
            <w:r>
              <w:rPr>
                <w:rFonts w:hint="eastAsia" w:ascii="宋体" w:hAnsi="宋体" w:cs="宋体"/>
                <w:bCs/>
                <w:szCs w:val="21"/>
              </w:rPr>
              <w:t xml:space="preserve">（1）预约信息录入： 按要求输入预约信息，依次为功能室编号、功能室课程、功能室教室、功能室老师、功能室预约日期。  </w:t>
            </w:r>
            <w:r>
              <w:rPr>
                <w:rFonts w:hint="eastAsia" w:ascii="宋体" w:hAnsi="宋体" w:cs="宋体"/>
                <w:bCs/>
                <w:szCs w:val="21"/>
              </w:rPr>
              <w:br w:type="textWrapping"/>
            </w:r>
            <w:r>
              <w:rPr>
                <w:rFonts w:hint="eastAsia" w:ascii="宋体" w:hAnsi="宋体" w:cs="宋体"/>
                <w:bCs/>
                <w:szCs w:val="21"/>
              </w:rPr>
              <w:t xml:space="preserve">（2）预约信息更改： 输入需要更改的功能室编号，按要求重新录入新的预约信息。  </w:t>
            </w:r>
            <w:r>
              <w:rPr>
                <w:rFonts w:hint="eastAsia" w:ascii="宋体" w:hAnsi="宋体" w:cs="宋体"/>
                <w:bCs/>
                <w:szCs w:val="21"/>
              </w:rPr>
              <w:br w:type="textWrapping"/>
            </w:r>
            <w:r>
              <w:rPr>
                <w:rFonts w:hint="eastAsia" w:ascii="宋体" w:hAnsi="宋体" w:cs="宋体"/>
                <w:bCs/>
                <w:szCs w:val="21"/>
              </w:rPr>
              <w:t xml:space="preserve">（3）预约信息删除： 进入界面，删除已预约的功能室信息，信息重置。  </w:t>
            </w:r>
            <w:r>
              <w:rPr>
                <w:rFonts w:hint="eastAsia" w:ascii="宋体" w:hAnsi="宋体" w:cs="宋体"/>
                <w:bCs/>
                <w:szCs w:val="21"/>
              </w:rPr>
              <w:br w:type="textWrapping"/>
            </w:r>
            <w:r>
              <w:rPr>
                <w:rFonts w:hint="eastAsia" w:ascii="宋体" w:hAnsi="宋体" w:cs="宋体"/>
                <w:bCs/>
                <w:szCs w:val="21"/>
              </w:rPr>
              <w:t xml:space="preserve">（4）预约查找： 输入需要查找的实验室预约信息，即可得到该预约信息的全部内容。  </w:t>
            </w:r>
            <w:r>
              <w:rPr>
                <w:rFonts w:hint="eastAsia" w:ascii="宋体" w:hAnsi="宋体" w:cs="宋体"/>
                <w:bCs/>
                <w:szCs w:val="21"/>
              </w:rPr>
              <w:br w:type="textWrapping"/>
            </w:r>
            <w:r>
              <w:rPr>
                <w:rFonts w:hint="eastAsia" w:ascii="宋体" w:hAnsi="宋体" w:cs="宋体"/>
                <w:bCs/>
                <w:szCs w:val="21"/>
              </w:rPr>
              <w:t xml:space="preserve">（5）预约信息管理： 分为记录与查找两个执行段，记录功能室预约信息的更改时间，查找则将其显示出。  </w:t>
            </w:r>
            <w:r>
              <w:rPr>
                <w:rFonts w:hint="eastAsia" w:ascii="宋体" w:hAnsi="宋体" w:cs="宋体"/>
                <w:bCs/>
                <w:szCs w:val="21"/>
              </w:rPr>
              <w:br w:type="textWrapping"/>
            </w:r>
            <w:r>
              <w:rPr>
                <w:rFonts w:hint="eastAsia" w:ascii="宋体" w:hAnsi="宋体" w:cs="宋体"/>
                <w:bCs/>
                <w:szCs w:val="21"/>
              </w:rPr>
              <w:t>（6）显示所有预约信息：将已录入的预约信息显示出来。</w:t>
            </w:r>
            <w:r>
              <w:rPr>
                <w:rFonts w:hint="eastAsia" w:ascii="宋体" w:hAnsi="宋体" w:cs="宋体"/>
                <w:bCs/>
                <w:szCs w:val="21"/>
              </w:rPr>
              <w:br w:type="textWrapping"/>
            </w:r>
            <w:r>
              <w:rPr>
                <w:rFonts w:hint="eastAsia" w:ascii="宋体" w:hAnsi="宋体" w:cs="宋体"/>
                <w:bCs/>
                <w:szCs w:val="21"/>
              </w:rPr>
              <w:t>(7)预约固定课表安排:需固定使用的学科，可在学期开始，做固定预约。</w:t>
            </w:r>
          </w:p>
        </w:tc>
        <w:tc>
          <w:tcPr>
            <w:tcW w:w="915" w:type="dxa"/>
            <w:vMerge w:val="continue"/>
            <w:vAlign w:val="center"/>
          </w:tcPr>
          <w:p>
            <w:pPr>
              <w:ind w:firstLine="420" w:firstLineChars="200"/>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8" w:hRule="atLeast"/>
        </w:trPr>
        <w:tc>
          <w:tcPr>
            <w:tcW w:w="446" w:type="dxa"/>
            <w:vAlign w:val="center"/>
          </w:tcPr>
          <w:p>
            <w:pPr>
              <w:jc w:val="center"/>
              <w:rPr>
                <w:rFonts w:ascii="宋体" w:hAnsi="宋体" w:cs="宋体"/>
                <w:bCs/>
                <w:szCs w:val="21"/>
              </w:rPr>
            </w:pPr>
            <w:r>
              <w:rPr>
                <w:rFonts w:hint="eastAsia" w:ascii="宋体" w:hAnsi="宋体" w:cs="宋体"/>
                <w:bCs/>
                <w:szCs w:val="21"/>
              </w:rPr>
              <w:t>30</w:t>
            </w:r>
          </w:p>
        </w:tc>
        <w:tc>
          <w:tcPr>
            <w:tcW w:w="841" w:type="dxa"/>
            <w:vAlign w:val="center"/>
          </w:tcPr>
          <w:p>
            <w:pPr>
              <w:jc w:val="center"/>
              <w:rPr>
                <w:rFonts w:ascii="宋体" w:hAnsi="宋体" w:cs="宋体"/>
                <w:bCs/>
                <w:szCs w:val="21"/>
              </w:rPr>
            </w:pPr>
            <w:r>
              <w:rPr>
                <w:rFonts w:hint="eastAsia" w:ascii="宋体" w:hAnsi="宋体" w:cs="宋体"/>
                <w:bCs/>
                <w:szCs w:val="21"/>
              </w:rPr>
              <w:t>监控管理</w:t>
            </w:r>
          </w:p>
        </w:tc>
        <w:tc>
          <w:tcPr>
            <w:tcW w:w="7227" w:type="dxa"/>
            <w:vAlign w:val="center"/>
          </w:tcPr>
          <w:p>
            <w:pPr>
              <w:pStyle w:val="2"/>
              <w:ind w:firstLine="420" w:firstLineChars="200"/>
              <w:rPr>
                <w:rFonts w:ascii="宋体" w:hAnsi="宋体" w:cs="宋体"/>
                <w:bCs/>
                <w:szCs w:val="21"/>
              </w:rPr>
            </w:pPr>
            <w:r>
              <w:rPr>
                <w:rFonts w:hint="eastAsia" w:ascii="宋体" w:hAnsi="宋体" w:cs="宋体"/>
                <w:bCs/>
                <w:szCs w:val="21"/>
              </w:rPr>
              <w:t>学校现有监控设备接入系统，可实现班牌查看监控界面。教师可通过手机APP端，查看教室监控情况。</w:t>
            </w:r>
          </w:p>
        </w:tc>
        <w:tc>
          <w:tcPr>
            <w:tcW w:w="915" w:type="dxa"/>
            <w:vMerge w:val="continue"/>
            <w:vAlign w:val="center"/>
          </w:tcPr>
          <w:p>
            <w:pPr>
              <w:ind w:firstLine="420" w:firstLineChars="200"/>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26" w:hRule="atLeast"/>
        </w:trPr>
        <w:tc>
          <w:tcPr>
            <w:tcW w:w="446" w:type="dxa"/>
            <w:vAlign w:val="center"/>
          </w:tcPr>
          <w:p>
            <w:pPr>
              <w:jc w:val="center"/>
              <w:rPr>
                <w:rFonts w:ascii="宋体" w:hAnsi="宋体" w:cs="宋体"/>
                <w:bCs/>
                <w:szCs w:val="21"/>
              </w:rPr>
            </w:pPr>
            <w:r>
              <w:rPr>
                <w:rFonts w:hint="eastAsia" w:ascii="宋体" w:hAnsi="宋体" w:cs="宋体"/>
                <w:bCs/>
                <w:szCs w:val="21"/>
              </w:rPr>
              <w:t>31</w:t>
            </w:r>
          </w:p>
        </w:tc>
        <w:tc>
          <w:tcPr>
            <w:tcW w:w="841" w:type="dxa"/>
            <w:vAlign w:val="center"/>
          </w:tcPr>
          <w:p>
            <w:pPr>
              <w:jc w:val="center"/>
              <w:rPr>
                <w:rFonts w:ascii="宋体" w:hAnsi="宋体" w:cs="宋体"/>
                <w:bCs/>
                <w:szCs w:val="21"/>
              </w:rPr>
            </w:pPr>
            <w:r>
              <w:rPr>
                <w:rFonts w:hint="eastAsia" w:ascii="宋体" w:hAnsi="宋体" w:cs="宋体"/>
                <w:bCs/>
                <w:szCs w:val="21"/>
              </w:rPr>
              <w:t>App学生小组学习系统</w:t>
            </w:r>
          </w:p>
        </w:tc>
        <w:tc>
          <w:tcPr>
            <w:tcW w:w="7227" w:type="dxa"/>
            <w:vAlign w:val="center"/>
          </w:tcPr>
          <w:p>
            <w:pPr>
              <w:ind w:firstLine="210" w:firstLineChars="100"/>
              <w:rPr>
                <w:rFonts w:ascii="宋体" w:hAnsi="宋体" w:cs="宋体"/>
                <w:bCs/>
                <w:szCs w:val="21"/>
              </w:rPr>
            </w:pPr>
            <w:r>
              <w:rPr>
                <w:rFonts w:hint="eastAsia" w:ascii="宋体" w:hAnsi="宋体" w:cs="宋体"/>
                <w:bCs/>
                <w:szCs w:val="21"/>
              </w:rPr>
              <w:t>学生小组学习对学生实行小组化管理，针对学习小组学习及小组成员实现计分制度，使小组及组成员针对学习等各方面进行竞赛排名，促使学生形成良好的学习氛围。教师通过移动终端及平板电脑，使用App对小组及组成员进行实时打分。小组评分项目：分单项和汇总项，如果是汇总项，可设置关联的学科。及可设置打分的类型是小组或者小组成员等，可根据需要自由设置排名名次对应的赋分数值。</w:t>
            </w:r>
            <w:r>
              <w:rPr>
                <w:rFonts w:hint="eastAsia" w:ascii="宋体" w:hAnsi="宋体" w:cs="宋体"/>
                <w:bCs/>
                <w:szCs w:val="21"/>
              </w:rPr>
              <w:br w:type="textWrapping"/>
            </w:r>
            <w:r>
              <w:rPr>
                <w:rFonts w:hint="eastAsia" w:ascii="宋体" w:hAnsi="宋体" w:cs="宋体"/>
                <w:bCs/>
                <w:szCs w:val="21"/>
              </w:rPr>
              <w:t>小组评分项目：分月、周及日的方式统计小组的评分数据，并自动生成排名表，计算排名名次并进行赋分。</w:t>
            </w:r>
            <w:r>
              <w:rPr>
                <w:rFonts w:hint="eastAsia" w:ascii="宋体" w:hAnsi="宋体" w:cs="宋体"/>
                <w:bCs/>
                <w:szCs w:val="21"/>
              </w:rPr>
              <w:br w:type="textWrapping"/>
            </w:r>
            <w:r>
              <w:rPr>
                <w:rFonts w:hint="eastAsia" w:ascii="宋体" w:hAnsi="宋体" w:cs="宋体"/>
                <w:bCs/>
                <w:szCs w:val="21"/>
              </w:rPr>
              <w:t>个人统计报表：根据小组排名赋分结果结合个人的评分情况，分月、周及日的方式统计小组的评分数据，并自动生成排名表，对前50%学生进行星标标记。</w:t>
            </w:r>
            <w:r>
              <w:rPr>
                <w:rFonts w:hint="eastAsia" w:ascii="宋体" w:hAnsi="宋体" w:cs="宋体"/>
                <w:bCs/>
                <w:szCs w:val="21"/>
              </w:rPr>
              <w:br w:type="textWrapping"/>
            </w:r>
            <w:r>
              <w:rPr>
                <w:rFonts w:hint="eastAsia" w:ascii="宋体" w:hAnsi="宋体" w:cs="宋体"/>
                <w:bCs/>
                <w:szCs w:val="21"/>
              </w:rPr>
              <w:t>课堂小组评分：由任课教师根据每课节任教情况对小组进行评分，每日课节数据录入后直接形成生成各组各科得分，所有科目录入后显示总分，自动排序，并按照排序给予赋分。当各项分数确定后，后面显示总计总得分。当一天分数确定后，会自动累计在一周得分中，累计后会进行自动排序。四周分数确定后，会自动累计在一月得分中，累计后会进行自动排序</w:t>
            </w:r>
            <w:r>
              <w:rPr>
                <w:rFonts w:hint="eastAsia" w:ascii="宋体" w:hAnsi="宋体" w:cs="宋体"/>
                <w:bCs/>
                <w:szCs w:val="21"/>
              </w:rPr>
              <w:br w:type="textWrapping"/>
            </w:r>
            <w:r>
              <w:rPr>
                <w:rFonts w:hint="eastAsia" w:ascii="宋体" w:hAnsi="宋体" w:cs="宋体"/>
                <w:bCs/>
                <w:szCs w:val="21"/>
              </w:rPr>
              <w:t>班主任管理：可对班级学生进行小组划分，并可对学生个人的评分项目进行打分操作，查询个人及小组的评分情况</w:t>
            </w:r>
          </w:p>
          <w:p>
            <w:pPr>
              <w:pStyle w:val="2"/>
              <w:ind w:firstLine="422" w:firstLineChars="200"/>
              <w:rPr>
                <w:rFonts w:ascii="宋体" w:hAnsi="宋体" w:cs="宋体"/>
                <w:bCs/>
                <w:szCs w:val="21"/>
              </w:rPr>
            </w:pPr>
            <w:r>
              <w:rPr>
                <w:rFonts w:hint="eastAsia" w:ascii="宋体"/>
                <w:b/>
                <w:bCs/>
                <w:szCs w:val="21"/>
                <w:lang w:val="zh-CN"/>
              </w:rPr>
              <w:t>▲</w:t>
            </w:r>
            <w:r>
              <w:rPr>
                <w:rFonts w:hint="eastAsia" w:ascii="宋体" w:hAnsi="宋体" w:cs="宋体"/>
                <w:bCs/>
                <w:color w:val="FF0000"/>
                <w:szCs w:val="21"/>
              </w:rPr>
              <w:t>提供现场演示</w:t>
            </w:r>
          </w:p>
        </w:tc>
        <w:tc>
          <w:tcPr>
            <w:tcW w:w="915" w:type="dxa"/>
            <w:vMerge w:val="continue"/>
            <w:vAlign w:val="center"/>
          </w:tcPr>
          <w:p>
            <w:pPr>
              <w:ind w:firstLine="420" w:firstLineChars="200"/>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1" w:hRule="atLeast"/>
        </w:trPr>
        <w:tc>
          <w:tcPr>
            <w:tcW w:w="446" w:type="dxa"/>
            <w:vAlign w:val="center"/>
          </w:tcPr>
          <w:p>
            <w:pPr>
              <w:jc w:val="center"/>
              <w:rPr>
                <w:rFonts w:ascii="宋体" w:hAnsi="宋体" w:cs="宋体"/>
                <w:bCs/>
                <w:szCs w:val="21"/>
              </w:rPr>
            </w:pPr>
            <w:r>
              <w:rPr>
                <w:rFonts w:hint="eastAsia" w:ascii="宋体" w:hAnsi="宋体" w:cs="宋体"/>
                <w:bCs/>
                <w:szCs w:val="21"/>
              </w:rPr>
              <w:t>32</w:t>
            </w:r>
          </w:p>
        </w:tc>
        <w:tc>
          <w:tcPr>
            <w:tcW w:w="841" w:type="dxa"/>
            <w:vAlign w:val="center"/>
          </w:tcPr>
          <w:p>
            <w:pPr>
              <w:pStyle w:val="34"/>
              <w:shd w:val="clear" w:color="auto" w:fill="FFFFFF"/>
              <w:rPr>
                <w:rFonts w:ascii="宋体" w:hAnsi="宋体" w:eastAsia="宋体" w:cs="宋体"/>
                <w:color w:val="000000"/>
                <w:sz w:val="21"/>
                <w:szCs w:val="21"/>
              </w:rPr>
            </w:pPr>
            <w:r>
              <w:rPr>
                <w:rFonts w:hint="eastAsia" w:ascii="宋体" w:hAnsi="宋体" w:eastAsia="宋体" w:cs="宋体"/>
                <w:color w:val="000000"/>
                <w:sz w:val="21"/>
                <w:szCs w:val="21"/>
                <w:shd w:val="clear" w:color="auto" w:fill="FFFFFF"/>
              </w:rPr>
              <w:t>备课及教案管理</w:t>
            </w:r>
          </w:p>
          <w:p>
            <w:pPr>
              <w:jc w:val="center"/>
              <w:rPr>
                <w:rFonts w:ascii="宋体" w:hAnsi="宋体" w:cs="宋体"/>
                <w:bCs/>
                <w:szCs w:val="21"/>
              </w:rPr>
            </w:pPr>
          </w:p>
        </w:tc>
        <w:tc>
          <w:tcPr>
            <w:tcW w:w="7227" w:type="dxa"/>
            <w:vAlign w:val="center"/>
          </w:tcPr>
          <w:p>
            <w:pPr>
              <w:ind w:firstLine="420" w:firstLineChars="200"/>
              <w:rPr>
                <w:rFonts w:ascii="宋体" w:hAnsi="宋体" w:cs="宋体"/>
                <w:bCs/>
                <w:szCs w:val="21"/>
              </w:rPr>
            </w:pPr>
            <w:r>
              <w:rPr>
                <w:rFonts w:hint="eastAsia" w:ascii="宋体" w:hAnsi="宋体" w:cs="宋体"/>
                <w:bCs/>
                <w:szCs w:val="21"/>
              </w:rPr>
              <w:t>教案上传：可分学期、学科、周及教案类型(个案、复案、补案)等；</w:t>
            </w:r>
            <w:r>
              <w:rPr>
                <w:rFonts w:hint="eastAsia" w:ascii="宋体" w:hAnsi="宋体" w:cs="宋体"/>
                <w:bCs/>
                <w:szCs w:val="21"/>
              </w:rPr>
              <w:br w:type="textWrapping"/>
            </w:r>
            <w:r>
              <w:rPr>
                <w:rFonts w:hint="eastAsia" w:ascii="宋体" w:hAnsi="宋体" w:cs="宋体"/>
                <w:bCs/>
                <w:szCs w:val="21"/>
              </w:rPr>
              <w:t>教案查询：可以根据老师姓名、学科、年级、备课组、周次进行分类统计</w:t>
            </w:r>
            <w:r>
              <w:rPr>
                <w:rFonts w:hint="eastAsia" w:ascii="宋体" w:hAnsi="宋体" w:cs="宋体"/>
                <w:bCs/>
                <w:szCs w:val="21"/>
              </w:rPr>
              <w:br w:type="textWrapping"/>
            </w:r>
            <w:r>
              <w:rPr>
                <w:rFonts w:hint="eastAsia" w:ascii="宋体" w:hAnsi="宋体" w:cs="宋体"/>
                <w:bCs/>
                <w:szCs w:val="21"/>
              </w:rPr>
              <w:t>教案审查：教务可对教师上传的教案进行审查等操作，并可反馈审查结果</w:t>
            </w:r>
            <w:r>
              <w:rPr>
                <w:rFonts w:hint="eastAsia" w:ascii="宋体" w:hAnsi="宋体" w:cs="宋体"/>
                <w:bCs/>
                <w:szCs w:val="21"/>
              </w:rPr>
              <w:br w:type="textWrapping"/>
            </w:r>
            <w:r>
              <w:rPr>
                <w:rFonts w:hint="eastAsia" w:ascii="宋体" w:hAnsi="宋体" w:cs="宋体"/>
                <w:bCs/>
                <w:szCs w:val="21"/>
              </w:rPr>
              <w:t>统计功能：教案个数、文件个数统计，批量导出</w:t>
            </w:r>
            <w:r>
              <w:rPr>
                <w:rFonts w:hint="eastAsia" w:ascii="宋体" w:hAnsi="宋体" w:cs="宋体"/>
                <w:bCs/>
                <w:szCs w:val="21"/>
              </w:rPr>
              <w:br w:type="textWrapping"/>
            </w:r>
            <w:r>
              <w:rPr>
                <w:rFonts w:hint="eastAsia" w:ascii="宋体" w:hAnsi="宋体" w:cs="宋体"/>
                <w:bCs/>
                <w:szCs w:val="21"/>
              </w:rPr>
              <w:t>教案分享：可设置教案公开或者分享给个人、教研组等。</w:t>
            </w:r>
          </w:p>
        </w:tc>
        <w:tc>
          <w:tcPr>
            <w:tcW w:w="915" w:type="dxa"/>
            <w:vMerge w:val="continue"/>
            <w:vAlign w:val="center"/>
          </w:tcPr>
          <w:p>
            <w:pPr>
              <w:ind w:firstLine="420" w:firstLineChars="200"/>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37" w:hRule="atLeast"/>
        </w:trPr>
        <w:tc>
          <w:tcPr>
            <w:tcW w:w="446" w:type="dxa"/>
            <w:vAlign w:val="center"/>
          </w:tcPr>
          <w:p>
            <w:pPr>
              <w:jc w:val="center"/>
              <w:rPr>
                <w:rFonts w:ascii="宋体" w:hAnsi="宋体" w:cs="宋体"/>
                <w:bCs/>
                <w:szCs w:val="21"/>
              </w:rPr>
            </w:pPr>
            <w:r>
              <w:rPr>
                <w:rFonts w:hint="eastAsia" w:ascii="宋体" w:hAnsi="宋体" w:cs="宋体"/>
                <w:bCs/>
                <w:szCs w:val="21"/>
              </w:rPr>
              <w:t>33</w:t>
            </w:r>
          </w:p>
        </w:tc>
        <w:tc>
          <w:tcPr>
            <w:tcW w:w="841" w:type="dxa"/>
            <w:vAlign w:val="center"/>
          </w:tcPr>
          <w:p>
            <w:pPr>
              <w:jc w:val="center"/>
              <w:rPr>
                <w:rFonts w:ascii="宋体" w:hAnsi="宋体" w:cs="宋体"/>
                <w:bCs/>
                <w:szCs w:val="21"/>
              </w:rPr>
            </w:pPr>
            <w:r>
              <w:rPr>
                <w:rFonts w:hint="eastAsia" w:ascii="宋体" w:hAnsi="宋体" w:cs="宋体"/>
                <w:szCs w:val="21"/>
              </w:rPr>
              <w:t>德育后台管理系统</w:t>
            </w:r>
          </w:p>
        </w:tc>
        <w:tc>
          <w:tcPr>
            <w:tcW w:w="7227" w:type="dxa"/>
            <w:vAlign w:val="center"/>
          </w:tcPr>
          <w:p>
            <w:pPr>
              <w:numPr>
                <w:ilvl w:val="0"/>
                <w:numId w:val="3"/>
              </w:numPr>
              <w:snapToGrid w:val="0"/>
              <w:spacing w:line="300" w:lineRule="auto"/>
              <w:ind w:left="105" w:leftChars="50" w:right="105" w:rightChars="50"/>
              <w:rPr>
                <w:rFonts w:ascii="宋体" w:hAnsi="宋体" w:cs="宋体"/>
                <w:szCs w:val="21"/>
              </w:rPr>
            </w:pPr>
            <w:r>
              <w:rPr>
                <w:rFonts w:hint="eastAsia" w:ascii="宋体" w:hAnsi="宋体" w:cs="宋体"/>
                <w:szCs w:val="21"/>
              </w:rPr>
              <w:t>基础管理：</w:t>
            </w:r>
          </w:p>
          <w:p>
            <w:pPr>
              <w:snapToGrid w:val="0"/>
              <w:spacing w:line="300" w:lineRule="auto"/>
              <w:ind w:right="105" w:rightChars="50"/>
              <w:rPr>
                <w:rFonts w:ascii="宋体" w:hAnsi="宋体" w:cs="宋体"/>
                <w:szCs w:val="21"/>
              </w:rPr>
            </w:pPr>
            <w:r>
              <w:rPr>
                <w:rFonts w:hint="eastAsia" w:ascii="宋体" w:hAnsi="宋体" w:cs="宋体"/>
                <w:szCs w:val="21"/>
              </w:rPr>
              <w:t>（1）基本设置：支持设置德育考核的开始和结束周期、考核日、班级考核满分值、审核选项、分类显示方式、学生记录方式及值日计划设置周期方式等。</w:t>
            </w:r>
          </w:p>
          <w:p>
            <w:pPr>
              <w:snapToGrid w:val="0"/>
              <w:spacing w:line="300" w:lineRule="auto"/>
              <w:ind w:left="105" w:leftChars="50" w:right="105" w:rightChars="50"/>
              <w:rPr>
                <w:rFonts w:ascii="宋体" w:hAnsi="宋体" w:cs="宋体"/>
                <w:szCs w:val="21"/>
              </w:rPr>
            </w:pPr>
            <w:r>
              <w:rPr>
                <w:rFonts w:hint="eastAsia" w:ascii="宋体" w:hAnsi="宋体" w:cs="宋体"/>
                <w:szCs w:val="21"/>
              </w:rPr>
              <w:t>（2）值日岗位：支持分岗位对象（学生和教师），岗位类型（打分、组长和辅导员），评分范围（班级、宿舍、班主任、早晚自习及评分人员），管理评分项范围的设置，管理年级段范围的设置，管理宿舍楼范围的设置以及岗位采用固定或变动的方式安排值日计划等方式；并且可设置岗位的责任描述及状态控制。</w:t>
            </w:r>
          </w:p>
          <w:p>
            <w:pPr>
              <w:snapToGrid w:val="0"/>
              <w:spacing w:line="300" w:lineRule="auto"/>
              <w:ind w:left="105" w:leftChars="50" w:right="105" w:rightChars="50"/>
              <w:rPr>
                <w:rFonts w:ascii="宋体" w:hAnsi="宋体" w:cs="宋体"/>
                <w:szCs w:val="21"/>
              </w:rPr>
            </w:pPr>
            <w:r>
              <w:rPr>
                <w:rFonts w:hint="eastAsia" w:ascii="宋体" w:hAnsi="宋体" w:cs="宋体"/>
                <w:szCs w:val="21"/>
              </w:rPr>
              <w:t>（3）值日计划：根据设置的值日岗位分配值日人员计划，支持按天或固定方式设置，支持多人同时设置单个值日岗位；可通过导入、单天复制和黏贴方式安排岗位值日计划，并且能通过轮贴方式批量复制周期方位相同的值日计划；可批量清空单轮的岗位值日安排，可查看当前轮、上下轮的值日安排信息等，支持导出轮的岗位值日安排信息。</w:t>
            </w:r>
          </w:p>
          <w:p>
            <w:pPr>
              <w:snapToGrid w:val="0"/>
              <w:spacing w:line="300" w:lineRule="auto"/>
              <w:ind w:left="105" w:leftChars="50" w:right="105" w:rightChars="50"/>
              <w:rPr>
                <w:rFonts w:ascii="宋体" w:hAnsi="宋体" w:cs="宋体"/>
                <w:szCs w:val="21"/>
              </w:rPr>
            </w:pPr>
            <w:r>
              <w:rPr>
                <w:rFonts w:hint="eastAsia" w:ascii="宋体" w:hAnsi="宋体" w:cs="宋体"/>
                <w:szCs w:val="21"/>
              </w:rPr>
              <w:t>（4）评分项目：支持对班级、宿舍、班主任、早晚自习及评分人员评分项目的设置，项目支持分二级类目设置，并且主项支持统计方式（累计分或平均分）的形式；子项评分支持采用文本记录、自定义选项、是否选项、下拉选项及数值输入的方式记录，评分分值要支持设置最高、最低分及是否支持小数方式，支持设置评分默认值，评分项目允许提交的开始和结束时间以及评分允许提交的星期限制，支持设置项目的评分说明及控制项目的状态显示，设置是否需要支持班级考勤功能等。</w:t>
            </w:r>
          </w:p>
          <w:p>
            <w:pPr>
              <w:tabs>
                <w:tab w:val="left" w:pos="0"/>
              </w:tabs>
              <w:autoSpaceDE w:val="0"/>
              <w:autoSpaceDN w:val="0"/>
              <w:adjustRightInd w:val="0"/>
              <w:snapToGrid w:val="0"/>
              <w:spacing w:line="300" w:lineRule="auto"/>
              <w:ind w:left="105" w:leftChars="50" w:right="105" w:rightChars="50"/>
              <w:rPr>
                <w:rFonts w:ascii="宋体" w:hAnsi="宋体" w:cs="宋体"/>
                <w:szCs w:val="21"/>
              </w:rPr>
            </w:pPr>
            <w:r>
              <w:rPr>
                <w:rFonts w:hint="eastAsia" w:ascii="宋体" w:hAnsi="宋体" w:cs="宋体"/>
                <w:szCs w:val="21"/>
              </w:rPr>
              <w:t>2.宿舍评分</w:t>
            </w:r>
          </w:p>
          <w:p>
            <w:pPr>
              <w:tabs>
                <w:tab w:val="left" w:pos="0"/>
              </w:tabs>
              <w:autoSpaceDE w:val="0"/>
              <w:autoSpaceDN w:val="0"/>
              <w:adjustRightInd w:val="0"/>
              <w:snapToGrid w:val="0"/>
              <w:spacing w:line="300" w:lineRule="auto"/>
              <w:ind w:left="105" w:leftChars="50" w:right="105" w:rightChars="50"/>
              <w:rPr>
                <w:rFonts w:ascii="宋体" w:hAnsi="宋体" w:cs="宋体"/>
                <w:szCs w:val="21"/>
              </w:rPr>
            </w:pPr>
            <w:r>
              <w:rPr>
                <w:rFonts w:hint="eastAsia" w:ascii="宋体" w:hAnsi="宋体" w:cs="宋体"/>
                <w:szCs w:val="21"/>
              </w:rPr>
              <w:t>（1）宿舍楼管理：支持设置宿舍楼及层信息，支持批量的导入和导出功能；</w:t>
            </w:r>
          </w:p>
          <w:p>
            <w:pPr>
              <w:tabs>
                <w:tab w:val="left" w:pos="0"/>
              </w:tabs>
              <w:autoSpaceDE w:val="0"/>
              <w:autoSpaceDN w:val="0"/>
              <w:adjustRightInd w:val="0"/>
              <w:snapToGrid w:val="0"/>
              <w:spacing w:line="300" w:lineRule="auto"/>
              <w:ind w:left="105" w:leftChars="50" w:right="105" w:rightChars="50"/>
              <w:rPr>
                <w:rFonts w:ascii="宋体" w:hAnsi="宋体" w:cs="宋体"/>
                <w:szCs w:val="21"/>
              </w:rPr>
            </w:pPr>
            <w:r>
              <w:rPr>
                <w:rFonts w:hint="eastAsia" w:ascii="宋体" w:hAnsi="宋体" w:cs="宋体"/>
                <w:szCs w:val="21"/>
              </w:rPr>
              <w:t>（2）宿舍号管理：支持设置宿舍楼的宿舍编号信息，包含人员性别，可容纳数及状态和备注说明信息，支持批量的导入和导出及删除功能。</w:t>
            </w:r>
          </w:p>
          <w:p>
            <w:pPr>
              <w:tabs>
                <w:tab w:val="left" w:pos="0"/>
              </w:tabs>
              <w:autoSpaceDE w:val="0"/>
              <w:autoSpaceDN w:val="0"/>
              <w:adjustRightInd w:val="0"/>
              <w:snapToGrid w:val="0"/>
              <w:spacing w:line="300" w:lineRule="auto"/>
              <w:ind w:left="105" w:leftChars="50" w:right="105" w:rightChars="50"/>
              <w:rPr>
                <w:rFonts w:ascii="宋体" w:hAnsi="宋体" w:cs="宋体"/>
                <w:szCs w:val="21"/>
              </w:rPr>
            </w:pPr>
            <w:r>
              <w:rPr>
                <w:rFonts w:hint="eastAsia" w:ascii="宋体" w:hAnsi="宋体" w:cs="宋体"/>
                <w:szCs w:val="21"/>
              </w:rPr>
              <w:t>（3）宿舍学生管理：支持单个或批量方式设置学生所属宿舍，支持设置宿舍的舍长及床铺号等信息，支持批量的导入和导出及删除功能。</w:t>
            </w:r>
          </w:p>
          <w:p>
            <w:pPr>
              <w:tabs>
                <w:tab w:val="left" w:pos="0"/>
              </w:tabs>
              <w:autoSpaceDE w:val="0"/>
              <w:autoSpaceDN w:val="0"/>
              <w:adjustRightInd w:val="0"/>
              <w:snapToGrid w:val="0"/>
              <w:spacing w:line="300" w:lineRule="auto"/>
              <w:ind w:left="105" w:leftChars="50" w:right="105" w:rightChars="50"/>
              <w:rPr>
                <w:rFonts w:ascii="宋体" w:hAnsi="宋体" w:cs="宋体"/>
                <w:szCs w:val="21"/>
              </w:rPr>
            </w:pPr>
            <w:r>
              <w:rPr>
                <w:rFonts w:hint="eastAsia" w:ascii="宋体" w:hAnsi="宋体" w:cs="宋体"/>
                <w:szCs w:val="21"/>
              </w:rPr>
              <w:t>（4）宿舍评分明细：分项目、学期、宿舍及评分时间范围查看宿舍评分情况，可查看评分项目、项目得分、评分记录员及评分描述等内容；支持对评分结果的导出功能。</w:t>
            </w:r>
          </w:p>
          <w:p>
            <w:pPr>
              <w:tabs>
                <w:tab w:val="left" w:pos="0"/>
              </w:tabs>
              <w:autoSpaceDE w:val="0"/>
              <w:autoSpaceDN w:val="0"/>
              <w:adjustRightInd w:val="0"/>
              <w:snapToGrid w:val="0"/>
              <w:spacing w:line="300" w:lineRule="auto"/>
              <w:ind w:left="105" w:leftChars="50" w:right="105" w:rightChars="50"/>
              <w:rPr>
                <w:rFonts w:ascii="宋体" w:hAnsi="宋体" w:cs="宋体"/>
                <w:szCs w:val="21"/>
              </w:rPr>
            </w:pPr>
            <w:r>
              <w:rPr>
                <w:rFonts w:hint="eastAsia" w:ascii="宋体" w:hAnsi="宋体" w:cs="宋体"/>
                <w:szCs w:val="21"/>
              </w:rPr>
              <w:t>（5）宿舍班级明细：根据宿舍学生所在班级以班级方式分组统计班级宿舍的评分情况，单宿舍多班级混合，支持按设定比例进行评分均分方式计算，可分学期、班年级、项目及时间进行查看，可查看评分项目、项目得分、评分记录员及评分描述等内容；支持对评分结果的导出功能。</w:t>
            </w:r>
          </w:p>
          <w:p>
            <w:pPr>
              <w:snapToGrid w:val="0"/>
              <w:spacing w:line="300" w:lineRule="auto"/>
              <w:ind w:left="105" w:leftChars="50" w:right="105" w:rightChars="50"/>
              <w:rPr>
                <w:rFonts w:ascii="宋体" w:hAnsi="宋体" w:cs="宋体"/>
                <w:szCs w:val="21"/>
              </w:rPr>
            </w:pPr>
            <w:r>
              <w:rPr>
                <w:rFonts w:hint="eastAsia" w:ascii="宋体" w:hAnsi="宋体" w:cs="宋体"/>
                <w:szCs w:val="21"/>
              </w:rPr>
              <w:t>（6）宿舍班级汇总：按学期、年级及统计时间汇总统计班级宿舍的评分汇总情况，支持分加、扣分方式查看，并合计最终分数，支持对汇总结果的导出功能，可设置总分计算汇入到班级总分的项目折算方式。</w:t>
            </w:r>
          </w:p>
          <w:p>
            <w:pPr>
              <w:snapToGrid w:val="0"/>
              <w:spacing w:line="300" w:lineRule="auto"/>
              <w:ind w:left="105" w:leftChars="50" w:right="105" w:rightChars="50"/>
              <w:rPr>
                <w:rFonts w:ascii="宋体" w:hAnsi="宋体" w:cs="宋体"/>
                <w:szCs w:val="21"/>
              </w:rPr>
            </w:pPr>
            <w:r>
              <w:rPr>
                <w:rFonts w:hint="eastAsia" w:ascii="宋体" w:hAnsi="宋体" w:cs="宋体"/>
                <w:szCs w:val="21"/>
              </w:rPr>
              <w:t>3.班主任考勤：</w:t>
            </w:r>
          </w:p>
          <w:p>
            <w:pPr>
              <w:snapToGrid w:val="0"/>
              <w:spacing w:line="300" w:lineRule="auto"/>
              <w:ind w:left="105" w:leftChars="50" w:right="105" w:rightChars="50"/>
              <w:rPr>
                <w:rFonts w:ascii="宋体" w:hAnsi="宋体" w:cs="宋体"/>
                <w:szCs w:val="21"/>
              </w:rPr>
            </w:pPr>
            <w:r>
              <w:rPr>
                <w:rFonts w:hint="eastAsia" w:ascii="宋体" w:hAnsi="宋体" w:cs="宋体"/>
                <w:szCs w:val="21"/>
              </w:rPr>
              <w:t>（1）班主任报表：分项目、学期、班级年级、关联教师、记录员及评分时间范围查看班主任点到评分情况，可查看评分项目、项目得分、评分记录员及评分描述等内容；支持对评分结果的导出功能。</w:t>
            </w:r>
          </w:p>
          <w:p>
            <w:pPr>
              <w:snapToGrid w:val="0"/>
              <w:spacing w:line="300" w:lineRule="auto"/>
              <w:ind w:left="105" w:leftChars="50" w:right="105" w:rightChars="50"/>
              <w:rPr>
                <w:rFonts w:ascii="宋体" w:hAnsi="宋体" w:cs="宋体"/>
                <w:szCs w:val="21"/>
              </w:rPr>
            </w:pPr>
            <w:r>
              <w:rPr>
                <w:rFonts w:hint="eastAsia" w:ascii="宋体" w:hAnsi="宋体" w:cs="宋体"/>
                <w:szCs w:val="21"/>
              </w:rPr>
              <w:t>（2）班主任汇总：支持分学期、年级及时间汇总统计班主任各项目的点到情况，支持对评分结果的导出功能。</w:t>
            </w:r>
          </w:p>
          <w:p>
            <w:pPr>
              <w:pStyle w:val="124"/>
              <w:tabs>
                <w:tab w:val="left" w:pos="0"/>
              </w:tabs>
              <w:autoSpaceDE w:val="0"/>
              <w:autoSpaceDN w:val="0"/>
              <w:adjustRightInd w:val="0"/>
              <w:snapToGrid w:val="0"/>
              <w:spacing w:line="300" w:lineRule="auto"/>
              <w:ind w:right="105" w:rightChars="50"/>
              <w:rPr>
                <w:rFonts w:ascii="宋体" w:hAnsi="宋体" w:cs="宋体"/>
                <w:szCs w:val="21"/>
              </w:rPr>
            </w:pPr>
            <w:r>
              <w:rPr>
                <w:rFonts w:hint="eastAsia" w:ascii="宋体" w:hAnsi="宋体" w:cs="宋体"/>
                <w:szCs w:val="21"/>
              </w:rPr>
              <w:t>4.早晚自习管理：</w:t>
            </w:r>
          </w:p>
          <w:p>
            <w:pPr>
              <w:pStyle w:val="124"/>
              <w:tabs>
                <w:tab w:val="left" w:pos="0"/>
              </w:tabs>
              <w:autoSpaceDE w:val="0"/>
              <w:autoSpaceDN w:val="0"/>
              <w:adjustRightInd w:val="0"/>
              <w:snapToGrid w:val="0"/>
              <w:spacing w:line="300" w:lineRule="auto"/>
              <w:ind w:right="105" w:rightChars="50"/>
              <w:rPr>
                <w:rFonts w:ascii="宋体" w:hAnsi="宋体" w:cs="宋体"/>
                <w:szCs w:val="21"/>
              </w:rPr>
            </w:pPr>
            <w:r>
              <w:rPr>
                <w:rFonts w:hint="eastAsia" w:ascii="宋体" w:hAnsi="宋体" w:cs="宋体"/>
                <w:szCs w:val="21"/>
              </w:rPr>
              <w:t>（1）早晚自习安排：分学期及年级方式设置班级/场地每个项目每天的值日教师，支持批量导入方式设置，支持批量清空的方式操作；</w:t>
            </w:r>
          </w:p>
          <w:p>
            <w:pPr>
              <w:pStyle w:val="124"/>
              <w:tabs>
                <w:tab w:val="left" w:pos="0"/>
              </w:tabs>
              <w:autoSpaceDE w:val="0"/>
              <w:autoSpaceDN w:val="0"/>
              <w:adjustRightInd w:val="0"/>
              <w:snapToGrid w:val="0"/>
              <w:spacing w:line="300" w:lineRule="auto"/>
              <w:ind w:right="105" w:rightChars="50"/>
              <w:rPr>
                <w:rFonts w:ascii="宋体" w:hAnsi="宋体" w:cs="宋体"/>
                <w:szCs w:val="21"/>
              </w:rPr>
            </w:pPr>
            <w:r>
              <w:rPr>
                <w:rFonts w:hint="eastAsia" w:ascii="宋体" w:hAnsi="宋体" w:cs="宋体"/>
                <w:szCs w:val="21"/>
              </w:rPr>
              <w:t>（2）早晚自习教室：支持设置除行政班外的其他教学场地作为早晚自习，可按年级的方式归属设置；设置只针对当前学期有效。</w:t>
            </w:r>
          </w:p>
          <w:p>
            <w:pPr>
              <w:pStyle w:val="124"/>
              <w:tabs>
                <w:tab w:val="left" w:pos="0"/>
              </w:tabs>
              <w:autoSpaceDE w:val="0"/>
              <w:autoSpaceDN w:val="0"/>
              <w:adjustRightInd w:val="0"/>
              <w:snapToGrid w:val="0"/>
              <w:spacing w:line="300" w:lineRule="auto"/>
              <w:ind w:right="105" w:rightChars="50"/>
              <w:rPr>
                <w:rFonts w:ascii="宋体" w:hAnsi="宋体" w:cs="宋体"/>
                <w:szCs w:val="21"/>
              </w:rPr>
            </w:pPr>
            <w:r>
              <w:rPr>
                <w:rFonts w:hint="eastAsia" w:ascii="宋体" w:hAnsi="宋体" w:cs="宋体"/>
                <w:szCs w:val="21"/>
              </w:rPr>
              <w:t>（3）早晚自习报表：分项目、学期、班级年级及评分时间范围查看班主任点到评分情况，可查看评分项目、项目得分、评分记录员及评分描述等内容；支持对评分结果的导出功能。</w:t>
            </w:r>
          </w:p>
          <w:p>
            <w:pPr>
              <w:pStyle w:val="124"/>
              <w:tabs>
                <w:tab w:val="left" w:pos="0"/>
              </w:tabs>
              <w:autoSpaceDE w:val="0"/>
              <w:autoSpaceDN w:val="0"/>
              <w:adjustRightInd w:val="0"/>
              <w:snapToGrid w:val="0"/>
              <w:spacing w:line="300" w:lineRule="auto"/>
              <w:ind w:right="105" w:rightChars="50"/>
              <w:rPr>
                <w:rFonts w:ascii="宋体" w:hAnsi="宋体" w:cs="宋体"/>
                <w:szCs w:val="21"/>
              </w:rPr>
            </w:pPr>
            <w:r>
              <w:rPr>
                <w:rFonts w:hint="eastAsia" w:ascii="宋体" w:hAnsi="宋体" w:cs="宋体"/>
                <w:szCs w:val="21"/>
              </w:rPr>
              <w:t>（4）考勤记录报表：分学期、班级年级及考勤时间范围查看班级的考勤情况，包含总人数、实到人数、请假人数及缺勤人数，并可记录具体请假及缺勤学生信息，可查看评分项目、项目得分、评分记录员及评分描述等内容；支持对评分结果的导出功能。</w:t>
            </w:r>
          </w:p>
          <w:p>
            <w:pPr>
              <w:pStyle w:val="124"/>
              <w:tabs>
                <w:tab w:val="left" w:pos="0"/>
              </w:tabs>
              <w:autoSpaceDE w:val="0"/>
              <w:autoSpaceDN w:val="0"/>
              <w:adjustRightInd w:val="0"/>
              <w:snapToGrid w:val="0"/>
              <w:spacing w:line="300" w:lineRule="auto"/>
              <w:ind w:right="105" w:rightChars="50"/>
              <w:rPr>
                <w:rFonts w:ascii="宋体" w:hAnsi="宋体" w:cs="宋体"/>
                <w:szCs w:val="21"/>
              </w:rPr>
            </w:pPr>
            <w:r>
              <w:rPr>
                <w:rFonts w:hint="eastAsia" w:ascii="宋体" w:hAnsi="宋体" w:cs="宋体"/>
                <w:szCs w:val="21"/>
              </w:rPr>
              <w:t>（5）早晚自习汇总：支持分学期、年级及时间汇总统计各班级/场地各项目的值日教师点到情况，支持对评分汇总结果的导出功能。</w:t>
            </w:r>
          </w:p>
          <w:p>
            <w:pPr>
              <w:snapToGrid w:val="0"/>
              <w:spacing w:line="300" w:lineRule="auto"/>
              <w:ind w:left="105" w:leftChars="50" w:right="105" w:rightChars="50"/>
              <w:rPr>
                <w:rFonts w:ascii="宋体" w:hAnsi="宋体" w:cs="宋体"/>
                <w:szCs w:val="21"/>
              </w:rPr>
            </w:pPr>
            <w:r>
              <w:rPr>
                <w:rFonts w:hint="eastAsia" w:ascii="宋体" w:hAnsi="宋体" w:cs="宋体"/>
                <w:szCs w:val="21"/>
              </w:rPr>
              <w:t>（6）早晚自习子项：支持对子项的汇总统计，如早自习班级分明细记录考勤、板书任务、朗读姿势、朗读氛围、检测任务等分项评分，支持对评分结果的导出功能。</w:t>
            </w:r>
          </w:p>
          <w:p>
            <w:pPr>
              <w:tabs>
                <w:tab w:val="left" w:pos="0"/>
              </w:tabs>
              <w:autoSpaceDE w:val="0"/>
              <w:autoSpaceDN w:val="0"/>
              <w:adjustRightInd w:val="0"/>
              <w:snapToGrid w:val="0"/>
              <w:spacing w:line="300" w:lineRule="auto"/>
              <w:ind w:left="105" w:leftChars="50" w:right="105" w:rightChars="50"/>
              <w:rPr>
                <w:rFonts w:ascii="宋体" w:hAnsi="宋体" w:cs="宋体"/>
                <w:szCs w:val="21"/>
              </w:rPr>
            </w:pPr>
            <w:r>
              <w:rPr>
                <w:rFonts w:hint="eastAsia" w:ascii="宋体" w:hAnsi="宋体" w:cs="宋体"/>
                <w:szCs w:val="21"/>
              </w:rPr>
              <w:t>5.课堂评分管理：</w:t>
            </w:r>
          </w:p>
          <w:p>
            <w:pPr>
              <w:tabs>
                <w:tab w:val="left" w:pos="0"/>
              </w:tabs>
              <w:autoSpaceDE w:val="0"/>
              <w:autoSpaceDN w:val="0"/>
              <w:adjustRightInd w:val="0"/>
              <w:snapToGrid w:val="0"/>
              <w:spacing w:line="300" w:lineRule="auto"/>
              <w:ind w:left="105" w:leftChars="50" w:right="105" w:rightChars="50"/>
              <w:rPr>
                <w:rFonts w:ascii="宋体" w:hAnsi="宋体" w:cs="宋体"/>
                <w:szCs w:val="21"/>
              </w:rPr>
            </w:pPr>
            <w:r>
              <w:rPr>
                <w:rFonts w:hint="eastAsia" w:ascii="宋体" w:hAnsi="宋体" w:cs="宋体"/>
                <w:szCs w:val="21"/>
              </w:rPr>
              <w:t>（1）课堂评分设置：支持设置启用班级选择、启用课程选择、限制相关科目及限制相关年级选项设置；</w:t>
            </w:r>
          </w:p>
          <w:p>
            <w:pPr>
              <w:tabs>
                <w:tab w:val="left" w:pos="0"/>
              </w:tabs>
              <w:autoSpaceDE w:val="0"/>
              <w:autoSpaceDN w:val="0"/>
              <w:adjustRightInd w:val="0"/>
              <w:snapToGrid w:val="0"/>
              <w:spacing w:line="300" w:lineRule="auto"/>
              <w:ind w:left="105" w:leftChars="50" w:right="105" w:rightChars="50"/>
              <w:rPr>
                <w:rFonts w:ascii="宋体" w:hAnsi="宋体" w:cs="宋体"/>
                <w:szCs w:val="21"/>
              </w:rPr>
            </w:pPr>
            <w:r>
              <w:rPr>
                <w:rFonts w:hint="eastAsia" w:ascii="宋体" w:hAnsi="宋体" w:cs="宋体"/>
                <w:szCs w:val="21"/>
              </w:rPr>
              <w:t>（2）课堂评分项目：支持分课堂及课后设置评分项目，支持分二级项目设置，可设置评分值及自定义项目评分图标显示等；</w:t>
            </w:r>
          </w:p>
          <w:p>
            <w:pPr>
              <w:tabs>
                <w:tab w:val="left" w:pos="0"/>
              </w:tabs>
              <w:autoSpaceDE w:val="0"/>
              <w:autoSpaceDN w:val="0"/>
              <w:adjustRightInd w:val="0"/>
              <w:snapToGrid w:val="0"/>
              <w:spacing w:line="300" w:lineRule="auto"/>
              <w:ind w:right="105" w:rightChars="50"/>
              <w:rPr>
                <w:rFonts w:ascii="宋体" w:hAnsi="宋体" w:cs="宋体"/>
                <w:szCs w:val="21"/>
              </w:rPr>
            </w:pPr>
            <w:r>
              <w:rPr>
                <w:rFonts w:hint="eastAsia" w:ascii="宋体" w:hAnsi="宋体" w:cs="宋体"/>
                <w:szCs w:val="21"/>
              </w:rPr>
              <w:t>（3）课堂评分记录：分学期、班级年级及时间范围查看评分项目明细情况，包含上课日期、上课教室、课节段、关联学生、关联课程、得分方式、项目名称、评星星数、项目类型、关联教师及记录人等信息。6.班级评分明细：（1）班级评分明细：分项目、学期、班级年级、记录员及评分时间范围查看班级的评分情况，可查看评分项目、项目得分、评分记录员及评分描述等内容；支持对评分结果的导出功能。</w:t>
            </w:r>
          </w:p>
          <w:p>
            <w:pPr>
              <w:pStyle w:val="2"/>
              <w:ind w:firstLine="420" w:firstLineChars="200"/>
              <w:rPr>
                <w:rFonts w:ascii="宋体" w:hAnsi="宋体" w:cs="宋体"/>
                <w:bCs/>
                <w:szCs w:val="21"/>
              </w:rPr>
            </w:pPr>
            <w:r>
              <w:rPr>
                <w:rFonts w:hint="eastAsia" w:ascii="宋体" w:hAnsi="宋体" w:cs="宋体"/>
                <w:szCs w:val="21"/>
              </w:rPr>
              <w:t>（2）班级评分汇总：支持分学期、年级及时间汇总统计班级各项目的点到情况，支持分加、扣分方式查看，并合计最终分数，支持对汇总结果的导出功能，可设置总分计算汇入到班级总分的项目折算方式。</w:t>
            </w:r>
          </w:p>
        </w:tc>
        <w:tc>
          <w:tcPr>
            <w:tcW w:w="915" w:type="dxa"/>
            <w:vAlign w:val="center"/>
          </w:tcPr>
          <w:p>
            <w:pPr>
              <w:ind w:firstLine="420" w:firstLineChars="200"/>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37" w:hRule="atLeast"/>
        </w:trPr>
        <w:tc>
          <w:tcPr>
            <w:tcW w:w="446" w:type="dxa"/>
            <w:vAlign w:val="center"/>
          </w:tcPr>
          <w:p>
            <w:pPr>
              <w:jc w:val="center"/>
              <w:rPr>
                <w:rFonts w:ascii="宋体" w:hAnsi="宋体" w:cs="宋体"/>
                <w:bCs/>
                <w:szCs w:val="21"/>
              </w:rPr>
            </w:pPr>
            <w:r>
              <w:rPr>
                <w:rFonts w:hint="eastAsia" w:ascii="宋体" w:hAnsi="宋体" w:cs="宋体"/>
                <w:bCs/>
                <w:szCs w:val="21"/>
              </w:rPr>
              <w:t>34</w:t>
            </w:r>
          </w:p>
        </w:tc>
        <w:tc>
          <w:tcPr>
            <w:tcW w:w="841" w:type="dxa"/>
            <w:vAlign w:val="center"/>
          </w:tcPr>
          <w:p>
            <w:pPr>
              <w:jc w:val="center"/>
              <w:rPr>
                <w:rFonts w:ascii="宋体" w:hAnsi="宋体" w:cs="宋体"/>
                <w:szCs w:val="21"/>
              </w:rPr>
            </w:pPr>
            <w:r>
              <w:rPr>
                <w:rFonts w:hint="eastAsia" w:ascii="宋体" w:hAnsi="宋体" w:cs="宋体"/>
                <w:szCs w:val="21"/>
              </w:rPr>
              <w:t>德育App管理模块</w:t>
            </w:r>
          </w:p>
          <w:p>
            <w:pPr>
              <w:pStyle w:val="2"/>
              <w:rPr>
                <w:rFonts w:ascii="宋体" w:hAnsi="宋体" w:cs="宋体"/>
                <w:szCs w:val="21"/>
              </w:rPr>
            </w:pPr>
          </w:p>
        </w:tc>
        <w:tc>
          <w:tcPr>
            <w:tcW w:w="7227" w:type="dxa"/>
            <w:vAlign w:val="center"/>
          </w:tcPr>
          <w:p>
            <w:pPr>
              <w:numPr>
                <w:ilvl w:val="0"/>
                <w:numId w:val="4"/>
              </w:numPr>
              <w:tabs>
                <w:tab w:val="left" w:pos="0"/>
                <w:tab w:val="clear" w:pos="312"/>
              </w:tabs>
              <w:autoSpaceDE w:val="0"/>
              <w:autoSpaceDN w:val="0"/>
              <w:adjustRightInd w:val="0"/>
              <w:snapToGrid w:val="0"/>
              <w:spacing w:line="300" w:lineRule="auto"/>
              <w:ind w:left="105" w:leftChars="50" w:right="105" w:rightChars="50"/>
              <w:jc w:val="left"/>
              <w:rPr>
                <w:rFonts w:ascii="宋体" w:hAnsi="宋体" w:cs="宋体"/>
                <w:szCs w:val="21"/>
              </w:rPr>
            </w:pPr>
            <w:r>
              <w:rPr>
                <w:rFonts w:hint="eastAsia" w:ascii="宋体" w:hAnsi="宋体" w:cs="宋体"/>
                <w:szCs w:val="21"/>
              </w:rPr>
              <w:t>班级评分管理：根据值日岗位设置信息按授权进行登录</w:t>
            </w:r>
          </w:p>
          <w:p>
            <w:pPr>
              <w:pStyle w:val="124"/>
              <w:tabs>
                <w:tab w:val="left" w:pos="0"/>
              </w:tabs>
              <w:autoSpaceDE w:val="0"/>
              <w:autoSpaceDN w:val="0"/>
              <w:adjustRightInd w:val="0"/>
              <w:snapToGrid w:val="0"/>
              <w:spacing w:line="300" w:lineRule="auto"/>
              <w:ind w:left="105" w:right="105" w:rightChars="50"/>
              <w:jc w:val="left"/>
              <w:rPr>
                <w:rFonts w:ascii="宋体" w:hAnsi="宋体" w:cs="宋体"/>
                <w:szCs w:val="21"/>
              </w:rPr>
            </w:pPr>
            <w:r>
              <w:rPr>
                <w:rFonts w:hint="eastAsia" w:ascii="宋体" w:hAnsi="宋体" w:cs="宋体"/>
                <w:szCs w:val="21"/>
              </w:rPr>
              <w:t>（1）评分录入：包含班级年级选择、评分项目选择、评分分值选择、评分描述及照片拍照或浏览上传，可选择关联的学生等操作；评分录入完之后，点击提交，跳转此页面，点击继续按钮后，需要仍旧保留在评分录入界面，不需返回首页，并且保留上一次填写的内容。</w:t>
            </w:r>
          </w:p>
          <w:p>
            <w:pPr>
              <w:pStyle w:val="124"/>
              <w:tabs>
                <w:tab w:val="left" w:pos="0"/>
              </w:tabs>
              <w:autoSpaceDE w:val="0"/>
              <w:autoSpaceDN w:val="0"/>
              <w:adjustRightInd w:val="0"/>
              <w:snapToGrid w:val="0"/>
              <w:spacing w:line="300" w:lineRule="auto"/>
              <w:ind w:left="105" w:right="105" w:rightChars="50"/>
              <w:jc w:val="left"/>
              <w:rPr>
                <w:rFonts w:ascii="宋体" w:hAnsi="宋体" w:cs="宋体"/>
                <w:szCs w:val="21"/>
              </w:rPr>
            </w:pPr>
            <w:r>
              <w:rPr>
                <w:rFonts w:hint="eastAsia" w:ascii="宋体" w:hAnsi="宋体" w:cs="宋体"/>
                <w:szCs w:val="21"/>
              </w:rPr>
              <w:t>（2）评分查询：查询评分的情况，可分状态（审批和未审批）查看，并且可查看评分的详细情况，对不同状态使用不同颜色进行标识。</w:t>
            </w:r>
          </w:p>
          <w:p>
            <w:pPr>
              <w:pStyle w:val="124"/>
              <w:tabs>
                <w:tab w:val="left" w:pos="0"/>
              </w:tabs>
              <w:autoSpaceDE w:val="0"/>
              <w:autoSpaceDN w:val="0"/>
              <w:adjustRightInd w:val="0"/>
              <w:snapToGrid w:val="0"/>
              <w:spacing w:line="300" w:lineRule="auto"/>
              <w:ind w:left="105" w:right="105" w:rightChars="50"/>
              <w:jc w:val="left"/>
              <w:rPr>
                <w:rFonts w:ascii="宋体" w:hAnsi="宋体" w:cs="宋体"/>
                <w:szCs w:val="21"/>
              </w:rPr>
            </w:pPr>
            <w:r>
              <w:rPr>
                <w:rFonts w:hint="eastAsia" w:ascii="宋体" w:hAnsi="宋体" w:cs="宋体"/>
                <w:szCs w:val="21"/>
              </w:rPr>
              <w:t>（3）组长审核：授权组长可审核未审批的评分项目。</w:t>
            </w:r>
          </w:p>
          <w:p>
            <w:pPr>
              <w:tabs>
                <w:tab w:val="left" w:pos="0"/>
              </w:tabs>
              <w:autoSpaceDE w:val="0"/>
              <w:autoSpaceDN w:val="0"/>
              <w:adjustRightInd w:val="0"/>
              <w:snapToGrid w:val="0"/>
              <w:spacing w:line="300" w:lineRule="auto"/>
              <w:ind w:left="105" w:leftChars="50" w:right="105" w:rightChars="50"/>
              <w:jc w:val="left"/>
              <w:rPr>
                <w:rFonts w:ascii="宋体" w:hAnsi="宋体" w:cs="宋体"/>
                <w:szCs w:val="21"/>
              </w:rPr>
            </w:pPr>
            <w:r>
              <w:rPr>
                <w:rFonts w:hint="eastAsia" w:ascii="宋体" w:hAnsi="宋体" w:cs="宋体"/>
                <w:szCs w:val="21"/>
              </w:rPr>
              <w:t>2.宿舍评分管理：根据值日岗位设置信息按授权进行登录</w:t>
            </w:r>
          </w:p>
          <w:p>
            <w:pPr>
              <w:pStyle w:val="124"/>
              <w:tabs>
                <w:tab w:val="left" w:pos="0"/>
              </w:tabs>
              <w:autoSpaceDE w:val="0"/>
              <w:autoSpaceDN w:val="0"/>
              <w:adjustRightInd w:val="0"/>
              <w:snapToGrid w:val="0"/>
              <w:spacing w:line="300" w:lineRule="auto"/>
              <w:ind w:right="105" w:rightChars="50"/>
              <w:jc w:val="left"/>
              <w:rPr>
                <w:rFonts w:ascii="宋体" w:hAnsi="宋体" w:cs="宋体"/>
                <w:szCs w:val="21"/>
              </w:rPr>
            </w:pPr>
            <w:r>
              <w:rPr>
                <w:rFonts w:hint="eastAsia" w:ascii="宋体" w:hAnsi="宋体" w:cs="宋体"/>
                <w:szCs w:val="21"/>
              </w:rPr>
              <w:t>（1）评分录入：包含宿舍楼及层选择、评分项目选择、评分分值选择、评分描述及照片拍照或浏览上传，可选择宿舍关联的学生等操作；评分录入完之后，点击提交，跳转此页面，点击继续按钮后，需要仍旧保留在评分录入界面，不需返回首页，并且保留上一次填写的内容。</w:t>
            </w:r>
          </w:p>
          <w:p>
            <w:pPr>
              <w:pStyle w:val="124"/>
              <w:tabs>
                <w:tab w:val="left" w:pos="0"/>
              </w:tabs>
              <w:autoSpaceDE w:val="0"/>
              <w:autoSpaceDN w:val="0"/>
              <w:adjustRightInd w:val="0"/>
              <w:snapToGrid w:val="0"/>
              <w:spacing w:line="300" w:lineRule="auto"/>
              <w:ind w:left="105" w:right="105" w:rightChars="50"/>
              <w:jc w:val="left"/>
              <w:rPr>
                <w:rFonts w:ascii="宋体" w:hAnsi="宋体" w:cs="宋体"/>
                <w:szCs w:val="21"/>
              </w:rPr>
            </w:pPr>
            <w:r>
              <w:rPr>
                <w:rFonts w:hint="eastAsia" w:ascii="宋体" w:hAnsi="宋体" w:cs="宋体"/>
                <w:szCs w:val="21"/>
              </w:rPr>
              <w:t>（2）评分查询：查询评分的情况，可分状态（审批和未审批）查看，并且可查看评分的详细情况，对不同状态使用不同颜色进行标识。</w:t>
            </w:r>
          </w:p>
          <w:p>
            <w:pPr>
              <w:pStyle w:val="124"/>
              <w:tabs>
                <w:tab w:val="left" w:pos="0"/>
              </w:tabs>
              <w:autoSpaceDE w:val="0"/>
              <w:autoSpaceDN w:val="0"/>
              <w:adjustRightInd w:val="0"/>
              <w:snapToGrid w:val="0"/>
              <w:spacing w:line="300" w:lineRule="auto"/>
              <w:ind w:left="105" w:right="105" w:rightChars="50"/>
              <w:jc w:val="left"/>
              <w:rPr>
                <w:rFonts w:ascii="宋体" w:hAnsi="宋体" w:cs="宋体"/>
                <w:szCs w:val="21"/>
              </w:rPr>
            </w:pPr>
            <w:r>
              <w:rPr>
                <w:rFonts w:hint="eastAsia" w:ascii="宋体" w:hAnsi="宋体" w:cs="宋体"/>
                <w:szCs w:val="21"/>
              </w:rPr>
              <w:t>3.班主任考勤：增加值日教师与宿管对班主任的点到考勤功能，可分项目进行评分，可记录评分描述。</w:t>
            </w:r>
          </w:p>
          <w:p>
            <w:pPr>
              <w:tabs>
                <w:tab w:val="left" w:pos="0"/>
              </w:tabs>
              <w:autoSpaceDE w:val="0"/>
              <w:autoSpaceDN w:val="0"/>
              <w:adjustRightInd w:val="0"/>
              <w:snapToGrid w:val="0"/>
              <w:spacing w:line="300" w:lineRule="auto"/>
              <w:ind w:left="105" w:leftChars="50" w:right="105" w:rightChars="50"/>
              <w:jc w:val="left"/>
              <w:rPr>
                <w:rFonts w:ascii="宋体" w:hAnsi="宋体" w:cs="宋体"/>
                <w:szCs w:val="21"/>
              </w:rPr>
            </w:pPr>
            <w:r>
              <w:rPr>
                <w:rFonts w:hint="eastAsia" w:ascii="宋体" w:hAnsi="宋体" w:cs="宋体"/>
                <w:szCs w:val="21"/>
              </w:rPr>
              <w:t>4.早晚自习考勤：增加值日教师对早读教师的点到考勤功能需可导入各个班级的早读人员安排表，并且管理员可单个维护人员，添加，删除；增加晚自习答疑教师的点到，需晚自习第二节与第三节对答疑教师考勤，需可导入各个班级各个节次的答疑人员安排表，并且管理员可单个维护；增加早自习晚自习班级人员考勤，显示、总人员、实到人数、请假人员 、缺勤人数、备注：总人数，要么可配置，要么根据班级人数自动判断。其他人数由打分人员填写，并添加备注栏</w:t>
            </w:r>
          </w:p>
          <w:p>
            <w:pPr>
              <w:tabs>
                <w:tab w:val="left" w:pos="0"/>
              </w:tabs>
              <w:autoSpaceDE w:val="0"/>
              <w:autoSpaceDN w:val="0"/>
              <w:adjustRightInd w:val="0"/>
              <w:snapToGrid w:val="0"/>
              <w:spacing w:line="300" w:lineRule="auto"/>
              <w:ind w:left="105" w:leftChars="50" w:right="105" w:rightChars="50"/>
              <w:jc w:val="left"/>
              <w:rPr>
                <w:rFonts w:ascii="宋体" w:hAnsi="宋体" w:cs="宋体"/>
                <w:szCs w:val="21"/>
              </w:rPr>
            </w:pPr>
            <w:r>
              <w:rPr>
                <w:rFonts w:hint="eastAsia" w:ascii="宋体" w:hAnsi="宋体" w:cs="宋体"/>
                <w:szCs w:val="21"/>
              </w:rPr>
              <w:t>早晚自习的，早读项里，增加班级分项打分内容。内容需要可配置</w:t>
            </w:r>
          </w:p>
          <w:p>
            <w:pPr>
              <w:tabs>
                <w:tab w:val="left" w:pos="0"/>
              </w:tabs>
              <w:autoSpaceDE w:val="0"/>
              <w:autoSpaceDN w:val="0"/>
              <w:adjustRightInd w:val="0"/>
              <w:snapToGrid w:val="0"/>
              <w:spacing w:line="300" w:lineRule="auto"/>
              <w:ind w:left="105" w:leftChars="50" w:right="105" w:rightChars="50"/>
              <w:jc w:val="left"/>
              <w:rPr>
                <w:rFonts w:ascii="宋体" w:hAnsi="宋体" w:cs="宋体"/>
                <w:szCs w:val="21"/>
              </w:rPr>
            </w:pPr>
            <w:r>
              <w:rPr>
                <w:rFonts w:hint="eastAsia" w:ascii="宋体" w:hAnsi="宋体" w:cs="宋体"/>
                <w:szCs w:val="21"/>
              </w:rPr>
              <w:t>早晚自修答疑教师考勤，对未知教师增加、更换、按钮。</w:t>
            </w:r>
          </w:p>
          <w:p>
            <w:pPr>
              <w:tabs>
                <w:tab w:val="left" w:pos="0"/>
              </w:tabs>
              <w:autoSpaceDE w:val="0"/>
              <w:autoSpaceDN w:val="0"/>
              <w:adjustRightInd w:val="0"/>
              <w:snapToGrid w:val="0"/>
              <w:spacing w:line="300" w:lineRule="auto"/>
              <w:ind w:left="105" w:leftChars="50" w:right="105" w:rightChars="50"/>
              <w:jc w:val="left"/>
              <w:rPr>
                <w:rFonts w:ascii="宋体" w:hAnsi="宋体" w:cs="宋体"/>
                <w:szCs w:val="21"/>
              </w:rPr>
            </w:pPr>
            <w:r>
              <w:rPr>
                <w:rFonts w:hint="eastAsia" w:ascii="宋体" w:hAnsi="宋体" w:cs="宋体"/>
                <w:szCs w:val="21"/>
              </w:rPr>
              <w:t>早晚自修学生考勤，在请假与缺勤人数后面增加一个按钮，可多选班级内人员，学校需要登记详细的 请假与缺勤人员。</w:t>
            </w:r>
          </w:p>
          <w:p>
            <w:pPr>
              <w:pStyle w:val="124"/>
              <w:tabs>
                <w:tab w:val="left" w:pos="0"/>
              </w:tabs>
              <w:autoSpaceDE w:val="0"/>
              <w:autoSpaceDN w:val="0"/>
              <w:adjustRightInd w:val="0"/>
              <w:snapToGrid w:val="0"/>
              <w:spacing w:line="300" w:lineRule="auto"/>
              <w:ind w:left="105" w:right="105" w:rightChars="50"/>
              <w:jc w:val="left"/>
              <w:rPr>
                <w:rFonts w:ascii="宋体" w:hAnsi="宋体" w:cs="宋体"/>
                <w:szCs w:val="21"/>
              </w:rPr>
            </w:pPr>
            <w:r>
              <w:rPr>
                <w:rFonts w:hint="eastAsia" w:ascii="宋体" w:hAnsi="宋体" w:cs="宋体"/>
                <w:szCs w:val="21"/>
              </w:rPr>
              <w:t>5.工作责任：可查看授权岗位的评分工作内容，支持多个岗位责任的分项显示。</w:t>
            </w:r>
          </w:p>
          <w:p>
            <w:pPr>
              <w:pStyle w:val="124"/>
              <w:snapToGrid w:val="0"/>
              <w:spacing w:line="300" w:lineRule="auto"/>
              <w:ind w:left="105" w:leftChars="50" w:right="105" w:rightChars="50"/>
              <w:jc w:val="left"/>
              <w:rPr>
                <w:rFonts w:ascii="宋体" w:hAnsi="宋体" w:cs="宋体"/>
                <w:szCs w:val="21"/>
              </w:rPr>
            </w:pPr>
            <w:r>
              <w:rPr>
                <w:rFonts w:hint="eastAsia" w:ascii="宋体" w:hAnsi="宋体" w:cs="宋体"/>
                <w:szCs w:val="21"/>
              </w:rPr>
              <w:t>6.数据字典：数据字典是系统全局变量的管理模块，实现了对全局变量的增删改查操作。</w:t>
            </w:r>
          </w:p>
          <w:p>
            <w:pPr>
              <w:pStyle w:val="124"/>
              <w:tabs>
                <w:tab w:val="left" w:pos="0"/>
              </w:tabs>
              <w:autoSpaceDE w:val="0"/>
              <w:autoSpaceDN w:val="0"/>
              <w:adjustRightInd w:val="0"/>
              <w:snapToGrid w:val="0"/>
              <w:spacing w:line="300" w:lineRule="auto"/>
              <w:ind w:left="105" w:right="105" w:rightChars="50"/>
              <w:jc w:val="left"/>
              <w:rPr>
                <w:rFonts w:ascii="宋体" w:hAnsi="宋体" w:cs="宋体"/>
                <w:szCs w:val="21"/>
              </w:rPr>
            </w:pPr>
            <w:r>
              <w:rPr>
                <w:rFonts w:hint="eastAsia" w:ascii="宋体" w:hAnsi="宋体" w:cs="宋体"/>
                <w:szCs w:val="21"/>
              </w:rPr>
              <w:t>数据字典列表显示了整个系统中的数据字典层次结构；数据字典编辑部分实现对某一具体数据字典的内容的增删改操作。</w:t>
            </w:r>
          </w:p>
          <w:p>
            <w:pPr>
              <w:pStyle w:val="124"/>
              <w:numPr>
                <w:ilvl w:val="0"/>
                <w:numId w:val="5"/>
              </w:numPr>
              <w:snapToGrid w:val="0"/>
              <w:spacing w:line="300" w:lineRule="auto"/>
              <w:ind w:left="105" w:leftChars="50" w:right="105" w:rightChars="50"/>
              <w:jc w:val="left"/>
              <w:rPr>
                <w:rFonts w:ascii="宋体" w:hAnsi="宋体" w:cs="宋体"/>
                <w:szCs w:val="21"/>
              </w:rPr>
            </w:pPr>
            <w:r>
              <w:rPr>
                <w:rFonts w:hint="eastAsia" w:ascii="宋体" w:hAnsi="宋体" w:cs="宋体"/>
                <w:szCs w:val="21"/>
              </w:rPr>
              <w:t>系统配置：系统配置是实现学年设置、系统设置以及年级组长的功能模块。</w:t>
            </w:r>
          </w:p>
          <w:p>
            <w:pPr>
              <w:snapToGrid w:val="0"/>
              <w:spacing w:line="300" w:lineRule="auto"/>
              <w:ind w:left="105" w:leftChars="50" w:right="105" w:rightChars="50"/>
              <w:jc w:val="left"/>
              <w:rPr>
                <w:rFonts w:ascii="宋体" w:hAnsi="宋体" w:cs="宋体"/>
                <w:szCs w:val="21"/>
              </w:rPr>
            </w:pPr>
            <w:r>
              <w:rPr>
                <w:rFonts w:hint="eastAsia" w:ascii="宋体" w:hAnsi="宋体" w:cs="宋体"/>
                <w:szCs w:val="21"/>
              </w:rPr>
              <w:t>权限管理实现对各功能模块的权限管理。</w:t>
            </w:r>
          </w:p>
          <w:p>
            <w:pPr>
              <w:pStyle w:val="124"/>
              <w:numPr>
                <w:ilvl w:val="0"/>
                <w:numId w:val="5"/>
              </w:numPr>
              <w:snapToGrid w:val="0"/>
              <w:spacing w:line="300" w:lineRule="auto"/>
              <w:ind w:left="105" w:leftChars="50" w:right="105" w:rightChars="50"/>
              <w:jc w:val="left"/>
              <w:rPr>
                <w:rFonts w:ascii="宋体" w:hAnsi="宋体" w:cs="宋体"/>
                <w:szCs w:val="21"/>
              </w:rPr>
            </w:pPr>
            <w:r>
              <w:rPr>
                <w:rFonts w:hint="eastAsia" w:ascii="宋体" w:hAnsi="宋体" w:cs="宋体"/>
                <w:szCs w:val="21"/>
              </w:rPr>
              <w:t>权限管理的权限资源树列出了系统中所有权限类型与具体权限内容，可进行预览，并对选中的权限条目进行修改。</w:t>
            </w:r>
          </w:p>
          <w:p>
            <w:pPr>
              <w:pStyle w:val="124"/>
              <w:numPr>
                <w:ilvl w:val="0"/>
                <w:numId w:val="5"/>
              </w:numPr>
              <w:tabs>
                <w:tab w:val="left" w:pos="0"/>
                <w:tab w:val="clear" w:pos="312"/>
              </w:tabs>
              <w:autoSpaceDE w:val="0"/>
              <w:autoSpaceDN w:val="0"/>
              <w:adjustRightInd w:val="0"/>
              <w:snapToGrid w:val="0"/>
              <w:spacing w:line="300" w:lineRule="auto"/>
              <w:ind w:left="105" w:leftChars="50" w:right="105" w:rightChars="50"/>
              <w:jc w:val="left"/>
              <w:rPr>
                <w:rFonts w:ascii="宋体" w:hAnsi="宋体" w:cs="宋体"/>
                <w:szCs w:val="21"/>
              </w:rPr>
            </w:pPr>
            <w:r>
              <w:rPr>
                <w:rFonts w:hint="eastAsia" w:ascii="宋体" w:hAnsi="宋体" w:cs="宋体"/>
                <w:szCs w:val="21"/>
              </w:rPr>
              <w:t>角色管理实现查看系统所有用户的角色并进行修改、删除、授权以及新增用户操作。</w:t>
            </w:r>
          </w:p>
          <w:p>
            <w:pPr>
              <w:pStyle w:val="124"/>
              <w:tabs>
                <w:tab w:val="left" w:pos="0"/>
              </w:tabs>
              <w:autoSpaceDE w:val="0"/>
              <w:autoSpaceDN w:val="0"/>
              <w:adjustRightInd w:val="0"/>
              <w:snapToGrid w:val="0"/>
              <w:spacing w:line="300" w:lineRule="auto"/>
              <w:ind w:left="105" w:leftChars="50" w:right="105" w:rightChars="50"/>
              <w:jc w:val="left"/>
              <w:rPr>
                <w:rFonts w:ascii="宋体" w:hAnsi="宋体" w:cs="宋体"/>
                <w:szCs w:val="21"/>
              </w:rPr>
            </w:pPr>
            <w:r>
              <w:rPr>
                <w:rFonts w:hint="eastAsia" w:ascii="宋体" w:hAnsi="宋体" w:cs="宋体"/>
                <w:szCs w:val="21"/>
              </w:rPr>
              <w:t>10.部门管理实现显示学校部门设立情况并可进行修改、新增、删除部门操作。</w:t>
            </w:r>
          </w:p>
          <w:p>
            <w:pPr>
              <w:pStyle w:val="124"/>
              <w:tabs>
                <w:tab w:val="left" w:pos="0"/>
              </w:tabs>
              <w:autoSpaceDE w:val="0"/>
              <w:autoSpaceDN w:val="0"/>
              <w:adjustRightInd w:val="0"/>
              <w:snapToGrid w:val="0"/>
              <w:spacing w:line="300" w:lineRule="auto"/>
              <w:ind w:left="105" w:leftChars="50" w:right="105" w:rightChars="50"/>
              <w:jc w:val="left"/>
              <w:rPr>
                <w:rFonts w:ascii="宋体" w:hAnsi="宋体" w:cs="宋体"/>
                <w:szCs w:val="21"/>
              </w:rPr>
            </w:pPr>
            <w:r>
              <w:rPr>
                <w:rFonts w:hint="eastAsia" w:ascii="宋体" w:hAnsi="宋体" w:cs="宋体"/>
                <w:szCs w:val="21"/>
              </w:rPr>
              <w:t>11.教室管理实现对教室的查询、新增、删除和修改操作。</w:t>
            </w:r>
          </w:p>
          <w:p>
            <w:pPr>
              <w:pStyle w:val="124"/>
              <w:tabs>
                <w:tab w:val="left" w:pos="0"/>
              </w:tabs>
              <w:autoSpaceDE w:val="0"/>
              <w:autoSpaceDN w:val="0"/>
              <w:adjustRightInd w:val="0"/>
              <w:snapToGrid w:val="0"/>
              <w:spacing w:line="300" w:lineRule="auto"/>
              <w:ind w:left="105" w:leftChars="50" w:right="105" w:rightChars="50"/>
              <w:jc w:val="left"/>
              <w:rPr>
                <w:rFonts w:ascii="宋体" w:hAnsi="宋体" w:cs="宋体"/>
                <w:szCs w:val="21"/>
              </w:rPr>
            </w:pPr>
            <w:r>
              <w:rPr>
                <w:rFonts w:hint="eastAsia" w:ascii="宋体" w:hAnsi="宋体" w:cs="宋体"/>
                <w:szCs w:val="21"/>
              </w:rPr>
              <w:t>12.修改密码实现对用户密码的修改。</w:t>
            </w:r>
          </w:p>
          <w:p>
            <w:pPr>
              <w:pStyle w:val="124"/>
              <w:tabs>
                <w:tab w:val="left" w:pos="0"/>
              </w:tabs>
              <w:autoSpaceDE w:val="0"/>
              <w:autoSpaceDN w:val="0"/>
              <w:adjustRightInd w:val="0"/>
              <w:snapToGrid w:val="0"/>
              <w:spacing w:line="300" w:lineRule="auto"/>
              <w:ind w:left="105" w:leftChars="50" w:right="105" w:rightChars="50"/>
              <w:jc w:val="left"/>
              <w:rPr>
                <w:rFonts w:ascii="宋体" w:hAnsi="宋体" w:cs="宋体"/>
                <w:szCs w:val="21"/>
              </w:rPr>
            </w:pPr>
            <w:r>
              <w:rPr>
                <w:rFonts w:hint="eastAsia" w:ascii="宋体" w:hAnsi="宋体" w:cs="宋体"/>
                <w:szCs w:val="21"/>
              </w:rPr>
              <w:t>13.学校管理实现对学校的查询、新增、删除、修改和增加图片操作。</w:t>
            </w:r>
          </w:p>
          <w:p>
            <w:pPr>
              <w:pStyle w:val="124"/>
              <w:tabs>
                <w:tab w:val="left" w:pos="0"/>
              </w:tabs>
              <w:autoSpaceDE w:val="0"/>
              <w:autoSpaceDN w:val="0"/>
              <w:adjustRightInd w:val="0"/>
              <w:snapToGrid w:val="0"/>
              <w:spacing w:line="300" w:lineRule="auto"/>
              <w:ind w:left="105" w:leftChars="50" w:right="105" w:rightChars="50"/>
              <w:jc w:val="left"/>
              <w:rPr>
                <w:rFonts w:ascii="宋体" w:hAnsi="宋体" w:cs="宋体"/>
                <w:szCs w:val="21"/>
              </w:rPr>
            </w:pPr>
            <w:r>
              <w:rPr>
                <w:rFonts w:hint="eastAsia" w:ascii="宋体" w:hAnsi="宋体" w:cs="宋体"/>
                <w:szCs w:val="21"/>
              </w:rPr>
              <w:t>14.打分结果可以实时推送至相关班牌，段牌，校牌。</w:t>
            </w:r>
          </w:p>
          <w:p>
            <w:pPr>
              <w:pStyle w:val="124"/>
              <w:tabs>
                <w:tab w:val="left" w:pos="0"/>
              </w:tabs>
              <w:autoSpaceDE w:val="0"/>
              <w:autoSpaceDN w:val="0"/>
              <w:adjustRightInd w:val="0"/>
              <w:snapToGrid w:val="0"/>
              <w:spacing w:line="300" w:lineRule="auto"/>
              <w:ind w:left="105" w:leftChars="50" w:right="105" w:rightChars="50"/>
              <w:jc w:val="left"/>
              <w:rPr>
                <w:rFonts w:ascii="宋体" w:hAnsi="宋体" w:cs="宋体"/>
                <w:bCs/>
                <w:szCs w:val="21"/>
              </w:rPr>
            </w:pPr>
            <w:r>
              <w:rPr>
                <w:rFonts w:hint="eastAsia" w:ascii="宋体" w:hAnsi="宋体" w:cs="宋体"/>
                <w:bCs/>
                <w:color w:val="FF0000"/>
                <w:szCs w:val="21"/>
              </w:rPr>
              <w:t>★提供现场演示</w:t>
            </w:r>
          </w:p>
        </w:tc>
        <w:tc>
          <w:tcPr>
            <w:tcW w:w="915" w:type="dxa"/>
            <w:vAlign w:val="center"/>
          </w:tcPr>
          <w:p>
            <w:pPr>
              <w:ind w:firstLine="420" w:firstLineChars="200"/>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7" w:hRule="atLeast"/>
        </w:trPr>
        <w:tc>
          <w:tcPr>
            <w:tcW w:w="446" w:type="dxa"/>
            <w:vAlign w:val="center"/>
          </w:tcPr>
          <w:p>
            <w:pPr>
              <w:jc w:val="center"/>
              <w:rPr>
                <w:rFonts w:ascii="宋体" w:hAnsi="宋体" w:cs="宋体"/>
                <w:bCs/>
                <w:szCs w:val="21"/>
              </w:rPr>
            </w:pPr>
            <w:r>
              <w:rPr>
                <w:rFonts w:hint="eastAsia" w:ascii="宋体" w:hAnsi="宋体" w:cs="宋体"/>
                <w:bCs/>
                <w:szCs w:val="21"/>
              </w:rPr>
              <w:t>35</w:t>
            </w:r>
          </w:p>
        </w:tc>
        <w:tc>
          <w:tcPr>
            <w:tcW w:w="841" w:type="dxa"/>
            <w:vAlign w:val="center"/>
          </w:tcPr>
          <w:p>
            <w:pPr>
              <w:jc w:val="left"/>
              <w:rPr>
                <w:rFonts w:ascii="宋体" w:hAnsi="宋体" w:cs="宋体"/>
                <w:szCs w:val="21"/>
              </w:rPr>
            </w:pPr>
            <w:r>
              <w:rPr>
                <w:rFonts w:hint="eastAsia" w:ascii="宋体" w:hAnsi="宋体" w:cs="宋体"/>
                <w:szCs w:val="21"/>
              </w:rPr>
              <w:t>存储器</w:t>
            </w:r>
          </w:p>
        </w:tc>
        <w:tc>
          <w:tcPr>
            <w:tcW w:w="7227" w:type="dxa"/>
            <w:vAlign w:val="center"/>
          </w:tcPr>
          <w:p>
            <w:pPr>
              <w:pStyle w:val="124"/>
              <w:numPr>
                <w:ilvl w:val="0"/>
                <w:numId w:val="6"/>
              </w:numPr>
              <w:tabs>
                <w:tab w:val="left" w:pos="0"/>
                <w:tab w:val="clear" w:pos="312"/>
              </w:tabs>
              <w:autoSpaceDE w:val="0"/>
              <w:autoSpaceDN w:val="0"/>
              <w:adjustRightInd w:val="0"/>
              <w:snapToGrid w:val="0"/>
              <w:spacing w:line="300" w:lineRule="auto"/>
              <w:ind w:left="105" w:leftChars="50" w:right="105" w:rightChars="50"/>
              <w:jc w:val="left"/>
              <w:rPr>
                <w:rFonts w:ascii="宋体" w:hAnsi="宋体" w:cs="宋体"/>
                <w:bCs/>
                <w:szCs w:val="21"/>
              </w:rPr>
            </w:pPr>
            <w:r>
              <w:rPr>
                <w:rFonts w:hint="eastAsia" w:ascii="宋体" w:hAnsi="宋体" w:cs="宋体"/>
                <w:bCs/>
                <w:szCs w:val="21"/>
              </w:rPr>
              <w:t>基本要求：国产知名存储厂商，非联合品牌；IDC排名国产品牌前3名。</w:t>
            </w:r>
          </w:p>
          <w:p>
            <w:pPr>
              <w:pStyle w:val="124"/>
              <w:numPr>
                <w:ilvl w:val="0"/>
                <w:numId w:val="6"/>
              </w:numPr>
              <w:tabs>
                <w:tab w:val="left" w:pos="0"/>
                <w:tab w:val="clear" w:pos="312"/>
              </w:tabs>
              <w:autoSpaceDE w:val="0"/>
              <w:autoSpaceDN w:val="0"/>
              <w:adjustRightInd w:val="0"/>
              <w:snapToGrid w:val="0"/>
              <w:spacing w:line="300" w:lineRule="auto"/>
              <w:ind w:left="105" w:leftChars="50" w:right="105" w:rightChars="50"/>
              <w:jc w:val="left"/>
              <w:rPr>
                <w:rFonts w:ascii="宋体" w:hAnsi="宋体" w:cs="宋体"/>
                <w:bCs/>
                <w:szCs w:val="21"/>
              </w:rPr>
            </w:pPr>
            <w:r>
              <w:rPr>
                <w:rFonts w:hint="eastAsia" w:ascii="宋体" w:hAnsi="宋体" w:cs="宋体"/>
                <w:bCs/>
                <w:szCs w:val="21"/>
              </w:rPr>
              <w:t>★产品描述：双控Active-Active架构，SAN构采用SAN统一集成的控制器架构，统一管理；（具备FC/IP SAN融合组网能力）；</w:t>
            </w:r>
          </w:p>
          <w:p>
            <w:pPr>
              <w:pStyle w:val="124"/>
              <w:numPr>
                <w:ilvl w:val="0"/>
                <w:numId w:val="6"/>
              </w:numPr>
              <w:tabs>
                <w:tab w:val="left" w:pos="0"/>
                <w:tab w:val="clear" w:pos="312"/>
              </w:tabs>
              <w:autoSpaceDE w:val="0"/>
              <w:autoSpaceDN w:val="0"/>
              <w:adjustRightInd w:val="0"/>
              <w:snapToGrid w:val="0"/>
              <w:spacing w:line="300" w:lineRule="auto"/>
              <w:ind w:left="105" w:leftChars="50" w:right="105" w:rightChars="50"/>
              <w:jc w:val="left"/>
              <w:rPr>
                <w:rFonts w:ascii="宋体" w:hAnsi="宋体" w:cs="宋体"/>
                <w:bCs/>
                <w:szCs w:val="21"/>
              </w:rPr>
            </w:pPr>
            <w:r>
              <w:rPr>
                <w:rFonts w:hint="eastAsia" w:ascii="宋体" w:hAnsi="宋体" w:cs="宋体"/>
                <w:bCs/>
                <w:szCs w:val="21"/>
              </w:rPr>
              <w:t>★ 体系架构：本次配置控制器数量≥2；控制器冗余设计，支持在线更换控制器；在线升级存储系统，无须停机，具备控制器故障自动切换和自动重建功能，无单点故障影响数据的有效性；</w:t>
            </w:r>
          </w:p>
          <w:p>
            <w:pPr>
              <w:pStyle w:val="124"/>
              <w:numPr>
                <w:ilvl w:val="0"/>
                <w:numId w:val="6"/>
              </w:numPr>
              <w:tabs>
                <w:tab w:val="left" w:pos="0"/>
                <w:tab w:val="clear" w:pos="312"/>
              </w:tabs>
              <w:autoSpaceDE w:val="0"/>
              <w:autoSpaceDN w:val="0"/>
              <w:adjustRightInd w:val="0"/>
              <w:snapToGrid w:val="0"/>
              <w:spacing w:line="300" w:lineRule="auto"/>
              <w:ind w:left="105" w:leftChars="50" w:right="105" w:rightChars="50"/>
              <w:jc w:val="left"/>
              <w:rPr>
                <w:rFonts w:ascii="宋体" w:hAnsi="宋体" w:cs="宋体"/>
                <w:bCs/>
                <w:szCs w:val="21"/>
              </w:rPr>
            </w:pPr>
            <w:r>
              <w:rPr>
                <w:rFonts w:hint="eastAsia" w:ascii="宋体" w:hAnsi="宋体" w:cs="宋体"/>
                <w:bCs/>
                <w:szCs w:val="21"/>
              </w:rPr>
              <w:t>控制柜：支持2U12/2U25(最大支持10个扩展柜)；支持3U48/5U92(最大支持6个扩展柜)。</w:t>
            </w:r>
          </w:p>
          <w:p>
            <w:pPr>
              <w:pStyle w:val="124"/>
              <w:numPr>
                <w:ilvl w:val="0"/>
                <w:numId w:val="6"/>
              </w:numPr>
              <w:tabs>
                <w:tab w:val="left" w:pos="0"/>
                <w:tab w:val="clear" w:pos="312"/>
              </w:tabs>
              <w:autoSpaceDE w:val="0"/>
              <w:autoSpaceDN w:val="0"/>
              <w:adjustRightInd w:val="0"/>
              <w:snapToGrid w:val="0"/>
              <w:spacing w:line="300" w:lineRule="auto"/>
              <w:ind w:left="105" w:leftChars="50" w:right="105" w:rightChars="50"/>
              <w:jc w:val="left"/>
              <w:rPr>
                <w:rFonts w:ascii="宋体" w:hAnsi="宋体" w:cs="宋体"/>
                <w:bCs/>
                <w:szCs w:val="21"/>
              </w:rPr>
            </w:pPr>
            <w:r>
              <w:rPr>
                <w:rFonts w:hint="eastAsia" w:ascii="宋体" w:hAnsi="宋体" w:cs="宋体"/>
                <w:bCs/>
                <w:szCs w:val="21"/>
              </w:rPr>
              <w:t>★控制柜硬盘数量：最大393；2U单柜：最大12/25本次需配置浪潮AS2200G2（12）主机柜1个及AS2200G2扩展柜 ，2U12盘位; 48Gb SAS3.0端口1个 。</w:t>
            </w:r>
          </w:p>
          <w:p>
            <w:pPr>
              <w:pStyle w:val="124"/>
              <w:numPr>
                <w:ilvl w:val="0"/>
                <w:numId w:val="6"/>
              </w:numPr>
              <w:tabs>
                <w:tab w:val="left" w:pos="0"/>
                <w:tab w:val="clear" w:pos="312"/>
              </w:tabs>
              <w:autoSpaceDE w:val="0"/>
              <w:autoSpaceDN w:val="0"/>
              <w:adjustRightInd w:val="0"/>
              <w:snapToGrid w:val="0"/>
              <w:spacing w:line="300" w:lineRule="auto"/>
              <w:ind w:left="105" w:leftChars="50" w:right="105" w:rightChars="50"/>
              <w:jc w:val="left"/>
              <w:rPr>
                <w:rFonts w:ascii="宋体" w:hAnsi="宋体" w:cs="宋体"/>
                <w:bCs/>
                <w:szCs w:val="21"/>
              </w:rPr>
            </w:pPr>
            <w:r>
              <w:rPr>
                <w:rFonts w:hint="eastAsia" w:ascii="宋体" w:hAnsi="宋体" w:cs="宋体"/>
                <w:bCs/>
                <w:szCs w:val="21"/>
              </w:rPr>
              <w:t>系统盘：采用内置SSD盘作为存储系统盘，机械硬盘做RAID模式；同时系统盘可以做cache数据掉电保护。</w:t>
            </w:r>
          </w:p>
          <w:p>
            <w:pPr>
              <w:pStyle w:val="124"/>
              <w:numPr>
                <w:ilvl w:val="0"/>
                <w:numId w:val="6"/>
              </w:numPr>
              <w:tabs>
                <w:tab w:val="left" w:pos="0"/>
                <w:tab w:val="clear" w:pos="312"/>
              </w:tabs>
              <w:autoSpaceDE w:val="0"/>
              <w:autoSpaceDN w:val="0"/>
              <w:adjustRightInd w:val="0"/>
              <w:snapToGrid w:val="0"/>
              <w:spacing w:line="300" w:lineRule="auto"/>
              <w:ind w:left="105" w:leftChars="50" w:right="105" w:rightChars="50"/>
              <w:jc w:val="left"/>
              <w:rPr>
                <w:rFonts w:ascii="宋体" w:hAnsi="宋体" w:cs="宋体"/>
                <w:bCs/>
                <w:szCs w:val="21"/>
              </w:rPr>
            </w:pPr>
            <w:r>
              <w:rPr>
                <w:rFonts w:hint="eastAsia" w:ascii="宋体" w:hAnsi="宋体" w:cs="宋体"/>
                <w:bCs/>
                <w:szCs w:val="21"/>
              </w:rPr>
              <w:t>★ 缓存配置容量：本次配置系统缓存64GB纯硬件缓存，非SSD、非高速Flash充当缓存或者非PC服务器内存）。</w:t>
            </w:r>
          </w:p>
          <w:p>
            <w:pPr>
              <w:pStyle w:val="124"/>
              <w:numPr>
                <w:ilvl w:val="0"/>
                <w:numId w:val="6"/>
              </w:numPr>
              <w:tabs>
                <w:tab w:val="left" w:pos="0"/>
                <w:tab w:val="clear" w:pos="312"/>
              </w:tabs>
              <w:autoSpaceDE w:val="0"/>
              <w:autoSpaceDN w:val="0"/>
              <w:adjustRightInd w:val="0"/>
              <w:snapToGrid w:val="0"/>
              <w:spacing w:line="300" w:lineRule="auto"/>
              <w:ind w:left="105" w:leftChars="50" w:right="105" w:rightChars="50"/>
              <w:jc w:val="left"/>
              <w:rPr>
                <w:rFonts w:ascii="宋体" w:hAnsi="宋体" w:cs="宋体"/>
                <w:bCs/>
                <w:szCs w:val="21"/>
              </w:rPr>
            </w:pPr>
            <w:r>
              <w:rPr>
                <w:rFonts w:hint="eastAsia" w:ascii="宋体" w:hAnsi="宋体" w:cs="宋体"/>
                <w:bCs/>
                <w:szCs w:val="21"/>
              </w:rPr>
              <w:t>★控制器通讯方式：两个虚拟化控制器之间通过PCI-E 3.0内部总线连接通讯和缓存数据镜像，非外部交换设备连接；</w:t>
            </w:r>
          </w:p>
          <w:p>
            <w:pPr>
              <w:pStyle w:val="124"/>
              <w:numPr>
                <w:ilvl w:val="0"/>
                <w:numId w:val="6"/>
              </w:numPr>
              <w:tabs>
                <w:tab w:val="left" w:pos="0"/>
                <w:tab w:val="clear" w:pos="312"/>
              </w:tabs>
              <w:autoSpaceDE w:val="0"/>
              <w:autoSpaceDN w:val="0"/>
              <w:adjustRightInd w:val="0"/>
              <w:snapToGrid w:val="0"/>
              <w:spacing w:line="300" w:lineRule="auto"/>
              <w:ind w:left="105" w:leftChars="50" w:right="105" w:rightChars="50"/>
              <w:jc w:val="left"/>
              <w:rPr>
                <w:rFonts w:ascii="宋体" w:hAnsi="宋体" w:cs="宋体"/>
                <w:bCs/>
                <w:szCs w:val="21"/>
              </w:rPr>
            </w:pPr>
            <w:r>
              <w:rPr>
                <w:rFonts w:hint="eastAsia" w:ascii="宋体" w:hAnsi="宋体" w:cs="宋体"/>
                <w:bCs/>
                <w:szCs w:val="21"/>
              </w:rPr>
              <w:t>★ 主机接口：支持8/16 Gb FC、1/10Gb iSCSI、10Gb等多协议主机接口；</w:t>
            </w:r>
          </w:p>
          <w:p>
            <w:pPr>
              <w:pStyle w:val="124"/>
              <w:tabs>
                <w:tab w:val="left" w:pos="0"/>
              </w:tabs>
              <w:autoSpaceDE w:val="0"/>
              <w:autoSpaceDN w:val="0"/>
              <w:adjustRightInd w:val="0"/>
              <w:snapToGrid w:val="0"/>
              <w:spacing w:line="300" w:lineRule="auto"/>
              <w:ind w:left="105" w:leftChars="50" w:right="105" w:rightChars="50"/>
              <w:jc w:val="left"/>
              <w:rPr>
                <w:rFonts w:ascii="宋体" w:hAnsi="宋体" w:cs="宋体"/>
                <w:bCs/>
                <w:szCs w:val="21"/>
              </w:rPr>
            </w:pPr>
            <w:r>
              <w:rPr>
                <w:rFonts w:hint="eastAsia" w:ascii="宋体" w:hAnsi="宋体" w:cs="宋体"/>
                <w:bCs/>
                <w:szCs w:val="21"/>
              </w:rPr>
              <w:t>10.★ 后端接口：提供4个12Gb SAS 3.0后端接口用于连接扩展柜，共提供192Gbps磁盘通道带宽；</w:t>
            </w:r>
          </w:p>
          <w:p>
            <w:pPr>
              <w:pStyle w:val="124"/>
              <w:tabs>
                <w:tab w:val="left" w:pos="0"/>
              </w:tabs>
              <w:autoSpaceDE w:val="0"/>
              <w:autoSpaceDN w:val="0"/>
              <w:adjustRightInd w:val="0"/>
              <w:snapToGrid w:val="0"/>
              <w:spacing w:line="300" w:lineRule="auto"/>
              <w:ind w:left="105" w:leftChars="50" w:right="105" w:rightChars="50"/>
              <w:jc w:val="left"/>
              <w:rPr>
                <w:rFonts w:ascii="宋体" w:hAnsi="宋体" w:cs="宋体"/>
                <w:bCs/>
                <w:szCs w:val="21"/>
              </w:rPr>
            </w:pPr>
            <w:r>
              <w:rPr>
                <w:rFonts w:hint="eastAsia" w:ascii="宋体" w:hAnsi="宋体" w:cs="宋体"/>
                <w:bCs/>
                <w:szCs w:val="21"/>
              </w:rPr>
              <w:t>11.掉电保护：支持缓存保护，并配置BBU电池保护模组，保证掉电时Cache数据可安全写入Flash或硬盘永久保存，实现断电保护Cache数据的目的。</w:t>
            </w:r>
          </w:p>
          <w:p>
            <w:pPr>
              <w:pStyle w:val="124"/>
              <w:tabs>
                <w:tab w:val="left" w:pos="0"/>
              </w:tabs>
              <w:autoSpaceDE w:val="0"/>
              <w:autoSpaceDN w:val="0"/>
              <w:adjustRightInd w:val="0"/>
              <w:snapToGrid w:val="0"/>
              <w:spacing w:line="300" w:lineRule="auto"/>
              <w:ind w:left="105" w:leftChars="50" w:right="105" w:rightChars="50"/>
              <w:jc w:val="left"/>
              <w:rPr>
                <w:rFonts w:ascii="宋体" w:hAnsi="宋体" w:cs="宋体"/>
                <w:bCs/>
                <w:szCs w:val="21"/>
              </w:rPr>
            </w:pPr>
            <w:r>
              <w:rPr>
                <w:rFonts w:hint="eastAsia" w:ascii="宋体" w:hAnsi="宋体" w:cs="宋体"/>
                <w:bCs/>
                <w:szCs w:val="21"/>
              </w:rPr>
              <w:t>12.硬盘实配容量：本次实际配置≥160T裸容量，采用20块8T硬盘；用配置磁盘数*磁盘容量。</w:t>
            </w:r>
          </w:p>
          <w:p>
            <w:pPr>
              <w:pStyle w:val="124"/>
              <w:tabs>
                <w:tab w:val="left" w:pos="0"/>
              </w:tabs>
              <w:autoSpaceDE w:val="0"/>
              <w:autoSpaceDN w:val="0"/>
              <w:adjustRightInd w:val="0"/>
              <w:snapToGrid w:val="0"/>
              <w:spacing w:line="300" w:lineRule="auto"/>
              <w:ind w:left="105" w:leftChars="50" w:right="105" w:rightChars="50"/>
              <w:jc w:val="left"/>
              <w:rPr>
                <w:rFonts w:ascii="宋体" w:hAnsi="宋体" w:cs="宋体"/>
                <w:bCs/>
                <w:szCs w:val="21"/>
              </w:rPr>
            </w:pPr>
            <w:r>
              <w:rPr>
                <w:rFonts w:hint="eastAsia" w:ascii="宋体" w:hAnsi="宋体" w:cs="宋体"/>
                <w:bCs/>
                <w:szCs w:val="21"/>
              </w:rPr>
              <w:t>13.磁盘保护：（1）RAID支持，支持RAID0, 1, 5, 6, 10,分布式RAID等；支持不同RAID类型在同一个磁盘箱内的共存；支持全局热备盘和热备空间两种模式。</w:t>
            </w:r>
          </w:p>
          <w:p>
            <w:pPr>
              <w:pStyle w:val="124"/>
              <w:tabs>
                <w:tab w:val="left" w:pos="0"/>
              </w:tabs>
              <w:autoSpaceDE w:val="0"/>
              <w:autoSpaceDN w:val="0"/>
              <w:adjustRightInd w:val="0"/>
              <w:snapToGrid w:val="0"/>
              <w:spacing w:line="300" w:lineRule="auto"/>
              <w:ind w:left="105" w:leftChars="50" w:right="105" w:rightChars="50"/>
              <w:jc w:val="left"/>
              <w:rPr>
                <w:rFonts w:ascii="宋体" w:hAnsi="宋体" w:cs="宋体"/>
                <w:bCs/>
                <w:szCs w:val="21"/>
              </w:rPr>
            </w:pPr>
            <w:r>
              <w:rPr>
                <w:rFonts w:hint="eastAsia" w:ascii="宋体" w:hAnsi="宋体" w:cs="宋体"/>
                <w:bCs/>
                <w:szCs w:val="21"/>
              </w:rPr>
              <w:t>14.扩展性：★最大硬盘数,单个存储系统最大可管理硬盘数≥393；</w:t>
            </w:r>
          </w:p>
          <w:p>
            <w:pPr>
              <w:pStyle w:val="124"/>
              <w:tabs>
                <w:tab w:val="left" w:pos="0"/>
              </w:tabs>
              <w:autoSpaceDE w:val="0"/>
              <w:autoSpaceDN w:val="0"/>
              <w:adjustRightInd w:val="0"/>
              <w:snapToGrid w:val="0"/>
              <w:spacing w:line="300" w:lineRule="auto"/>
              <w:ind w:left="105" w:leftChars="50" w:right="105" w:rightChars="50"/>
              <w:jc w:val="left"/>
              <w:rPr>
                <w:rFonts w:ascii="宋体" w:hAnsi="宋体" w:cs="宋体"/>
                <w:bCs/>
                <w:szCs w:val="21"/>
              </w:rPr>
            </w:pPr>
            <w:r>
              <w:rPr>
                <w:rFonts w:hint="eastAsia" w:ascii="宋体" w:hAnsi="宋体" w:cs="宋体"/>
                <w:bCs/>
                <w:szCs w:val="21"/>
              </w:rPr>
              <w:t>支持主机数量≥2048；最大LUN数量≥8192；</w:t>
            </w:r>
          </w:p>
          <w:p>
            <w:pPr>
              <w:pStyle w:val="124"/>
              <w:numPr>
                <w:ilvl w:val="0"/>
                <w:numId w:val="7"/>
              </w:numPr>
              <w:tabs>
                <w:tab w:val="left" w:pos="0"/>
                <w:tab w:val="clear" w:pos="312"/>
              </w:tabs>
              <w:autoSpaceDE w:val="0"/>
              <w:autoSpaceDN w:val="0"/>
              <w:adjustRightInd w:val="0"/>
              <w:snapToGrid w:val="0"/>
              <w:spacing w:line="300" w:lineRule="auto"/>
              <w:ind w:left="105" w:leftChars="50" w:right="105" w:rightChars="50"/>
              <w:jc w:val="left"/>
              <w:rPr>
                <w:rFonts w:ascii="宋体" w:hAnsi="宋体" w:cs="宋体"/>
                <w:bCs/>
                <w:szCs w:val="21"/>
              </w:rPr>
            </w:pPr>
            <w:r>
              <w:rPr>
                <w:rFonts w:hint="eastAsia" w:ascii="宋体" w:hAnsi="宋体" w:cs="宋体"/>
                <w:bCs/>
                <w:szCs w:val="21"/>
              </w:rPr>
              <w:t>软件:★ 自动分级,支持SSD、3D NAND SSD、SAS、NL-SAS四层分层架构，通过存储系统内部监测和统计功能，动态的将热点数据自动的迁移到高速的SSD硬盘上。</w:t>
            </w:r>
          </w:p>
          <w:p>
            <w:pPr>
              <w:pStyle w:val="124"/>
              <w:numPr>
                <w:ilvl w:val="0"/>
                <w:numId w:val="7"/>
              </w:numPr>
              <w:tabs>
                <w:tab w:val="left" w:pos="0"/>
                <w:tab w:val="clear" w:pos="312"/>
              </w:tabs>
              <w:autoSpaceDE w:val="0"/>
              <w:autoSpaceDN w:val="0"/>
              <w:adjustRightInd w:val="0"/>
              <w:snapToGrid w:val="0"/>
              <w:spacing w:line="300" w:lineRule="auto"/>
              <w:ind w:left="105" w:leftChars="50" w:right="105" w:rightChars="50"/>
              <w:jc w:val="left"/>
              <w:rPr>
                <w:rFonts w:ascii="宋体" w:hAnsi="宋体" w:cs="宋体"/>
                <w:bCs/>
                <w:szCs w:val="21"/>
              </w:rPr>
            </w:pPr>
            <w:r>
              <w:rPr>
                <w:rFonts w:hint="eastAsia" w:ascii="宋体" w:hAnsi="宋体" w:cs="宋体"/>
                <w:bCs/>
                <w:szCs w:val="21"/>
              </w:rPr>
              <w:t>★存储虚拟化：支持存储虚拟化功能，可以整合异构的FC存储阵列，通过虚拟化功能将存储资源统一管理和分配；支持业界主流厂商的FC阵列；</w:t>
            </w:r>
          </w:p>
          <w:p>
            <w:pPr>
              <w:pStyle w:val="124"/>
              <w:numPr>
                <w:ilvl w:val="0"/>
                <w:numId w:val="7"/>
              </w:numPr>
              <w:tabs>
                <w:tab w:val="left" w:pos="0"/>
                <w:tab w:val="clear" w:pos="312"/>
              </w:tabs>
              <w:autoSpaceDE w:val="0"/>
              <w:autoSpaceDN w:val="0"/>
              <w:adjustRightInd w:val="0"/>
              <w:snapToGrid w:val="0"/>
              <w:spacing w:line="300" w:lineRule="auto"/>
              <w:ind w:left="105" w:leftChars="50" w:right="105" w:rightChars="50"/>
              <w:jc w:val="left"/>
              <w:rPr>
                <w:rFonts w:ascii="宋体" w:hAnsi="宋体" w:cs="宋体"/>
                <w:bCs/>
                <w:szCs w:val="21"/>
              </w:rPr>
            </w:pPr>
            <w:r>
              <w:rPr>
                <w:rFonts w:hint="eastAsia" w:ascii="宋体" w:hAnsi="宋体" w:cs="宋体"/>
                <w:bCs/>
                <w:szCs w:val="21"/>
              </w:rPr>
              <w:t>★异构存储数据迁移:支持第三方存储数据在线无缝迁移到本存储上，提供安全高效的数据迁移服务。</w:t>
            </w:r>
          </w:p>
          <w:p>
            <w:pPr>
              <w:pStyle w:val="124"/>
              <w:numPr>
                <w:ilvl w:val="0"/>
                <w:numId w:val="7"/>
              </w:numPr>
              <w:tabs>
                <w:tab w:val="left" w:pos="0"/>
                <w:tab w:val="clear" w:pos="312"/>
              </w:tabs>
              <w:autoSpaceDE w:val="0"/>
              <w:autoSpaceDN w:val="0"/>
              <w:adjustRightInd w:val="0"/>
              <w:snapToGrid w:val="0"/>
              <w:spacing w:line="300" w:lineRule="auto"/>
              <w:ind w:left="105" w:leftChars="50" w:right="105" w:rightChars="50"/>
              <w:jc w:val="left"/>
              <w:rPr>
                <w:rFonts w:ascii="宋体" w:hAnsi="宋体" w:cs="宋体"/>
                <w:bCs/>
                <w:szCs w:val="21"/>
              </w:rPr>
            </w:pPr>
            <w:r>
              <w:rPr>
                <w:rFonts w:hint="eastAsia" w:ascii="宋体" w:hAnsi="宋体" w:cs="宋体"/>
                <w:bCs/>
                <w:szCs w:val="21"/>
              </w:rPr>
              <w:t>★云备份:支持云备份接口，支持存储数据直接备份到公有云和私有云，无须备份软件支持。</w:t>
            </w:r>
          </w:p>
          <w:p>
            <w:pPr>
              <w:pStyle w:val="124"/>
              <w:numPr>
                <w:ilvl w:val="0"/>
                <w:numId w:val="7"/>
              </w:numPr>
              <w:tabs>
                <w:tab w:val="left" w:pos="0"/>
                <w:tab w:val="clear" w:pos="312"/>
              </w:tabs>
              <w:autoSpaceDE w:val="0"/>
              <w:autoSpaceDN w:val="0"/>
              <w:adjustRightInd w:val="0"/>
              <w:snapToGrid w:val="0"/>
              <w:spacing w:line="300" w:lineRule="auto"/>
              <w:ind w:left="105" w:leftChars="50" w:right="105" w:rightChars="50"/>
              <w:jc w:val="left"/>
              <w:rPr>
                <w:rFonts w:ascii="宋体" w:hAnsi="宋体" w:cs="宋体"/>
                <w:bCs/>
                <w:szCs w:val="21"/>
              </w:rPr>
            </w:pPr>
            <w:r>
              <w:rPr>
                <w:rFonts w:hint="eastAsia" w:ascii="宋体" w:hAnsi="宋体" w:cs="宋体"/>
                <w:bCs/>
                <w:szCs w:val="21"/>
              </w:rPr>
              <w:t>硬件冗余性:电源、散热模块、控制器的部件冗余且可热插拔；</w:t>
            </w:r>
          </w:p>
          <w:p>
            <w:pPr>
              <w:pStyle w:val="124"/>
              <w:numPr>
                <w:ilvl w:val="0"/>
                <w:numId w:val="7"/>
              </w:numPr>
              <w:tabs>
                <w:tab w:val="left" w:pos="0"/>
                <w:tab w:val="clear" w:pos="312"/>
              </w:tabs>
              <w:autoSpaceDE w:val="0"/>
              <w:autoSpaceDN w:val="0"/>
              <w:adjustRightInd w:val="0"/>
              <w:snapToGrid w:val="0"/>
              <w:spacing w:line="300" w:lineRule="auto"/>
              <w:ind w:left="105" w:leftChars="50" w:right="105" w:rightChars="50"/>
              <w:jc w:val="left"/>
              <w:rPr>
                <w:rFonts w:ascii="宋体" w:hAnsi="宋体" w:cs="宋体"/>
                <w:bCs/>
                <w:szCs w:val="21"/>
              </w:rPr>
            </w:pPr>
            <w:r>
              <w:rPr>
                <w:rFonts w:hint="eastAsia" w:ascii="宋体" w:hAnsi="宋体" w:cs="宋体"/>
                <w:bCs/>
                <w:szCs w:val="21"/>
              </w:rPr>
              <w:t>操作系统支持:Windows、Linux、VMware、UNIX (HP-UX、AIX、Solaris、K-UX等)；</w:t>
            </w:r>
          </w:p>
          <w:p>
            <w:pPr>
              <w:pStyle w:val="124"/>
              <w:numPr>
                <w:ilvl w:val="0"/>
                <w:numId w:val="7"/>
              </w:numPr>
              <w:tabs>
                <w:tab w:val="left" w:pos="0"/>
                <w:tab w:val="clear" w:pos="312"/>
              </w:tabs>
              <w:autoSpaceDE w:val="0"/>
              <w:autoSpaceDN w:val="0"/>
              <w:adjustRightInd w:val="0"/>
              <w:snapToGrid w:val="0"/>
              <w:spacing w:line="300" w:lineRule="auto"/>
              <w:ind w:left="105" w:leftChars="50" w:right="105" w:rightChars="50"/>
              <w:jc w:val="left"/>
              <w:rPr>
                <w:rFonts w:ascii="宋体" w:hAnsi="宋体" w:cs="宋体"/>
                <w:bCs/>
                <w:szCs w:val="21"/>
              </w:rPr>
            </w:pPr>
            <w:r>
              <w:rPr>
                <w:rFonts w:hint="eastAsia" w:ascii="宋体" w:hAnsi="宋体" w:cs="宋体"/>
                <w:bCs/>
                <w:szCs w:val="21"/>
              </w:rPr>
              <w:t>系统升级:支持在线的系统软、硬件升级，升级过程不中断系统运行；</w:t>
            </w:r>
          </w:p>
          <w:p>
            <w:pPr>
              <w:pStyle w:val="124"/>
              <w:numPr>
                <w:ilvl w:val="0"/>
                <w:numId w:val="7"/>
              </w:numPr>
              <w:tabs>
                <w:tab w:val="left" w:pos="0"/>
                <w:tab w:val="clear" w:pos="312"/>
              </w:tabs>
              <w:autoSpaceDE w:val="0"/>
              <w:autoSpaceDN w:val="0"/>
              <w:adjustRightInd w:val="0"/>
              <w:snapToGrid w:val="0"/>
              <w:spacing w:line="300" w:lineRule="auto"/>
              <w:ind w:left="105" w:leftChars="50" w:right="105" w:rightChars="50"/>
              <w:jc w:val="left"/>
              <w:rPr>
                <w:rFonts w:ascii="宋体" w:hAnsi="宋体" w:cs="宋体"/>
                <w:bCs/>
                <w:szCs w:val="21"/>
              </w:rPr>
            </w:pPr>
            <w:r>
              <w:rPr>
                <w:rFonts w:hint="eastAsia" w:ascii="宋体" w:hAnsi="宋体" w:cs="宋体"/>
                <w:bCs/>
                <w:szCs w:val="21"/>
              </w:rPr>
              <w:t>安装服务及培训:提供设备原厂工程师现场安装服务和培训。</w:t>
            </w:r>
          </w:p>
          <w:p>
            <w:pPr>
              <w:pStyle w:val="124"/>
              <w:numPr>
                <w:ilvl w:val="0"/>
                <w:numId w:val="7"/>
              </w:numPr>
              <w:tabs>
                <w:tab w:val="left" w:pos="0"/>
                <w:tab w:val="clear" w:pos="312"/>
              </w:tabs>
              <w:autoSpaceDE w:val="0"/>
              <w:autoSpaceDN w:val="0"/>
              <w:adjustRightInd w:val="0"/>
              <w:snapToGrid w:val="0"/>
              <w:spacing w:line="300" w:lineRule="auto"/>
              <w:ind w:left="105" w:leftChars="50" w:right="105" w:rightChars="50"/>
              <w:jc w:val="left"/>
              <w:rPr>
                <w:rFonts w:ascii="宋体" w:hAnsi="宋体" w:cs="宋体"/>
                <w:bCs/>
                <w:szCs w:val="21"/>
              </w:rPr>
            </w:pPr>
            <w:r>
              <w:rPr>
                <w:rFonts w:hint="eastAsia" w:ascii="宋体" w:hAnsi="宋体" w:cs="宋体"/>
                <w:szCs w:val="21"/>
              </w:rPr>
              <w:t>★</w:t>
            </w:r>
            <w:r>
              <w:rPr>
                <w:rFonts w:hint="eastAsia" w:ascii="宋体" w:hAnsi="宋体" w:cs="宋体"/>
                <w:bCs/>
                <w:szCs w:val="21"/>
              </w:rPr>
              <w:t>技术支持服务:提供原厂家的项目管理、现场安装、配置及实施服务，设备原厂商提供至少三年质保和三年7*24小时现场保修服务, 包括硬件保修电话支持、现场支持、软件升级；投标时提供针对本次项目的原厂商授权书和保修服务承诺函。</w:t>
            </w:r>
          </w:p>
        </w:tc>
        <w:tc>
          <w:tcPr>
            <w:tcW w:w="915" w:type="dxa"/>
            <w:vAlign w:val="center"/>
          </w:tcPr>
          <w:p>
            <w:pPr>
              <w:rPr>
                <w:rFonts w:ascii="宋体" w:hAnsi="宋体" w:cs="宋体"/>
                <w:bCs/>
                <w:szCs w:val="21"/>
              </w:rPr>
            </w:pPr>
            <w:r>
              <w:rPr>
                <w:rFonts w:hint="eastAsia" w:ascii="宋体" w:hAnsi="宋体" w:cs="宋体"/>
                <w:bCs/>
                <w:szCs w:val="21"/>
              </w:rPr>
              <w:t>台/1</w:t>
            </w:r>
          </w:p>
        </w:tc>
      </w:tr>
    </w:tbl>
    <w:p>
      <w:pPr>
        <w:rPr>
          <w:rFonts w:ascii="宋体" w:hAnsi="宋体" w:cs="宋体"/>
          <w:bCs/>
        </w:rPr>
      </w:pPr>
    </w:p>
    <w:p>
      <w:pPr>
        <w:spacing w:line="460" w:lineRule="exact"/>
        <w:rPr>
          <w:rFonts w:ascii="宋体" w:hAnsi="宋体"/>
          <w:b/>
          <w:szCs w:val="21"/>
        </w:rPr>
      </w:pPr>
      <w:r>
        <w:rPr>
          <w:rFonts w:hint="eastAsia" w:ascii="宋体" w:hAnsi="宋体"/>
          <w:szCs w:val="21"/>
        </w:rPr>
        <w:t>有▲标注的项目为实质性条款，必须响应。</w:t>
      </w:r>
      <w:r>
        <w:rPr>
          <w:rFonts w:hint="eastAsia" w:ascii="宋体" w:hAnsi="宋体"/>
          <w:b/>
          <w:szCs w:val="21"/>
        </w:rPr>
        <w:t>加</w:t>
      </w:r>
      <w:r>
        <w:rPr>
          <w:rFonts w:ascii="宋体" w:hAnsi="宋体"/>
          <w:szCs w:val="21"/>
        </w:rPr>
        <w:t>★</w:t>
      </w:r>
      <w:r>
        <w:rPr>
          <w:rFonts w:hint="eastAsia" w:ascii="宋体" w:hAnsi="宋体"/>
          <w:b/>
          <w:szCs w:val="21"/>
        </w:rPr>
        <w:t>号为</w:t>
      </w:r>
      <w:r>
        <w:rPr>
          <w:rFonts w:hint="eastAsia" w:ascii="宋体" w:hAnsi="宋体"/>
          <w:b/>
          <w:szCs w:val="21"/>
          <w:lang w:val="en-US" w:eastAsia="zh-CN"/>
        </w:rPr>
        <w:t>重要条款</w:t>
      </w:r>
      <w:r>
        <w:rPr>
          <w:rFonts w:hint="eastAsia" w:ascii="宋体" w:hAnsi="宋体"/>
          <w:b/>
          <w:szCs w:val="21"/>
        </w:rPr>
        <w:t>。</w:t>
      </w:r>
    </w:p>
    <w:p>
      <w:pPr>
        <w:spacing w:line="400" w:lineRule="exact"/>
        <w:rPr>
          <w:rFonts w:ascii="宋体" w:hAnsi="宋体"/>
          <w:sz w:val="24"/>
        </w:rPr>
      </w:pPr>
    </w:p>
    <w:p>
      <w:pPr>
        <w:spacing w:line="400" w:lineRule="exact"/>
        <w:rPr>
          <w:rFonts w:ascii="宋体" w:hAnsi="宋体"/>
          <w:szCs w:val="21"/>
        </w:rPr>
      </w:pPr>
      <w:r>
        <w:rPr>
          <w:rFonts w:hint="eastAsia" w:ascii="宋体" w:hAnsi="宋体"/>
          <w:szCs w:val="21"/>
        </w:rPr>
        <w:t>▲三、商务要求：</w:t>
      </w:r>
    </w:p>
    <w:tbl>
      <w:tblPr>
        <w:tblStyle w:val="50"/>
        <w:tblW w:w="9260" w:type="dxa"/>
        <w:tblInd w:w="84" w:type="dxa"/>
        <w:tblLayout w:type="fixed"/>
        <w:tblCellMar>
          <w:top w:w="0" w:type="dxa"/>
          <w:left w:w="108" w:type="dxa"/>
          <w:bottom w:w="0" w:type="dxa"/>
          <w:right w:w="108" w:type="dxa"/>
        </w:tblCellMar>
      </w:tblPr>
      <w:tblGrid>
        <w:gridCol w:w="1506"/>
        <w:gridCol w:w="7754"/>
      </w:tblGrid>
      <w:tr>
        <w:tblPrEx>
          <w:tblLayout w:type="fixed"/>
          <w:tblCellMar>
            <w:top w:w="0" w:type="dxa"/>
            <w:left w:w="108" w:type="dxa"/>
            <w:bottom w:w="0" w:type="dxa"/>
            <w:right w:w="108" w:type="dxa"/>
          </w:tblCellMar>
        </w:tblPrEx>
        <w:trPr>
          <w:trHeight w:val="925" w:hRule="atLeast"/>
        </w:trPr>
        <w:tc>
          <w:tcPr>
            <w:tcW w:w="150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
                <w:bCs/>
                <w:szCs w:val="21"/>
              </w:rPr>
            </w:pPr>
            <w:r>
              <w:rPr>
                <w:rFonts w:hint="eastAsia" w:ascii="宋体" w:hAnsi="宋体" w:cs="宋体"/>
                <w:b/>
                <w:bCs/>
                <w:szCs w:val="21"/>
              </w:rPr>
              <w:t>质保期</w:t>
            </w:r>
          </w:p>
        </w:tc>
        <w:tc>
          <w:tcPr>
            <w:tcW w:w="7754" w:type="dxa"/>
            <w:tcBorders>
              <w:top w:val="single" w:color="auto" w:sz="4" w:space="0"/>
              <w:left w:val="nil"/>
              <w:bottom w:val="single" w:color="auto" w:sz="4" w:space="0"/>
              <w:right w:val="single" w:color="auto" w:sz="4" w:space="0"/>
            </w:tcBorders>
            <w:vAlign w:val="center"/>
          </w:tcPr>
          <w:p>
            <w:pPr>
              <w:spacing w:line="400" w:lineRule="exact"/>
              <w:rPr>
                <w:rFonts w:ascii="宋体" w:hAnsi="宋体" w:cs="宋体"/>
                <w:color w:val="000000"/>
                <w:szCs w:val="21"/>
              </w:rPr>
            </w:pPr>
            <w:r>
              <w:rPr>
                <w:rFonts w:hint="eastAsia" w:ascii="宋体" w:hAnsi="宋体" w:cs="宋体"/>
                <w:color w:val="000000"/>
                <w:szCs w:val="21"/>
              </w:rPr>
              <w:t>安装调试完毕验收合格之日</w:t>
            </w:r>
            <w:r>
              <w:rPr>
                <w:rFonts w:hint="eastAsia" w:ascii="宋体" w:hAnsi="宋体" w:cs="宋体"/>
                <w:szCs w:val="21"/>
              </w:rPr>
              <w:t>起</w:t>
            </w:r>
            <w:r>
              <w:rPr>
                <w:rFonts w:hint="eastAsia" w:ascii="宋体" w:hAnsi="宋体" w:cs="宋体"/>
                <w:b/>
                <w:bCs/>
                <w:szCs w:val="21"/>
              </w:rPr>
              <w:t>至少三年</w:t>
            </w:r>
            <w:r>
              <w:rPr>
                <w:rFonts w:hint="eastAsia" w:ascii="宋体" w:hAnsi="宋体" w:cs="宋体"/>
                <w:szCs w:val="21"/>
              </w:rPr>
              <w:t>原</w:t>
            </w:r>
            <w:r>
              <w:rPr>
                <w:rFonts w:hint="eastAsia" w:ascii="宋体" w:hAnsi="宋体" w:cs="宋体"/>
                <w:color w:val="000000"/>
                <w:szCs w:val="21"/>
              </w:rPr>
              <w:t>厂质保（合同签订后7个工作日内需提供原厂质保承诺书）</w:t>
            </w:r>
          </w:p>
        </w:tc>
      </w:tr>
      <w:tr>
        <w:tblPrEx>
          <w:tblLayout w:type="fixed"/>
          <w:tblCellMar>
            <w:top w:w="0" w:type="dxa"/>
            <w:left w:w="108" w:type="dxa"/>
            <w:bottom w:w="0" w:type="dxa"/>
            <w:right w:w="108" w:type="dxa"/>
          </w:tblCellMar>
        </w:tblPrEx>
        <w:trPr>
          <w:trHeight w:val="4495" w:hRule="atLeast"/>
        </w:trPr>
        <w:tc>
          <w:tcPr>
            <w:tcW w:w="150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
                <w:bCs/>
                <w:szCs w:val="21"/>
              </w:rPr>
            </w:pPr>
            <w:r>
              <w:rPr>
                <w:rFonts w:hint="eastAsia" w:ascii="宋体" w:hAnsi="宋体" w:cs="宋体"/>
                <w:b/>
                <w:bCs/>
                <w:szCs w:val="21"/>
              </w:rPr>
              <w:t>售后技术</w:t>
            </w:r>
          </w:p>
          <w:p>
            <w:pPr>
              <w:spacing w:line="400" w:lineRule="exact"/>
              <w:jc w:val="center"/>
              <w:rPr>
                <w:rFonts w:ascii="宋体" w:hAnsi="宋体" w:cs="宋体"/>
                <w:b/>
                <w:bCs/>
                <w:szCs w:val="21"/>
              </w:rPr>
            </w:pPr>
            <w:r>
              <w:rPr>
                <w:rFonts w:hint="eastAsia" w:ascii="宋体" w:hAnsi="宋体" w:cs="宋体"/>
                <w:b/>
                <w:bCs/>
                <w:szCs w:val="21"/>
              </w:rPr>
              <w:t>服务要求</w:t>
            </w:r>
          </w:p>
        </w:tc>
        <w:tc>
          <w:tcPr>
            <w:tcW w:w="7754" w:type="dxa"/>
            <w:tcBorders>
              <w:top w:val="single" w:color="auto" w:sz="4" w:space="0"/>
              <w:left w:val="nil"/>
              <w:bottom w:val="single" w:color="auto" w:sz="4" w:space="0"/>
              <w:right w:val="single" w:color="auto" w:sz="4" w:space="0"/>
            </w:tcBorders>
            <w:vAlign w:val="center"/>
          </w:tcPr>
          <w:p>
            <w:pPr>
              <w:spacing w:line="400" w:lineRule="exact"/>
              <w:rPr>
                <w:rFonts w:ascii="宋体" w:hAnsi="宋体" w:cs="宋体"/>
                <w:color w:val="000000"/>
                <w:szCs w:val="21"/>
              </w:rPr>
            </w:pPr>
            <w:r>
              <w:rPr>
                <w:rFonts w:hint="eastAsia" w:ascii="宋体" w:hAnsi="宋体" w:cs="宋体"/>
                <w:color w:val="000000"/>
                <w:szCs w:val="21"/>
              </w:rPr>
              <w:t>质量保证期内，须提供以下形式的技术支持服务：</w:t>
            </w:r>
          </w:p>
          <w:p>
            <w:pPr>
              <w:spacing w:line="400" w:lineRule="exact"/>
              <w:rPr>
                <w:rFonts w:ascii="宋体" w:hAnsi="宋体" w:cs="宋体"/>
                <w:color w:val="000000"/>
                <w:szCs w:val="21"/>
              </w:rPr>
            </w:pPr>
            <w:r>
              <w:rPr>
                <w:rFonts w:hint="eastAsia" w:ascii="宋体" w:hAnsi="宋体" w:cs="宋体"/>
                <w:color w:val="000000"/>
                <w:szCs w:val="21"/>
              </w:rPr>
              <w:t>1.投标人提供所有设备不低于一年免费上门包修服务，并提供相应的备品备件；</w:t>
            </w:r>
          </w:p>
          <w:p>
            <w:pPr>
              <w:spacing w:line="400" w:lineRule="exact"/>
              <w:rPr>
                <w:rFonts w:ascii="宋体" w:hAnsi="宋体" w:cs="宋体"/>
                <w:color w:val="000000"/>
                <w:szCs w:val="21"/>
              </w:rPr>
            </w:pPr>
            <w:r>
              <w:rPr>
                <w:rFonts w:hint="eastAsia" w:ascii="宋体" w:hAnsi="宋体" w:cs="宋体"/>
                <w:color w:val="000000"/>
                <w:szCs w:val="21"/>
              </w:rPr>
              <w:t>2.质保期内用户报修后，供应商必须2小时做出响应，12小时内到达现场，24小时内现场修复，不能修复的提供同档次以上备用机；</w:t>
            </w:r>
          </w:p>
          <w:p>
            <w:pPr>
              <w:spacing w:line="400" w:lineRule="exact"/>
              <w:rPr>
                <w:rFonts w:ascii="宋体" w:hAnsi="宋体" w:cs="宋体"/>
                <w:b/>
                <w:bCs/>
                <w:color w:val="000000"/>
                <w:szCs w:val="21"/>
              </w:rPr>
            </w:pPr>
            <w:r>
              <w:rPr>
                <w:rFonts w:hint="eastAsia" w:ascii="宋体" w:hAnsi="宋体" w:cs="宋体"/>
                <w:color w:val="000000"/>
                <w:szCs w:val="21"/>
              </w:rPr>
              <w:t>3.一个月内设备有硬件故障的免费调换。</w:t>
            </w:r>
          </w:p>
          <w:p>
            <w:pPr>
              <w:spacing w:line="400" w:lineRule="exact"/>
              <w:rPr>
                <w:rFonts w:ascii="宋体" w:hAnsi="宋体" w:cs="宋体"/>
                <w:color w:val="000000"/>
                <w:szCs w:val="21"/>
              </w:rPr>
            </w:pPr>
            <w:r>
              <w:rPr>
                <w:rFonts w:hint="eastAsia" w:ascii="宋体" w:hAnsi="宋体" w:cs="宋体"/>
                <w:color w:val="000000"/>
                <w:szCs w:val="21"/>
              </w:rPr>
              <w:t>4.中标人投标时有其它服务承诺的，一并履行。</w:t>
            </w:r>
          </w:p>
          <w:p>
            <w:pPr>
              <w:tabs>
                <w:tab w:val="left" w:pos="825"/>
                <w:tab w:val="center" w:pos="4426"/>
              </w:tabs>
              <w:spacing w:line="460" w:lineRule="exact"/>
              <w:rPr>
                <w:rFonts w:ascii="宋体" w:hAnsi="宋体" w:cs="宋体"/>
                <w:szCs w:val="21"/>
              </w:rPr>
            </w:pPr>
            <w:r>
              <w:rPr>
                <w:rFonts w:hint="eastAsia" w:ascii="宋体" w:hAnsi="宋体" w:cs="宋体"/>
                <w:szCs w:val="21"/>
              </w:rPr>
              <w:t>5.</w:t>
            </w:r>
            <w:r>
              <w:rPr>
                <w:rFonts w:hint="eastAsia" w:ascii="宋体" w:hAnsi="宋体" w:cs="宋体"/>
                <w:color w:val="000000"/>
                <w:szCs w:val="21"/>
              </w:rPr>
              <w:t>每月通过远程对产品运行状况进行一次全面监测，对系统运行管理状况提供管理建议，采购人原因造成的产品使用故障，通过电话支持、网络服务等方式协助采购人排查，特殊情况下可派技术人员上门协助解决，产品本身原因造成的使用故障由成交供应商负责排除。</w:t>
            </w:r>
          </w:p>
        </w:tc>
      </w:tr>
      <w:tr>
        <w:tblPrEx>
          <w:tblLayout w:type="fixed"/>
          <w:tblCellMar>
            <w:top w:w="0" w:type="dxa"/>
            <w:left w:w="108" w:type="dxa"/>
            <w:bottom w:w="0" w:type="dxa"/>
            <w:right w:w="108" w:type="dxa"/>
          </w:tblCellMar>
        </w:tblPrEx>
        <w:trPr>
          <w:trHeight w:val="634" w:hRule="atLeast"/>
        </w:trPr>
        <w:tc>
          <w:tcPr>
            <w:tcW w:w="150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
                <w:bCs/>
                <w:szCs w:val="21"/>
              </w:rPr>
            </w:pPr>
            <w:r>
              <w:rPr>
                <w:rFonts w:hint="eastAsia" w:ascii="宋体" w:hAnsi="宋体" w:cs="宋体"/>
                <w:b/>
                <w:bCs/>
                <w:szCs w:val="21"/>
              </w:rPr>
              <w:t>履约保证金</w:t>
            </w:r>
          </w:p>
        </w:tc>
        <w:tc>
          <w:tcPr>
            <w:tcW w:w="7754" w:type="dxa"/>
            <w:tcBorders>
              <w:top w:val="single" w:color="auto" w:sz="4" w:space="0"/>
              <w:left w:val="nil"/>
              <w:bottom w:val="single" w:color="auto" w:sz="4" w:space="0"/>
              <w:right w:val="single" w:color="auto" w:sz="4" w:space="0"/>
            </w:tcBorders>
            <w:vAlign w:val="center"/>
          </w:tcPr>
          <w:p>
            <w:pPr>
              <w:spacing w:line="400" w:lineRule="exact"/>
              <w:rPr>
                <w:rFonts w:ascii="宋体" w:hAnsi="宋体" w:cs="宋体"/>
                <w:szCs w:val="21"/>
              </w:rPr>
            </w:pPr>
            <w:r>
              <w:rPr>
                <w:rFonts w:hint="eastAsia" w:ascii="宋体" w:hAnsi="宋体" w:cs="宋体"/>
                <w:color w:val="000000"/>
                <w:szCs w:val="21"/>
              </w:rPr>
              <w:t>合同签订时乙方向甲方交纳5%合同价款的履约保证金。</w:t>
            </w:r>
          </w:p>
        </w:tc>
      </w:tr>
      <w:tr>
        <w:tblPrEx>
          <w:tblLayout w:type="fixed"/>
          <w:tblCellMar>
            <w:top w:w="0" w:type="dxa"/>
            <w:left w:w="108" w:type="dxa"/>
            <w:bottom w:w="0" w:type="dxa"/>
            <w:right w:w="108" w:type="dxa"/>
          </w:tblCellMar>
        </w:tblPrEx>
        <w:trPr>
          <w:trHeight w:val="736" w:hRule="atLeast"/>
        </w:trPr>
        <w:tc>
          <w:tcPr>
            <w:tcW w:w="150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
                <w:bCs/>
                <w:szCs w:val="21"/>
              </w:rPr>
            </w:pPr>
            <w:r>
              <w:rPr>
                <w:rFonts w:hint="eastAsia" w:ascii="宋体" w:hAnsi="宋体" w:cs="宋体"/>
                <w:b/>
                <w:bCs/>
                <w:szCs w:val="21"/>
              </w:rPr>
              <w:t>服务质量保证金</w:t>
            </w:r>
          </w:p>
        </w:tc>
        <w:tc>
          <w:tcPr>
            <w:tcW w:w="7754" w:type="dxa"/>
            <w:tcBorders>
              <w:top w:val="single" w:color="auto" w:sz="4" w:space="0"/>
              <w:left w:val="nil"/>
              <w:bottom w:val="single" w:color="auto" w:sz="4" w:space="0"/>
              <w:right w:val="single" w:color="auto" w:sz="4" w:space="0"/>
            </w:tcBorders>
            <w:vAlign w:val="center"/>
          </w:tcPr>
          <w:p>
            <w:pPr>
              <w:spacing w:line="400" w:lineRule="exact"/>
              <w:rPr>
                <w:rFonts w:ascii="宋体" w:hAnsi="宋体" w:cs="宋体"/>
                <w:szCs w:val="21"/>
              </w:rPr>
            </w:pPr>
            <w:r>
              <w:rPr>
                <w:rFonts w:hint="eastAsia" w:ascii="宋体" w:hAnsi="宋体" w:cs="宋体"/>
                <w:szCs w:val="21"/>
              </w:rPr>
              <w:t>履约完毕，履约保证金转为服务质量保证金。服务质量保证期满后5日内一次性无息退还。</w:t>
            </w:r>
          </w:p>
        </w:tc>
      </w:tr>
      <w:tr>
        <w:tblPrEx>
          <w:tblLayout w:type="fixed"/>
          <w:tblCellMar>
            <w:top w:w="0" w:type="dxa"/>
            <w:left w:w="108" w:type="dxa"/>
            <w:bottom w:w="0" w:type="dxa"/>
            <w:right w:w="108" w:type="dxa"/>
          </w:tblCellMar>
        </w:tblPrEx>
        <w:trPr>
          <w:trHeight w:val="1222" w:hRule="atLeast"/>
        </w:trPr>
        <w:tc>
          <w:tcPr>
            <w:tcW w:w="150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
                <w:bCs/>
                <w:szCs w:val="21"/>
              </w:rPr>
            </w:pPr>
            <w:r>
              <w:rPr>
                <w:rFonts w:hint="eastAsia" w:ascii="宋体" w:hAnsi="宋体" w:cs="宋体"/>
                <w:b/>
                <w:bCs/>
                <w:szCs w:val="21"/>
              </w:rPr>
              <w:t>交货时间及地点</w:t>
            </w:r>
          </w:p>
        </w:tc>
        <w:tc>
          <w:tcPr>
            <w:tcW w:w="7754" w:type="dxa"/>
            <w:tcBorders>
              <w:top w:val="single" w:color="auto" w:sz="4" w:space="0"/>
              <w:left w:val="nil"/>
              <w:bottom w:val="single" w:color="auto" w:sz="4" w:space="0"/>
              <w:right w:val="single" w:color="auto" w:sz="4" w:space="0"/>
            </w:tcBorders>
            <w:vAlign w:val="center"/>
          </w:tcPr>
          <w:p>
            <w:pPr>
              <w:spacing w:line="400" w:lineRule="exact"/>
              <w:rPr>
                <w:rFonts w:ascii="宋体" w:hAnsi="宋体" w:cs="宋体"/>
                <w:szCs w:val="21"/>
              </w:rPr>
            </w:pPr>
            <w:r>
              <w:rPr>
                <w:rFonts w:hint="eastAsia" w:ascii="宋体" w:hAnsi="宋体" w:cs="宋体"/>
                <w:szCs w:val="21"/>
              </w:rPr>
              <w:t>交货时间：签订合同之日起30天内整个项目安装调试完毕，实行延期罚款制度，除不可抗拒的因素外，每延期一天罚款人民币500元。</w:t>
            </w:r>
          </w:p>
          <w:p>
            <w:pPr>
              <w:spacing w:line="400" w:lineRule="exact"/>
              <w:rPr>
                <w:rFonts w:ascii="宋体" w:hAnsi="宋体" w:cs="宋体"/>
                <w:szCs w:val="21"/>
              </w:rPr>
            </w:pPr>
            <w:r>
              <w:rPr>
                <w:rFonts w:hint="eastAsia" w:ascii="宋体" w:hAnsi="宋体" w:cs="宋体"/>
                <w:szCs w:val="21"/>
              </w:rPr>
              <w:t>交货地点：</w:t>
            </w:r>
            <w:r>
              <w:rPr>
                <w:rFonts w:hint="eastAsia" w:ascii="宋体" w:hAnsi="宋体"/>
                <w:bCs/>
                <w:spacing w:val="-4"/>
                <w:szCs w:val="21"/>
              </w:rPr>
              <w:t>长兴县太湖高级中学(业主方指定)</w:t>
            </w:r>
          </w:p>
        </w:tc>
      </w:tr>
      <w:tr>
        <w:tblPrEx>
          <w:tblLayout w:type="fixed"/>
          <w:tblCellMar>
            <w:top w:w="0" w:type="dxa"/>
            <w:left w:w="108" w:type="dxa"/>
            <w:bottom w:w="0" w:type="dxa"/>
            <w:right w:w="108" w:type="dxa"/>
          </w:tblCellMar>
        </w:tblPrEx>
        <w:trPr>
          <w:trHeight w:val="1222" w:hRule="atLeast"/>
        </w:trPr>
        <w:tc>
          <w:tcPr>
            <w:tcW w:w="150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
                <w:bCs/>
                <w:szCs w:val="21"/>
                <w:highlight w:val="yellow"/>
              </w:rPr>
            </w:pPr>
            <w:r>
              <w:rPr>
                <w:rFonts w:hint="eastAsia" w:ascii="宋体" w:hAnsi="宋体" w:cs="宋体"/>
                <w:b/>
                <w:bCs/>
                <w:szCs w:val="21"/>
              </w:rPr>
              <w:t>付款条件</w:t>
            </w:r>
          </w:p>
        </w:tc>
        <w:tc>
          <w:tcPr>
            <w:tcW w:w="7754" w:type="dxa"/>
            <w:tcBorders>
              <w:top w:val="single" w:color="auto" w:sz="4" w:space="0"/>
              <w:left w:val="nil"/>
              <w:bottom w:val="single" w:color="auto" w:sz="4" w:space="0"/>
              <w:right w:val="single" w:color="auto" w:sz="4" w:space="0"/>
            </w:tcBorders>
            <w:vAlign w:val="center"/>
          </w:tcPr>
          <w:p>
            <w:pPr>
              <w:pStyle w:val="18"/>
              <w:rPr>
                <w:rFonts w:hAnsi="宋体"/>
                <w:szCs w:val="21"/>
              </w:rPr>
            </w:pPr>
            <w:r>
              <w:rPr>
                <w:rFonts w:hint="eastAsia" w:hAnsi="宋体"/>
                <w:szCs w:val="21"/>
              </w:rPr>
              <w:t>1、中标人签订合同之前，按照项目合同价格的5%向采购人交纳履约保证金；设备安装完毕调试验收合格后，付合同总金额的100%，履约保证金自动转为质保金，自验收合格之日起三年后退还（不计息）。</w:t>
            </w:r>
          </w:p>
          <w:p>
            <w:pPr>
              <w:pStyle w:val="18"/>
              <w:snapToGrid w:val="0"/>
              <w:spacing w:before="120" w:after="120"/>
              <w:rPr>
                <w:rFonts w:hAnsi="宋体" w:cs="宋体"/>
                <w:szCs w:val="21"/>
                <w:highlight w:val="yellow"/>
              </w:rPr>
            </w:pPr>
            <w:r>
              <w:rPr>
                <w:rFonts w:hint="eastAsia" w:hAnsi="宋体"/>
                <w:szCs w:val="21"/>
              </w:rPr>
              <w:t>2、</w:t>
            </w:r>
            <w:r>
              <w:rPr>
                <w:rFonts w:hAnsi="宋体"/>
                <w:szCs w:val="21"/>
              </w:rPr>
              <w:t>当采购数量与实际使用数量不一致时，乙</w:t>
            </w:r>
            <w:r>
              <w:rPr>
                <w:rFonts w:hint="eastAsia" w:hAnsi="宋体"/>
                <w:szCs w:val="21"/>
              </w:rPr>
              <w:t>方</w:t>
            </w:r>
            <w:r>
              <w:rPr>
                <w:rFonts w:hAnsi="宋体"/>
                <w:szCs w:val="21"/>
              </w:rPr>
              <w:t>应根据实际使用量供货，合同的最终结算金额按实际使用量乘以成交单价进行计算。</w:t>
            </w:r>
          </w:p>
        </w:tc>
      </w:tr>
      <w:tr>
        <w:tblPrEx>
          <w:tblLayout w:type="fixed"/>
          <w:tblCellMar>
            <w:top w:w="0" w:type="dxa"/>
            <w:left w:w="108" w:type="dxa"/>
            <w:bottom w:w="0" w:type="dxa"/>
            <w:right w:w="108" w:type="dxa"/>
          </w:tblCellMar>
        </w:tblPrEx>
        <w:trPr>
          <w:trHeight w:val="2928" w:hRule="atLeast"/>
        </w:trPr>
        <w:tc>
          <w:tcPr>
            <w:tcW w:w="150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
                <w:bCs/>
                <w:szCs w:val="21"/>
              </w:rPr>
            </w:pPr>
            <w:r>
              <w:rPr>
                <w:rFonts w:hint="eastAsia" w:ascii="宋体" w:hAnsi="宋体" w:cs="宋体"/>
                <w:b/>
                <w:bCs/>
                <w:szCs w:val="21"/>
              </w:rPr>
              <w:t>培训要求</w:t>
            </w:r>
          </w:p>
        </w:tc>
        <w:tc>
          <w:tcPr>
            <w:tcW w:w="7754" w:type="dxa"/>
            <w:tcBorders>
              <w:top w:val="single" w:color="auto" w:sz="4" w:space="0"/>
              <w:left w:val="nil"/>
              <w:bottom w:val="single" w:color="auto" w:sz="4" w:space="0"/>
              <w:right w:val="single" w:color="auto" w:sz="4" w:space="0"/>
            </w:tcBorders>
            <w:vAlign w:val="center"/>
          </w:tcPr>
          <w:p>
            <w:pPr>
              <w:pStyle w:val="11"/>
              <w:ind w:firstLine="210"/>
              <w:rPr>
                <w:rFonts w:ascii="宋体" w:hAnsi="宋体" w:cs="宋体"/>
                <w:szCs w:val="21"/>
              </w:rPr>
            </w:pPr>
            <w:r>
              <w:rPr>
                <w:rFonts w:hint="eastAsia" w:ascii="宋体" w:hAnsi="宋体" w:cs="宋体"/>
                <w:szCs w:val="21"/>
              </w:rPr>
              <w:t>供货方必须根据客户需求提供产品原理和操作指导培训，使客户充分理解和掌握产品的基本原理、技术性能、操作要领。如用户方要求，提供现场培训</w:t>
            </w:r>
          </w:p>
          <w:p>
            <w:pPr>
              <w:autoSpaceDE w:val="0"/>
              <w:autoSpaceDN w:val="0"/>
              <w:spacing w:line="400" w:lineRule="exact"/>
              <w:rPr>
                <w:rFonts w:ascii="宋体" w:hAnsi="宋体" w:cs="宋体"/>
                <w:szCs w:val="21"/>
              </w:rPr>
            </w:pPr>
            <w:r>
              <w:rPr>
                <w:rFonts w:hint="eastAsia" w:ascii="宋体" w:hAnsi="宋体" w:cs="宋体"/>
                <w:color w:val="000000"/>
                <w:szCs w:val="21"/>
              </w:rPr>
              <w:t>投标人应对采购人的操作人员及维修人员提供1-3人的技术培训，使建设单位技术人员能够熟练地操作、管理本系统。培训内容应以与系统设备、软件等相关的培训内容，重点在于系统管理培训、日程设备管理、维护等培训内容；并提供完善的培训环境，并提出培训详细计划。培训费用包含于本次竞标报价中。</w:t>
            </w:r>
          </w:p>
        </w:tc>
      </w:tr>
    </w:tbl>
    <w:p>
      <w:pPr>
        <w:spacing w:line="400" w:lineRule="exact"/>
        <w:rPr>
          <w:rFonts w:ascii="宋体" w:hAnsi="宋体" w:cs="宋体"/>
          <w:bCs/>
          <w:szCs w:val="21"/>
        </w:rPr>
      </w:pPr>
      <w:r>
        <w:rPr>
          <w:rFonts w:hint="eastAsia" w:ascii="宋体" w:hAnsi="宋体" w:cs="宋体"/>
          <w:szCs w:val="21"/>
        </w:rPr>
        <w:t>四、其他要求：</w:t>
      </w:r>
    </w:p>
    <w:p>
      <w:pPr>
        <w:pStyle w:val="11"/>
        <w:ind w:firstLine="422" w:firstLineChars="200"/>
        <w:rPr>
          <w:rFonts w:ascii="宋体" w:hAnsi="宋体" w:cs="宋体"/>
          <w:b/>
          <w:bCs/>
          <w:szCs w:val="21"/>
        </w:rPr>
      </w:pPr>
      <w:r>
        <w:rPr>
          <w:rFonts w:hint="eastAsia" w:ascii="宋体" w:hAnsi="宋体" w:cs="宋体"/>
          <w:b/>
          <w:bCs/>
          <w:szCs w:val="21"/>
        </w:rPr>
        <w:t>1.投标人应保证所提供货物是全新的、未使用过的，是最新或最流行的型号和用一流的工艺生产的，并完全符合合同规定的质量、规格和性能的要求。</w:t>
      </w:r>
    </w:p>
    <w:p>
      <w:pPr>
        <w:pStyle w:val="11"/>
        <w:ind w:firstLine="422" w:firstLineChars="200"/>
        <w:rPr>
          <w:rFonts w:ascii="宋体" w:hAnsi="宋体" w:cs="宋体"/>
          <w:b/>
          <w:bCs/>
          <w:szCs w:val="21"/>
        </w:rPr>
      </w:pPr>
      <w:r>
        <w:rPr>
          <w:rFonts w:hint="eastAsia" w:ascii="宋体" w:hAnsi="宋体" w:cs="宋体"/>
          <w:b/>
          <w:bCs/>
          <w:szCs w:val="21"/>
        </w:rPr>
        <w:t>2.投标人应按标书的要求提供系统的详细技术指标。所提供的系统必须包括所有的硬件部件、软件部件，以充分满足需求。不得为应标遗漏或省略某些硬件或软件。</w:t>
      </w:r>
    </w:p>
    <w:p>
      <w:pPr>
        <w:pStyle w:val="11"/>
        <w:ind w:firstLine="422" w:firstLineChars="200"/>
        <w:rPr>
          <w:rFonts w:ascii="宋体" w:hAnsi="宋体" w:cs="宋体"/>
          <w:b/>
          <w:bCs/>
          <w:szCs w:val="21"/>
        </w:rPr>
      </w:pPr>
      <w:r>
        <w:rPr>
          <w:rFonts w:hint="eastAsia" w:ascii="宋体" w:hAnsi="宋体" w:cs="宋体"/>
          <w:b/>
          <w:bCs/>
          <w:szCs w:val="21"/>
        </w:rPr>
        <w:t>3.投标人应提供应标系统的价格清单，内容包括:货物内部编号、中文描述、功能或用途描述、单价、数量及总价。若有培训费、集成费等其他相关费用应分项细细列明，若不列则视投标报价中已包含。</w:t>
      </w:r>
    </w:p>
    <w:p>
      <w:pPr>
        <w:pStyle w:val="11"/>
        <w:ind w:firstLine="422" w:firstLineChars="200"/>
        <w:rPr>
          <w:rFonts w:ascii="宋体" w:hAnsi="宋体" w:cs="宋体"/>
          <w:b/>
          <w:bCs/>
          <w:szCs w:val="21"/>
        </w:rPr>
      </w:pPr>
      <w:r>
        <w:rPr>
          <w:rFonts w:hint="eastAsia" w:ascii="宋体" w:hAnsi="宋体" w:cs="宋体"/>
          <w:b/>
          <w:bCs/>
          <w:szCs w:val="21"/>
        </w:rPr>
        <w:t>4.投标人将负责将货物运至指定地点，所发生的运费、保险费及其他相关费用应计入投标价，若未列出或未说明，则视为投标价已包含。</w:t>
      </w:r>
    </w:p>
    <w:p>
      <w:pPr>
        <w:adjustRightInd w:val="0"/>
        <w:snapToGrid w:val="0"/>
        <w:ind w:firstLine="441"/>
        <w:rPr>
          <w:rFonts w:ascii="宋体" w:hAnsi="宋体" w:cs="宋体"/>
          <w:b/>
          <w:bCs/>
          <w:kern w:val="0"/>
          <w:szCs w:val="21"/>
        </w:rPr>
      </w:pPr>
      <w:r>
        <w:rPr>
          <w:rFonts w:hint="eastAsia" w:ascii="宋体" w:hAnsi="宋体" w:cs="宋体"/>
          <w:b/>
          <w:bCs/>
          <w:kern w:val="0"/>
          <w:szCs w:val="21"/>
        </w:rPr>
        <w:t>5.所用的线（电源线等）必须全部符合国家标准，若经产品质量检测机构检测认定质量不合格，造成的损失和后果由该投标人负全责。</w:t>
      </w:r>
    </w:p>
    <w:p>
      <w:pPr>
        <w:widowControl/>
        <w:spacing w:line="440" w:lineRule="exact"/>
        <w:ind w:firstLine="422" w:firstLineChars="200"/>
        <w:rPr>
          <w:rFonts w:ascii="宋体" w:hAnsi="宋体" w:cs="宋体"/>
          <w:b/>
          <w:bCs/>
          <w:kern w:val="0"/>
          <w:szCs w:val="21"/>
        </w:rPr>
      </w:pPr>
      <w:r>
        <w:rPr>
          <w:rFonts w:hint="eastAsia" w:ascii="宋体" w:hAnsi="宋体" w:cs="宋体"/>
          <w:b/>
          <w:bCs/>
          <w:kern w:val="0"/>
          <w:szCs w:val="21"/>
        </w:rPr>
        <w:t>6.所有材料必须经采购单位验收认可后才能用于本项目中,所有用于完成本项目的配件所产生的费用已包括在投标报价中。</w:t>
      </w:r>
    </w:p>
    <w:p>
      <w:pPr>
        <w:widowControl/>
        <w:spacing w:line="440" w:lineRule="exact"/>
        <w:ind w:firstLine="422" w:firstLineChars="200"/>
        <w:rPr>
          <w:rFonts w:ascii="宋体" w:hAnsi="宋体" w:cs="宋体"/>
          <w:b/>
          <w:bCs/>
          <w:szCs w:val="21"/>
        </w:rPr>
      </w:pPr>
      <w:r>
        <w:rPr>
          <w:rFonts w:hint="eastAsia" w:ascii="宋体" w:hAnsi="宋体" w:cs="宋体"/>
          <w:b/>
          <w:bCs/>
          <w:szCs w:val="21"/>
        </w:rPr>
        <w:t>7.国产品牌，具有软件著作权，拥有自主操作系统软件著作权。</w:t>
      </w:r>
    </w:p>
    <w:p>
      <w:pPr>
        <w:widowControl/>
        <w:numPr>
          <w:ilvl w:val="0"/>
          <w:numId w:val="0"/>
        </w:numPr>
        <w:spacing w:line="460" w:lineRule="exact"/>
        <w:ind w:firstLine="422" w:firstLineChars="200"/>
        <w:rPr>
          <w:rFonts w:ascii="宋体" w:hAnsi="宋体" w:cs="宋体"/>
          <w:b/>
          <w:bCs/>
          <w:szCs w:val="21"/>
        </w:rPr>
      </w:pPr>
      <w:r>
        <w:rPr>
          <w:rFonts w:hint="eastAsia" w:ascii="宋体" w:hAnsi="宋体" w:cs="宋体"/>
          <w:b/>
          <w:bCs/>
          <w:szCs w:val="21"/>
          <w:lang w:val="en-US" w:eastAsia="zh-CN"/>
        </w:rPr>
        <w:t>8.</w:t>
      </w:r>
      <w:r>
        <w:rPr>
          <w:rFonts w:hint="eastAsia" w:ascii="宋体" w:hAnsi="宋体" w:cs="宋体"/>
          <w:b/>
          <w:bCs/>
          <w:szCs w:val="21"/>
        </w:rPr>
        <w:t>扩展性要求：应用建设的长期性和内容的广泛性决定了系统在构建和使用过程中，必然面临着各类扩展性需求，要求与学校原有电子班牌、大屏显示系统、门禁系统等进行系统整合，实现数据统一管理。</w:t>
      </w:r>
    </w:p>
    <w:p>
      <w:pPr>
        <w:autoSpaceDE w:val="0"/>
        <w:autoSpaceDN w:val="0"/>
        <w:adjustRightInd w:val="0"/>
        <w:spacing w:line="400" w:lineRule="exact"/>
        <w:ind w:firstLine="420" w:firstLineChars="200"/>
        <w:jc w:val="left"/>
        <w:rPr>
          <w:rFonts w:ascii="宋体" w:hAnsi="宋体" w:cs="宋体"/>
          <w:szCs w:val="21"/>
        </w:rPr>
      </w:pPr>
      <w:r>
        <w:rPr>
          <w:rFonts w:hint="eastAsia" w:ascii="宋体" w:hAnsi="宋体" w:cs="宋体"/>
          <w:szCs w:val="21"/>
        </w:rPr>
        <w:t>注意事项：</w:t>
      </w:r>
    </w:p>
    <w:p>
      <w:pPr>
        <w:spacing w:line="420" w:lineRule="exact"/>
        <w:ind w:firstLine="420" w:firstLineChars="200"/>
        <w:rPr>
          <w:rFonts w:ascii="宋体" w:hAnsi="宋体" w:cs="宋体"/>
          <w:b/>
          <w:bCs/>
          <w:kern w:val="0"/>
          <w:szCs w:val="21"/>
        </w:rPr>
        <w:sectPr>
          <w:pgSz w:w="11906" w:h="16838"/>
          <w:pgMar w:top="1440" w:right="1588" w:bottom="1440" w:left="1588" w:header="851" w:footer="851" w:gutter="0"/>
          <w:pgNumType w:fmt="numberInDash"/>
          <w:cols w:space="720" w:num="1"/>
          <w:docGrid w:linePitch="312" w:charSpace="0"/>
        </w:sectPr>
      </w:pPr>
      <w:r>
        <w:rPr>
          <w:rFonts w:hint="eastAsia" w:ascii="宋体" w:hAnsi="宋体" w:cs="宋体"/>
          <w:szCs w:val="21"/>
        </w:rPr>
        <w:t>为了更好地实现采购目标，磋商小组可以修改竞争性磋商文件，对采购需求、合同草案作出实质性变动，并以书面形式通知所有参加磋商的供应商。供应商收到修改采购文件的通知后，可以决定是否继续参加磋商活动，如果供应商决定不继续参加磋商，保证金无息退还。</w:t>
      </w:r>
    </w:p>
    <w:p>
      <w:pPr>
        <w:pStyle w:val="3"/>
        <w:spacing w:line="240" w:lineRule="auto"/>
        <w:jc w:val="center"/>
        <w:rPr>
          <w:rFonts w:ascii="黑体" w:hAnsi="宋体" w:eastAsia="黑体"/>
          <w:bCs w:val="0"/>
          <w:kern w:val="2"/>
          <w:sz w:val="30"/>
          <w:szCs w:val="30"/>
        </w:rPr>
      </w:pPr>
      <w:bookmarkStart w:id="12" w:name="_1470210717"/>
      <w:bookmarkEnd w:id="12"/>
      <w:bookmarkStart w:id="13" w:name="_1470489462"/>
      <w:bookmarkEnd w:id="13"/>
      <w:bookmarkStart w:id="14" w:name="_1470210545"/>
      <w:bookmarkEnd w:id="14"/>
      <w:bookmarkStart w:id="15" w:name="_1470468975"/>
      <w:bookmarkEnd w:id="15"/>
      <w:bookmarkStart w:id="16" w:name="_Toc20471"/>
      <w:bookmarkStart w:id="17" w:name="_Toc456078614"/>
      <w:r>
        <w:rPr>
          <w:rFonts w:hint="eastAsia" w:ascii="黑体" w:hAnsi="宋体" w:eastAsia="黑体"/>
          <w:bCs w:val="0"/>
          <w:kern w:val="2"/>
          <w:sz w:val="30"/>
          <w:szCs w:val="30"/>
        </w:rPr>
        <w:t>第三章  磋商须知</w:t>
      </w:r>
      <w:bookmarkEnd w:id="3"/>
      <w:bookmarkEnd w:id="4"/>
      <w:bookmarkEnd w:id="5"/>
      <w:bookmarkEnd w:id="6"/>
      <w:bookmarkEnd w:id="7"/>
      <w:bookmarkEnd w:id="8"/>
      <w:bookmarkEnd w:id="16"/>
      <w:bookmarkEnd w:id="17"/>
    </w:p>
    <w:p>
      <w:pPr>
        <w:jc w:val="center"/>
        <w:rPr>
          <w:rFonts w:ascii="黑体" w:hAnsi="黑体" w:eastAsia="黑体"/>
          <w:b/>
          <w:sz w:val="32"/>
          <w:szCs w:val="32"/>
        </w:rPr>
      </w:pPr>
      <w:bookmarkStart w:id="18" w:name="_Toc269397667"/>
      <w:bookmarkStart w:id="19" w:name="_Toc224533939"/>
      <w:bookmarkStart w:id="20" w:name="_Toc226603378"/>
      <w:r>
        <w:rPr>
          <w:rFonts w:hint="eastAsia" w:ascii="黑体" w:hAnsi="黑体" w:eastAsia="黑体"/>
          <w:b/>
          <w:sz w:val="32"/>
          <w:szCs w:val="32"/>
        </w:rPr>
        <w:t>前附表</w:t>
      </w:r>
      <w:bookmarkEnd w:id="18"/>
      <w:bookmarkEnd w:id="19"/>
      <w:bookmarkEnd w:id="20"/>
    </w:p>
    <w:tbl>
      <w:tblPr>
        <w:tblStyle w:val="50"/>
        <w:tblW w:w="8587"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4"/>
        <w:gridCol w:w="791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47" w:hRule="atLeast"/>
        </w:trPr>
        <w:tc>
          <w:tcPr>
            <w:tcW w:w="67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Cs w:val="21"/>
              </w:rPr>
            </w:pPr>
            <w:bookmarkStart w:id="21" w:name="_Toc174767468"/>
            <w:bookmarkStart w:id="22" w:name="_Toc172337884"/>
            <w:bookmarkStart w:id="23" w:name="_Toc182125895"/>
            <w:bookmarkStart w:id="24" w:name="_Toc172338034"/>
            <w:bookmarkStart w:id="25" w:name="_Toc269397668"/>
            <w:bookmarkStart w:id="26" w:name="_Toc182125818"/>
            <w:r>
              <w:rPr>
                <w:rFonts w:hint="eastAsia" w:ascii="宋体" w:hAnsi="宋体"/>
                <w:szCs w:val="21"/>
              </w:rPr>
              <w:t>序号</w:t>
            </w:r>
          </w:p>
        </w:tc>
        <w:tc>
          <w:tcPr>
            <w:tcW w:w="791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Cs w:val="21"/>
              </w:rPr>
            </w:pPr>
            <w:r>
              <w:rPr>
                <w:rFonts w:hint="eastAsia" w:ascii="宋体" w:hAnsi="宋体"/>
                <w:szCs w:val="21"/>
              </w:rPr>
              <w:t>内容、要求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2" w:hRule="atLeast"/>
        </w:trPr>
        <w:tc>
          <w:tcPr>
            <w:tcW w:w="67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Cs w:val="21"/>
              </w:rPr>
            </w:pPr>
            <w:r>
              <w:rPr>
                <w:rFonts w:ascii="宋体" w:hAnsi="宋体"/>
                <w:szCs w:val="21"/>
              </w:rPr>
              <w:t>1</w:t>
            </w:r>
          </w:p>
        </w:tc>
        <w:tc>
          <w:tcPr>
            <w:tcW w:w="7913"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szCs w:val="21"/>
              </w:rPr>
            </w:pPr>
            <w:r>
              <w:rPr>
                <w:rFonts w:hint="eastAsia" w:ascii="宋体" w:hAnsi="宋体"/>
                <w:szCs w:val="21"/>
              </w:rPr>
              <w:t>项目名称：长兴县太湖高级中学综合管理平台系统采购项目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42" w:hRule="atLeast"/>
        </w:trPr>
        <w:tc>
          <w:tcPr>
            <w:tcW w:w="67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Cs w:val="21"/>
              </w:rPr>
            </w:pPr>
            <w:r>
              <w:rPr>
                <w:rFonts w:hint="eastAsia" w:ascii="宋体" w:hAnsi="宋体"/>
                <w:szCs w:val="21"/>
              </w:rPr>
              <w:t>2</w:t>
            </w:r>
          </w:p>
        </w:tc>
        <w:tc>
          <w:tcPr>
            <w:tcW w:w="7913" w:type="dxa"/>
            <w:tcBorders>
              <w:top w:val="single" w:color="auto" w:sz="4" w:space="0"/>
              <w:left w:val="single" w:color="auto" w:sz="4" w:space="0"/>
              <w:bottom w:val="single" w:color="auto" w:sz="4" w:space="0"/>
              <w:right w:val="single" w:color="auto" w:sz="4" w:space="0"/>
            </w:tcBorders>
            <w:vAlign w:val="center"/>
          </w:tcPr>
          <w:p>
            <w:pPr>
              <w:spacing w:line="400" w:lineRule="exact"/>
              <w:ind w:left="-481" w:leftChars="-229" w:firstLine="420" w:firstLineChars="200"/>
              <w:rPr>
                <w:rFonts w:ascii="宋体" w:hAnsi="宋体"/>
                <w:szCs w:val="21"/>
              </w:rPr>
            </w:pPr>
            <w:r>
              <w:rPr>
                <w:rFonts w:hint="eastAsia" w:ascii="宋体" w:hAnsi="宋体"/>
                <w:szCs w:val="21"/>
              </w:rPr>
              <w:t>采购内容：</w:t>
            </w:r>
            <w:r>
              <w:rPr>
                <w:rFonts w:hint="eastAsia" w:ascii="宋体" w:hAnsi="宋体" w:cs="宋体"/>
                <w:bCs/>
                <w:szCs w:val="21"/>
              </w:rPr>
              <w:t xml:space="preserve"> 详情见第二章磋商需求。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28" w:hRule="atLeast"/>
        </w:trPr>
        <w:tc>
          <w:tcPr>
            <w:tcW w:w="67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Cs w:val="21"/>
              </w:rPr>
            </w:pPr>
            <w:r>
              <w:rPr>
                <w:rFonts w:hint="eastAsia" w:ascii="宋体" w:hAnsi="宋体"/>
                <w:szCs w:val="21"/>
              </w:rPr>
              <w:t>3</w:t>
            </w:r>
          </w:p>
        </w:tc>
        <w:tc>
          <w:tcPr>
            <w:tcW w:w="7913"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szCs w:val="21"/>
              </w:rPr>
            </w:pPr>
            <w:r>
              <w:rPr>
                <w:rFonts w:hint="eastAsia" w:ascii="宋体" w:hAnsi="宋体"/>
                <w:szCs w:val="21"/>
              </w:rPr>
              <w:t>磋商报价及费用：：</w:t>
            </w:r>
            <w:r>
              <w:rPr>
                <w:rFonts w:ascii="宋体" w:hAnsi="宋体"/>
                <w:szCs w:val="21"/>
              </w:rPr>
              <w:t>1</w:t>
            </w:r>
            <w:r>
              <w:rPr>
                <w:rFonts w:hint="eastAsia" w:ascii="宋体" w:hAnsi="宋体"/>
                <w:szCs w:val="21"/>
              </w:rPr>
              <w:t>、本项目磋商应以人民币报价；</w:t>
            </w:r>
            <w:r>
              <w:rPr>
                <w:rFonts w:ascii="宋体" w:hAnsi="宋体"/>
                <w:color w:val="FF0000"/>
                <w:szCs w:val="21"/>
              </w:rPr>
              <w:t>2</w:t>
            </w:r>
            <w:r>
              <w:rPr>
                <w:rFonts w:hint="eastAsia" w:ascii="宋体" w:hAnsi="宋体"/>
                <w:color w:val="FF0000"/>
                <w:szCs w:val="21"/>
              </w:rPr>
              <w:t>、本次招标代理费为6000元，由中标供应商承担；</w:t>
            </w:r>
            <w:r>
              <w:rPr>
                <w:rFonts w:hint="eastAsia" w:ascii="宋体" w:hAnsi="宋体"/>
                <w:szCs w:val="21"/>
              </w:rPr>
              <w:t>3、不论磋商结果如何，供应商均应自行承担所有与磋商有关的全部费用。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13" w:hRule="atLeast"/>
        </w:trPr>
        <w:tc>
          <w:tcPr>
            <w:tcW w:w="67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Cs w:val="21"/>
              </w:rPr>
            </w:pPr>
            <w:r>
              <w:rPr>
                <w:rFonts w:hint="eastAsia" w:ascii="宋体" w:hAnsi="宋体"/>
                <w:szCs w:val="21"/>
              </w:rPr>
              <w:t>4</w:t>
            </w:r>
          </w:p>
        </w:tc>
        <w:tc>
          <w:tcPr>
            <w:tcW w:w="7913"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szCs w:val="21"/>
              </w:rPr>
            </w:pPr>
            <w:r>
              <w:rPr>
                <w:rFonts w:hint="eastAsia" w:ascii="宋体" w:hAnsi="宋体" w:cs="宋体"/>
                <w:szCs w:val="21"/>
              </w:rPr>
              <w:t>磋商保证金金额：人民币8000元整。</w:t>
            </w:r>
            <w:r>
              <w:rPr>
                <w:rFonts w:hint="eastAsia" w:ascii="宋体" w:hAnsi="宋体"/>
                <w:szCs w:val="21"/>
              </w:rPr>
              <w:t>应按《竞争性磋商公告》第九条规定交纳。</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67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Cs w:val="21"/>
              </w:rPr>
            </w:pPr>
            <w:r>
              <w:rPr>
                <w:rFonts w:hint="eastAsia" w:ascii="宋体" w:hAnsi="宋体"/>
                <w:szCs w:val="21"/>
              </w:rPr>
              <w:t>5</w:t>
            </w:r>
          </w:p>
        </w:tc>
        <w:tc>
          <w:tcPr>
            <w:tcW w:w="7913"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szCs w:val="21"/>
              </w:rPr>
            </w:pPr>
            <w:r>
              <w:rPr>
                <w:rFonts w:hint="eastAsia" w:ascii="宋体" w:hAnsi="宋体"/>
                <w:szCs w:val="21"/>
              </w:rPr>
              <w:t>现场踏勘：</w:t>
            </w:r>
            <w:r>
              <w:rPr>
                <w:rFonts w:hint="eastAsia" w:ascii="宋体" w:hAnsi="宋体"/>
                <w:bCs/>
                <w:szCs w:val="21"/>
              </w:rPr>
              <w:t>不组织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582" w:hRule="atLeast"/>
        </w:trPr>
        <w:tc>
          <w:tcPr>
            <w:tcW w:w="67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Cs w:val="21"/>
              </w:rPr>
            </w:pPr>
            <w:r>
              <w:rPr>
                <w:rFonts w:hint="eastAsia" w:ascii="宋体" w:hAnsi="宋体"/>
                <w:szCs w:val="21"/>
              </w:rPr>
              <w:t>6</w:t>
            </w:r>
          </w:p>
        </w:tc>
        <w:tc>
          <w:tcPr>
            <w:tcW w:w="7913"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szCs w:val="21"/>
              </w:rPr>
            </w:pPr>
            <w:r>
              <w:rPr>
                <w:rFonts w:hint="eastAsia" w:ascii="宋体" w:hAnsi="宋体"/>
                <w:szCs w:val="21"/>
              </w:rPr>
              <w:t>答疑与澄清：供应商如认为竞争性磋商文件表述不清晰、存在歧视性、排他性或者其他违法内容的，应当于规定时间前一次性提出，以书面形式要求招标采购单位作出书面解释、澄清或者向招标采购单位提出书面质疑；招标采购单位将于规定时间前将答疑内容以传真或网上发布公告的形式通知所有已报名的供应商；答疑内容是竞争性磋商文件的组成部分；因其他紧急情况影响本项目正常招标活动的，招标采购单位将于磋商截止日期</w:t>
            </w:r>
            <w:r>
              <w:rPr>
                <w:rFonts w:ascii="宋体" w:hAnsi="宋体"/>
                <w:szCs w:val="21"/>
              </w:rPr>
              <w:t>5</w:t>
            </w:r>
            <w:r>
              <w:rPr>
                <w:rFonts w:hint="eastAsia" w:ascii="宋体" w:hAnsi="宋体"/>
                <w:szCs w:val="21"/>
              </w:rPr>
              <w:t>天前书面通知所有已报名的供应商。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79" w:hRule="atLeast"/>
        </w:trPr>
        <w:tc>
          <w:tcPr>
            <w:tcW w:w="67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Cs w:val="21"/>
              </w:rPr>
            </w:pPr>
            <w:r>
              <w:rPr>
                <w:rFonts w:hint="eastAsia" w:ascii="宋体" w:hAnsi="宋体"/>
                <w:szCs w:val="21"/>
              </w:rPr>
              <w:t>7</w:t>
            </w:r>
          </w:p>
        </w:tc>
        <w:tc>
          <w:tcPr>
            <w:tcW w:w="7913" w:type="dxa"/>
            <w:tcBorders>
              <w:top w:val="single" w:color="auto" w:sz="4" w:space="0"/>
              <w:left w:val="single" w:color="auto" w:sz="4" w:space="0"/>
              <w:bottom w:val="single" w:color="auto" w:sz="4" w:space="0"/>
              <w:right w:val="single" w:color="auto" w:sz="4" w:space="0"/>
            </w:tcBorders>
            <w:vAlign w:val="center"/>
          </w:tcPr>
          <w:p>
            <w:pPr>
              <w:snapToGrid w:val="0"/>
              <w:spacing w:line="390" w:lineRule="exact"/>
              <w:jc w:val="left"/>
              <w:rPr>
                <w:rFonts w:ascii="宋体" w:hAnsi="宋体"/>
                <w:b/>
                <w:sz w:val="24"/>
              </w:rPr>
            </w:pPr>
            <w:r>
              <w:rPr>
                <w:rFonts w:hint="eastAsia" w:ascii="宋体" w:hAnsi="宋体"/>
                <w:b/>
                <w:szCs w:val="21"/>
              </w:rPr>
              <w:t>采购预算：40.8万元。</w:t>
            </w:r>
            <w:r>
              <w:rPr>
                <w:rFonts w:hint="eastAsia" w:ascii="宋体" w:hAnsi="宋体" w:cs="宋体"/>
                <w:szCs w:val="21"/>
              </w:rPr>
              <w:t>各磋商供应商报价超出采购预算，其响应文件作无效标处理。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00" w:hRule="exact"/>
        </w:trPr>
        <w:tc>
          <w:tcPr>
            <w:tcW w:w="67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Cs w:val="21"/>
              </w:rPr>
            </w:pPr>
            <w:r>
              <w:rPr>
                <w:rFonts w:hint="eastAsia" w:ascii="宋体" w:hAnsi="宋体"/>
                <w:szCs w:val="21"/>
              </w:rPr>
              <w:t>8</w:t>
            </w:r>
          </w:p>
        </w:tc>
        <w:tc>
          <w:tcPr>
            <w:tcW w:w="7913"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textAlignment w:val="bottom"/>
              <w:rPr>
                <w:rFonts w:ascii="宋体" w:hAnsi="宋体"/>
                <w:szCs w:val="21"/>
              </w:rPr>
            </w:pPr>
            <w:r>
              <w:rPr>
                <w:rFonts w:hint="eastAsia" w:ascii="宋体" w:hAnsi="宋体"/>
                <w:szCs w:val="21"/>
              </w:rPr>
              <w:t>竞争性磋商响应文件组成：</w:t>
            </w:r>
            <w:r>
              <w:rPr>
                <w:rFonts w:hint="eastAsia" w:ascii="宋体" w:hAnsi="宋体" w:cs="Arial"/>
                <w:szCs w:val="21"/>
              </w:rPr>
              <w:t>磋商响应文件须提供</w:t>
            </w:r>
            <w:r>
              <w:rPr>
                <w:rFonts w:hint="eastAsia" w:ascii="宋体" w:hAnsi="宋体"/>
                <w:szCs w:val="21"/>
              </w:rPr>
              <w:t>正本</w:t>
            </w:r>
            <w:r>
              <w:rPr>
                <w:rFonts w:hint="eastAsia" w:ascii="宋体" w:hAnsi="宋体" w:cs="Arial"/>
                <w:szCs w:val="21"/>
                <w:u w:val="single"/>
              </w:rPr>
              <w:t>1</w:t>
            </w:r>
            <w:r>
              <w:rPr>
                <w:rFonts w:hint="eastAsia" w:ascii="宋体" w:hAnsi="宋体"/>
                <w:szCs w:val="21"/>
              </w:rPr>
              <w:t>份；副本</w:t>
            </w:r>
            <w:r>
              <w:rPr>
                <w:rFonts w:hint="eastAsia" w:ascii="宋体" w:hAnsi="宋体" w:cs="Arial"/>
                <w:szCs w:val="21"/>
                <w:u w:val="single"/>
              </w:rPr>
              <w:t xml:space="preserve">2 </w:t>
            </w:r>
            <w:r>
              <w:rPr>
                <w:rFonts w:hint="eastAsia" w:ascii="宋体" w:hAnsi="宋体"/>
                <w:szCs w:val="21"/>
              </w:rPr>
              <w:t>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74" w:hRule="atLeast"/>
        </w:trPr>
        <w:tc>
          <w:tcPr>
            <w:tcW w:w="67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Cs w:val="21"/>
              </w:rPr>
            </w:pPr>
            <w:r>
              <w:rPr>
                <w:rFonts w:hint="eastAsia" w:ascii="宋体" w:hAnsi="宋体"/>
                <w:szCs w:val="21"/>
              </w:rPr>
              <w:t>9</w:t>
            </w:r>
          </w:p>
        </w:tc>
        <w:tc>
          <w:tcPr>
            <w:tcW w:w="7913" w:type="dxa"/>
            <w:tcBorders>
              <w:top w:val="single" w:color="auto" w:sz="4" w:space="0"/>
              <w:left w:val="single" w:color="auto" w:sz="4" w:space="0"/>
              <w:bottom w:val="single" w:color="auto" w:sz="4" w:space="0"/>
              <w:right w:val="single" w:color="auto" w:sz="4" w:space="0"/>
            </w:tcBorders>
            <w:vAlign w:val="center"/>
          </w:tcPr>
          <w:p>
            <w:pPr>
              <w:snapToGrid w:val="0"/>
              <w:spacing w:line="390" w:lineRule="exact"/>
              <w:jc w:val="left"/>
              <w:rPr>
                <w:rFonts w:ascii="宋体" w:hAnsi="宋体" w:cs="宋体"/>
                <w:szCs w:val="21"/>
              </w:rPr>
            </w:pPr>
            <w:r>
              <w:rPr>
                <w:rFonts w:hint="eastAsia" w:ascii="宋体" w:hAnsi="宋体" w:cs="宋体"/>
                <w:szCs w:val="21"/>
              </w:rPr>
              <w:t>磋商截止时间：</w:t>
            </w:r>
            <w:r>
              <w:rPr>
                <w:rFonts w:hint="eastAsia" w:ascii="宋体" w:hAnsi="宋体" w:cs="宋体"/>
                <w:szCs w:val="21"/>
                <w:lang w:eastAsia="zh-CN"/>
              </w:rPr>
              <w:t>2019</w:t>
            </w:r>
            <w:r>
              <w:rPr>
                <w:rFonts w:hint="eastAsia" w:ascii="宋体" w:hAnsi="宋体" w:cs="宋体"/>
                <w:szCs w:val="21"/>
              </w:rPr>
              <w:t>年X月10日09:00时</w:t>
            </w:r>
          </w:p>
          <w:p>
            <w:pPr>
              <w:snapToGrid w:val="0"/>
              <w:rPr>
                <w:rFonts w:ascii="宋体" w:hAnsi="宋体"/>
                <w:szCs w:val="21"/>
              </w:rPr>
            </w:pPr>
            <w:r>
              <w:rPr>
                <w:rFonts w:hint="eastAsia" w:ascii="宋体" w:hAnsi="宋体"/>
                <w:szCs w:val="21"/>
              </w:rPr>
              <w:t>磋商响应文件递交地点</w:t>
            </w:r>
            <w:r>
              <w:rPr>
                <w:rFonts w:hint="eastAsia" w:ascii="宋体" w:hAnsi="宋体" w:cs="Arial"/>
                <w:szCs w:val="21"/>
              </w:rPr>
              <w:t>：</w:t>
            </w:r>
            <w:r>
              <w:rPr>
                <w:rFonts w:hint="eastAsia" w:ascii="宋体" w:hAnsi="宋体" w:cs="Arial"/>
                <w:szCs w:val="21"/>
                <w:u w:val="single"/>
                <w:shd w:val="clear" w:color="FFFFFF" w:fill="D9D9D9"/>
              </w:rPr>
              <w:t>长兴县公共资源交易中心（长兴县龙山街道锦绣路8号市民服务中心4楼）开标室（届时详见四楼大屏公告栏）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55" w:hRule="atLeast"/>
        </w:trPr>
        <w:tc>
          <w:tcPr>
            <w:tcW w:w="67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Cs w:val="21"/>
              </w:rPr>
            </w:pPr>
            <w:r>
              <w:rPr>
                <w:rFonts w:hint="eastAsia" w:ascii="宋体" w:hAnsi="宋体"/>
                <w:szCs w:val="21"/>
              </w:rPr>
              <w:t>10</w:t>
            </w:r>
          </w:p>
        </w:tc>
        <w:tc>
          <w:tcPr>
            <w:tcW w:w="7913" w:type="dxa"/>
            <w:tcBorders>
              <w:top w:val="single" w:color="auto" w:sz="4" w:space="0"/>
              <w:left w:val="single" w:color="auto" w:sz="4" w:space="0"/>
              <w:bottom w:val="single" w:color="auto" w:sz="4" w:space="0"/>
              <w:right w:val="single" w:color="auto" w:sz="4" w:space="0"/>
            </w:tcBorders>
            <w:vAlign w:val="center"/>
          </w:tcPr>
          <w:p>
            <w:pPr>
              <w:snapToGrid w:val="0"/>
              <w:spacing w:line="390" w:lineRule="exact"/>
              <w:jc w:val="left"/>
              <w:rPr>
                <w:rFonts w:ascii="宋体" w:hAnsi="宋体" w:cs="宋体"/>
                <w:szCs w:val="21"/>
              </w:rPr>
            </w:pPr>
            <w:r>
              <w:rPr>
                <w:rFonts w:hint="eastAsia" w:ascii="宋体" w:hAnsi="宋体" w:cs="宋体"/>
                <w:szCs w:val="21"/>
              </w:rPr>
              <w:t>磋商时间：</w:t>
            </w:r>
            <w:r>
              <w:rPr>
                <w:rFonts w:hint="eastAsia" w:ascii="宋体" w:hAnsi="宋体" w:cs="宋体"/>
                <w:szCs w:val="21"/>
                <w:lang w:eastAsia="zh-CN"/>
              </w:rPr>
              <w:t>2019</w:t>
            </w:r>
            <w:r>
              <w:rPr>
                <w:rFonts w:hint="eastAsia" w:ascii="宋体" w:hAnsi="宋体" w:cs="宋体"/>
                <w:szCs w:val="21"/>
              </w:rPr>
              <w:t>年X月10日09:00时</w:t>
            </w:r>
          </w:p>
          <w:p>
            <w:pPr>
              <w:snapToGrid w:val="0"/>
              <w:rPr>
                <w:rFonts w:ascii="宋体" w:hAnsi="宋体"/>
                <w:szCs w:val="21"/>
              </w:rPr>
            </w:pPr>
            <w:r>
              <w:rPr>
                <w:rFonts w:hint="eastAsia" w:ascii="宋体" w:hAnsi="宋体" w:cs="Arial"/>
                <w:szCs w:val="21"/>
              </w:rPr>
              <w:t>磋商地点：</w:t>
            </w:r>
            <w:r>
              <w:rPr>
                <w:rFonts w:hint="eastAsia" w:ascii="宋体" w:hAnsi="宋体" w:cs="Arial"/>
                <w:szCs w:val="21"/>
                <w:u w:val="single"/>
                <w:shd w:val="clear" w:color="FFFFFF" w:fill="D9D9D9"/>
              </w:rPr>
              <w:t>长兴县公共资源交易中心（长兴县龙山街道锦绣路8号市民服务中心4楼）开标室（届时详见四楼大屏公告栏）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67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Cs w:val="21"/>
              </w:rPr>
            </w:pPr>
            <w:r>
              <w:rPr>
                <w:rFonts w:hint="eastAsia" w:ascii="宋体" w:hAnsi="宋体"/>
                <w:szCs w:val="21"/>
              </w:rPr>
              <w:t>11</w:t>
            </w:r>
          </w:p>
        </w:tc>
        <w:tc>
          <w:tcPr>
            <w:tcW w:w="7913"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textAlignment w:val="bottom"/>
              <w:rPr>
                <w:rFonts w:ascii="宋体" w:hAnsi="宋体"/>
                <w:szCs w:val="21"/>
              </w:rPr>
            </w:pPr>
            <w:r>
              <w:rPr>
                <w:rFonts w:hint="eastAsia" w:ascii="宋体" w:hAnsi="宋体" w:cs="Arial"/>
                <w:szCs w:val="21"/>
              </w:rPr>
              <w:t>成交办法：</w:t>
            </w:r>
            <w:r>
              <w:rPr>
                <w:rFonts w:ascii="宋体" w:hAnsi="宋体" w:cs="Arial"/>
                <w:szCs w:val="21"/>
              </w:rPr>
              <w:t>本次</w:t>
            </w:r>
            <w:r>
              <w:rPr>
                <w:rFonts w:hint="eastAsia" w:ascii="宋体" w:hAnsi="宋体" w:cs="Arial"/>
                <w:szCs w:val="21"/>
              </w:rPr>
              <w:t>竞争性磋商</w:t>
            </w:r>
            <w:r>
              <w:rPr>
                <w:rFonts w:ascii="宋体" w:hAnsi="宋体" w:cs="Arial"/>
                <w:szCs w:val="21"/>
              </w:rPr>
              <w:t>采用</w:t>
            </w:r>
            <w:r>
              <w:rPr>
                <w:rFonts w:hint="eastAsia" w:ascii="宋体" w:hAnsi="宋体" w:cs="Arial"/>
                <w:szCs w:val="21"/>
              </w:rPr>
              <w:t>符合要求和</w:t>
            </w:r>
            <w:r>
              <w:rPr>
                <w:rFonts w:ascii="宋体" w:hAnsi="宋体" w:cs="Arial"/>
                <w:szCs w:val="21"/>
              </w:rPr>
              <w:t>服务</w:t>
            </w:r>
            <w:r>
              <w:rPr>
                <w:rFonts w:hint="eastAsia" w:ascii="宋体" w:hAnsi="宋体" w:cs="Arial"/>
                <w:szCs w:val="21"/>
              </w:rPr>
              <w:t>，综合得分最高的</w:t>
            </w:r>
            <w:r>
              <w:rPr>
                <w:rFonts w:ascii="宋体" w:hAnsi="宋体" w:cs="Arial"/>
                <w:szCs w:val="21"/>
              </w:rPr>
              <w:t>确定成交人</w:t>
            </w:r>
            <w:r>
              <w:rPr>
                <w:rFonts w:hint="eastAsia" w:ascii="宋体" w:hAnsi="宋体" w:cs="Arial"/>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75" w:hRule="atLeast"/>
        </w:trPr>
        <w:tc>
          <w:tcPr>
            <w:tcW w:w="67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Cs w:val="21"/>
              </w:rPr>
            </w:pPr>
            <w:r>
              <w:rPr>
                <w:rFonts w:hint="eastAsia" w:ascii="宋体" w:hAnsi="宋体"/>
                <w:szCs w:val="21"/>
              </w:rPr>
              <w:t>12</w:t>
            </w:r>
          </w:p>
        </w:tc>
        <w:tc>
          <w:tcPr>
            <w:tcW w:w="7913" w:type="dxa"/>
            <w:tcBorders>
              <w:top w:val="single" w:color="auto" w:sz="4" w:space="0"/>
              <w:left w:val="single" w:color="auto" w:sz="4" w:space="0"/>
              <w:bottom w:val="single" w:color="auto" w:sz="4" w:space="0"/>
              <w:right w:val="single" w:color="auto" w:sz="4" w:space="0"/>
            </w:tcBorders>
            <w:vAlign w:val="center"/>
          </w:tcPr>
          <w:p>
            <w:pPr>
              <w:snapToGrid w:val="0"/>
              <w:spacing w:line="340" w:lineRule="exact"/>
              <w:ind w:firstLine="420"/>
              <w:rPr>
                <w:rFonts w:ascii="宋体" w:hAnsi="宋体"/>
                <w:szCs w:val="21"/>
              </w:rPr>
            </w:pPr>
            <w:r>
              <w:rPr>
                <w:rFonts w:hint="eastAsia" w:ascii="宋体" w:hAnsi="宋体"/>
                <w:spacing w:val="-20"/>
                <w:szCs w:val="21"/>
              </w:rPr>
              <w:t>成交公示：评标结束后2天内，</w:t>
            </w:r>
            <w:r>
              <w:rPr>
                <w:rFonts w:hint="eastAsia" w:ascii="宋体" w:hAnsi="宋体"/>
                <w:szCs w:val="21"/>
              </w:rPr>
              <w:t>成交公示发布于</w:t>
            </w:r>
            <w:r>
              <w:rPr>
                <w:rFonts w:hint="eastAsia" w:ascii="宋体" w:hAnsi="宋体" w:cs="Arial"/>
                <w:szCs w:val="21"/>
              </w:rPr>
              <w:t>“浙江省政府采购网”（ http://www.zjzfcg.gov.cn/）“长兴县公共资源交易中心”（http://www.cxztb.gov.cn:8081/cxweb/）</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057" w:hRule="atLeast"/>
        </w:trPr>
        <w:tc>
          <w:tcPr>
            <w:tcW w:w="67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Cs w:val="21"/>
              </w:rPr>
            </w:pPr>
            <w:r>
              <w:rPr>
                <w:rFonts w:hint="eastAsia" w:ascii="宋体" w:hAnsi="宋体"/>
                <w:szCs w:val="21"/>
              </w:rPr>
              <w:t>13</w:t>
            </w:r>
          </w:p>
        </w:tc>
        <w:tc>
          <w:tcPr>
            <w:tcW w:w="7913"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szCs w:val="21"/>
              </w:rPr>
            </w:pPr>
            <w:r>
              <w:rPr>
                <w:rFonts w:hint="eastAsia" w:ascii="宋体" w:hAnsi="宋体"/>
                <w:szCs w:val="21"/>
              </w:rPr>
              <w:t>磋商保证金退还（不计息）：除竞争性磋商文件规定不予退还保证金的情形外，成交通知书发出后7个工作日内退还。请供应商在成交公示结束后7个工作日内提供退还保证金的收据（加盖财务专用章）和本单位开户银行及帐号，招标代理机构在收到退还保证金收据后以电汇或转帐方式将其退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87" w:hRule="exact"/>
        </w:trPr>
        <w:tc>
          <w:tcPr>
            <w:tcW w:w="67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Cs w:val="21"/>
              </w:rPr>
            </w:pPr>
            <w:r>
              <w:rPr>
                <w:rFonts w:hint="eastAsia" w:ascii="宋体" w:hAnsi="宋体"/>
                <w:szCs w:val="21"/>
              </w:rPr>
              <w:t>14</w:t>
            </w:r>
          </w:p>
        </w:tc>
        <w:tc>
          <w:tcPr>
            <w:tcW w:w="7913"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textAlignment w:val="bottom"/>
              <w:rPr>
                <w:rFonts w:ascii="宋体" w:hAnsi="宋体"/>
                <w:szCs w:val="21"/>
              </w:rPr>
            </w:pPr>
            <w:r>
              <w:rPr>
                <w:rFonts w:hint="eastAsia" w:ascii="宋体" w:hAnsi="宋体"/>
                <w:szCs w:val="21"/>
              </w:rPr>
              <w:t>签订合同时间：中标通知书发出后30日内。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97" w:hRule="exact"/>
        </w:trPr>
        <w:tc>
          <w:tcPr>
            <w:tcW w:w="67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Cs w:val="21"/>
              </w:rPr>
            </w:pPr>
            <w:r>
              <w:rPr>
                <w:rFonts w:hint="eastAsia" w:ascii="宋体" w:hAnsi="宋体"/>
                <w:szCs w:val="21"/>
              </w:rPr>
              <w:t>15</w:t>
            </w:r>
          </w:p>
        </w:tc>
        <w:tc>
          <w:tcPr>
            <w:tcW w:w="7913"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szCs w:val="21"/>
              </w:rPr>
            </w:pPr>
            <w:r>
              <w:rPr>
                <w:rFonts w:hint="eastAsia" w:ascii="宋体" w:hAnsi="宋体"/>
                <w:szCs w:val="21"/>
              </w:rPr>
              <w:t>付款方式：采购专户支付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87" w:hRule="exact"/>
        </w:trPr>
        <w:tc>
          <w:tcPr>
            <w:tcW w:w="67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Cs w:val="21"/>
              </w:rPr>
            </w:pPr>
            <w:r>
              <w:rPr>
                <w:rFonts w:hint="eastAsia" w:ascii="宋体" w:hAnsi="宋体"/>
                <w:szCs w:val="21"/>
              </w:rPr>
              <w:t>16</w:t>
            </w:r>
          </w:p>
        </w:tc>
        <w:tc>
          <w:tcPr>
            <w:tcW w:w="7913"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szCs w:val="21"/>
              </w:rPr>
            </w:pPr>
            <w:r>
              <w:rPr>
                <w:rFonts w:hint="eastAsia" w:ascii="宋体" w:hAnsi="宋体"/>
                <w:szCs w:val="21"/>
              </w:rPr>
              <w:t>竞争性磋商响应文件有效期：</w:t>
            </w:r>
            <w:r>
              <w:rPr>
                <w:rFonts w:hint="eastAsia" w:ascii="宋体" w:hAnsi="宋体" w:cs="Arial"/>
                <w:szCs w:val="21"/>
                <w:u w:val="single"/>
              </w:rPr>
              <w:t xml:space="preserve"> 60 </w:t>
            </w:r>
            <w:r>
              <w:rPr>
                <w:rFonts w:hint="eastAsia" w:ascii="宋体" w:hAnsi="宋体" w:cs="Arial"/>
                <w:szCs w:val="21"/>
              </w:rPr>
              <w:t>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347" w:hRule="exact"/>
        </w:trPr>
        <w:tc>
          <w:tcPr>
            <w:tcW w:w="67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Cs w:val="21"/>
              </w:rPr>
            </w:pPr>
            <w:r>
              <w:rPr>
                <w:rFonts w:hint="eastAsia" w:ascii="宋体" w:hAnsi="宋体"/>
                <w:szCs w:val="21"/>
              </w:rPr>
              <w:t>17</w:t>
            </w:r>
          </w:p>
        </w:tc>
        <w:tc>
          <w:tcPr>
            <w:tcW w:w="791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b/>
                <w:bCs/>
                <w:szCs w:val="21"/>
              </w:rPr>
            </w:pPr>
            <w:r>
              <w:rPr>
                <w:rFonts w:hint="eastAsia" w:ascii="宋体" w:hAnsi="宋体" w:cs="宋体"/>
                <w:b/>
                <w:bCs/>
                <w:szCs w:val="21"/>
              </w:rPr>
              <w:t>供应商应派法定代表人（携带身份证原件）或授权代表（携带法定代表人授权委托书及身份证原件）参加竞争性磋商会议。企业法人营业执照、资质证书原件单独提交，由招标采购单位在开标后进行审核，资格审核不合格，磋商响应文件按无效处理，不能参与下一步磋商活动。</w:t>
            </w:r>
          </w:p>
          <w:p>
            <w:pPr>
              <w:snapToGrid w:val="0"/>
              <w:rPr>
                <w:rFonts w:ascii="宋体" w:hAnsi="宋体"/>
                <w:szCs w:val="21"/>
              </w:rPr>
            </w:pPr>
            <w:r>
              <w:rPr>
                <w:rFonts w:hint="eastAsia" w:ascii="宋体" w:hAnsi="宋体" w:cs="宋体"/>
                <w:szCs w:val="21"/>
              </w:rPr>
              <w:t>如供应商的各类证书原件正在变更、年检的，须有相应的行业管理部门出具书面证明（原件），并注明证书主要相关内容。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50" w:hRule="exact"/>
        </w:trPr>
        <w:tc>
          <w:tcPr>
            <w:tcW w:w="67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Cs w:val="21"/>
              </w:rPr>
            </w:pPr>
            <w:r>
              <w:rPr>
                <w:rFonts w:hint="eastAsia" w:ascii="宋体" w:hAnsi="宋体"/>
                <w:szCs w:val="21"/>
              </w:rPr>
              <w:t>18</w:t>
            </w:r>
          </w:p>
        </w:tc>
        <w:tc>
          <w:tcPr>
            <w:tcW w:w="7913"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szCs w:val="21"/>
              </w:rPr>
            </w:pPr>
            <w:r>
              <w:rPr>
                <w:rFonts w:hint="eastAsia" w:ascii="宋体" w:hAnsi="宋体"/>
                <w:szCs w:val="21"/>
              </w:rPr>
              <w:t>解释：本竞争性磋商文件的解释权属于招标采购单位。</w:t>
            </w:r>
          </w:p>
        </w:tc>
      </w:tr>
    </w:tbl>
    <w:p>
      <w:pPr>
        <w:autoSpaceDE w:val="0"/>
        <w:autoSpaceDN w:val="0"/>
        <w:adjustRightInd w:val="0"/>
        <w:spacing w:line="360" w:lineRule="auto"/>
        <w:ind w:firstLine="360" w:firstLineChars="150"/>
        <w:rPr>
          <w:rFonts w:ascii="宋体"/>
          <w:sz w:val="24"/>
          <w:lang w:val="zh-CN"/>
        </w:rPr>
      </w:pPr>
    </w:p>
    <w:p>
      <w:pPr>
        <w:autoSpaceDE w:val="0"/>
        <w:autoSpaceDN w:val="0"/>
        <w:adjustRightInd w:val="0"/>
        <w:spacing w:line="360" w:lineRule="auto"/>
        <w:rPr>
          <w:rFonts w:ascii="宋体"/>
          <w:b/>
          <w:szCs w:val="21"/>
          <w:lang w:val="zh-CN"/>
        </w:rPr>
      </w:pPr>
      <w:r>
        <w:rPr>
          <w:rFonts w:hint="eastAsia" w:ascii="宋体"/>
          <w:b/>
          <w:szCs w:val="21"/>
          <w:lang w:val="zh-CN"/>
        </w:rPr>
        <w:t>一、说明</w:t>
      </w:r>
      <w:bookmarkEnd w:id="21"/>
      <w:bookmarkEnd w:id="22"/>
      <w:bookmarkEnd w:id="23"/>
      <w:bookmarkEnd w:id="24"/>
      <w:bookmarkEnd w:id="25"/>
      <w:bookmarkEnd w:id="26"/>
    </w:p>
    <w:p>
      <w:pPr>
        <w:autoSpaceDE w:val="0"/>
        <w:autoSpaceDN w:val="0"/>
        <w:adjustRightInd w:val="0"/>
        <w:spacing w:line="360" w:lineRule="auto"/>
        <w:ind w:firstLine="315" w:firstLineChars="150"/>
        <w:rPr>
          <w:rFonts w:ascii="宋体"/>
          <w:szCs w:val="21"/>
          <w:lang w:val="zh-CN"/>
        </w:rPr>
      </w:pPr>
      <w:bookmarkStart w:id="27" w:name="_Toc172338035"/>
      <w:bookmarkStart w:id="28" w:name="_Toc174767469"/>
      <w:bookmarkStart w:id="29" w:name="_Toc172337885"/>
      <w:r>
        <w:rPr>
          <w:rFonts w:hint="eastAsia" w:ascii="宋体"/>
          <w:szCs w:val="21"/>
          <w:lang w:val="zh-CN"/>
        </w:rPr>
        <w:t>（一）总则</w:t>
      </w:r>
    </w:p>
    <w:p>
      <w:pPr>
        <w:autoSpaceDE w:val="0"/>
        <w:autoSpaceDN w:val="0"/>
        <w:adjustRightInd w:val="0"/>
        <w:spacing w:line="360" w:lineRule="auto"/>
        <w:ind w:firstLine="420" w:firstLineChars="200"/>
        <w:rPr>
          <w:rFonts w:ascii="宋体"/>
          <w:szCs w:val="21"/>
          <w:lang w:val="zh-CN"/>
        </w:rPr>
      </w:pPr>
      <w:r>
        <w:rPr>
          <w:rFonts w:hint="eastAsia" w:ascii="宋体"/>
          <w:szCs w:val="21"/>
          <w:lang w:val="zh-CN"/>
        </w:rPr>
        <w:t>1、本次磋商工作是按照《中华人民共和国政府采购法》等相关规定组织和实施。</w:t>
      </w:r>
    </w:p>
    <w:p>
      <w:pPr>
        <w:autoSpaceDE w:val="0"/>
        <w:autoSpaceDN w:val="0"/>
        <w:adjustRightInd w:val="0"/>
        <w:spacing w:line="360" w:lineRule="auto"/>
        <w:ind w:firstLine="420" w:firstLineChars="200"/>
        <w:rPr>
          <w:rFonts w:ascii="宋体"/>
          <w:szCs w:val="21"/>
          <w:lang w:val="zh-CN"/>
        </w:rPr>
      </w:pPr>
      <w:r>
        <w:rPr>
          <w:rFonts w:hint="eastAsia" w:ascii="宋体"/>
          <w:szCs w:val="21"/>
          <w:lang w:val="zh-CN"/>
        </w:rPr>
        <w:t>2、无论磋商过程中的做法和结果如何，</w:t>
      </w:r>
      <w:r>
        <w:rPr>
          <w:rFonts w:hint="eastAsia" w:ascii="宋体" w:hAnsi="宋体"/>
          <w:szCs w:val="21"/>
          <w:lang w:val="zh-CN"/>
        </w:rPr>
        <w:t>供应商</w:t>
      </w:r>
      <w:r>
        <w:rPr>
          <w:rFonts w:hint="eastAsia" w:ascii="宋体"/>
          <w:szCs w:val="21"/>
          <w:lang w:val="zh-CN"/>
        </w:rPr>
        <w:t>自行承担磋商活动中所发生的全部费用。</w:t>
      </w:r>
    </w:p>
    <w:p>
      <w:pPr>
        <w:autoSpaceDE w:val="0"/>
        <w:autoSpaceDN w:val="0"/>
        <w:adjustRightInd w:val="0"/>
        <w:spacing w:line="360" w:lineRule="auto"/>
        <w:ind w:firstLine="210" w:firstLineChars="100"/>
        <w:rPr>
          <w:rFonts w:ascii="宋体"/>
          <w:szCs w:val="21"/>
          <w:lang w:val="zh-CN"/>
        </w:rPr>
      </w:pPr>
      <w:r>
        <w:rPr>
          <w:rFonts w:hint="eastAsia" w:ascii="宋体"/>
          <w:szCs w:val="21"/>
          <w:lang w:val="zh-CN"/>
        </w:rPr>
        <w:t>（二）合格供应商</w:t>
      </w:r>
    </w:p>
    <w:p>
      <w:pPr>
        <w:snapToGrid w:val="0"/>
        <w:spacing w:line="360" w:lineRule="auto"/>
        <w:ind w:firstLine="420" w:firstLineChars="200"/>
        <w:rPr>
          <w:rFonts w:ascii="宋体"/>
          <w:szCs w:val="21"/>
          <w:lang w:val="zh-CN"/>
        </w:rPr>
      </w:pPr>
      <w:r>
        <w:rPr>
          <w:rFonts w:hint="eastAsia" w:ascii="宋体"/>
          <w:szCs w:val="21"/>
          <w:lang w:val="zh-CN"/>
        </w:rPr>
        <w:t>1、</w:t>
      </w:r>
      <w:r>
        <w:rPr>
          <w:rFonts w:ascii="宋体"/>
          <w:szCs w:val="21"/>
          <w:lang w:val="zh-CN"/>
        </w:rPr>
        <w:t>符合</w:t>
      </w:r>
      <w:r>
        <w:rPr>
          <w:rFonts w:hint="eastAsia" w:ascii="宋体"/>
          <w:szCs w:val="21"/>
          <w:lang w:val="zh-CN"/>
        </w:rPr>
        <w:t>《中华人民共和国</w:t>
      </w:r>
      <w:r>
        <w:rPr>
          <w:rFonts w:ascii="宋体"/>
          <w:szCs w:val="21"/>
          <w:lang w:val="zh-CN"/>
        </w:rPr>
        <w:t>政府采购法</w:t>
      </w:r>
      <w:r>
        <w:rPr>
          <w:rFonts w:hint="eastAsia" w:ascii="宋体"/>
          <w:szCs w:val="21"/>
          <w:lang w:val="zh-CN"/>
        </w:rPr>
        <w:t>》</w:t>
      </w:r>
      <w:r>
        <w:rPr>
          <w:rFonts w:ascii="宋体"/>
          <w:szCs w:val="21"/>
          <w:lang w:val="zh-CN"/>
        </w:rPr>
        <w:t>第二十二条规定的</w:t>
      </w:r>
      <w:r>
        <w:rPr>
          <w:rFonts w:hint="eastAsia" w:ascii="宋体"/>
          <w:szCs w:val="21"/>
          <w:lang w:val="zh-CN"/>
        </w:rPr>
        <w:t>规定。</w:t>
      </w:r>
    </w:p>
    <w:p>
      <w:pPr>
        <w:tabs>
          <w:tab w:val="left" w:pos="360"/>
        </w:tabs>
        <w:spacing w:line="360" w:lineRule="auto"/>
        <w:ind w:firstLine="420" w:firstLineChars="200"/>
        <w:rPr>
          <w:rFonts w:ascii="宋体"/>
          <w:szCs w:val="21"/>
          <w:lang w:val="zh-CN"/>
        </w:rPr>
      </w:pPr>
      <w:r>
        <w:rPr>
          <w:rFonts w:hint="eastAsia" w:ascii="宋体"/>
          <w:szCs w:val="21"/>
          <w:lang w:val="zh-CN"/>
        </w:rPr>
        <w:t>2、▲供应商的特定条件：详见竞争性磋商公告；</w:t>
      </w:r>
    </w:p>
    <w:p>
      <w:pPr>
        <w:autoSpaceDE w:val="0"/>
        <w:autoSpaceDN w:val="0"/>
        <w:adjustRightInd w:val="0"/>
        <w:spacing w:line="360" w:lineRule="auto"/>
        <w:ind w:firstLine="210" w:firstLineChars="100"/>
        <w:rPr>
          <w:rFonts w:ascii="宋体"/>
          <w:szCs w:val="21"/>
          <w:lang w:val="zh-CN"/>
        </w:rPr>
      </w:pPr>
      <w:r>
        <w:rPr>
          <w:rFonts w:hint="eastAsia" w:ascii="宋体"/>
          <w:szCs w:val="21"/>
          <w:lang w:val="zh-CN"/>
        </w:rPr>
        <w:t>（三）定义</w:t>
      </w:r>
    </w:p>
    <w:p>
      <w:pPr>
        <w:autoSpaceDE w:val="0"/>
        <w:autoSpaceDN w:val="0"/>
        <w:adjustRightInd w:val="0"/>
        <w:spacing w:line="360" w:lineRule="auto"/>
        <w:ind w:firstLine="480"/>
        <w:rPr>
          <w:rFonts w:ascii="宋体"/>
          <w:szCs w:val="21"/>
          <w:u w:val="single"/>
          <w:lang w:val="zh-CN"/>
        </w:rPr>
      </w:pPr>
      <w:r>
        <w:rPr>
          <w:rFonts w:hint="eastAsia" w:ascii="宋体"/>
          <w:szCs w:val="21"/>
          <w:lang w:val="zh-CN"/>
        </w:rPr>
        <w:t>1、</w:t>
      </w:r>
      <w:r>
        <w:rPr>
          <w:rFonts w:ascii="宋体" w:hAnsi="宋体"/>
          <w:szCs w:val="21"/>
          <w:lang w:val="zh-CN"/>
        </w:rPr>
        <w:t>“</w:t>
      </w:r>
      <w:r>
        <w:rPr>
          <w:rFonts w:hint="eastAsia" w:ascii="宋体" w:hAnsi="宋体"/>
          <w:szCs w:val="21"/>
          <w:lang w:val="zh-CN"/>
        </w:rPr>
        <w:t>采购单位</w:t>
      </w:r>
      <w:r>
        <w:rPr>
          <w:rFonts w:ascii="宋体" w:hAnsi="宋体"/>
          <w:szCs w:val="21"/>
          <w:lang w:val="zh-CN"/>
        </w:rPr>
        <w:t>”</w:t>
      </w:r>
      <w:r>
        <w:rPr>
          <w:rFonts w:hint="eastAsia" w:ascii="宋体" w:hAnsi="宋体"/>
          <w:szCs w:val="21"/>
          <w:lang w:val="zh-CN"/>
        </w:rPr>
        <w:t>系指长兴县太湖高级中学。</w:t>
      </w:r>
    </w:p>
    <w:p>
      <w:pPr>
        <w:autoSpaceDE w:val="0"/>
        <w:autoSpaceDN w:val="0"/>
        <w:adjustRightInd w:val="0"/>
        <w:spacing w:line="360" w:lineRule="auto"/>
        <w:ind w:firstLine="480"/>
        <w:rPr>
          <w:rFonts w:ascii="宋体"/>
          <w:szCs w:val="21"/>
          <w:lang w:val="zh-CN"/>
        </w:rPr>
      </w:pPr>
      <w:r>
        <w:rPr>
          <w:rFonts w:hint="eastAsia" w:ascii="宋体"/>
          <w:szCs w:val="21"/>
          <w:lang w:val="zh-CN"/>
        </w:rPr>
        <w:t>2、</w:t>
      </w:r>
      <w:r>
        <w:rPr>
          <w:rFonts w:ascii="宋体" w:hAnsi="宋体"/>
          <w:szCs w:val="21"/>
          <w:lang w:val="zh-CN"/>
        </w:rPr>
        <w:t>“</w:t>
      </w:r>
      <w:r>
        <w:rPr>
          <w:rFonts w:hint="eastAsia" w:ascii="宋体" w:hAnsi="宋体"/>
          <w:szCs w:val="21"/>
          <w:lang w:val="zh-CN"/>
        </w:rPr>
        <w:t>招标代理机构</w:t>
      </w:r>
      <w:r>
        <w:rPr>
          <w:rFonts w:ascii="宋体" w:hAnsi="宋体"/>
          <w:szCs w:val="21"/>
          <w:lang w:val="zh-CN"/>
        </w:rPr>
        <w:t>”</w:t>
      </w:r>
      <w:r>
        <w:rPr>
          <w:rFonts w:hint="eastAsia" w:ascii="宋体"/>
          <w:szCs w:val="21"/>
          <w:lang w:val="zh-CN"/>
        </w:rPr>
        <w:t>系指受采购单位委托组织磋商的湖州建宁工程咨询有限公司。</w:t>
      </w:r>
    </w:p>
    <w:p>
      <w:pPr>
        <w:autoSpaceDE w:val="0"/>
        <w:autoSpaceDN w:val="0"/>
        <w:adjustRightInd w:val="0"/>
        <w:spacing w:line="360" w:lineRule="auto"/>
        <w:ind w:firstLine="480"/>
        <w:rPr>
          <w:rFonts w:ascii="宋体" w:hAnsi="宋体"/>
          <w:szCs w:val="21"/>
          <w:lang w:val="zh-CN"/>
        </w:rPr>
      </w:pPr>
      <w:r>
        <w:rPr>
          <w:rFonts w:hint="eastAsia" w:ascii="宋体"/>
          <w:szCs w:val="21"/>
        </w:rPr>
        <w:t>3、</w:t>
      </w:r>
      <w:r>
        <w:rPr>
          <w:rFonts w:hint="eastAsia" w:ascii="宋体"/>
          <w:szCs w:val="21"/>
          <w:lang w:val="zh-CN"/>
        </w:rPr>
        <w:t>“招标采购单位</w:t>
      </w:r>
      <w:r>
        <w:rPr>
          <w:rFonts w:hint="eastAsia" w:ascii="宋体" w:hAnsi="宋体"/>
          <w:szCs w:val="21"/>
          <w:lang w:val="zh-CN"/>
        </w:rPr>
        <w:t>”系指组织本次磋商的分散委托代理机构和采购单位。</w:t>
      </w:r>
    </w:p>
    <w:p>
      <w:pPr>
        <w:autoSpaceDE w:val="0"/>
        <w:autoSpaceDN w:val="0"/>
        <w:adjustRightInd w:val="0"/>
        <w:spacing w:line="360" w:lineRule="auto"/>
        <w:ind w:firstLine="480"/>
        <w:rPr>
          <w:rFonts w:ascii="宋体"/>
          <w:szCs w:val="21"/>
          <w:lang w:val="zh-CN"/>
        </w:rPr>
      </w:pPr>
      <w:r>
        <w:rPr>
          <w:rFonts w:hint="eastAsia" w:ascii="宋体"/>
          <w:szCs w:val="21"/>
          <w:lang w:val="zh-CN"/>
        </w:rPr>
        <w:t>4、</w:t>
      </w:r>
      <w:r>
        <w:rPr>
          <w:rFonts w:ascii="宋体" w:hAnsi="宋体"/>
          <w:szCs w:val="21"/>
          <w:lang w:val="zh-CN"/>
        </w:rPr>
        <w:t>“</w:t>
      </w:r>
      <w:r>
        <w:rPr>
          <w:rFonts w:hint="eastAsia" w:ascii="宋体" w:hAnsi="宋体"/>
          <w:szCs w:val="21"/>
          <w:lang w:val="zh-CN"/>
        </w:rPr>
        <w:t>供应商</w:t>
      </w:r>
      <w:r>
        <w:rPr>
          <w:rFonts w:ascii="宋体" w:hAnsi="宋体"/>
          <w:szCs w:val="21"/>
          <w:lang w:val="zh-CN"/>
        </w:rPr>
        <w:t>”</w:t>
      </w:r>
      <w:r>
        <w:rPr>
          <w:rFonts w:hint="eastAsia" w:ascii="宋体" w:hAnsi="宋体"/>
          <w:szCs w:val="21"/>
          <w:lang w:val="zh-CN"/>
        </w:rPr>
        <w:t>是</w:t>
      </w:r>
      <w:r>
        <w:rPr>
          <w:rFonts w:hint="eastAsia" w:ascii="宋体"/>
          <w:szCs w:val="21"/>
          <w:lang w:val="zh-CN"/>
        </w:rPr>
        <w:t>指向采购单位提供竞争性磋商响应文件所叙述的合格竞标单位。</w:t>
      </w:r>
    </w:p>
    <w:p>
      <w:pPr>
        <w:snapToGrid w:val="0"/>
        <w:spacing w:line="360" w:lineRule="auto"/>
        <w:ind w:firstLine="495" w:firstLineChars="250"/>
        <w:jc w:val="left"/>
        <w:rPr>
          <w:rFonts w:ascii="宋体" w:hAnsi="宋体"/>
          <w:spacing w:val="-6"/>
          <w:szCs w:val="21"/>
        </w:rPr>
      </w:pPr>
      <w:r>
        <w:rPr>
          <w:rFonts w:hint="eastAsia" w:ascii="宋体" w:hAnsi="宋体"/>
          <w:spacing w:val="-6"/>
          <w:szCs w:val="21"/>
        </w:rPr>
        <w:t>5、“▲”系指实质性要求条款，投标人必须做出实质性响应。</w:t>
      </w:r>
    </w:p>
    <w:p>
      <w:pPr>
        <w:autoSpaceDE w:val="0"/>
        <w:autoSpaceDN w:val="0"/>
        <w:adjustRightInd w:val="0"/>
        <w:spacing w:line="360" w:lineRule="auto"/>
        <w:rPr>
          <w:rFonts w:ascii="宋体"/>
          <w:b/>
          <w:szCs w:val="21"/>
          <w:lang w:val="zh-CN"/>
        </w:rPr>
      </w:pPr>
      <w:bookmarkStart w:id="30" w:name="_Toc182125819"/>
      <w:bookmarkStart w:id="31" w:name="_Toc269397669"/>
      <w:bookmarkStart w:id="32" w:name="_Toc182125896"/>
      <w:r>
        <w:rPr>
          <w:rFonts w:hint="eastAsia" w:ascii="宋体"/>
          <w:b/>
          <w:szCs w:val="21"/>
          <w:lang w:val="zh-CN"/>
        </w:rPr>
        <w:t>二、竞争性磋商文件</w:t>
      </w:r>
      <w:bookmarkEnd w:id="27"/>
      <w:bookmarkEnd w:id="28"/>
      <w:bookmarkEnd w:id="29"/>
      <w:bookmarkEnd w:id="30"/>
      <w:bookmarkEnd w:id="31"/>
      <w:bookmarkEnd w:id="32"/>
    </w:p>
    <w:p>
      <w:pPr>
        <w:spacing w:line="360" w:lineRule="auto"/>
        <w:ind w:firstLine="315" w:firstLineChars="150"/>
        <w:rPr>
          <w:rFonts w:ascii="宋体" w:hAnsi="宋体"/>
          <w:szCs w:val="21"/>
        </w:rPr>
      </w:pPr>
      <w:r>
        <w:rPr>
          <w:rFonts w:hint="eastAsia" w:ascii="宋体" w:hAnsi="宋体"/>
          <w:szCs w:val="21"/>
        </w:rPr>
        <w:t>（一）</w:t>
      </w:r>
      <w:r>
        <w:rPr>
          <w:rFonts w:hint="eastAsia" w:ascii="宋体"/>
          <w:szCs w:val="21"/>
          <w:lang w:val="zh-CN"/>
        </w:rPr>
        <w:t>竞争性磋商</w:t>
      </w:r>
      <w:r>
        <w:rPr>
          <w:rFonts w:hint="eastAsia" w:ascii="宋体" w:hAnsi="宋体"/>
          <w:szCs w:val="21"/>
        </w:rPr>
        <w:t>文件组成</w:t>
      </w:r>
    </w:p>
    <w:p>
      <w:pPr>
        <w:spacing w:line="360" w:lineRule="auto"/>
        <w:ind w:firstLine="420" w:firstLineChars="200"/>
        <w:rPr>
          <w:rFonts w:ascii="宋体" w:hAnsi="宋体"/>
          <w:szCs w:val="21"/>
        </w:rPr>
      </w:pPr>
      <w:r>
        <w:rPr>
          <w:rFonts w:hint="eastAsia" w:ascii="宋体"/>
          <w:szCs w:val="21"/>
          <w:lang w:val="zh-CN"/>
        </w:rPr>
        <w:t>竞争性磋商</w:t>
      </w:r>
      <w:r>
        <w:rPr>
          <w:rFonts w:hint="eastAsia" w:ascii="宋体" w:hAnsi="宋体"/>
          <w:szCs w:val="21"/>
        </w:rPr>
        <w:t>文件由</w:t>
      </w:r>
      <w:r>
        <w:rPr>
          <w:rFonts w:hint="eastAsia" w:ascii="宋体"/>
          <w:szCs w:val="21"/>
          <w:lang w:val="zh-CN"/>
        </w:rPr>
        <w:t>总目录所列内容组成。</w:t>
      </w:r>
    </w:p>
    <w:p>
      <w:pPr>
        <w:spacing w:line="360" w:lineRule="auto"/>
        <w:ind w:firstLine="315" w:firstLineChars="150"/>
        <w:rPr>
          <w:rFonts w:ascii="宋体" w:hAnsi="宋体"/>
          <w:szCs w:val="21"/>
        </w:rPr>
      </w:pPr>
      <w:r>
        <w:rPr>
          <w:rFonts w:hint="eastAsia" w:ascii="宋体" w:hAnsi="宋体"/>
          <w:szCs w:val="21"/>
        </w:rPr>
        <w:t>（二）</w:t>
      </w:r>
      <w:r>
        <w:rPr>
          <w:rFonts w:hint="eastAsia" w:ascii="宋体"/>
          <w:szCs w:val="21"/>
          <w:lang w:val="zh-CN"/>
        </w:rPr>
        <w:t>竞争性磋商</w:t>
      </w:r>
      <w:r>
        <w:rPr>
          <w:rFonts w:hint="eastAsia" w:ascii="宋体" w:hAnsi="宋体"/>
          <w:szCs w:val="21"/>
        </w:rPr>
        <w:t>文件的澄清</w:t>
      </w:r>
    </w:p>
    <w:p>
      <w:pPr>
        <w:autoSpaceDE w:val="0"/>
        <w:autoSpaceDN w:val="0"/>
        <w:adjustRightInd w:val="0"/>
        <w:spacing w:line="360" w:lineRule="auto"/>
        <w:ind w:firstLine="420" w:firstLineChars="200"/>
        <w:rPr>
          <w:rFonts w:ascii="宋体"/>
          <w:szCs w:val="21"/>
          <w:lang w:val="zh-CN"/>
        </w:rPr>
      </w:pPr>
      <w:r>
        <w:rPr>
          <w:rFonts w:hint="eastAsia" w:ascii="宋体" w:hAnsi="宋体"/>
          <w:szCs w:val="21"/>
          <w:lang w:val="zh-CN"/>
        </w:rPr>
        <w:t>供应商</w:t>
      </w:r>
      <w:r>
        <w:rPr>
          <w:rFonts w:hint="eastAsia" w:ascii="宋体"/>
          <w:szCs w:val="21"/>
          <w:lang w:val="zh-CN"/>
        </w:rPr>
        <w:t>如发现竞争性磋商文件中内容存在含糊不清、相互矛盾、多种含义以及歧视性不公正条款或违法、违规等有疑点要求澄清的，</w:t>
      </w:r>
      <w:r>
        <w:rPr>
          <w:rFonts w:hint="eastAsia" w:ascii="宋体"/>
          <w:bCs/>
          <w:szCs w:val="21"/>
          <w:lang w:val="zh-CN"/>
        </w:rPr>
        <w:t>请在</w:t>
      </w:r>
      <w:r>
        <w:rPr>
          <w:rFonts w:hint="eastAsia"/>
          <w:bCs/>
          <w:szCs w:val="21"/>
        </w:rPr>
        <w:t>“磋商须知”规定的时间内</w:t>
      </w:r>
      <w:r>
        <w:rPr>
          <w:rFonts w:hint="eastAsia" w:ascii="宋体"/>
          <w:bCs/>
          <w:szCs w:val="21"/>
          <w:lang w:val="zh-CN"/>
        </w:rPr>
        <w:t>把所需答疑的问题</w:t>
      </w:r>
      <w:r>
        <w:rPr>
          <w:rFonts w:hint="eastAsia" w:ascii="宋体"/>
          <w:b/>
          <w:bCs/>
          <w:szCs w:val="21"/>
          <w:lang w:val="zh-CN"/>
        </w:rPr>
        <w:t>以书面形式（盖单位公章）提交至招标代理机构，逾期不得再对竞争性磋商文件的条款提出疑问</w:t>
      </w:r>
      <w:r>
        <w:rPr>
          <w:rFonts w:hint="eastAsia" w:ascii="宋体"/>
          <w:szCs w:val="21"/>
          <w:lang w:val="zh-CN"/>
        </w:rPr>
        <w:t>，由此而导致</w:t>
      </w:r>
      <w:r>
        <w:rPr>
          <w:rFonts w:hint="eastAsia" w:ascii="宋体" w:hAnsi="宋体"/>
          <w:szCs w:val="21"/>
          <w:lang w:val="zh-CN"/>
        </w:rPr>
        <w:t>供应商</w:t>
      </w:r>
      <w:r>
        <w:rPr>
          <w:rFonts w:hint="eastAsia" w:ascii="宋体"/>
          <w:szCs w:val="21"/>
          <w:lang w:val="zh-CN"/>
        </w:rPr>
        <w:t>不成交或成交后产生不利因素的，责任由</w:t>
      </w:r>
      <w:r>
        <w:rPr>
          <w:rFonts w:hint="eastAsia" w:ascii="宋体" w:hAnsi="宋体"/>
          <w:szCs w:val="21"/>
          <w:lang w:val="zh-CN"/>
        </w:rPr>
        <w:t>供应商</w:t>
      </w:r>
      <w:r>
        <w:rPr>
          <w:rFonts w:hint="eastAsia" w:ascii="宋体"/>
          <w:szCs w:val="21"/>
          <w:lang w:val="zh-CN"/>
        </w:rPr>
        <w:t>自负。</w:t>
      </w:r>
    </w:p>
    <w:p>
      <w:pPr>
        <w:autoSpaceDE w:val="0"/>
        <w:autoSpaceDN w:val="0"/>
        <w:adjustRightInd w:val="0"/>
        <w:spacing w:line="360" w:lineRule="auto"/>
        <w:ind w:firstLine="210" w:firstLineChars="100"/>
        <w:rPr>
          <w:rFonts w:ascii="宋体"/>
          <w:szCs w:val="21"/>
          <w:lang w:val="zh-CN"/>
        </w:rPr>
      </w:pPr>
      <w:r>
        <w:rPr>
          <w:rFonts w:hint="eastAsia" w:ascii="宋体"/>
          <w:szCs w:val="21"/>
          <w:lang w:val="zh-CN"/>
        </w:rPr>
        <w:t>（三）竞争性磋商文件的修改</w:t>
      </w:r>
    </w:p>
    <w:p>
      <w:pPr>
        <w:autoSpaceDE w:val="0"/>
        <w:autoSpaceDN w:val="0"/>
        <w:adjustRightInd w:val="0"/>
        <w:spacing w:line="360" w:lineRule="auto"/>
        <w:ind w:firstLine="420" w:firstLineChars="200"/>
        <w:rPr>
          <w:rFonts w:ascii="宋体"/>
          <w:szCs w:val="21"/>
          <w:lang w:val="zh-CN"/>
        </w:rPr>
      </w:pPr>
      <w:r>
        <w:rPr>
          <w:rFonts w:hint="eastAsia" w:ascii="宋体"/>
          <w:szCs w:val="21"/>
          <w:lang w:val="zh-CN"/>
        </w:rPr>
        <w:t>1、在竞争性磋商文件提交截止时间前，招标采购单位有权修改竞争性磋商文件，并以书面形式通知所有参加磋商的</w:t>
      </w:r>
      <w:r>
        <w:rPr>
          <w:rFonts w:hint="eastAsia" w:ascii="宋体" w:hAnsi="宋体"/>
          <w:szCs w:val="21"/>
          <w:lang w:val="zh-CN"/>
        </w:rPr>
        <w:t>供应商</w:t>
      </w:r>
      <w:r>
        <w:rPr>
          <w:rFonts w:hint="eastAsia" w:ascii="宋体"/>
          <w:szCs w:val="21"/>
          <w:lang w:val="zh-CN"/>
        </w:rPr>
        <w:t>。修改文件作为竞争性磋商文件的补充和组成部分，对所有</w:t>
      </w:r>
      <w:r>
        <w:rPr>
          <w:rFonts w:hint="eastAsia" w:ascii="宋体" w:hAnsi="宋体"/>
          <w:szCs w:val="21"/>
          <w:lang w:val="zh-CN"/>
        </w:rPr>
        <w:t>供应商</w:t>
      </w:r>
      <w:r>
        <w:rPr>
          <w:rFonts w:hint="eastAsia" w:ascii="宋体"/>
          <w:szCs w:val="21"/>
          <w:lang w:val="zh-CN"/>
        </w:rPr>
        <w:t>均有约束力。</w:t>
      </w:r>
    </w:p>
    <w:p>
      <w:pPr>
        <w:autoSpaceDE w:val="0"/>
        <w:autoSpaceDN w:val="0"/>
        <w:adjustRightInd w:val="0"/>
        <w:spacing w:line="360" w:lineRule="auto"/>
        <w:ind w:firstLine="480"/>
        <w:rPr>
          <w:rFonts w:ascii="宋体"/>
          <w:szCs w:val="21"/>
          <w:lang w:val="zh-CN"/>
        </w:rPr>
      </w:pPr>
      <w:r>
        <w:rPr>
          <w:rFonts w:hint="eastAsia" w:ascii="宋体"/>
          <w:szCs w:val="21"/>
          <w:lang w:val="zh-CN"/>
        </w:rPr>
        <w:t>2、为使</w:t>
      </w:r>
      <w:r>
        <w:rPr>
          <w:rFonts w:hint="eastAsia" w:ascii="宋体" w:hAnsi="宋体"/>
          <w:szCs w:val="21"/>
          <w:lang w:val="zh-CN"/>
        </w:rPr>
        <w:t>供应商</w:t>
      </w:r>
      <w:r>
        <w:rPr>
          <w:rFonts w:hint="eastAsia" w:ascii="宋体"/>
          <w:szCs w:val="21"/>
          <w:lang w:val="zh-CN"/>
        </w:rPr>
        <w:t>有足够的时间按修改文件要求修正</w:t>
      </w:r>
      <w:r>
        <w:rPr>
          <w:rFonts w:hint="eastAsia" w:ascii="宋体" w:hAnsi="宋体"/>
          <w:szCs w:val="21"/>
          <w:lang w:val="zh-CN"/>
        </w:rPr>
        <w:t>供应商</w:t>
      </w:r>
      <w:r>
        <w:rPr>
          <w:rFonts w:hint="eastAsia" w:ascii="宋体"/>
          <w:szCs w:val="21"/>
          <w:lang w:val="zh-CN"/>
        </w:rPr>
        <w:t>竞争性磋商响应文件，招标采购单位可视情推迟</w:t>
      </w:r>
      <w:r>
        <w:rPr>
          <w:rFonts w:hint="eastAsia" w:ascii="宋体" w:hAnsi="宋体"/>
          <w:szCs w:val="21"/>
          <w:lang w:val="zh-CN"/>
        </w:rPr>
        <w:t>供应商</w:t>
      </w:r>
      <w:r>
        <w:rPr>
          <w:rFonts w:hint="eastAsia" w:ascii="宋体"/>
          <w:szCs w:val="21"/>
          <w:lang w:val="zh-CN"/>
        </w:rPr>
        <w:t>竞争性磋商文件提交截止时间和磋商时间，并将此变更通知各</w:t>
      </w:r>
      <w:r>
        <w:rPr>
          <w:rFonts w:hint="eastAsia" w:ascii="宋体" w:hAnsi="宋体"/>
          <w:szCs w:val="21"/>
          <w:lang w:val="zh-CN"/>
        </w:rPr>
        <w:t>供应商</w:t>
      </w:r>
      <w:r>
        <w:rPr>
          <w:rFonts w:hint="eastAsia" w:ascii="宋体"/>
          <w:szCs w:val="21"/>
          <w:lang w:val="zh-CN"/>
        </w:rPr>
        <w:t>。</w:t>
      </w:r>
    </w:p>
    <w:p>
      <w:pPr>
        <w:spacing w:line="360" w:lineRule="auto"/>
        <w:ind w:firstLine="420" w:firstLineChars="200"/>
        <w:rPr>
          <w:rFonts w:ascii="宋体" w:hAnsi="宋体"/>
          <w:szCs w:val="21"/>
        </w:rPr>
      </w:pPr>
      <w:r>
        <w:rPr>
          <w:rFonts w:hint="eastAsia" w:ascii="宋体"/>
          <w:szCs w:val="21"/>
          <w:lang w:val="zh-CN"/>
        </w:rPr>
        <w:t>3、竞争性磋商</w:t>
      </w:r>
      <w:r>
        <w:rPr>
          <w:rFonts w:ascii="宋体" w:hAnsi="宋体"/>
          <w:szCs w:val="21"/>
        </w:rPr>
        <w:t>文件的澄清、修改、补充等内容均以书面明确的内容为准。当</w:t>
      </w:r>
      <w:r>
        <w:rPr>
          <w:rFonts w:hint="eastAsia" w:ascii="宋体"/>
          <w:szCs w:val="21"/>
          <w:lang w:val="zh-CN"/>
        </w:rPr>
        <w:t>竞争性磋商</w:t>
      </w:r>
      <w:r>
        <w:rPr>
          <w:rFonts w:ascii="宋体" w:hAnsi="宋体"/>
          <w:szCs w:val="21"/>
        </w:rPr>
        <w:t>文件</w:t>
      </w:r>
      <w:r>
        <w:rPr>
          <w:rFonts w:hint="eastAsia" w:ascii="宋体" w:hAnsi="宋体"/>
          <w:szCs w:val="21"/>
        </w:rPr>
        <w:t>与</w:t>
      </w:r>
      <w:r>
        <w:rPr>
          <w:rFonts w:hint="eastAsia" w:ascii="宋体"/>
          <w:szCs w:val="21"/>
          <w:lang w:val="zh-CN"/>
        </w:rPr>
        <w:t>竞争性磋商</w:t>
      </w:r>
      <w:r>
        <w:rPr>
          <w:rFonts w:ascii="宋体" w:hAnsi="宋体"/>
          <w:szCs w:val="21"/>
        </w:rPr>
        <w:t>文件的澄清、修改、补充等在同一内容的表述上不一致时，以最后发出的书面文件为准。</w:t>
      </w:r>
    </w:p>
    <w:p>
      <w:pPr>
        <w:autoSpaceDE w:val="0"/>
        <w:autoSpaceDN w:val="0"/>
        <w:adjustRightInd w:val="0"/>
        <w:spacing w:line="360" w:lineRule="auto"/>
        <w:rPr>
          <w:rFonts w:ascii="宋体"/>
          <w:b/>
          <w:szCs w:val="21"/>
          <w:lang w:val="zh-CN"/>
        </w:rPr>
      </w:pPr>
      <w:bookmarkStart w:id="33" w:name="_Toc182125897"/>
      <w:bookmarkStart w:id="34" w:name="_Toc174767470"/>
      <w:bookmarkStart w:id="35" w:name="_Toc182125820"/>
      <w:bookmarkStart w:id="36" w:name="_Toc172337886"/>
      <w:bookmarkStart w:id="37" w:name="_Toc172338036"/>
      <w:bookmarkStart w:id="38" w:name="_Toc269397670"/>
      <w:r>
        <w:rPr>
          <w:rFonts w:hint="eastAsia" w:ascii="宋体"/>
          <w:b/>
          <w:szCs w:val="21"/>
          <w:lang w:val="zh-CN"/>
        </w:rPr>
        <w:t>三、</w:t>
      </w:r>
      <w:bookmarkEnd w:id="33"/>
      <w:bookmarkEnd w:id="34"/>
      <w:bookmarkEnd w:id="35"/>
      <w:bookmarkEnd w:id="36"/>
      <w:bookmarkEnd w:id="37"/>
      <w:r>
        <w:rPr>
          <w:rFonts w:hint="eastAsia" w:ascii="宋体"/>
          <w:b/>
          <w:szCs w:val="21"/>
          <w:lang w:val="zh-CN"/>
        </w:rPr>
        <w:t>供应商竞争性磋商响应文件的编制</w:t>
      </w:r>
      <w:bookmarkEnd w:id="38"/>
    </w:p>
    <w:p>
      <w:pPr>
        <w:spacing w:line="360" w:lineRule="auto"/>
        <w:ind w:firstLine="210" w:firstLineChars="100"/>
        <w:rPr>
          <w:rFonts w:ascii="宋体" w:hAnsi="宋体"/>
          <w:szCs w:val="21"/>
        </w:rPr>
      </w:pPr>
      <w:r>
        <w:rPr>
          <w:rFonts w:hint="eastAsia" w:ascii="宋体" w:hAnsi="宋体"/>
          <w:szCs w:val="21"/>
        </w:rPr>
        <w:t>（一）</w:t>
      </w:r>
      <w:r>
        <w:rPr>
          <w:rFonts w:hint="eastAsia" w:ascii="宋体" w:hAnsi="宋体"/>
          <w:szCs w:val="21"/>
          <w:lang w:val="zh-CN"/>
        </w:rPr>
        <w:t>供应商</w:t>
      </w:r>
      <w:r>
        <w:rPr>
          <w:rFonts w:hint="eastAsia" w:ascii="宋体" w:hAnsi="宋体"/>
          <w:szCs w:val="21"/>
        </w:rPr>
        <w:t>竞争性磋商响应文件格式</w:t>
      </w:r>
    </w:p>
    <w:p>
      <w:pPr>
        <w:spacing w:line="360" w:lineRule="auto"/>
        <w:ind w:firstLine="462" w:firstLineChars="220"/>
        <w:rPr>
          <w:rFonts w:ascii="宋体"/>
          <w:szCs w:val="21"/>
          <w:lang w:val="zh-CN"/>
        </w:rPr>
      </w:pPr>
      <w:r>
        <w:rPr>
          <w:rFonts w:hint="eastAsia" w:ascii="宋体"/>
          <w:szCs w:val="21"/>
          <w:lang w:val="zh-CN"/>
        </w:rPr>
        <w:t>1、</w:t>
      </w:r>
      <w:r>
        <w:rPr>
          <w:rFonts w:hint="eastAsia" w:ascii="宋体" w:hAnsi="宋体"/>
          <w:szCs w:val="21"/>
          <w:lang w:val="zh-CN"/>
        </w:rPr>
        <w:t>供应商</w:t>
      </w:r>
      <w:r>
        <w:rPr>
          <w:rFonts w:hint="eastAsia" w:ascii="宋体"/>
          <w:szCs w:val="21"/>
          <w:lang w:val="zh-CN"/>
        </w:rPr>
        <w:t>应按竞争性磋商文件中所提出的格式要求编制。</w:t>
      </w:r>
    </w:p>
    <w:p>
      <w:pPr>
        <w:spacing w:line="360" w:lineRule="auto"/>
        <w:ind w:firstLine="462" w:firstLineChars="220"/>
        <w:rPr>
          <w:rFonts w:ascii="宋体" w:hAnsi="宋体"/>
          <w:szCs w:val="21"/>
        </w:rPr>
      </w:pPr>
      <w:r>
        <w:rPr>
          <w:rFonts w:hint="eastAsia" w:ascii="宋体"/>
          <w:szCs w:val="21"/>
          <w:lang w:val="zh-CN"/>
        </w:rPr>
        <w:t>2、</w:t>
      </w:r>
      <w:r>
        <w:rPr>
          <w:rFonts w:hint="eastAsia" w:ascii="宋体" w:hAnsi="宋体"/>
          <w:szCs w:val="21"/>
        </w:rPr>
        <w:t>本次</w:t>
      </w:r>
      <w:r>
        <w:rPr>
          <w:rFonts w:hint="eastAsia" w:ascii="宋体" w:hAnsi="宋体"/>
          <w:szCs w:val="21"/>
          <w:lang w:val="zh-CN"/>
        </w:rPr>
        <w:t>供应商</w:t>
      </w:r>
      <w:r>
        <w:rPr>
          <w:rFonts w:hint="eastAsia" w:ascii="宋体" w:hAnsi="宋体"/>
          <w:szCs w:val="21"/>
        </w:rPr>
        <w:t>竞争性磋商响应文件所用的纸张一律采用A4型纸，相关内容需打印或用不退色的墨水填写。</w:t>
      </w:r>
    </w:p>
    <w:p>
      <w:pPr>
        <w:spacing w:line="360" w:lineRule="auto"/>
        <w:ind w:firstLine="532"/>
        <w:rPr>
          <w:rFonts w:ascii="宋体" w:hAnsi="宋体"/>
          <w:szCs w:val="21"/>
        </w:rPr>
      </w:pPr>
      <w:r>
        <w:rPr>
          <w:rFonts w:hint="eastAsia" w:ascii="宋体" w:hAnsi="宋体"/>
          <w:szCs w:val="21"/>
        </w:rPr>
        <w:t>3、</w:t>
      </w:r>
      <w:r>
        <w:rPr>
          <w:rFonts w:hint="eastAsia" w:ascii="宋体" w:hAnsi="宋体"/>
          <w:szCs w:val="21"/>
          <w:lang w:val="zh-CN"/>
        </w:rPr>
        <w:t>供应商</w:t>
      </w:r>
      <w:r>
        <w:rPr>
          <w:rFonts w:hint="eastAsia" w:ascii="宋体" w:hAnsi="宋体"/>
          <w:szCs w:val="21"/>
        </w:rPr>
        <w:t>竞争性磋商响应文件</w:t>
      </w:r>
      <w:r>
        <w:rPr>
          <w:rFonts w:ascii="宋体" w:hAnsi="宋体"/>
          <w:szCs w:val="21"/>
        </w:rPr>
        <w:t>使用的度量衡单位，均采用中华人民共和国法定计量单位</w:t>
      </w:r>
      <w:r>
        <w:rPr>
          <w:rFonts w:hint="eastAsia" w:ascii="宋体" w:hAnsi="宋体"/>
          <w:szCs w:val="21"/>
        </w:rPr>
        <w:t>（</w:t>
      </w:r>
      <w:r>
        <w:rPr>
          <w:rFonts w:ascii="宋体" w:hAnsi="宋体"/>
          <w:szCs w:val="21"/>
        </w:rPr>
        <w:t>除规范另有规定外</w:t>
      </w:r>
      <w:r>
        <w:rPr>
          <w:rFonts w:hint="eastAsia" w:ascii="宋体" w:hAnsi="宋体"/>
          <w:szCs w:val="21"/>
        </w:rPr>
        <w:t>）</w:t>
      </w:r>
      <w:r>
        <w:rPr>
          <w:rFonts w:ascii="宋体" w:hAnsi="宋体"/>
          <w:szCs w:val="21"/>
        </w:rPr>
        <w:t>。</w:t>
      </w:r>
    </w:p>
    <w:p>
      <w:pPr>
        <w:autoSpaceDE w:val="0"/>
        <w:autoSpaceDN w:val="0"/>
        <w:adjustRightInd w:val="0"/>
        <w:spacing w:line="360" w:lineRule="auto"/>
        <w:ind w:firstLine="480"/>
        <w:rPr>
          <w:rFonts w:ascii="宋体"/>
          <w:szCs w:val="21"/>
          <w:lang w:val="zh-CN"/>
        </w:rPr>
      </w:pPr>
      <w:r>
        <w:rPr>
          <w:rFonts w:hint="eastAsia" w:ascii="宋体"/>
          <w:szCs w:val="21"/>
        </w:rPr>
        <w:t>4、</w:t>
      </w:r>
      <w:r>
        <w:rPr>
          <w:rFonts w:hint="eastAsia" w:ascii="宋体" w:hAnsi="宋体"/>
          <w:szCs w:val="21"/>
          <w:lang w:val="zh-CN"/>
        </w:rPr>
        <w:t>供应商</w:t>
      </w:r>
      <w:r>
        <w:rPr>
          <w:rFonts w:hint="eastAsia" w:ascii="宋体"/>
          <w:szCs w:val="21"/>
          <w:lang w:val="zh-CN"/>
        </w:rPr>
        <w:t>应仔细阅读竞争性磋商文件中的所有内容，按竞争性磋商文件要求详细编制</w:t>
      </w:r>
      <w:r>
        <w:rPr>
          <w:rFonts w:hint="eastAsia" w:ascii="宋体" w:hAnsi="宋体"/>
          <w:szCs w:val="21"/>
          <w:lang w:val="zh-CN"/>
        </w:rPr>
        <w:t>供应商</w:t>
      </w:r>
      <w:r>
        <w:rPr>
          <w:rFonts w:hint="eastAsia" w:ascii="宋体"/>
          <w:szCs w:val="21"/>
          <w:lang w:val="zh-CN"/>
        </w:rPr>
        <w:t>竞争性磋商</w:t>
      </w:r>
      <w:r>
        <w:rPr>
          <w:rFonts w:hint="eastAsia" w:ascii="宋体" w:hAnsi="宋体"/>
          <w:szCs w:val="21"/>
        </w:rPr>
        <w:t>响应</w:t>
      </w:r>
      <w:r>
        <w:rPr>
          <w:rFonts w:hint="eastAsia" w:ascii="宋体"/>
          <w:szCs w:val="21"/>
          <w:lang w:val="zh-CN"/>
        </w:rPr>
        <w:t>文件，并保证</w:t>
      </w:r>
      <w:r>
        <w:rPr>
          <w:rFonts w:hint="eastAsia" w:ascii="宋体" w:hAnsi="宋体"/>
          <w:szCs w:val="21"/>
          <w:lang w:val="zh-CN"/>
        </w:rPr>
        <w:t>供应商</w:t>
      </w:r>
      <w:r>
        <w:rPr>
          <w:rFonts w:hint="eastAsia" w:ascii="宋体"/>
          <w:szCs w:val="21"/>
          <w:lang w:val="zh-CN"/>
        </w:rPr>
        <w:t>竞争性磋商</w:t>
      </w:r>
      <w:r>
        <w:rPr>
          <w:rFonts w:hint="eastAsia" w:ascii="宋体" w:hAnsi="宋体"/>
          <w:szCs w:val="21"/>
        </w:rPr>
        <w:t>响应</w:t>
      </w:r>
      <w:r>
        <w:rPr>
          <w:rFonts w:hint="eastAsia" w:ascii="宋体"/>
          <w:szCs w:val="21"/>
          <w:lang w:val="zh-CN"/>
        </w:rPr>
        <w:t>文件的正确性和真实性，所有文件资料必须是针对本次磋商。</w:t>
      </w:r>
    </w:p>
    <w:p>
      <w:pPr>
        <w:autoSpaceDE w:val="0"/>
        <w:autoSpaceDN w:val="0"/>
        <w:adjustRightInd w:val="0"/>
        <w:spacing w:line="360" w:lineRule="auto"/>
        <w:ind w:firstLine="480"/>
        <w:rPr>
          <w:rFonts w:ascii="宋体"/>
          <w:szCs w:val="21"/>
          <w:lang w:val="zh-CN"/>
        </w:rPr>
      </w:pPr>
      <w:r>
        <w:rPr>
          <w:rFonts w:hint="eastAsia" w:ascii="宋体"/>
          <w:szCs w:val="21"/>
          <w:lang w:val="zh-CN"/>
        </w:rPr>
        <w:t>5、</w:t>
      </w:r>
      <w:r>
        <w:rPr>
          <w:rFonts w:hint="eastAsia" w:ascii="宋体" w:hAnsi="宋体"/>
          <w:szCs w:val="21"/>
          <w:lang w:val="zh-CN"/>
        </w:rPr>
        <w:t>供应商</w:t>
      </w:r>
      <w:r>
        <w:rPr>
          <w:rFonts w:hint="eastAsia" w:ascii="宋体"/>
          <w:szCs w:val="21"/>
          <w:lang w:val="zh-CN"/>
        </w:rPr>
        <w:t>竞争性磋商</w:t>
      </w:r>
      <w:r>
        <w:rPr>
          <w:rFonts w:hint="eastAsia" w:ascii="宋体" w:hAnsi="宋体"/>
          <w:szCs w:val="21"/>
        </w:rPr>
        <w:t>响应</w:t>
      </w:r>
      <w:r>
        <w:rPr>
          <w:rFonts w:hint="eastAsia" w:ascii="宋体"/>
          <w:szCs w:val="21"/>
          <w:lang w:val="zh-CN"/>
        </w:rPr>
        <w:t>文件如有错漏必须修改，修改处须加盖单位公章或校正章。</w:t>
      </w:r>
    </w:p>
    <w:p>
      <w:pPr>
        <w:autoSpaceDE w:val="0"/>
        <w:autoSpaceDN w:val="0"/>
        <w:adjustRightInd w:val="0"/>
        <w:spacing w:line="360" w:lineRule="auto"/>
        <w:ind w:firstLine="480"/>
        <w:rPr>
          <w:rFonts w:ascii="宋体"/>
          <w:szCs w:val="21"/>
          <w:lang w:val="zh-CN"/>
        </w:rPr>
      </w:pPr>
      <w:r>
        <w:rPr>
          <w:rFonts w:hint="eastAsia" w:ascii="宋体"/>
          <w:szCs w:val="21"/>
          <w:lang w:val="zh-CN"/>
        </w:rPr>
        <w:t>6、由于字迹模糊或表达不清所引起的后果由</w:t>
      </w:r>
      <w:r>
        <w:rPr>
          <w:rFonts w:hint="eastAsia" w:ascii="宋体" w:hAnsi="宋体"/>
          <w:szCs w:val="21"/>
          <w:lang w:val="zh-CN"/>
        </w:rPr>
        <w:t>供应商</w:t>
      </w:r>
      <w:r>
        <w:rPr>
          <w:rFonts w:hint="eastAsia" w:ascii="宋体"/>
          <w:szCs w:val="21"/>
          <w:lang w:val="zh-CN"/>
        </w:rPr>
        <w:t>自负。</w:t>
      </w:r>
    </w:p>
    <w:p>
      <w:pPr>
        <w:autoSpaceDE w:val="0"/>
        <w:autoSpaceDN w:val="0"/>
        <w:adjustRightInd w:val="0"/>
        <w:spacing w:line="360" w:lineRule="auto"/>
        <w:ind w:firstLine="480"/>
        <w:rPr>
          <w:rFonts w:ascii="宋体"/>
          <w:szCs w:val="21"/>
          <w:lang w:val="zh-CN"/>
        </w:rPr>
      </w:pPr>
      <w:r>
        <w:rPr>
          <w:rFonts w:hint="eastAsia" w:ascii="宋体"/>
          <w:szCs w:val="21"/>
          <w:lang w:val="zh-CN"/>
        </w:rPr>
        <w:t>7、不按竞争性磋商文件要求密封的</w:t>
      </w:r>
      <w:r>
        <w:rPr>
          <w:rFonts w:hint="eastAsia" w:ascii="宋体" w:hAnsi="宋体"/>
          <w:szCs w:val="21"/>
          <w:lang w:val="zh-CN"/>
        </w:rPr>
        <w:t>供应商</w:t>
      </w:r>
      <w:r>
        <w:rPr>
          <w:rFonts w:hint="eastAsia" w:ascii="宋体"/>
          <w:szCs w:val="21"/>
          <w:lang w:val="zh-CN"/>
        </w:rPr>
        <w:t>竞争性磋商</w:t>
      </w:r>
      <w:r>
        <w:rPr>
          <w:rFonts w:hint="eastAsia" w:ascii="宋体" w:hAnsi="宋体"/>
          <w:szCs w:val="21"/>
        </w:rPr>
        <w:t>响应</w:t>
      </w:r>
      <w:r>
        <w:rPr>
          <w:rFonts w:hint="eastAsia" w:ascii="宋体"/>
          <w:szCs w:val="21"/>
          <w:lang w:val="zh-CN"/>
        </w:rPr>
        <w:t>文件将被拒绝。</w:t>
      </w:r>
    </w:p>
    <w:p>
      <w:pPr>
        <w:spacing w:line="360" w:lineRule="auto"/>
        <w:ind w:firstLine="315" w:firstLineChars="150"/>
        <w:rPr>
          <w:rFonts w:ascii="宋体" w:hAnsi="宋体"/>
          <w:szCs w:val="21"/>
        </w:rPr>
      </w:pPr>
      <w:r>
        <w:rPr>
          <w:rFonts w:hint="eastAsia" w:ascii="宋体" w:hAnsi="宋体"/>
          <w:szCs w:val="21"/>
        </w:rPr>
        <w:t>（二）</w:t>
      </w:r>
      <w:r>
        <w:rPr>
          <w:rFonts w:hint="eastAsia" w:ascii="宋体" w:hAnsi="宋体"/>
          <w:szCs w:val="21"/>
          <w:lang w:val="zh-CN"/>
        </w:rPr>
        <w:t>供应商</w:t>
      </w:r>
      <w:r>
        <w:rPr>
          <w:rFonts w:hint="eastAsia" w:ascii="宋体" w:hAnsi="宋体"/>
          <w:szCs w:val="21"/>
        </w:rPr>
        <w:t>竞争性磋商响应文件的组成：（以下表式供参考，如有不符可稍作修改，但不得对实质性内容进行更改）</w:t>
      </w:r>
    </w:p>
    <w:p>
      <w:pPr>
        <w:spacing w:line="360" w:lineRule="auto"/>
        <w:rPr>
          <w:rFonts w:ascii="宋体" w:hAnsi="宋体"/>
          <w:b/>
          <w:szCs w:val="21"/>
        </w:rPr>
      </w:pPr>
      <w:r>
        <w:rPr>
          <w:rFonts w:hint="eastAsia" w:ascii="宋体" w:hAnsi="宋体"/>
          <w:b/>
          <w:szCs w:val="21"/>
        </w:rPr>
        <w:t>1、报价文件：</w:t>
      </w:r>
    </w:p>
    <w:p>
      <w:pPr>
        <w:autoSpaceDE w:val="0"/>
        <w:autoSpaceDN w:val="0"/>
        <w:adjustRightInd w:val="0"/>
        <w:spacing w:line="360" w:lineRule="auto"/>
        <w:ind w:firstLine="480"/>
        <w:rPr>
          <w:rFonts w:ascii="宋体"/>
          <w:szCs w:val="21"/>
          <w:lang w:val="zh-CN"/>
        </w:rPr>
      </w:pPr>
      <w:r>
        <w:rPr>
          <w:rFonts w:hint="eastAsia" w:ascii="宋体"/>
          <w:szCs w:val="21"/>
          <w:lang w:val="zh-CN"/>
        </w:rPr>
        <w:t>（1）竞标函；</w:t>
      </w:r>
    </w:p>
    <w:p>
      <w:pPr>
        <w:autoSpaceDE w:val="0"/>
        <w:autoSpaceDN w:val="0"/>
        <w:adjustRightInd w:val="0"/>
        <w:spacing w:line="360" w:lineRule="auto"/>
        <w:ind w:firstLine="480"/>
        <w:rPr>
          <w:rFonts w:ascii="宋体"/>
          <w:szCs w:val="21"/>
          <w:lang w:val="zh-CN"/>
        </w:rPr>
      </w:pPr>
      <w:r>
        <w:rPr>
          <w:rFonts w:hint="eastAsia" w:ascii="宋体"/>
          <w:szCs w:val="21"/>
          <w:lang w:val="zh-CN"/>
        </w:rPr>
        <w:t>（2）磋商报价一览表；</w:t>
      </w:r>
    </w:p>
    <w:p>
      <w:pPr>
        <w:autoSpaceDE w:val="0"/>
        <w:autoSpaceDN w:val="0"/>
        <w:adjustRightInd w:val="0"/>
        <w:spacing w:line="360" w:lineRule="auto"/>
        <w:ind w:firstLine="480"/>
        <w:rPr>
          <w:rFonts w:ascii="宋体"/>
          <w:szCs w:val="21"/>
          <w:lang w:val="zh-CN"/>
        </w:rPr>
      </w:pPr>
      <w:r>
        <w:rPr>
          <w:rFonts w:hint="eastAsia" w:ascii="宋体"/>
          <w:szCs w:val="21"/>
          <w:lang w:val="zh-CN"/>
        </w:rPr>
        <w:t>（3）磋商报价明细表（格式见附件）；</w:t>
      </w:r>
    </w:p>
    <w:p>
      <w:pPr>
        <w:autoSpaceDE w:val="0"/>
        <w:autoSpaceDN w:val="0"/>
        <w:adjustRightInd w:val="0"/>
        <w:spacing w:line="360" w:lineRule="auto"/>
        <w:ind w:firstLine="480"/>
        <w:rPr>
          <w:rFonts w:ascii="宋体"/>
          <w:szCs w:val="21"/>
          <w:lang w:val="zh-CN"/>
        </w:rPr>
      </w:pPr>
      <w:r>
        <w:rPr>
          <w:rFonts w:hint="eastAsia" w:ascii="宋体"/>
          <w:szCs w:val="21"/>
        </w:rPr>
        <w:t>（4）</w:t>
      </w:r>
      <w:r>
        <w:rPr>
          <w:rFonts w:ascii="宋体" w:hAnsi="宋体"/>
          <w:szCs w:val="21"/>
        </w:rPr>
        <w:t>投标人</w:t>
      </w:r>
      <w:r>
        <w:rPr>
          <w:rFonts w:hint="eastAsia" w:ascii="宋体" w:hAnsi="宋体"/>
          <w:szCs w:val="21"/>
        </w:rPr>
        <w:t>针对报价</w:t>
      </w:r>
      <w:r>
        <w:rPr>
          <w:rFonts w:ascii="宋体" w:hAnsi="宋体"/>
          <w:szCs w:val="21"/>
        </w:rPr>
        <w:t>需要说明的其他文件和说明（格式</w:t>
      </w:r>
      <w:r>
        <w:rPr>
          <w:rFonts w:hint="eastAsia" w:ascii="宋体" w:hAnsi="宋体"/>
          <w:szCs w:val="21"/>
        </w:rPr>
        <w:t>自拟）</w:t>
      </w:r>
    </w:p>
    <w:p>
      <w:pPr>
        <w:snapToGrid w:val="0"/>
        <w:spacing w:beforeLines="50" w:line="360" w:lineRule="auto"/>
        <w:jc w:val="left"/>
        <w:rPr>
          <w:rFonts w:ascii="宋体" w:hAnsi="宋体" w:cs="宋体"/>
          <w:b/>
          <w:szCs w:val="21"/>
        </w:rPr>
      </w:pPr>
      <w:r>
        <w:rPr>
          <w:rFonts w:hint="eastAsia" w:ascii="宋体"/>
          <w:b/>
          <w:bCs/>
          <w:szCs w:val="21"/>
          <w:lang w:val="zh-CN"/>
        </w:rPr>
        <w:t>2、资信及</w:t>
      </w:r>
      <w:r>
        <w:rPr>
          <w:rFonts w:hint="eastAsia" w:ascii="宋体" w:hAnsi="宋体" w:cs="宋体"/>
          <w:b/>
          <w:szCs w:val="21"/>
        </w:rPr>
        <w:t>商务部分</w:t>
      </w:r>
    </w:p>
    <w:p>
      <w:pPr>
        <w:spacing w:line="360" w:lineRule="auto"/>
        <w:ind w:firstLine="420" w:firstLineChars="200"/>
        <w:rPr>
          <w:rFonts w:ascii="宋体" w:hAnsi="宋体"/>
          <w:bCs/>
          <w:szCs w:val="21"/>
        </w:rPr>
      </w:pPr>
      <w:r>
        <w:rPr>
          <w:rFonts w:hint="eastAsia" w:ascii="宋体" w:hAnsi="宋体"/>
          <w:bCs/>
          <w:szCs w:val="21"/>
        </w:rPr>
        <w:t>（1）</w:t>
      </w:r>
      <w:r>
        <w:rPr>
          <w:rFonts w:hint="eastAsia" w:ascii="宋体" w:hAnsi="宋体"/>
          <w:szCs w:val="21"/>
        </w:rPr>
        <w:t>磋商</w:t>
      </w:r>
      <w:r>
        <w:rPr>
          <w:rFonts w:ascii="宋体" w:hAnsi="宋体"/>
          <w:szCs w:val="21"/>
        </w:rPr>
        <w:t>声明书</w:t>
      </w:r>
      <w:r>
        <w:rPr>
          <w:rFonts w:hint="eastAsia" w:ascii="宋体" w:hAnsi="宋体"/>
          <w:bCs/>
          <w:szCs w:val="21"/>
        </w:rPr>
        <w:t xml:space="preserve">；                                          </w:t>
      </w:r>
    </w:p>
    <w:p>
      <w:pPr>
        <w:spacing w:line="360" w:lineRule="auto"/>
        <w:ind w:firstLine="420" w:firstLineChars="200"/>
        <w:rPr>
          <w:rFonts w:ascii="宋体" w:hAnsi="宋体"/>
          <w:bCs/>
          <w:szCs w:val="21"/>
        </w:rPr>
      </w:pPr>
      <w:r>
        <w:rPr>
          <w:rFonts w:hint="eastAsia" w:ascii="宋体" w:hAnsi="宋体"/>
          <w:bCs/>
          <w:szCs w:val="21"/>
        </w:rPr>
        <w:t>（2）</w:t>
      </w:r>
      <w:r>
        <w:rPr>
          <w:rFonts w:ascii="宋体" w:hAnsi="宋体"/>
          <w:szCs w:val="21"/>
        </w:rPr>
        <w:t>法定代表人授权委托书</w:t>
      </w:r>
      <w:r>
        <w:rPr>
          <w:rFonts w:hint="eastAsia" w:ascii="宋体" w:hAnsi="宋体"/>
          <w:bCs/>
          <w:szCs w:val="21"/>
        </w:rPr>
        <w:t>；</w:t>
      </w:r>
    </w:p>
    <w:p>
      <w:pPr>
        <w:spacing w:line="360" w:lineRule="auto"/>
        <w:rPr>
          <w:rFonts w:ascii="宋体" w:hAnsi="宋体"/>
          <w:bCs/>
          <w:szCs w:val="21"/>
        </w:rPr>
      </w:pPr>
      <w:r>
        <w:rPr>
          <w:rFonts w:hint="eastAsia" w:ascii="宋体" w:hAnsi="宋体"/>
          <w:bCs/>
          <w:szCs w:val="21"/>
        </w:rPr>
        <w:t xml:space="preserve">    （3）磋商保证金；                                    </w:t>
      </w:r>
    </w:p>
    <w:p>
      <w:pPr>
        <w:spacing w:line="360" w:lineRule="auto"/>
        <w:ind w:firstLine="420" w:firstLineChars="200"/>
        <w:rPr>
          <w:rFonts w:ascii="宋体" w:hAnsi="宋体"/>
          <w:bCs/>
          <w:szCs w:val="21"/>
        </w:rPr>
      </w:pPr>
      <w:r>
        <w:rPr>
          <w:rFonts w:hint="eastAsia" w:ascii="宋体" w:hAnsi="宋体"/>
          <w:bCs/>
          <w:szCs w:val="21"/>
        </w:rPr>
        <w:t>（4）</w:t>
      </w:r>
      <w:r>
        <w:rPr>
          <w:rFonts w:hint="eastAsia" w:ascii="宋体" w:hAnsi="宋体"/>
          <w:szCs w:val="21"/>
        </w:rPr>
        <w:t>供应商情况表</w:t>
      </w:r>
      <w:r>
        <w:rPr>
          <w:rFonts w:hint="eastAsia" w:ascii="宋体" w:hAnsi="宋体"/>
          <w:bCs/>
          <w:szCs w:val="21"/>
        </w:rPr>
        <w:t xml:space="preserve">； </w:t>
      </w:r>
    </w:p>
    <w:p>
      <w:pPr>
        <w:spacing w:line="360" w:lineRule="auto"/>
        <w:ind w:firstLine="420" w:firstLineChars="200"/>
        <w:rPr>
          <w:rFonts w:ascii="宋体" w:hAnsi="宋体"/>
          <w:bCs/>
          <w:szCs w:val="21"/>
        </w:rPr>
      </w:pPr>
      <w:r>
        <w:rPr>
          <w:rFonts w:hint="eastAsia" w:ascii="宋体" w:hAnsi="宋体"/>
          <w:bCs/>
          <w:szCs w:val="21"/>
        </w:rPr>
        <w:t>（5）资格资信证明文件（营业执照或事业单位法人证书、资质证书等，复印件加盖公章）；</w:t>
      </w:r>
    </w:p>
    <w:p>
      <w:pPr>
        <w:snapToGrid w:val="0"/>
        <w:spacing w:line="360" w:lineRule="auto"/>
        <w:ind w:firstLine="411" w:firstLineChars="196"/>
        <w:jc w:val="left"/>
        <w:rPr>
          <w:rFonts w:ascii="宋体" w:hAnsi="宋体"/>
          <w:szCs w:val="21"/>
        </w:rPr>
      </w:pPr>
      <w:r>
        <w:rPr>
          <w:rFonts w:hint="eastAsia" w:ascii="宋体" w:hAnsi="宋体"/>
          <w:bCs/>
          <w:szCs w:val="21"/>
        </w:rPr>
        <w:t>（6）</w:t>
      </w:r>
      <w:r>
        <w:rPr>
          <w:rFonts w:hint="eastAsia" w:ascii="宋体" w:hAnsi="宋体"/>
          <w:szCs w:val="21"/>
        </w:rPr>
        <w:t>供应商经当地税务、社保部门确认的201</w:t>
      </w:r>
      <w:r>
        <w:rPr>
          <w:rFonts w:hint="eastAsia" w:ascii="宋体" w:hAnsi="宋体" w:cs="Arial"/>
          <w:szCs w:val="21"/>
        </w:rPr>
        <w:t>7</w:t>
      </w:r>
      <w:r>
        <w:rPr>
          <w:rFonts w:hint="eastAsia" w:ascii="宋体" w:hAnsi="宋体"/>
          <w:szCs w:val="21"/>
        </w:rPr>
        <w:t>年度依法缴纳税收和社保基金缴纳情况的证明文书；</w:t>
      </w:r>
    </w:p>
    <w:p>
      <w:pPr>
        <w:snapToGrid w:val="0"/>
        <w:spacing w:line="360" w:lineRule="auto"/>
        <w:ind w:firstLine="411" w:firstLineChars="196"/>
        <w:jc w:val="left"/>
        <w:rPr>
          <w:rFonts w:ascii="宋体" w:hAnsi="宋体"/>
          <w:szCs w:val="21"/>
        </w:rPr>
      </w:pPr>
      <w:r>
        <w:rPr>
          <w:rFonts w:hint="eastAsia" w:ascii="宋体" w:hAnsi="宋体"/>
          <w:szCs w:val="21"/>
        </w:rPr>
        <w:t>（7）商务响应表；</w:t>
      </w:r>
    </w:p>
    <w:p>
      <w:pPr>
        <w:snapToGrid w:val="0"/>
        <w:spacing w:line="360" w:lineRule="auto"/>
        <w:ind w:firstLine="411" w:firstLineChars="196"/>
        <w:jc w:val="left"/>
        <w:rPr>
          <w:rFonts w:ascii="宋体" w:hAnsi="宋体"/>
          <w:szCs w:val="21"/>
        </w:rPr>
      </w:pPr>
      <w:r>
        <w:rPr>
          <w:rFonts w:hint="eastAsia" w:ascii="宋体" w:hAnsi="宋体"/>
          <w:szCs w:val="21"/>
        </w:rPr>
        <w:t>（8）技术响应表；</w:t>
      </w:r>
    </w:p>
    <w:p>
      <w:pPr>
        <w:pStyle w:val="11"/>
        <w:ind w:firstLine="210"/>
      </w:pPr>
    </w:p>
    <w:p>
      <w:pPr>
        <w:snapToGrid w:val="0"/>
        <w:spacing w:line="360" w:lineRule="auto"/>
        <w:ind w:firstLine="411" w:firstLineChars="196"/>
        <w:jc w:val="left"/>
        <w:rPr>
          <w:rFonts w:ascii="宋体" w:hAnsi="宋体"/>
          <w:szCs w:val="21"/>
        </w:rPr>
      </w:pPr>
      <w:r>
        <w:rPr>
          <w:rFonts w:hint="eastAsia" w:ascii="宋体" w:hAnsi="宋体"/>
          <w:szCs w:val="21"/>
        </w:rPr>
        <w:t>（9）供应商同类项目实施情况一览表</w:t>
      </w:r>
    </w:p>
    <w:p>
      <w:pPr>
        <w:snapToGrid w:val="0"/>
        <w:spacing w:line="360" w:lineRule="auto"/>
        <w:ind w:firstLine="411" w:firstLineChars="196"/>
        <w:jc w:val="left"/>
        <w:rPr>
          <w:rFonts w:ascii="宋体" w:hAnsi="宋体"/>
          <w:szCs w:val="21"/>
        </w:rPr>
      </w:pPr>
      <w:r>
        <w:rPr>
          <w:rFonts w:hint="eastAsia" w:ascii="宋体" w:hAnsi="宋体"/>
          <w:szCs w:val="21"/>
        </w:rPr>
        <w:t>（10）投标人的荣誉、</w:t>
      </w:r>
      <w:r>
        <w:rPr>
          <w:rFonts w:hint="eastAsia" w:ascii="宋体" w:hAnsi="宋体"/>
          <w:bCs/>
          <w:szCs w:val="21"/>
        </w:rPr>
        <w:t>信誉</w:t>
      </w:r>
      <w:r>
        <w:rPr>
          <w:rFonts w:hint="eastAsia" w:ascii="宋体" w:hAnsi="宋体"/>
          <w:szCs w:val="21"/>
        </w:rPr>
        <w:t>证书或文件</w:t>
      </w:r>
      <w:r>
        <w:rPr>
          <w:rFonts w:hint="eastAsia" w:ascii="宋体" w:hAnsi="宋体"/>
          <w:bCs/>
          <w:szCs w:val="21"/>
        </w:rPr>
        <w:t>（如有）；</w:t>
      </w:r>
    </w:p>
    <w:p>
      <w:pPr>
        <w:spacing w:line="360" w:lineRule="auto"/>
        <w:ind w:firstLine="420" w:firstLineChars="200"/>
        <w:rPr>
          <w:rFonts w:ascii="宋体" w:hAnsi="宋体" w:cs="Arial"/>
          <w:szCs w:val="21"/>
        </w:rPr>
      </w:pPr>
      <w:r>
        <w:rPr>
          <w:rFonts w:hint="eastAsia" w:ascii="宋体" w:hAnsi="宋体"/>
          <w:szCs w:val="21"/>
        </w:rPr>
        <w:t>（11</w:t>
      </w:r>
      <w:r>
        <w:rPr>
          <w:rFonts w:ascii="宋体" w:hAnsi="宋体"/>
          <w:szCs w:val="21"/>
        </w:rPr>
        <w:t>）</w:t>
      </w:r>
      <w:r>
        <w:rPr>
          <w:rFonts w:hint="eastAsia" w:ascii="宋体" w:hAnsi="宋体"/>
          <w:szCs w:val="21"/>
        </w:rPr>
        <w:t>投标人认为可以证明其能力或业绩的其他材料</w:t>
      </w:r>
      <w:r>
        <w:rPr>
          <w:rFonts w:hint="eastAsia" w:ascii="宋体" w:hAnsi="宋体" w:cs="Arial"/>
          <w:szCs w:val="21"/>
        </w:rPr>
        <w:t>；</w:t>
      </w:r>
    </w:p>
    <w:p>
      <w:pPr>
        <w:autoSpaceDE w:val="0"/>
        <w:autoSpaceDN w:val="0"/>
        <w:adjustRightInd w:val="0"/>
        <w:spacing w:line="360" w:lineRule="auto"/>
        <w:rPr>
          <w:rFonts w:ascii="宋体" w:hAnsi="宋体"/>
          <w:b/>
          <w:bCs/>
          <w:szCs w:val="21"/>
          <w:lang w:val="zh-CN"/>
        </w:rPr>
      </w:pPr>
      <w:r>
        <w:rPr>
          <w:rFonts w:hint="eastAsia" w:ascii="宋体" w:hAnsi="宋体"/>
          <w:b/>
          <w:bCs/>
          <w:szCs w:val="21"/>
        </w:rPr>
        <w:t>3、技术部分：</w:t>
      </w:r>
    </w:p>
    <w:p>
      <w:pPr>
        <w:snapToGrid w:val="0"/>
        <w:spacing w:line="360" w:lineRule="auto"/>
        <w:ind w:firstLine="411" w:firstLineChars="196"/>
        <w:jc w:val="left"/>
        <w:rPr>
          <w:rFonts w:ascii="宋体" w:hAnsi="宋体"/>
          <w:szCs w:val="21"/>
        </w:rPr>
      </w:pPr>
      <w:r>
        <w:rPr>
          <w:rFonts w:hint="eastAsia" w:ascii="宋体" w:hAnsi="宋体"/>
          <w:szCs w:val="21"/>
        </w:rPr>
        <w:t>（1）本项目技术及组织实施方案；</w:t>
      </w:r>
    </w:p>
    <w:p>
      <w:pPr>
        <w:snapToGrid w:val="0"/>
        <w:spacing w:line="360" w:lineRule="auto"/>
        <w:ind w:firstLine="411" w:firstLineChars="196"/>
        <w:jc w:val="left"/>
        <w:rPr>
          <w:rFonts w:ascii="宋体" w:hAnsi="宋体"/>
          <w:szCs w:val="21"/>
        </w:rPr>
      </w:pPr>
      <w:r>
        <w:rPr>
          <w:rFonts w:hint="eastAsia" w:ascii="宋体" w:hAnsi="宋体"/>
          <w:szCs w:val="21"/>
        </w:rPr>
        <w:t>（2）项目质量控制措施和服务承诺；</w:t>
      </w:r>
    </w:p>
    <w:p>
      <w:pPr>
        <w:snapToGrid w:val="0"/>
        <w:spacing w:line="360" w:lineRule="auto"/>
        <w:ind w:firstLine="411" w:firstLineChars="196"/>
        <w:jc w:val="left"/>
        <w:rPr>
          <w:rFonts w:ascii="宋体" w:hAnsi="宋体"/>
          <w:szCs w:val="21"/>
        </w:rPr>
      </w:pPr>
      <w:r>
        <w:rPr>
          <w:rFonts w:hint="eastAsia" w:ascii="宋体" w:hAnsi="宋体"/>
          <w:szCs w:val="21"/>
        </w:rPr>
        <w:t>（3）针对本项目实施提出的合理化建议</w:t>
      </w:r>
    </w:p>
    <w:p>
      <w:pPr>
        <w:snapToGrid w:val="0"/>
        <w:spacing w:line="360" w:lineRule="auto"/>
        <w:ind w:firstLine="411" w:firstLineChars="196"/>
        <w:jc w:val="left"/>
        <w:rPr>
          <w:rFonts w:ascii="宋体" w:hAnsi="宋体"/>
          <w:szCs w:val="21"/>
        </w:rPr>
      </w:pPr>
      <w:r>
        <w:rPr>
          <w:rFonts w:hint="eastAsia" w:ascii="宋体" w:hAnsi="宋体"/>
          <w:szCs w:val="21"/>
        </w:rPr>
        <w:t>（4）竞争性磋商文件有规定而无格式的资料和文件</w:t>
      </w:r>
    </w:p>
    <w:p>
      <w:pPr>
        <w:snapToGrid w:val="0"/>
        <w:spacing w:line="360" w:lineRule="auto"/>
        <w:ind w:firstLine="411" w:firstLineChars="196"/>
        <w:jc w:val="left"/>
        <w:rPr>
          <w:rFonts w:ascii="宋体" w:hAnsi="宋体"/>
          <w:szCs w:val="21"/>
        </w:rPr>
      </w:pPr>
      <w:r>
        <w:rPr>
          <w:rFonts w:hint="eastAsia" w:ascii="宋体" w:hAnsi="宋体"/>
          <w:szCs w:val="21"/>
        </w:rPr>
        <w:t>（5）供应商认为需要提供的其他资料和文件</w:t>
      </w:r>
    </w:p>
    <w:p>
      <w:pPr>
        <w:autoSpaceDE w:val="0"/>
        <w:autoSpaceDN w:val="0"/>
        <w:adjustRightInd w:val="0"/>
        <w:spacing w:line="360" w:lineRule="auto"/>
        <w:ind w:firstLine="480"/>
        <w:rPr>
          <w:rFonts w:ascii="宋体"/>
          <w:b/>
          <w:bCs/>
          <w:szCs w:val="21"/>
          <w:lang w:val="zh-CN"/>
        </w:rPr>
      </w:pPr>
      <w:r>
        <w:rPr>
          <w:rFonts w:hint="eastAsia" w:ascii="宋体"/>
          <w:b/>
          <w:bCs/>
          <w:szCs w:val="21"/>
          <w:lang w:val="zh-CN"/>
        </w:rPr>
        <w:t>▲注：法定代表人授权委托书、磋商声明书、竞标函、磋商报价一览表必须由法定代表人签名并加盖单位公章。</w:t>
      </w:r>
    </w:p>
    <w:p>
      <w:pPr>
        <w:autoSpaceDE w:val="0"/>
        <w:autoSpaceDN w:val="0"/>
        <w:adjustRightInd w:val="0"/>
        <w:spacing w:line="360" w:lineRule="auto"/>
        <w:ind w:firstLine="480"/>
        <w:rPr>
          <w:rFonts w:ascii="宋体" w:hAnsi="宋体"/>
          <w:b/>
          <w:bCs/>
          <w:szCs w:val="21"/>
        </w:rPr>
      </w:pPr>
      <w:r>
        <w:rPr>
          <w:rFonts w:hint="eastAsia" w:ascii="宋体" w:hAnsi="宋体"/>
          <w:b/>
          <w:bCs/>
          <w:szCs w:val="21"/>
        </w:rPr>
        <w:t>（三）供应商磋商响应文件内容填写说明</w:t>
      </w:r>
    </w:p>
    <w:p>
      <w:pPr>
        <w:spacing w:line="360" w:lineRule="auto"/>
        <w:ind w:firstLine="315" w:firstLineChars="150"/>
        <w:rPr>
          <w:rFonts w:ascii="宋体" w:hAnsi="宋体"/>
          <w:szCs w:val="21"/>
        </w:rPr>
      </w:pPr>
      <w:bookmarkStart w:id="39" w:name="_Toc174767478"/>
      <w:bookmarkStart w:id="40" w:name="_Toc172337897"/>
      <w:bookmarkStart w:id="41" w:name="_Toc172338047"/>
      <w:bookmarkStart w:id="42" w:name="_Toc171152450"/>
      <w:r>
        <w:rPr>
          <w:rFonts w:hint="eastAsia" w:ascii="宋体" w:hAnsi="宋体"/>
          <w:szCs w:val="21"/>
        </w:rPr>
        <w:t>1、所有报价均应使用人民币（元）表示；</w:t>
      </w:r>
    </w:p>
    <w:p>
      <w:pPr>
        <w:spacing w:line="360" w:lineRule="auto"/>
        <w:ind w:firstLine="315" w:firstLineChars="150"/>
        <w:rPr>
          <w:rFonts w:ascii="宋体" w:hAnsi="宋体"/>
          <w:szCs w:val="21"/>
        </w:rPr>
      </w:pPr>
      <w:r>
        <w:rPr>
          <w:rFonts w:hint="eastAsia" w:ascii="宋体" w:hAnsi="宋体"/>
          <w:szCs w:val="21"/>
        </w:rPr>
        <w:t>2、</w:t>
      </w:r>
      <w:r>
        <w:rPr>
          <w:rFonts w:hint="eastAsia" w:ascii="宋体" w:hAnsi="宋体"/>
          <w:szCs w:val="21"/>
          <w:lang w:val="zh-CN"/>
        </w:rPr>
        <w:t>供应商</w:t>
      </w:r>
      <w:r>
        <w:rPr>
          <w:rFonts w:hint="eastAsia" w:ascii="宋体" w:hAnsi="宋体"/>
          <w:szCs w:val="21"/>
        </w:rPr>
        <w:t>应按本次磋商项目进行报价，不得缺项和漏项；</w:t>
      </w:r>
    </w:p>
    <w:p>
      <w:pPr>
        <w:spacing w:line="360" w:lineRule="auto"/>
        <w:ind w:firstLine="315" w:firstLineChars="150"/>
        <w:rPr>
          <w:rFonts w:ascii="宋体" w:hAnsi="宋体"/>
          <w:szCs w:val="21"/>
        </w:rPr>
      </w:pPr>
      <w:r>
        <w:rPr>
          <w:rFonts w:hint="eastAsia" w:ascii="宋体" w:hAnsi="宋体"/>
          <w:szCs w:val="21"/>
        </w:rPr>
        <w:t>3、</w:t>
      </w:r>
      <w:r>
        <w:rPr>
          <w:rFonts w:hint="eastAsia" w:ascii="宋体" w:hAnsi="宋体"/>
          <w:szCs w:val="21"/>
          <w:lang w:val="zh-CN"/>
        </w:rPr>
        <w:t>供应商</w:t>
      </w:r>
      <w:r>
        <w:rPr>
          <w:rFonts w:hint="eastAsia" w:ascii="宋体" w:hAnsi="宋体"/>
          <w:szCs w:val="21"/>
        </w:rPr>
        <w:t>应按竞争性磋商文件规定的，只允许有一个报价，任何有选择性的报价，将不予接受；</w:t>
      </w:r>
    </w:p>
    <w:p>
      <w:pPr>
        <w:spacing w:line="360" w:lineRule="auto"/>
        <w:ind w:firstLine="315" w:firstLineChars="150"/>
        <w:rPr>
          <w:rFonts w:ascii="宋体" w:hAnsi="宋体"/>
          <w:szCs w:val="21"/>
        </w:rPr>
      </w:pPr>
      <w:r>
        <w:rPr>
          <w:rFonts w:hint="eastAsia" w:ascii="宋体" w:hAnsi="宋体"/>
          <w:szCs w:val="21"/>
        </w:rPr>
        <w:t>4、</w:t>
      </w:r>
      <w:r>
        <w:rPr>
          <w:rFonts w:hint="eastAsia" w:ascii="宋体" w:hAnsi="宋体"/>
          <w:szCs w:val="21"/>
          <w:lang w:val="zh-CN"/>
        </w:rPr>
        <w:t>供应商</w:t>
      </w:r>
      <w:r>
        <w:rPr>
          <w:rFonts w:hint="eastAsia" w:ascii="宋体" w:hAnsi="宋体"/>
          <w:szCs w:val="21"/>
        </w:rPr>
        <w:t>的最终报价由</w:t>
      </w:r>
      <w:r>
        <w:rPr>
          <w:rFonts w:hint="eastAsia" w:ascii="宋体" w:hAnsi="宋体"/>
          <w:szCs w:val="21"/>
          <w:lang w:val="zh-CN"/>
        </w:rPr>
        <w:t>供应商</w:t>
      </w:r>
      <w:r>
        <w:rPr>
          <w:rFonts w:hint="eastAsia" w:ascii="宋体" w:hAnsi="宋体"/>
          <w:szCs w:val="21"/>
        </w:rPr>
        <w:t>自担全部风险责任；</w:t>
      </w:r>
    </w:p>
    <w:p>
      <w:pPr>
        <w:tabs>
          <w:tab w:val="left" w:pos="720"/>
        </w:tabs>
        <w:spacing w:line="360" w:lineRule="auto"/>
        <w:ind w:left="360"/>
        <w:rPr>
          <w:rFonts w:ascii="宋体" w:hAnsi="宋体"/>
          <w:szCs w:val="21"/>
        </w:rPr>
      </w:pPr>
      <w:r>
        <w:rPr>
          <w:rFonts w:hint="eastAsia" w:ascii="宋体" w:hAnsi="宋体"/>
          <w:szCs w:val="21"/>
        </w:rPr>
        <w:t>5、各</w:t>
      </w:r>
      <w:r>
        <w:rPr>
          <w:rFonts w:hint="eastAsia" w:ascii="宋体" w:hAnsi="宋体"/>
          <w:szCs w:val="21"/>
          <w:lang w:val="zh-CN"/>
        </w:rPr>
        <w:t>供应商</w:t>
      </w:r>
      <w:r>
        <w:rPr>
          <w:rFonts w:hint="eastAsia" w:ascii="宋体" w:hAnsi="宋体"/>
          <w:szCs w:val="21"/>
        </w:rPr>
        <w:t>拟采取的竞争措施和提供给采购人的优惠条件应在磋商响应文件中列明；</w:t>
      </w:r>
    </w:p>
    <w:p>
      <w:pPr>
        <w:tabs>
          <w:tab w:val="left" w:pos="720"/>
        </w:tabs>
        <w:spacing w:line="360" w:lineRule="auto"/>
        <w:ind w:left="360"/>
        <w:rPr>
          <w:rFonts w:ascii="宋体" w:hAnsi="宋体"/>
          <w:szCs w:val="21"/>
        </w:rPr>
      </w:pPr>
      <w:r>
        <w:rPr>
          <w:rFonts w:hint="eastAsia" w:ascii="宋体" w:hAnsi="宋体"/>
          <w:szCs w:val="21"/>
        </w:rPr>
        <w:t>6、</w:t>
      </w:r>
      <w:r>
        <w:rPr>
          <w:rFonts w:hint="eastAsia" w:ascii="宋体" w:hAnsi="宋体"/>
          <w:szCs w:val="21"/>
          <w:lang w:val="zh-CN"/>
        </w:rPr>
        <w:t>供应商</w:t>
      </w:r>
      <w:r>
        <w:rPr>
          <w:rFonts w:hint="eastAsia" w:ascii="宋体" w:hAnsi="宋体"/>
          <w:szCs w:val="21"/>
        </w:rPr>
        <w:t>所有优惠条件和优惠费用不得降低和影响本项目质量；</w:t>
      </w:r>
    </w:p>
    <w:p>
      <w:pPr>
        <w:tabs>
          <w:tab w:val="left" w:pos="720"/>
        </w:tabs>
        <w:spacing w:line="360" w:lineRule="auto"/>
        <w:ind w:left="360"/>
        <w:rPr>
          <w:rFonts w:ascii="宋体" w:hAnsi="宋体"/>
          <w:szCs w:val="21"/>
        </w:rPr>
      </w:pPr>
      <w:r>
        <w:rPr>
          <w:rFonts w:hint="eastAsia" w:ascii="宋体" w:hAnsi="宋体"/>
          <w:szCs w:val="21"/>
        </w:rPr>
        <w:t>7、报价大写与小写不符时以大写为准；</w:t>
      </w:r>
    </w:p>
    <w:p>
      <w:pPr>
        <w:tabs>
          <w:tab w:val="left" w:pos="720"/>
        </w:tabs>
        <w:spacing w:line="360" w:lineRule="auto"/>
        <w:ind w:left="360"/>
        <w:rPr>
          <w:rFonts w:ascii="宋体" w:hAnsi="宋体"/>
          <w:szCs w:val="21"/>
        </w:rPr>
      </w:pPr>
      <w:r>
        <w:rPr>
          <w:rFonts w:hint="eastAsia" w:ascii="宋体" w:hAnsi="宋体"/>
          <w:szCs w:val="21"/>
        </w:rPr>
        <w:t>8、</w:t>
      </w:r>
      <w:r>
        <w:rPr>
          <w:rFonts w:hint="eastAsia" w:ascii="宋体" w:hAnsi="宋体"/>
          <w:szCs w:val="21"/>
          <w:lang w:val="zh-CN"/>
        </w:rPr>
        <w:t>供应商</w:t>
      </w:r>
      <w:r>
        <w:rPr>
          <w:rFonts w:hint="eastAsia" w:ascii="宋体" w:hAnsi="宋体"/>
          <w:szCs w:val="21"/>
        </w:rPr>
        <w:t>对竞争性磋商文件里有关磋商报价的全部内容应仔细确认，若有个别异议，应在开标前提出修改意见，否则视同全部确认。</w:t>
      </w:r>
    </w:p>
    <w:p>
      <w:pPr>
        <w:spacing w:line="360" w:lineRule="auto"/>
        <w:rPr>
          <w:rFonts w:ascii="宋体" w:hAnsi="宋体"/>
          <w:b/>
          <w:bCs/>
          <w:szCs w:val="21"/>
        </w:rPr>
      </w:pPr>
      <w:r>
        <w:rPr>
          <w:rFonts w:hint="eastAsia" w:ascii="宋体" w:hAnsi="宋体"/>
          <w:b/>
          <w:bCs/>
          <w:szCs w:val="21"/>
        </w:rPr>
        <w:t>*（四）磋商保证金</w:t>
      </w:r>
    </w:p>
    <w:p>
      <w:pPr>
        <w:autoSpaceDE w:val="0"/>
        <w:autoSpaceDN w:val="0"/>
        <w:adjustRightInd w:val="0"/>
        <w:spacing w:line="360" w:lineRule="auto"/>
        <w:ind w:left="359" w:leftChars="171" w:firstLine="1"/>
        <w:rPr>
          <w:szCs w:val="21"/>
          <w:lang w:val="zh-CN"/>
        </w:rPr>
      </w:pPr>
      <w:r>
        <w:rPr>
          <w:szCs w:val="21"/>
          <w:lang w:val="zh-CN"/>
        </w:rPr>
        <w:t>1</w:t>
      </w:r>
      <w:r>
        <w:rPr>
          <w:rFonts w:hint="eastAsia" w:ascii="宋体" w:cs="宋体"/>
          <w:szCs w:val="21"/>
          <w:lang w:val="zh-CN"/>
        </w:rPr>
        <w:t>、磋商保证金为磋商文件的组成部分之一；</w:t>
      </w:r>
    </w:p>
    <w:p>
      <w:pPr>
        <w:autoSpaceDE w:val="0"/>
        <w:autoSpaceDN w:val="0"/>
        <w:adjustRightInd w:val="0"/>
        <w:spacing w:line="360" w:lineRule="auto"/>
        <w:rPr>
          <w:szCs w:val="21"/>
          <w:lang w:val="zh-CN"/>
        </w:rPr>
      </w:pPr>
      <w:r>
        <w:rPr>
          <w:szCs w:val="21"/>
          <w:lang w:val="zh-CN"/>
        </w:rPr>
        <w:t xml:space="preserve">   2</w:t>
      </w:r>
      <w:r>
        <w:rPr>
          <w:rFonts w:hint="eastAsia" w:ascii="宋体" w:cs="宋体"/>
          <w:szCs w:val="21"/>
          <w:lang w:val="zh-CN"/>
        </w:rPr>
        <w:t>、</w:t>
      </w:r>
      <w:r>
        <w:rPr>
          <w:rFonts w:hint="eastAsia" w:ascii="宋体" w:hAnsi="宋体"/>
          <w:szCs w:val="21"/>
          <w:lang w:val="zh-CN"/>
        </w:rPr>
        <w:t>供应商</w:t>
      </w:r>
      <w:r>
        <w:rPr>
          <w:rFonts w:hint="eastAsia" w:ascii="宋体" w:cs="宋体"/>
          <w:szCs w:val="21"/>
          <w:lang w:val="zh-CN"/>
        </w:rPr>
        <w:t>应按磋商须知前附表第4项的要求提交磋商保证金；</w:t>
      </w:r>
    </w:p>
    <w:p>
      <w:pPr>
        <w:spacing w:line="360" w:lineRule="auto"/>
        <w:ind w:firstLine="315" w:firstLineChars="150"/>
        <w:rPr>
          <w:szCs w:val="21"/>
        </w:rPr>
      </w:pPr>
      <w:r>
        <w:rPr>
          <w:rFonts w:hint="eastAsia"/>
          <w:szCs w:val="21"/>
        </w:rPr>
        <w:t>3、未按规定提交磋商保证金的竞标，将被视为无效竞标；</w:t>
      </w:r>
    </w:p>
    <w:p>
      <w:pPr>
        <w:spacing w:line="360" w:lineRule="auto"/>
        <w:ind w:firstLine="315" w:firstLineChars="150"/>
        <w:rPr>
          <w:szCs w:val="21"/>
        </w:rPr>
      </w:pPr>
      <w:r>
        <w:rPr>
          <w:rFonts w:hint="eastAsia"/>
          <w:szCs w:val="21"/>
        </w:rPr>
        <w:t>4、招标代理机构在成交通知书发出后5个工作日内退还未中标</w:t>
      </w:r>
      <w:r>
        <w:rPr>
          <w:rFonts w:hint="eastAsia" w:ascii="宋体" w:hAnsi="宋体"/>
          <w:szCs w:val="21"/>
          <w:lang w:val="zh-CN"/>
        </w:rPr>
        <w:t>供应商</w:t>
      </w:r>
      <w:r>
        <w:rPr>
          <w:rFonts w:hint="eastAsia"/>
          <w:szCs w:val="21"/>
        </w:rPr>
        <w:t>的磋商保证金，在采购合同签订后7个工作日内退还成交人的磋商保证金（不计利息）；</w:t>
      </w:r>
    </w:p>
    <w:p>
      <w:pPr>
        <w:spacing w:line="360" w:lineRule="auto"/>
        <w:rPr>
          <w:szCs w:val="21"/>
        </w:rPr>
      </w:pPr>
      <w:r>
        <w:rPr>
          <w:rFonts w:hint="eastAsia"/>
          <w:szCs w:val="21"/>
        </w:rPr>
        <w:t xml:space="preserve">   5、磋商保证金退还方式：在</w:t>
      </w:r>
      <w:r>
        <w:rPr>
          <w:rFonts w:hint="eastAsia" w:ascii="宋体" w:hAnsi="宋体"/>
          <w:szCs w:val="21"/>
          <w:lang w:val="zh-CN"/>
        </w:rPr>
        <w:t>供应商</w:t>
      </w:r>
      <w:r>
        <w:rPr>
          <w:rFonts w:hint="eastAsia"/>
          <w:szCs w:val="21"/>
        </w:rPr>
        <w:t>符合保证金退还条件后，</w:t>
      </w:r>
      <w:r>
        <w:rPr>
          <w:rFonts w:hint="eastAsia" w:ascii="宋体" w:hAnsi="宋体"/>
          <w:szCs w:val="21"/>
          <w:lang w:val="zh-CN"/>
        </w:rPr>
        <w:t>招标代理机构</w:t>
      </w:r>
      <w:r>
        <w:rPr>
          <w:rFonts w:hint="eastAsia"/>
          <w:szCs w:val="21"/>
        </w:rPr>
        <w:t>将以转帐方式退还至</w:t>
      </w:r>
      <w:r>
        <w:rPr>
          <w:rFonts w:hint="eastAsia" w:ascii="宋体" w:hAnsi="宋体"/>
          <w:szCs w:val="21"/>
          <w:lang w:val="zh-CN"/>
        </w:rPr>
        <w:t>供应商</w:t>
      </w:r>
      <w:r>
        <w:rPr>
          <w:rFonts w:hint="eastAsia"/>
          <w:szCs w:val="21"/>
        </w:rPr>
        <w:t>账户（不计利息）；</w:t>
      </w:r>
    </w:p>
    <w:p>
      <w:pPr>
        <w:tabs>
          <w:tab w:val="left" w:pos="540"/>
        </w:tabs>
        <w:spacing w:line="360" w:lineRule="auto"/>
        <w:rPr>
          <w:szCs w:val="21"/>
        </w:rPr>
      </w:pPr>
      <w:r>
        <w:rPr>
          <w:rFonts w:hint="eastAsia"/>
          <w:szCs w:val="21"/>
        </w:rPr>
        <w:t xml:space="preserve">   6、下列任何情况发生时，磋商保证金将被没收：</w:t>
      </w:r>
    </w:p>
    <w:p>
      <w:pPr>
        <w:spacing w:line="360" w:lineRule="auto"/>
        <w:rPr>
          <w:szCs w:val="21"/>
        </w:rPr>
      </w:pPr>
      <w:r>
        <w:rPr>
          <w:rFonts w:hint="eastAsia"/>
          <w:szCs w:val="21"/>
        </w:rPr>
        <w:t xml:space="preserve">      （1）</w:t>
      </w:r>
      <w:r>
        <w:rPr>
          <w:rFonts w:hint="eastAsia" w:ascii="宋体" w:hAnsi="宋体"/>
          <w:szCs w:val="21"/>
          <w:lang w:val="zh-CN"/>
        </w:rPr>
        <w:t>供应商</w:t>
      </w:r>
      <w:r>
        <w:rPr>
          <w:rFonts w:hint="eastAsia"/>
          <w:szCs w:val="21"/>
        </w:rPr>
        <w:t>在磋商有效期内无故撤回其磋商</w:t>
      </w:r>
      <w:r>
        <w:rPr>
          <w:rFonts w:hint="eastAsia" w:ascii="宋体" w:hAnsi="宋体"/>
          <w:szCs w:val="21"/>
        </w:rPr>
        <w:t>响应</w:t>
      </w:r>
      <w:r>
        <w:rPr>
          <w:rFonts w:hint="eastAsia"/>
          <w:szCs w:val="21"/>
        </w:rPr>
        <w:t>文件的；</w:t>
      </w:r>
    </w:p>
    <w:p>
      <w:pPr>
        <w:spacing w:line="360" w:lineRule="auto"/>
        <w:rPr>
          <w:szCs w:val="21"/>
        </w:rPr>
      </w:pPr>
      <w:r>
        <w:rPr>
          <w:rFonts w:hint="eastAsia"/>
          <w:szCs w:val="21"/>
        </w:rPr>
        <w:t xml:space="preserve">      （2）</w:t>
      </w:r>
      <w:r>
        <w:rPr>
          <w:rFonts w:hint="eastAsia" w:ascii="宋体" w:hAnsi="宋体"/>
          <w:szCs w:val="21"/>
          <w:lang w:val="zh-CN"/>
        </w:rPr>
        <w:t>供应商</w:t>
      </w:r>
      <w:r>
        <w:rPr>
          <w:rFonts w:hint="eastAsia"/>
          <w:szCs w:val="21"/>
        </w:rPr>
        <w:t>无故未参加开标会议的；</w:t>
      </w:r>
    </w:p>
    <w:p>
      <w:pPr>
        <w:spacing w:line="360" w:lineRule="auto"/>
        <w:rPr>
          <w:szCs w:val="21"/>
        </w:rPr>
      </w:pPr>
      <w:r>
        <w:rPr>
          <w:rFonts w:hint="eastAsia"/>
          <w:szCs w:val="21"/>
        </w:rPr>
        <w:t xml:space="preserve">      （3）成交人在规定的期限内不按竞争性磋商文件要求签订合同的；</w:t>
      </w:r>
    </w:p>
    <w:p>
      <w:pPr>
        <w:tabs>
          <w:tab w:val="left" w:pos="1260"/>
        </w:tabs>
        <w:spacing w:line="360" w:lineRule="auto"/>
        <w:ind w:firstLine="630" w:firstLineChars="300"/>
        <w:rPr>
          <w:szCs w:val="21"/>
        </w:rPr>
      </w:pPr>
      <w:r>
        <w:rPr>
          <w:rFonts w:hint="eastAsia"/>
          <w:szCs w:val="21"/>
        </w:rPr>
        <w:t>（4）成交人将中标项目转让给他人，或者在磋商</w:t>
      </w:r>
      <w:r>
        <w:rPr>
          <w:rFonts w:hint="eastAsia" w:ascii="宋体" w:hAnsi="宋体"/>
          <w:szCs w:val="21"/>
        </w:rPr>
        <w:t>响应</w:t>
      </w:r>
      <w:r>
        <w:rPr>
          <w:rFonts w:hint="eastAsia"/>
          <w:szCs w:val="21"/>
        </w:rPr>
        <w:t>文件中未说明，且未经采购单位和政府采购监管单位同意，将中标项目分包给他人的；</w:t>
      </w:r>
    </w:p>
    <w:p>
      <w:pPr>
        <w:spacing w:line="360" w:lineRule="auto"/>
        <w:ind w:firstLine="630" w:firstLineChars="300"/>
        <w:rPr>
          <w:szCs w:val="21"/>
        </w:rPr>
      </w:pPr>
      <w:r>
        <w:rPr>
          <w:rFonts w:hint="eastAsia"/>
          <w:szCs w:val="21"/>
        </w:rPr>
        <w:t>（5）提供虚假的磋商</w:t>
      </w:r>
      <w:r>
        <w:rPr>
          <w:rFonts w:hint="eastAsia" w:ascii="宋体" w:hAnsi="宋体"/>
          <w:szCs w:val="21"/>
        </w:rPr>
        <w:t>响应</w:t>
      </w:r>
      <w:r>
        <w:rPr>
          <w:rFonts w:hint="eastAsia"/>
          <w:szCs w:val="21"/>
        </w:rPr>
        <w:t>文件；</w:t>
      </w:r>
    </w:p>
    <w:p>
      <w:pPr>
        <w:spacing w:line="360" w:lineRule="auto"/>
        <w:ind w:firstLine="630" w:firstLineChars="300"/>
        <w:rPr>
          <w:szCs w:val="21"/>
        </w:rPr>
      </w:pPr>
      <w:r>
        <w:rPr>
          <w:rFonts w:hint="eastAsia"/>
          <w:szCs w:val="21"/>
        </w:rPr>
        <w:t>（6）其他因素给采购人或代理机构造成损失的。</w:t>
      </w:r>
    </w:p>
    <w:p>
      <w:pPr>
        <w:tabs>
          <w:tab w:val="left" w:pos="360"/>
        </w:tabs>
        <w:spacing w:line="360" w:lineRule="auto"/>
        <w:ind w:firstLine="211" w:firstLineChars="100"/>
        <w:rPr>
          <w:rFonts w:ascii="宋体" w:hAnsi="宋体"/>
          <w:b/>
          <w:bCs/>
          <w:szCs w:val="21"/>
        </w:rPr>
      </w:pPr>
      <w:r>
        <w:rPr>
          <w:rFonts w:hint="eastAsia" w:ascii="宋体" w:hAnsi="宋体"/>
          <w:b/>
          <w:bCs/>
          <w:szCs w:val="21"/>
        </w:rPr>
        <w:t>（五）磋商有效期</w:t>
      </w:r>
    </w:p>
    <w:p>
      <w:pPr>
        <w:spacing w:line="360" w:lineRule="auto"/>
        <w:ind w:firstLine="420" w:firstLineChars="200"/>
        <w:rPr>
          <w:rFonts w:ascii="宋体" w:hAnsi="宋体"/>
          <w:szCs w:val="21"/>
        </w:rPr>
      </w:pPr>
      <w:r>
        <w:rPr>
          <w:rFonts w:hint="eastAsia" w:ascii="宋体" w:hAnsi="宋体"/>
          <w:szCs w:val="21"/>
        </w:rPr>
        <w:t>1、磋商响应文件的有效期为</w:t>
      </w:r>
      <w:r>
        <w:rPr>
          <w:rFonts w:hint="eastAsia" w:ascii="宋体" w:hAnsi="宋体"/>
          <w:szCs w:val="21"/>
          <w:u w:val="single"/>
        </w:rPr>
        <w:t>磋商截止之日后的60日历天</w:t>
      </w:r>
      <w:r>
        <w:rPr>
          <w:rFonts w:hint="eastAsia" w:ascii="宋体" w:hAnsi="宋体"/>
          <w:szCs w:val="21"/>
        </w:rPr>
        <w:t>。</w:t>
      </w:r>
    </w:p>
    <w:p>
      <w:pPr>
        <w:spacing w:line="360" w:lineRule="auto"/>
        <w:rPr>
          <w:rFonts w:ascii="宋体" w:hAnsi="宋体"/>
          <w:b/>
          <w:bCs/>
          <w:szCs w:val="21"/>
        </w:rPr>
      </w:pPr>
      <w:r>
        <w:rPr>
          <w:rFonts w:hint="eastAsia" w:ascii="宋体" w:hAnsi="宋体"/>
          <w:szCs w:val="21"/>
        </w:rPr>
        <w:t xml:space="preserve">    2、特殊情况下，在磋商有效期满之前，采购单位可以书面形式要求</w:t>
      </w:r>
      <w:r>
        <w:rPr>
          <w:rFonts w:hint="eastAsia" w:ascii="宋体" w:hAnsi="宋体"/>
          <w:szCs w:val="21"/>
          <w:lang w:val="zh-CN"/>
        </w:rPr>
        <w:t>供应商</w:t>
      </w:r>
      <w:r>
        <w:rPr>
          <w:rFonts w:hint="eastAsia" w:ascii="宋体" w:hAnsi="宋体"/>
          <w:szCs w:val="21"/>
        </w:rPr>
        <w:t>同意延长磋商有效期。</w:t>
      </w:r>
      <w:r>
        <w:rPr>
          <w:rFonts w:hint="eastAsia" w:ascii="宋体" w:hAnsi="宋体"/>
          <w:szCs w:val="21"/>
          <w:lang w:val="zh-CN"/>
        </w:rPr>
        <w:t>供应商</w:t>
      </w:r>
      <w:r>
        <w:rPr>
          <w:rFonts w:hint="eastAsia" w:ascii="宋体" w:hAnsi="宋体"/>
          <w:szCs w:val="21"/>
        </w:rPr>
        <w:t>可以以书面形式拒绝或接受上述要求。对于拒绝上述要求的</w:t>
      </w:r>
      <w:r>
        <w:rPr>
          <w:rFonts w:hint="eastAsia" w:ascii="宋体" w:hAnsi="宋体"/>
          <w:szCs w:val="21"/>
          <w:lang w:val="zh-CN"/>
        </w:rPr>
        <w:t>供应商</w:t>
      </w:r>
      <w:r>
        <w:rPr>
          <w:rFonts w:hint="eastAsia" w:ascii="宋体" w:hAnsi="宋体"/>
          <w:szCs w:val="21"/>
        </w:rPr>
        <w:t>，其磋商保证金不被没收。对于接受该要求的</w:t>
      </w:r>
      <w:r>
        <w:rPr>
          <w:rFonts w:hint="eastAsia" w:ascii="宋体" w:hAnsi="宋体"/>
          <w:szCs w:val="21"/>
          <w:lang w:val="zh-CN"/>
        </w:rPr>
        <w:t>供应商</w:t>
      </w:r>
      <w:r>
        <w:rPr>
          <w:rFonts w:hint="eastAsia" w:ascii="宋体" w:hAnsi="宋体"/>
          <w:szCs w:val="21"/>
        </w:rPr>
        <w:t>，采购单位既不要求也不允许其修改磋商响应文件，但将要求其相应延长磋商有效期，有关退还和没收磋商保证金的规定在磋商有效期的延长期内继续有效。</w:t>
      </w:r>
    </w:p>
    <w:p>
      <w:pPr>
        <w:tabs>
          <w:tab w:val="left" w:pos="360"/>
        </w:tabs>
        <w:spacing w:line="360" w:lineRule="auto"/>
        <w:ind w:firstLine="211" w:firstLineChars="100"/>
        <w:rPr>
          <w:rFonts w:ascii="宋体" w:hAnsi="宋体"/>
          <w:b/>
          <w:bCs/>
          <w:szCs w:val="21"/>
        </w:rPr>
      </w:pPr>
      <w:r>
        <w:rPr>
          <w:rFonts w:hint="eastAsia" w:ascii="宋体" w:hAnsi="宋体"/>
          <w:b/>
          <w:bCs/>
          <w:szCs w:val="21"/>
        </w:rPr>
        <w:t>（六）磋商响应文件的签署及规定</w:t>
      </w:r>
    </w:p>
    <w:p>
      <w:pPr>
        <w:spacing w:line="360" w:lineRule="auto"/>
        <w:ind w:firstLine="539" w:firstLineChars="257"/>
        <w:rPr>
          <w:rFonts w:ascii="宋体" w:hAnsi="宋体"/>
          <w:szCs w:val="21"/>
        </w:rPr>
      </w:pPr>
      <w:r>
        <w:rPr>
          <w:rFonts w:hint="eastAsia" w:ascii="宋体" w:hAnsi="宋体"/>
          <w:szCs w:val="21"/>
        </w:rPr>
        <w:t>1、</w:t>
      </w:r>
      <w:r>
        <w:rPr>
          <w:rFonts w:hint="eastAsia" w:ascii="宋体" w:hAnsi="宋体"/>
          <w:szCs w:val="21"/>
          <w:lang w:val="zh-CN"/>
        </w:rPr>
        <w:t>供应商</w:t>
      </w:r>
      <w:r>
        <w:rPr>
          <w:rFonts w:hint="eastAsia" w:ascii="宋体" w:hAnsi="宋体"/>
          <w:szCs w:val="21"/>
        </w:rPr>
        <w:t>应编制一式 3份磋商响应文件，其中正本 1 份，副本 2 份，每份磋商响应文件应清楚地标明“正本”或“副本”； ，一旦正本与副本不符，以正本为准。</w:t>
      </w:r>
    </w:p>
    <w:p>
      <w:pPr>
        <w:spacing w:line="360" w:lineRule="auto"/>
        <w:ind w:firstLine="539" w:firstLineChars="257"/>
        <w:rPr>
          <w:rFonts w:ascii="宋体" w:hAnsi="宋体"/>
          <w:szCs w:val="21"/>
        </w:rPr>
      </w:pPr>
      <w:r>
        <w:rPr>
          <w:rFonts w:hint="eastAsia" w:ascii="宋体" w:hAnsi="宋体"/>
          <w:szCs w:val="21"/>
        </w:rPr>
        <w:t>2、磋商响应文件的正本与副本均应采用A4纸打印，字迹清晰，易于辨认，并装订成册。</w:t>
      </w:r>
    </w:p>
    <w:p>
      <w:pPr>
        <w:tabs>
          <w:tab w:val="left" w:pos="900"/>
        </w:tabs>
        <w:spacing w:line="360" w:lineRule="auto"/>
        <w:ind w:firstLine="539" w:firstLineChars="257"/>
        <w:rPr>
          <w:rFonts w:ascii="宋体" w:hAnsi="宋体"/>
          <w:szCs w:val="21"/>
        </w:rPr>
      </w:pPr>
      <w:r>
        <w:rPr>
          <w:rFonts w:hint="eastAsia" w:ascii="宋体" w:hAnsi="宋体"/>
          <w:szCs w:val="21"/>
        </w:rPr>
        <w:t>3、除</w:t>
      </w:r>
      <w:r>
        <w:rPr>
          <w:rFonts w:hint="eastAsia" w:ascii="宋体" w:hAnsi="宋体"/>
          <w:szCs w:val="21"/>
          <w:lang w:val="zh-CN"/>
        </w:rPr>
        <w:t>供应商</w:t>
      </w:r>
      <w:r>
        <w:rPr>
          <w:rFonts w:hint="eastAsia" w:ascii="宋体" w:hAnsi="宋体"/>
          <w:szCs w:val="21"/>
        </w:rPr>
        <w:t>对错处作必要修改外，磋商响应文件中不许加行涂抹或改写。任何行间插字、涂改和增删，必须由法定代表人或其授权代表人在旁边签字盖章才有效。否则，作无效标处理。</w:t>
      </w:r>
    </w:p>
    <w:p>
      <w:pPr>
        <w:spacing w:line="360" w:lineRule="auto"/>
        <w:ind w:firstLine="539" w:firstLineChars="257"/>
        <w:rPr>
          <w:rFonts w:ascii="宋体" w:hAnsi="宋体"/>
          <w:szCs w:val="21"/>
        </w:rPr>
      </w:pPr>
      <w:r>
        <w:rPr>
          <w:rFonts w:hint="eastAsia" w:ascii="宋体" w:hAnsi="宋体"/>
          <w:szCs w:val="21"/>
        </w:rPr>
        <w:t>4、电报、电话、传真形式的竞标概不接受。</w:t>
      </w:r>
    </w:p>
    <w:p>
      <w:pPr>
        <w:spacing w:line="360" w:lineRule="auto"/>
        <w:jc w:val="left"/>
        <w:rPr>
          <w:rFonts w:ascii="宋体" w:hAnsi="宋体"/>
          <w:b/>
          <w:bCs/>
          <w:sz w:val="24"/>
        </w:rPr>
      </w:pPr>
      <w:r>
        <w:rPr>
          <w:rFonts w:hint="eastAsia" w:ascii="宋体" w:hAnsi="宋体"/>
          <w:b/>
          <w:bCs/>
          <w:sz w:val="24"/>
        </w:rPr>
        <w:t>四、磋商响应文件的密封与递交</w:t>
      </w:r>
    </w:p>
    <w:p>
      <w:pPr>
        <w:spacing w:line="360" w:lineRule="auto"/>
        <w:rPr>
          <w:rFonts w:ascii="宋体" w:hAnsi="宋体"/>
          <w:b/>
          <w:bCs/>
          <w:szCs w:val="21"/>
        </w:rPr>
      </w:pPr>
      <w:r>
        <w:rPr>
          <w:rFonts w:hint="eastAsia" w:ascii="宋体" w:hAnsi="宋体"/>
          <w:b/>
          <w:bCs/>
          <w:szCs w:val="21"/>
        </w:rPr>
        <w:t xml:space="preserve">  （一）磋商响应文件的密封与标记</w:t>
      </w:r>
    </w:p>
    <w:p>
      <w:pPr>
        <w:spacing w:line="360" w:lineRule="auto"/>
        <w:ind w:firstLine="539" w:firstLineChars="257"/>
        <w:rPr>
          <w:rFonts w:ascii="宋体" w:hAnsi="宋体"/>
          <w:szCs w:val="21"/>
        </w:rPr>
      </w:pPr>
      <w:r>
        <w:rPr>
          <w:rFonts w:hint="eastAsia" w:ascii="宋体" w:hAnsi="宋体"/>
          <w:szCs w:val="21"/>
        </w:rPr>
        <w:t>1、供应商应将磋商响应文件正本和所有副本用单独的信封密封，且在信封上标明“正本”、“副本”的字样；</w:t>
      </w:r>
    </w:p>
    <w:p>
      <w:pPr>
        <w:spacing w:line="360" w:lineRule="auto"/>
        <w:ind w:firstLine="539" w:firstLineChars="257"/>
        <w:rPr>
          <w:rFonts w:ascii="宋体" w:hAnsi="宋体"/>
          <w:szCs w:val="21"/>
        </w:rPr>
      </w:pPr>
      <w:r>
        <w:rPr>
          <w:rFonts w:hint="eastAsia" w:ascii="宋体" w:hAnsi="宋体"/>
          <w:szCs w:val="21"/>
        </w:rPr>
        <w:t>（1）信封上应注明：</w:t>
      </w:r>
    </w:p>
    <w:p>
      <w:pPr>
        <w:spacing w:line="360" w:lineRule="auto"/>
        <w:ind w:firstLine="539" w:firstLineChars="257"/>
        <w:rPr>
          <w:rFonts w:ascii="宋体" w:hAnsi="宋体"/>
          <w:szCs w:val="21"/>
        </w:rPr>
      </w:pPr>
      <w:r>
        <w:rPr>
          <w:rFonts w:hint="eastAsia" w:ascii="宋体" w:hAnsi="宋体"/>
          <w:szCs w:val="21"/>
        </w:rPr>
        <w:t>A）供应商名称，并在封袋骑缝处加盖公章。如因标注不清而产生的后果由供应商自行负责。</w:t>
      </w:r>
    </w:p>
    <w:p>
      <w:pPr>
        <w:spacing w:line="360" w:lineRule="auto"/>
        <w:ind w:firstLine="539" w:firstLineChars="257"/>
        <w:rPr>
          <w:rFonts w:ascii="宋体" w:hAnsi="宋体"/>
          <w:szCs w:val="21"/>
        </w:rPr>
      </w:pPr>
      <w:r>
        <w:rPr>
          <w:rFonts w:hint="eastAsia" w:ascii="宋体" w:hAnsi="宋体"/>
          <w:szCs w:val="21"/>
        </w:rPr>
        <w:t>B）项目编号、项目名称、正本或副本及“请勿在</w:t>
      </w:r>
      <w:r>
        <w:rPr>
          <w:rFonts w:hint="eastAsia" w:ascii="宋体" w:hAnsi="宋体" w:cs="Arial"/>
          <w:szCs w:val="21"/>
          <w:lang w:eastAsia="zh-CN"/>
        </w:rPr>
        <w:t>2019</w:t>
      </w:r>
      <w:r>
        <w:rPr>
          <w:rFonts w:hint="eastAsia" w:ascii="宋体" w:hAnsi="宋体" w:cs="Arial"/>
          <w:szCs w:val="21"/>
        </w:rPr>
        <w:t>年X月10日09:00时</w:t>
      </w:r>
      <w:r>
        <w:rPr>
          <w:rFonts w:hint="eastAsia" w:ascii="宋体" w:hAnsi="宋体"/>
          <w:szCs w:val="21"/>
        </w:rPr>
        <w:t>之前启封”的字样。</w:t>
      </w:r>
    </w:p>
    <w:p>
      <w:pPr>
        <w:spacing w:line="360" w:lineRule="auto"/>
        <w:ind w:firstLine="539" w:firstLineChars="257"/>
        <w:rPr>
          <w:rFonts w:ascii="宋体" w:hAnsi="宋体"/>
          <w:szCs w:val="21"/>
        </w:rPr>
      </w:pPr>
      <w:r>
        <w:rPr>
          <w:rFonts w:hint="eastAsia" w:ascii="宋体" w:hAnsi="宋体"/>
          <w:szCs w:val="21"/>
        </w:rPr>
        <w:t>（2）如果封袋未按上述要求密封或加写标记，招标采购单位有权拒收。</w:t>
      </w:r>
    </w:p>
    <w:p>
      <w:pPr>
        <w:spacing w:line="360" w:lineRule="auto"/>
        <w:ind w:firstLine="539" w:firstLineChars="257"/>
        <w:rPr>
          <w:rFonts w:ascii="宋体" w:hAnsi="宋体"/>
          <w:szCs w:val="21"/>
        </w:rPr>
      </w:pPr>
      <w:r>
        <w:rPr>
          <w:rFonts w:hint="eastAsia" w:ascii="宋体" w:hAnsi="宋体"/>
          <w:szCs w:val="21"/>
        </w:rPr>
        <w:t>2、供应商</w:t>
      </w:r>
      <w:r>
        <w:rPr>
          <w:rFonts w:ascii="宋体" w:hAnsi="宋体"/>
          <w:szCs w:val="21"/>
        </w:rPr>
        <w:t>的</w:t>
      </w:r>
      <w:r>
        <w:rPr>
          <w:rFonts w:hint="eastAsia" w:ascii="宋体" w:hAnsi="宋体"/>
          <w:szCs w:val="21"/>
        </w:rPr>
        <w:t>法定代表人授权书及代理人身份证</w:t>
      </w:r>
      <w:r>
        <w:rPr>
          <w:rFonts w:ascii="宋体" w:hAnsi="宋体"/>
          <w:szCs w:val="21"/>
        </w:rPr>
        <w:t>（原件），</w:t>
      </w:r>
      <w:r>
        <w:rPr>
          <w:rFonts w:hint="eastAsia" w:ascii="宋体" w:hAnsi="宋体"/>
          <w:szCs w:val="21"/>
        </w:rPr>
        <w:t>在开标时需再</w:t>
      </w:r>
      <w:r>
        <w:rPr>
          <w:rFonts w:ascii="宋体" w:hAnsi="宋体"/>
          <w:szCs w:val="21"/>
        </w:rPr>
        <w:t>单独提交</w:t>
      </w:r>
      <w:r>
        <w:rPr>
          <w:rFonts w:hint="eastAsia" w:ascii="宋体" w:hAnsi="宋体"/>
          <w:szCs w:val="21"/>
        </w:rPr>
        <w:t>一份</w:t>
      </w:r>
      <w:r>
        <w:rPr>
          <w:rFonts w:ascii="宋体" w:hAnsi="宋体"/>
          <w:szCs w:val="21"/>
        </w:rPr>
        <w:t>给</w:t>
      </w:r>
      <w:r>
        <w:rPr>
          <w:rFonts w:hint="eastAsia" w:ascii="宋体" w:hAnsi="宋体"/>
          <w:szCs w:val="21"/>
        </w:rPr>
        <w:t>采购人，以便对供应商资格进行审核。</w:t>
      </w:r>
    </w:p>
    <w:p>
      <w:pPr>
        <w:spacing w:line="360" w:lineRule="auto"/>
        <w:ind w:firstLine="539" w:firstLineChars="257"/>
        <w:rPr>
          <w:rFonts w:ascii="宋体" w:hAnsi="宋体"/>
          <w:szCs w:val="21"/>
        </w:rPr>
      </w:pPr>
      <w:r>
        <w:rPr>
          <w:rFonts w:hint="eastAsia" w:ascii="宋体" w:hAnsi="宋体"/>
          <w:szCs w:val="21"/>
        </w:rPr>
        <w:t xml:space="preserve">  3、未按上述规定提交的磋商响应文件，一切后果由供应商负责。</w:t>
      </w:r>
    </w:p>
    <w:p>
      <w:pPr>
        <w:spacing w:line="360" w:lineRule="auto"/>
        <w:rPr>
          <w:rFonts w:ascii="宋体" w:hAnsi="宋体"/>
          <w:b/>
          <w:bCs/>
          <w:szCs w:val="21"/>
        </w:rPr>
      </w:pPr>
      <w:r>
        <w:rPr>
          <w:rFonts w:hint="eastAsia" w:ascii="宋体" w:hAnsi="宋体"/>
          <w:b/>
          <w:bCs/>
          <w:szCs w:val="21"/>
        </w:rPr>
        <w:t xml:space="preserve">  （二）递交磋商响应文件的地点与截止日期</w:t>
      </w:r>
    </w:p>
    <w:p>
      <w:pPr>
        <w:spacing w:line="360" w:lineRule="auto"/>
        <w:ind w:firstLine="539" w:firstLineChars="257"/>
        <w:rPr>
          <w:rFonts w:ascii="宋体" w:hAnsi="宋体"/>
          <w:szCs w:val="21"/>
        </w:rPr>
      </w:pPr>
      <w:r>
        <w:rPr>
          <w:rFonts w:hint="eastAsia" w:ascii="宋体" w:hAnsi="宋体"/>
          <w:szCs w:val="21"/>
        </w:rPr>
        <w:t>1、磋商响应文件递交的地点：长兴县公共资源交易中心（长兴县龙山街道锦绣路8号市民服务中心4楼）开标室（届时详见四楼大屏公告栏）</w:t>
      </w:r>
    </w:p>
    <w:p>
      <w:pPr>
        <w:spacing w:line="360" w:lineRule="auto"/>
        <w:ind w:firstLine="539" w:firstLineChars="257"/>
        <w:rPr>
          <w:rFonts w:ascii="宋体" w:hAnsi="宋体"/>
          <w:szCs w:val="21"/>
        </w:rPr>
      </w:pPr>
      <w:r>
        <w:rPr>
          <w:rFonts w:hint="eastAsia" w:ascii="宋体" w:hAnsi="宋体"/>
          <w:szCs w:val="21"/>
        </w:rPr>
        <w:t xml:space="preserve">    2、磋商响应文件递交截止日期：</w:t>
      </w:r>
      <w:r>
        <w:rPr>
          <w:rFonts w:hint="eastAsia" w:ascii="宋体" w:hAnsi="宋体"/>
          <w:szCs w:val="21"/>
          <w:lang w:eastAsia="zh-CN"/>
        </w:rPr>
        <w:t>2019</w:t>
      </w:r>
      <w:r>
        <w:rPr>
          <w:rFonts w:hint="eastAsia" w:ascii="宋体" w:hAnsi="宋体"/>
          <w:szCs w:val="21"/>
        </w:rPr>
        <w:t>年X月10日09</w:t>
      </w:r>
      <w:r>
        <w:rPr>
          <w:rFonts w:hint="eastAsia" w:ascii="宋体" w:hAnsi="宋体" w:cs="Arial"/>
          <w:szCs w:val="21"/>
        </w:rPr>
        <w:t>:00时</w:t>
      </w:r>
      <w:r>
        <w:rPr>
          <w:rFonts w:hint="eastAsia" w:ascii="宋体" w:hAnsi="宋体"/>
          <w:szCs w:val="21"/>
        </w:rPr>
        <w:t>前。</w:t>
      </w:r>
    </w:p>
    <w:p>
      <w:pPr>
        <w:spacing w:line="360" w:lineRule="auto"/>
        <w:ind w:firstLine="539" w:firstLineChars="257"/>
        <w:rPr>
          <w:rFonts w:ascii="宋体" w:hAnsi="宋体"/>
          <w:szCs w:val="21"/>
        </w:rPr>
      </w:pPr>
      <w:r>
        <w:rPr>
          <w:rFonts w:hint="eastAsia" w:ascii="宋体" w:hAnsi="宋体"/>
          <w:szCs w:val="21"/>
        </w:rPr>
        <w:t>因竞争性磋商文件的修改推迟磋商截止日期时，则按招标代理机构另行通知规定的时间递交。</w:t>
      </w:r>
    </w:p>
    <w:p>
      <w:pPr>
        <w:spacing w:line="360" w:lineRule="auto"/>
        <w:ind w:firstLine="539" w:firstLineChars="257"/>
        <w:rPr>
          <w:rFonts w:ascii="宋体" w:hAnsi="宋体"/>
          <w:szCs w:val="21"/>
        </w:rPr>
      </w:pPr>
      <w:r>
        <w:rPr>
          <w:rFonts w:hint="eastAsia" w:ascii="宋体" w:hAnsi="宋体"/>
          <w:szCs w:val="21"/>
        </w:rPr>
        <w:t>4、磋商响应文件应在磋商截止时间前派人送达指定地点。</w:t>
      </w:r>
    </w:p>
    <w:p>
      <w:pPr>
        <w:spacing w:line="360" w:lineRule="auto"/>
        <w:ind w:firstLine="539" w:firstLineChars="257"/>
        <w:rPr>
          <w:rFonts w:ascii="宋体" w:hAnsi="宋体"/>
          <w:szCs w:val="21"/>
        </w:rPr>
      </w:pPr>
      <w:r>
        <w:rPr>
          <w:rFonts w:hint="eastAsia" w:ascii="宋体" w:hAnsi="宋体"/>
          <w:szCs w:val="21"/>
        </w:rPr>
        <w:t>5、电报、电话、传真形式的竞标概不接受。</w:t>
      </w:r>
    </w:p>
    <w:p>
      <w:pPr>
        <w:spacing w:line="360" w:lineRule="auto"/>
        <w:ind w:firstLine="539" w:firstLineChars="257"/>
        <w:rPr>
          <w:rFonts w:ascii="宋体" w:hAnsi="宋体"/>
          <w:szCs w:val="21"/>
        </w:rPr>
      </w:pPr>
      <w:r>
        <w:rPr>
          <w:rFonts w:hint="eastAsia" w:ascii="宋体" w:hAnsi="宋体"/>
          <w:szCs w:val="21"/>
        </w:rPr>
        <w:t>6、招标代理机构对磋商响应文件送达过程中的遗失或损坏不负责任。</w:t>
      </w:r>
    </w:p>
    <w:p>
      <w:pPr>
        <w:pStyle w:val="30"/>
        <w:spacing w:line="360" w:lineRule="auto"/>
        <w:rPr>
          <w:rFonts w:ascii="宋体" w:hAnsi="宋体"/>
          <w:b/>
          <w:bCs/>
          <w:sz w:val="21"/>
          <w:szCs w:val="21"/>
        </w:rPr>
      </w:pPr>
      <w:r>
        <w:rPr>
          <w:rFonts w:hint="eastAsia" w:ascii="宋体" w:hAnsi="宋体"/>
          <w:b/>
          <w:bCs/>
          <w:sz w:val="21"/>
          <w:szCs w:val="21"/>
        </w:rPr>
        <w:t>（三）迟交的磋商响应文件</w:t>
      </w:r>
    </w:p>
    <w:p>
      <w:pPr>
        <w:pStyle w:val="30"/>
        <w:spacing w:line="360" w:lineRule="auto"/>
        <w:ind w:firstLine="211" w:firstLineChars="100"/>
        <w:rPr>
          <w:rFonts w:ascii="宋体" w:hAnsi="宋体"/>
          <w:sz w:val="21"/>
          <w:szCs w:val="21"/>
        </w:rPr>
      </w:pPr>
      <w:r>
        <w:rPr>
          <w:rFonts w:hint="eastAsia" w:ascii="宋体" w:hAnsi="宋体"/>
          <w:b/>
          <w:bCs/>
          <w:sz w:val="21"/>
          <w:szCs w:val="21"/>
        </w:rPr>
        <w:t xml:space="preserve">  招标代理机构将拒绝接收在磋商截止日期和时间后送达的磋商响应文件。</w:t>
      </w:r>
    </w:p>
    <w:p>
      <w:pPr>
        <w:pStyle w:val="30"/>
        <w:spacing w:line="360" w:lineRule="auto"/>
        <w:rPr>
          <w:rFonts w:ascii="宋体" w:hAnsi="宋体"/>
          <w:b/>
          <w:bCs/>
          <w:sz w:val="21"/>
          <w:szCs w:val="21"/>
        </w:rPr>
      </w:pPr>
      <w:r>
        <w:rPr>
          <w:rFonts w:hint="eastAsia" w:ascii="宋体" w:hAnsi="宋体"/>
          <w:b/>
          <w:bCs/>
          <w:sz w:val="21"/>
          <w:szCs w:val="21"/>
        </w:rPr>
        <w:t>（四）磋商响应文件的补充与修改</w:t>
      </w:r>
    </w:p>
    <w:p>
      <w:pPr>
        <w:tabs>
          <w:tab w:val="left" w:pos="720"/>
        </w:tabs>
        <w:spacing w:line="360" w:lineRule="auto"/>
        <w:rPr>
          <w:rFonts w:ascii="宋体" w:hAnsi="宋体"/>
          <w:szCs w:val="21"/>
        </w:rPr>
      </w:pPr>
      <w:r>
        <w:rPr>
          <w:rFonts w:hint="eastAsia" w:ascii="宋体" w:hAnsi="宋体"/>
          <w:szCs w:val="21"/>
        </w:rPr>
        <w:t xml:space="preserve">    1、</w:t>
      </w:r>
      <w:r>
        <w:rPr>
          <w:rFonts w:hint="eastAsia" w:ascii="宋体" w:hAnsi="宋体"/>
          <w:szCs w:val="21"/>
          <w:lang w:val="zh-CN"/>
        </w:rPr>
        <w:t>供应商</w:t>
      </w:r>
      <w:r>
        <w:rPr>
          <w:rFonts w:hint="eastAsia" w:ascii="宋体" w:hAnsi="宋体"/>
          <w:szCs w:val="21"/>
        </w:rPr>
        <w:t>在竞争性磋商文件要求提交磋商响应文件的截止时间前，可以补充、修改或撤回已提交的磋商响应文件，并书面通知采购人。补充、修改的内容为磋商响应文件的组成部分。</w:t>
      </w:r>
    </w:p>
    <w:p>
      <w:pPr>
        <w:tabs>
          <w:tab w:val="left" w:pos="720"/>
        </w:tabs>
        <w:spacing w:line="360" w:lineRule="auto"/>
        <w:rPr>
          <w:rFonts w:ascii="宋体" w:hAnsi="宋体"/>
          <w:szCs w:val="21"/>
        </w:rPr>
      </w:pPr>
      <w:r>
        <w:rPr>
          <w:rFonts w:hint="eastAsia" w:ascii="宋体" w:hAnsi="宋体"/>
          <w:szCs w:val="21"/>
        </w:rPr>
        <w:t xml:space="preserve">     2、</w:t>
      </w:r>
      <w:r>
        <w:rPr>
          <w:rFonts w:hint="eastAsia" w:ascii="宋体" w:hAnsi="宋体"/>
          <w:szCs w:val="21"/>
          <w:lang w:val="zh-CN"/>
        </w:rPr>
        <w:t>供应商</w:t>
      </w:r>
      <w:r>
        <w:rPr>
          <w:rFonts w:hint="eastAsia" w:ascii="宋体" w:hAnsi="宋体"/>
          <w:szCs w:val="21"/>
        </w:rPr>
        <w:t>对磋商响应文件的补充、修改的内容应按磋商文件编制的规定和磋商文件的密封和标记的规定进行准备、密封、标注和递送。</w:t>
      </w:r>
    </w:p>
    <w:p>
      <w:pPr>
        <w:tabs>
          <w:tab w:val="left" w:pos="720"/>
        </w:tabs>
        <w:spacing w:line="360" w:lineRule="auto"/>
        <w:rPr>
          <w:rFonts w:ascii="宋体" w:hAnsi="宋体"/>
          <w:szCs w:val="21"/>
        </w:rPr>
      </w:pPr>
      <w:r>
        <w:rPr>
          <w:rFonts w:hint="eastAsia" w:ascii="宋体" w:hAnsi="宋体"/>
          <w:szCs w:val="21"/>
        </w:rPr>
        <w:t xml:space="preserve">     3、磋商截止日期后不得修改磋商响应文件。</w:t>
      </w:r>
    </w:p>
    <w:p>
      <w:pPr>
        <w:tabs>
          <w:tab w:val="left" w:pos="720"/>
        </w:tabs>
        <w:spacing w:line="360" w:lineRule="auto"/>
        <w:ind w:firstLine="539" w:firstLineChars="257"/>
        <w:rPr>
          <w:rFonts w:ascii="宋体" w:hAnsi="宋体"/>
          <w:szCs w:val="21"/>
        </w:rPr>
      </w:pPr>
      <w:r>
        <w:rPr>
          <w:rFonts w:hint="eastAsia" w:ascii="宋体" w:hAnsi="宋体"/>
          <w:szCs w:val="21"/>
        </w:rPr>
        <w:t>4、</w:t>
      </w:r>
      <w:r>
        <w:rPr>
          <w:rFonts w:hint="eastAsia" w:ascii="宋体" w:hAnsi="宋体"/>
          <w:szCs w:val="21"/>
          <w:lang w:val="zh-CN"/>
        </w:rPr>
        <w:t>供应商</w:t>
      </w:r>
      <w:r>
        <w:rPr>
          <w:rFonts w:hint="eastAsia" w:ascii="宋体" w:hAnsi="宋体"/>
          <w:szCs w:val="21"/>
        </w:rPr>
        <w:t>不得在磋商截止日起至磋商有效期规定的磋商响应文件有效期满前撤回磋商响应文件，否则没收其磋商保证金。</w:t>
      </w:r>
      <w:bookmarkStart w:id="43" w:name="_Toc269397675"/>
      <w:bookmarkStart w:id="44" w:name="_Toc182125902"/>
      <w:bookmarkStart w:id="45" w:name="_Toc182125825"/>
    </w:p>
    <w:p>
      <w:pPr>
        <w:spacing w:line="360" w:lineRule="auto"/>
        <w:jc w:val="left"/>
        <w:rPr>
          <w:rFonts w:ascii="宋体" w:hAnsi="宋体"/>
          <w:b/>
          <w:bCs/>
          <w:szCs w:val="21"/>
        </w:rPr>
      </w:pPr>
      <w:bookmarkStart w:id="46" w:name="_Toc410379356"/>
      <w:r>
        <w:rPr>
          <w:rFonts w:hint="eastAsia" w:ascii="宋体" w:hAnsi="宋体"/>
          <w:b/>
          <w:bCs/>
          <w:szCs w:val="21"/>
        </w:rPr>
        <w:t>五、磋商规则、程序</w:t>
      </w:r>
      <w:bookmarkEnd w:id="46"/>
    </w:p>
    <w:p>
      <w:pPr>
        <w:spacing w:line="360" w:lineRule="auto"/>
        <w:rPr>
          <w:rFonts w:ascii="宋体" w:hAnsi="宋体"/>
          <w:b/>
          <w:bCs/>
          <w:szCs w:val="21"/>
        </w:rPr>
      </w:pPr>
      <w:r>
        <w:rPr>
          <w:rFonts w:hint="eastAsia" w:ascii="宋体" w:hAnsi="宋体"/>
          <w:b/>
          <w:bCs/>
          <w:szCs w:val="21"/>
        </w:rPr>
        <w:t>（一）磋商规则</w:t>
      </w:r>
    </w:p>
    <w:p>
      <w:pPr>
        <w:tabs>
          <w:tab w:val="left" w:pos="720"/>
        </w:tabs>
        <w:spacing w:line="360" w:lineRule="auto"/>
        <w:ind w:firstLine="539" w:firstLineChars="257"/>
        <w:rPr>
          <w:rFonts w:ascii="宋体" w:hAnsi="宋体"/>
          <w:szCs w:val="21"/>
        </w:rPr>
      </w:pPr>
      <w:r>
        <w:rPr>
          <w:rFonts w:hint="eastAsia" w:ascii="宋体" w:hAnsi="宋体"/>
          <w:szCs w:val="21"/>
        </w:rPr>
        <w:t>1、代理机构将于磋商须知前附表规定的时间和地点召开磋商会，所有</w:t>
      </w:r>
      <w:r>
        <w:rPr>
          <w:rFonts w:hint="eastAsia" w:ascii="宋体" w:hAnsi="宋体"/>
          <w:szCs w:val="21"/>
          <w:lang w:val="zh-CN"/>
        </w:rPr>
        <w:t>供应商</w:t>
      </w:r>
      <w:r>
        <w:rPr>
          <w:rFonts w:hint="eastAsia" w:ascii="宋体" w:hAnsi="宋体"/>
          <w:szCs w:val="21"/>
        </w:rPr>
        <w:t>均应准时参加磋商会。参加磋商会的</w:t>
      </w:r>
      <w:r>
        <w:rPr>
          <w:rFonts w:hint="eastAsia" w:ascii="宋体" w:hAnsi="宋体"/>
          <w:szCs w:val="21"/>
          <w:lang w:val="zh-CN"/>
        </w:rPr>
        <w:t>供应商</w:t>
      </w:r>
      <w:r>
        <w:rPr>
          <w:rFonts w:hint="eastAsia" w:ascii="宋体" w:hAnsi="宋体"/>
          <w:szCs w:val="21"/>
        </w:rPr>
        <w:t>的法定代表人或其授权代理人应出具其有效身份证明、授权委托书，</w:t>
      </w:r>
      <w:r>
        <w:rPr>
          <w:rFonts w:hint="eastAsia" w:ascii="宋体" w:hAnsi="宋体"/>
          <w:szCs w:val="21"/>
          <w:lang w:val="zh-CN"/>
        </w:rPr>
        <w:t>供应商</w:t>
      </w:r>
      <w:r>
        <w:rPr>
          <w:rFonts w:hint="eastAsia" w:ascii="宋体" w:hAnsi="宋体"/>
          <w:szCs w:val="21"/>
        </w:rPr>
        <w:t>的法定代表人或其授权代理人未参加磋商会或迟到的，事后不得对采购相关人员、开标过程和开标结果提出异议；</w:t>
      </w:r>
    </w:p>
    <w:p>
      <w:pPr>
        <w:tabs>
          <w:tab w:val="left" w:pos="720"/>
        </w:tabs>
        <w:spacing w:line="360" w:lineRule="auto"/>
        <w:ind w:firstLine="539" w:firstLineChars="257"/>
        <w:rPr>
          <w:rFonts w:ascii="宋体" w:hAnsi="宋体"/>
          <w:szCs w:val="21"/>
        </w:rPr>
      </w:pPr>
      <w:r>
        <w:rPr>
          <w:rFonts w:hint="eastAsia" w:ascii="宋体" w:hAnsi="宋体"/>
          <w:szCs w:val="21"/>
        </w:rPr>
        <w:t>2、磋商会由招标代理机构主持。</w:t>
      </w:r>
    </w:p>
    <w:p>
      <w:pPr>
        <w:tabs>
          <w:tab w:val="left" w:pos="720"/>
        </w:tabs>
        <w:spacing w:line="360" w:lineRule="auto"/>
        <w:ind w:firstLine="539" w:firstLineChars="257"/>
        <w:rPr>
          <w:rFonts w:ascii="宋体" w:hAnsi="宋体"/>
          <w:szCs w:val="21"/>
        </w:rPr>
      </w:pPr>
      <w:r>
        <w:rPr>
          <w:rFonts w:hint="eastAsia" w:ascii="宋体" w:hAnsi="宋体"/>
          <w:szCs w:val="21"/>
        </w:rPr>
        <w:t>3、对</w:t>
      </w:r>
      <w:r>
        <w:rPr>
          <w:rFonts w:hint="eastAsia" w:ascii="宋体" w:hAnsi="宋体"/>
          <w:szCs w:val="21"/>
          <w:lang w:val="zh-CN"/>
        </w:rPr>
        <w:t>供应商</w:t>
      </w:r>
      <w:r>
        <w:rPr>
          <w:rFonts w:hint="eastAsia" w:ascii="宋体" w:hAnsi="宋体"/>
          <w:szCs w:val="21"/>
        </w:rPr>
        <w:t>的磋商响应文件出现下列情况之一的，按照无效竞标处理：</w:t>
      </w:r>
    </w:p>
    <w:p>
      <w:pPr>
        <w:tabs>
          <w:tab w:val="left" w:pos="720"/>
        </w:tabs>
        <w:spacing w:line="360" w:lineRule="auto"/>
        <w:ind w:firstLine="539" w:firstLineChars="257"/>
        <w:rPr>
          <w:rFonts w:ascii="宋体" w:hAnsi="宋体"/>
          <w:szCs w:val="21"/>
        </w:rPr>
      </w:pPr>
      <w:r>
        <w:rPr>
          <w:rFonts w:hint="eastAsia" w:ascii="宋体" w:hAnsi="宋体"/>
          <w:szCs w:val="21"/>
        </w:rPr>
        <w:t>3.1磋商响应文件逾期送达或未按规定的地点送达的；</w:t>
      </w:r>
    </w:p>
    <w:p>
      <w:pPr>
        <w:tabs>
          <w:tab w:val="left" w:pos="720"/>
        </w:tabs>
        <w:spacing w:line="360" w:lineRule="auto"/>
        <w:ind w:firstLine="539" w:firstLineChars="257"/>
        <w:rPr>
          <w:rFonts w:ascii="宋体" w:hAnsi="宋体"/>
          <w:szCs w:val="21"/>
        </w:rPr>
      </w:pPr>
      <w:r>
        <w:rPr>
          <w:rFonts w:hint="eastAsia" w:ascii="宋体" w:hAnsi="宋体"/>
          <w:szCs w:val="21"/>
        </w:rPr>
        <w:t>3.2未按磋商文件规定交纳磋商保证金的；</w:t>
      </w:r>
    </w:p>
    <w:p>
      <w:pPr>
        <w:tabs>
          <w:tab w:val="left" w:pos="720"/>
        </w:tabs>
        <w:spacing w:line="360" w:lineRule="auto"/>
        <w:ind w:firstLine="539" w:firstLineChars="257"/>
        <w:rPr>
          <w:rFonts w:ascii="宋体" w:hAnsi="宋体"/>
          <w:szCs w:val="21"/>
        </w:rPr>
      </w:pPr>
      <w:r>
        <w:rPr>
          <w:rFonts w:hint="eastAsia" w:ascii="宋体" w:hAnsi="宋体"/>
          <w:szCs w:val="21"/>
        </w:rPr>
        <w:t>3.3未按照磋商文件规定的要求密封、签署、盖章、装订的；</w:t>
      </w:r>
    </w:p>
    <w:p>
      <w:pPr>
        <w:tabs>
          <w:tab w:val="left" w:pos="720"/>
        </w:tabs>
        <w:spacing w:line="360" w:lineRule="auto"/>
        <w:ind w:firstLine="539" w:firstLineChars="257"/>
        <w:rPr>
          <w:rFonts w:ascii="宋体" w:hAnsi="宋体"/>
          <w:szCs w:val="21"/>
        </w:rPr>
      </w:pPr>
      <w:r>
        <w:rPr>
          <w:rFonts w:hint="eastAsia" w:ascii="宋体" w:hAnsi="宋体"/>
          <w:szCs w:val="21"/>
        </w:rPr>
        <w:t>3.4不具备磋商文件中规定的资格条件要求的；</w:t>
      </w:r>
    </w:p>
    <w:p>
      <w:pPr>
        <w:tabs>
          <w:tab w:val="left" w:pos="720"/>
        </w:tabs>
        <w:spacing w:line="360" w:lineRule="auto"/>
        <w:ind w:firstLine="539" w:firstLineChars="257"/>
        <w:rPr>
          <w:rFonts w:ascii="宋体" w:hAnsi="宋体"/>
          <w:szCs w:val="21"/>
        </w:rPr>
      </w:pPr>
      <w:r>
        <w:rPr>
          <w:rFonts w:hint="eastAsia" w:ascii="宋体" w:hAnsi="宋体"/>
          <w:szCs w:val="21"/>
        </w:rPr>
        <w:t>3.5</w:t>
      </w:r>
      <w:r>
        <w:rPr>
          <w:rFonts w:hint="eastAsia" w:ascii="宋体" w:hAnsi="宋体"/>
          <w:szCs w:val="21"/>
          <w:lang w:val="zh-CN"/>
        </w:rPr>
        <w:t>供应商</w:t>
      </w:r>
      <w:r>
        <w:rPr>
          <w:rFonts w:hint="eastAsia" w:ascii="宋体" w:hAnsi="宋体"/>
          <w:szCs w:val="21"/>
        </w:rPr>
        <w:t>提交两份或两份以上内容不同的磋商响应文件，或在一份磋商响应文件中对同一采购项目有两个或两个以上报价的；</w:t>
      </w:r>
    </w:p>
    <w:p>
      <w:pPr>
        <w:tabs>
          <w:tab w:val="left" w:pos="720"/>
        </w:tabs>
        <w:spacing w:line="360" w:lineRule="auto"/>
        <w:ind w:firstLine="539" w:firstLineChars="257"/>
        <w:rPr>
          <w:rFonts w:ascii="宋体" w:hAnsi="宋体"/>
          <w:szCs w:val="21"/>
        </w:rPr>
      </w:pPr>
      <w:r>
        <w:rPr>
          <w:rFonts w:hint="eastAsia" w:ascii="宋体" w:hAnsi="宋体"/>
          <w:szCs w:val="21"/>
        </w:rPr>
        <w:t>3.6磋商响应文件载明的采购项目完成期限超过磋商文件规定的期限，采购人不能接受的；</w:t>
      </w:r>
    </w:p>
    <w:p>
      <w:pPr>
        <w:tabs>
          <w:tab w:val="left" w:pos="720"/>
        </w:tabs>
        <w:spacing w:line="360" w:lineRule="auto"/>
        <w:ind w:firstLine="539" w:firstLineChars="257"/>
        <w:rPr>
          <w:rFonts w:ascii="宋体" w:hAnsi="宋体"/>
          <w:szCs w:val="21"/>
        </w:rPr>
      </w:pPr>
      <w:r>
        <w:rPr>
          <w:rFonts w:hint="eastAsia" w:ascii="宋体" w:hAnsi="宋体"/>
          <w:szCs w:val="21"/>
        </w:rPr>
        <w:t>3.7磋商响应文件载明的采购项目磋商有效期、服务质保期少于磋商文件规定期限的；</w:t>
      </w:r>
    </w:p>
    <w:p>
      <w:pPr>
        <w:tabs>
          <w:tab w:val="left" w:pos="720"/>
        </w:tabs>
        <w:spacing w:line="360" w:lineRule="auto"/>
        <w:ind w:firstLine="539" w:firstLineChars="257"/>
        <w:rPr>
          <w:rFonts w:ascii="宋体" w:hAnsi="宋体"/>
          <w:szCs w:val="21"/>
        </w:rPr>
      </w:pPr>
      <w:r>
        <w:rPr>
          <w:rFonts w:hint="eastAsia" w:ascii="宋体" w:hAnsi="宋体"/>
          <w:szCs w:val="21"/>
        </w:rPr>
        <w:t>3.8磋商响应文件未响应磋商文件规定的付款方式的；</w:t>
      </w:r>
    </w:p>
    <w:p>
      <w:pPr>
        <w:tabs>
          <w:tab w:val="left" w:pos="720"/>
        </w:tabs>
        <w:spacing w:line="360" w:lineRule="auto"/>
        <w:ind w:firstLine="539" w:firstLineChars="257"/>
        <w:rPr>
          <w:rFonts w:ascii="宋体" w:hAnsi="宋体"/>
          <w:szCs w:val="21"/>
        </w:rPr>
      </w:pPr>
      <w:r>
        <w:rPr>
          <w:rFonts w:hint="eastAsia" w:ascii="宋体" w:hAnsi="宋体"/>
          <w:szCs w:val="21"/>
        </w:rPr>
        <w:t>3.9磋商响应文件的货物或服务技术规范、技术标准明显不符合国家强制性要求的；</w:t>
      </w:r>
    </w:p>
    <w:p>
      <w:pPr>
        <w:tabs>
          <w:tab w:val="left" w:pos="720"/>
        </w:tabs>
        <w:spacing w:line="360" w:lineRule="auto"/>
        <w:ind w:firstLine="539" w:firstLineChars="257"/>
        <w:rPr>
          <w:rFonts w:ascii="宋体" w:hAnsi="宋体"/>
          <w:szCs w:val="21"/>
        </w:rPr>
      </w:pPr>
      <w:r>
        <w:rPr>
          <w:rFonts w:hint="eastAsia" w:ascii="宋体" w:hAnsi="宋体"/>
          <w:szCs w:val="21"/>
        </w:rPr>
        <w:t>3.10磋商响应文件字迹模糊辨认不清的（磋商小组一致认为难以确认）；</w:t>
      </w:r>
    </w:p>
    <w:p>
      <w:pPr>
        <w:tabs>
          <w:tab w:val="left" w:pos="720"/>
        </w:tabs>
        <w:spacing w:line="360" w:lineRule="auto"/>
        <w:ind w:firstLine="539" w:firstLineChars="257"/>
        <w:rPr>
          <w:rFonts w:ascii="宋体" w:hAnsi="宋体"/>
          <w:szCs w:val="21"/>
        </w:rPr>
      </w:pPr>
      <w:r>
        <w:rPr>
          <w:rFonts w:hint="eastAsia" w:ascii="宋体" w:hAnsi="宋体"/>
          <w:szCs w:val="21"/>
        </w:rPr>
        <w:t>3.11</w:t>
      </w:r>
      <w:r>
        <w:rPr>
          <w:rFonts w:hint="eastAsia" w:ascii="宋体" w:hAnsi="宋体"/>
          <w:szCs w:val="21"/>
          <w:lang w:val="zh-CN"/>
        </w:rPr>
        <w:t>供应商</w:t>
      </w:r>
      <w:r>
        <w:rPr>
          <w:rFonts w:hint="eastAsia" w:ascii="宋体" w:hAnsi="宋体"/>
          <w:szCs w:val="21"/>
        </w:rPr>
        <w:t>的法定代表人或其授权代理人未能准时参加开标会议的；</w:t>
      </w:r>
    </w:p>
    <w:p>
      <w:pPr>
        <w:tabs>
          <w:tab w:val="left" w:pos="720"/>
        </w:tabs>
        <w:spacing w:line="360" w:lineRule="auto"/>
        <w:ind w:firstLine="539" w:firstLineChars="257"/>
        <w:rPr>
          <w:rFonts w:ascii="宋体" w:hAnsi="宋体"/>
          <w:szCs w:val="21"/>
        </w:rPr>
      </w:pPr>
      <w:r>
        <w:rPr>
          <w:rFonts w:hint="eastAsia" w:ascii="宋体" w:hAnsi="宋体"/>
          <w:szCs w:val="21"/>
        </w:rPr>
        <w:t>3.12磋商时</w:t>
      </w:r>
      <w:r>
        <w:rPr>
          <w:rFonts w:hint="eastAsia" w:ascii="宋体" w:hAnsi="宋体"/>
          <w:szCs w:val="21"/>
          <w:lang w:val="zh-CN"/>
        </w:rPr>
        <w:t>供应商</w:t>
      </w:r>
      <w:r>
        <w:rPr>
          <w:rFonts w:hint="eastAsia" w:ascii="宋体" w:hAnsi="宋体"/>
          <w:szCs w:val="21"/>
        </w:rPr>
        <w:t>的法定代表人或其授权代理人未能当场出具有效身份证明的；</w:t>
      </w:r>
    </w:p>
    <w:p>
      <w:pPr>
        <w:tabs>
          <w:tab w:val="left" w:pos="720"/>
        </w:tabs>
        <w:spacing w:line="360" w:lineRule="auto"/>
        <w:ind w:firstLine="539" w:firstLineChars="257"/>
        <w:rPr>
          <w:rFonts w:ascii="宋体" w:hAnsi="宋体"/>
          <w:szCs w:val="21"/>
        </w:rPr>
      </w:pPr>
      <w:r>
        <w:rPr>
          <w:rFonts w:hint="eastAsia" w:ascii="宋体" w:hAnsi="宋体"/>
          <w:szCs w:val="21"/>
        </w:rPr>
        <w:t>3.13超出经营范围竞标的；</w:t>
      </w:r>
    </w:p>
    <w:p>
      <w:pPr>
        <w:tabs>
          <w:tab w:val="left" w:pos="720"/>
        </w:tabs>
        <w:spacing w:line="360" w:lineRule="auto"/>
        <w:ind w:firstLine="539" w:firstLineChars="257"/>
        <w:rPr>
          <w:rFonts w:ascii="宋体" w:hAnsi="宋体"/>
          <w:szCs w:val="21"/>
        </w:rPr>
      </w:pPr>
      <w:r>
        <w:rPr>
          <w:rFonts w:hint="eastAsia" w:ascii="宋体" w:hAnsi="宋体"/>
          <w:szCs w:val="21"/>
        </w:rPr>
        <w:t>3.14提供不真实资料的；</w:t>
      </w:r>
    </w:p>
    <w:p>
      <w:pPr>
        <w:tabs>
          <w:tab w:val="left" w:pos="720"/>
        </w:tabs>
        <w:spacing w:line="360" w:lineRule="auto"/>
        <w:ind w:firstLine="539" w:firstLineChars="257"/>
        <w:rPr>
          <w:rFonts w:ascii="宋体" w:hAnsi="宋体"/>
          <w:szCs w:val="21"/>
        </w:rPr>
      </w:pPr>
      <w:r>
        <w:rPr>
          <w:rFonts w:hint="eastAsia" w:ascii="宋体" w:hAnsi="宋体"/>
          <w:szCs w:val="21"/>
        </w:rPr>
        <w:t>3.15不符合法律、法规和磋商文件规定的其他实质性要求（磋商小组一致认定）的；</w:t>
      </w:r>
    </w:p>
    <w:p>
      <w:pPr>
        <w:tabs>
          <w:tab w:val="left" w:pos="720"/>
        </w:tabs>
        <w:spacing w:line="360" w:lineRule="auto"/>
        <w:ind w:firstLine="539" w:firstLineChars="257"/>
        <w:rPr>
          <w:rFonts w:hint="eastAsia" w:ascii="宋体" w:hAnsi="宋体"/>
          <w:color w:val="FF0000"/>
          <w:szCs w:val="21"/>
        </w:rPr>
      </w:pPr>
      <w:r>
        <w:rPr>
          <w:rFonts w:hint="eastAsia" w:ascii="宋体" w:hAnsi="宋体"/>
          <w:color w:val="FF0000"/>
          <w:szCs w:val="21"/>
        </w:rPr>
        <w:t>3.16竞标服务的服务指标、参数</w:t>
      </w:r>
      <w:r>
        <w:rPr>
          <w:rFonts w:hint="eastAsia" w:ascii="宋体" w:hAnsi="宋体"/>
          <w:color w:val="FF0000"/>
          <w:szCs w:val="21"/>
          <w:lang w:eastAsia="zh-CN"/>
        </w:rPr>
        <w:t>、</w:t>
      </w:r>
      <w:r>
        <w:rPr>
          <w:rFonts w:hint="eastAsia" w:ascii="宋体" w:hAnsi="宋体"/>
          <w:color w:val="FF0000"/>
          <w:szCs w:val="21"/>
        </w:rPr>
        <w:t>招标货物的性能及技术</w:t>
      </w:r>
      <w:r>
        <w:rPr>
          <w:rFonts w:hint="eastAsia" w:ascii="宋体" w:hAnsi="宋体"/>
          <w:color w:val="FF0000"/>
          <w:szCs w:val="21"/>
          <w:lang w:val="en-US" w:eastAsia="zh-CN"/>
        </w:rPr>
        <w:t>重要</w:t>
      </w:r>
      <w:r>
        <w:rPr>
          <w:rFonts w:hint="eastAsia" w:ascii="宋体" w:hAnsi="宋体"/>
          <w:color w:val="FF0000"/>
          <w:szCs w:val="21"/>
        </w:rPr>
        <w:t>指标</w:t>
      </w:r>
      <w:r>
        <w:rPr>
          <w:rFonts w:hint="eastAsia" w:ascii="宋体" w:hAnsi="宋体"/>
          <w:color w:val="FF0000"/>
          <w:szCs w:val="21"/>
          <w:lang w:eastAsia="zh-CN"/>
        </w:rPr>
        <w:t>（</w:t>
      </w:r>
      <w:r>
        <w:rPr>
          <w:rFonts w:hint="eastAsia" w:ascii="宋体" w:hAnsi="宋体"/>
          <w:color w:val="FF0000"/>
          <w:szCs w:val="21"/>
          <w:lang w:val="en-US" w:eastAsia="zh-CN"/>
        </w:rPr>
        <w:t>标</w:t>
      </w:r>
      <w:r>
        <w:rPr>
          <w:rFonts w:hint="eastAsia"/>
          <w:color w:val="FF0000"/>
        </w:rPr>
        <w:t>★</w:t>
      </w:r>
      <w:r>
        <w:rPr>
          <w:rFonts w:hint="eastAsia"/>
          <w:color w:val="FF0000"/>
          <w:lang w:val="en-US" w:eastAsia="zh-CN"/>
        </w:rPr>
        <w:t>号</w:t>
      </w:r>
      <w:r>
        <w:rPr>
          <w:rFonts w:hint="eastAsia" w:ascii="宋体" w:hAnsi="宋体"/>
          <w:color w:val="FF0000"/>
          <w:szCs w:val="21"/>
          <w:lang w:eastAsia="zh-CN"/>
        </w:rPr>
        <w:t>）</w:t>
      </w:r>
      <w:r>
        <w:rPr>
          <w:rFonts w:hint="eastAsia" w:ascii="宋体" w:hAnsi="宋体"/>
          <w:color w:val="FF0000"/>
          <w:szCs w:val="21"/>
        </w:rPr>
        <w:t>等存在实质性偏离（磋商小组一致认定）的；</w:t>
      </w:r>
    </w:p>
    <w:p>
      <w:pPr>
        <w:tabs>
          <w:tab w:val="left" w:pos="720"/>
        </w:tabs>
        <w:spacing w:line="360" w:lineRule="auto"/>
        <w:ind w:firstLine="539" w:firstLineChars="257"/>
        <w:rPr>
          <w:rFonts w:ascii="宋体" w:hAnsi="宋体"/>
          <w:szCs w:val="21"/>
        </w:rPr>
      </w:pPr>
      <w:r>
        <w:rPr>
          <w:rFonts w:hint="eastAsia" w:ascii="宋体" w:hAnsi="宋体"/>
          <w:szCs w:val="21"/>
        </w:rPr>
        <w:t>3.17二分之一以上的评委认为供应商报价明显高于或低于市场平均价的；</w:t>
      </w:r>
    </w:p>
    <w:p>
      <w:pPr>
        <w:tabs>
          <w:tab w:val="left" w:pos="720"/>
        </w:tabs>
        <w:spacing w:line="360" w:lineRule="auto"/>
        <w:ind w:firstLine="539" w:firstLineChars="257"/>
        <w:rPr>
          <w:rFonts w:ascii="宋体" w:hAnsi="宋体"/>
          <w:szCs w:val="21"/>
        </w:rPr>
      </w:pPr>
      <w:r>
        <w:rPr>
          <w:rFonts w:hint="eastAsia" w:ascii="宋体" w:hAnsi="宋体"/>
          <w:szCs w:val="21"/>
        </w:rPr>
        <w:t>3.18</w:t>
      </w:r>
      <w:r>
        <w:rPr>
          <w:rFonts w:hint="eastAsia" w:ascii="宋体" w:hAnsi="宋体"/>
          <w:b/>
          <w:szCs w:val="21"/>
        </w:rPr>
        <w:t>竞标价高于本项目限价的</w:t>
      </w:r>
      <w:r>
        <w:rPr>
          <w:rFonts w:hint="eastAsia" w:ascii="宋体" w:hAnsi="宋体"/>
          <w:szCs w:val="21"/>
        </w:rPr>
        <w:t>；</w:t>
      </w:r>
    </w:p>
    <w:p>
      <w:pPr>
        <w:tabs>
          <w:tab w:val="left" w:pos="720"/>
        </w:tabs>
        <w:spacing w:line="360" w:lineRule="auto"/>
        <w:ind w:firstLine="539" w:firstLineChars="257"/>
        <w:rPr>
          <w:rFonts w:ascii="宋体" w:hAnsi="宋体"/>
          <w:szCs w:val="21"/>
        </w:rPr>
      </w:pPr>
      <w:r>
        <w:rPr>
          <w:rFonts w:hint="eastAsia" w:ascii="宋体" w:hAnsi="宋体"/>
          <w:szCs w:val="21"/>
        </w:rPr>
        <w:t xml:space="preserve">3.19律、法规、规章及省级以上规范性文件等规定的其他情形。 </w:t>
      </w:r>
    </w:p>
    <w:p>
      <w:pPr>
        <w:spacing w:line="360" w:lineRule="auto"/>
        <w:rPr>
          <w:rFonts w:ascii="宋体" w:hAnsi="宋体"/>
          <w:b/>
          <w:bCs/>
          <w:szCs w:val="21"/>
        </w:rPr>
      </w:pPr>
      <w:r>
        <w:rPr>
          <w:rFonts w:hint="eastAsia" w:ascii="宋体" w:hAnsi="宋体"/>
          <w:b/>
          <w:bCs/>
          <w:szCs w:val="21"/>
        </w:rPr>
        <w:t>（二） 磋商小组与磋商原则</w:t>
      </w:r>
    </w:p>
    <w:p>
      <w:pPr>
        <w:tabs>
          <w:tab w:val="left" w:pos="720"/>
        </w:tabs>
        <w:spacing w:line="360" w:lineRule="auto"/>
        <w:ind w:firstLine="539" w:firstLineChars="257"/>
        <w:rPr>
          <w:rFonts w:ascii="宋体" w:hAnsi="宋体"/>
          <w:szCs w:val="21"/>
        </w:rPr>
      </w:pPr>
      <w:r>
        <w:rPr>
          <w:rFonts w:hint="eastAsia" w:ascii="宋体" w:hAnsi="宋体"/>
          <w:szCs w:val="21"/>
        </w:rPr>
        <w:t>磋商小组由招标采购单位依法组建，负责磋商活动。磋商小组遵循公开、公平、公正、科学合理，竞争择优的原则。</w:t>
      </w:r>
    </w:p>
    <w:p>
      <w:pPr>
        <w:tabs>
          <w:tab w:val="left" w:pos="720"/>
        </w:tabs>
        <w:spacing w:line="360" w:lineRule="auto"/>
        <w:ind w:firstLine="539" w:firstLineChars="257"/>
        <w:rPr>
          <w:rFonts w:ascii="宋体" w:hAnsi="宋体"/>
          <w:szCs w:val="21"/>
        </w:rPr>
      </w:pPr>
      <w:r>
        <w:rPr>
          <w:rFonts w:hint="eastAsia" w:ascii="宋体" w:hAnsi="宋体"/>
          <w:bCs/>
          <w:szCs w:val="21"/>
        </w:rPr>
        <w:t>磋商小组由3人组成，磋商小组负责对磋商响应文件进行审查、质疑、评估、比较及确定成交候选人</w:t>
      </w:r>
    </w:p>
    <w:p>
      <w:pPr>
        <w:spacing w:line="360" w:lineRule="auto"/>
        <w:rPr>
          <w:rFonts w:ascii="宋体" w:hAnsi="宋体"/>
          <w:b/>
          <w:bCs/>
          <w:szCs w:val="21"/>
        </w:rPr>
      </w:pPr>
      <w:r>
        <w:rPr>
          <w:rFonts w:hint="eastAsia" w:ascii="宋体" w:hAnsi="宋体"/>
          <w:b/>
          <w:bCs/>
          <w:szCs w:val="21"/>
        </w:rPr>
        <w:t>（三）磋商过程的保密</w:t>
      </w:r>
    </w:p>
    <w:p>
      <w:pPr>
        <w:tabs>
          <w:tab w:val="left" w:pos="720"/>
        </w:tabs>
        <w:spacing w:line="360" w:lineRule="auto"/>
        <w:ind w:firstLine="539" w:firstLineChars="257"/>
        <w:rPr>
          <w:rFonts w:ascii="宋体" w:hAnsi="宋体"/>
          <w:szCs w:val="21"/>
        </w:rPr>
      </w:pPr>
      <w:r>
        <w:rPr>
          <w:rFonts w:hint="eastAsia" w:ascii="宋体" w:hAnsi="宋体"/>
          <w:szCs w:val="21"/>
        </w:rPr>
        <w:t>1、磋商会开始后，直至授予成交供应商合同为止，凡属于对磋商响应文件的审查、澄清、评判和比较的有关资料、成交候选供应商的推荐情况及与磋商有关的其他任何情况均依法严格保密。</w:t>
      </w:r>
    </w:p>
    <w:p>
      <w:pPr>
        <w:tabs>
          <w:tab w:val="left" w:pos="720"/>
        </w:tabs>
        <w:spacing w:line="360" w:lineRule="auto"/>
        <w:ind w:firstLine="539" w:firstLineChars="257"/>
        <w:rPr>
          <w:rFonts w:ascii="宋体" w:hAnsi="宋体"/>
          <w:szCs w:val="21"/>
        </w:rPr>
      </w:pPr>
      <w:r>
        <w:rPr>
          <w:rFonts w:hint="eastAsia" w:ascii="宋体" w:hAnsi="宋体"/>
          <w:szCs w:val="21"/>
        </w:rPr>
        <w:t>2、在磋商响应文件的评判和比较、成交候选供应商推荐以及授予合同的过程中，</w:t>
      </w:r>
      <w:r>
        <w:rPr>
          <w:rFonts w:hint="eastAsia" w:ascii="宋体" w:hAnsi="宋体"/>
          <w:szCs w:val="21"/>
          <w:lang w:val="zh-CN"/>
        </w:rPr>
        <w:t>供应商</w:t>
      </w:r>
      <w:r>
        <w:rPr>
          <w:rFonts w:hint="eastAsia" w:ascii="宋体" w:hAnsi="宋体"/>
          <w:szCs w:val="21"/>
        </w:rPr>
        <w:t>向招标采购单位和磋商小组施加影响的任何行为，都将会导致其磋商被拒绝。</w:t>
      </w:r>
    </w:p>
    <w:p>
      <w:pPr>
        <w:tabs>
          <w:tab w:val="left" w:pos="720"/>
        </w:tabs>
        <w:spacing w:line="360" w:lineRule="auto"/>
        <w:ind w:firstLine="539" w:firstLineChars="257"/>
        <w:rPr>
          <w:rFonts w:ascii="宋体" w:hAnsi="宋体"/>
          <w:szCs w:val="21"/>
        </w:rPr>
      </w:pPr>
      <w:r>
        <w:rPr>
          <w:rFonts w:hint="eastAsia" w:ascii="宋体" w:hAnsi="宋体"/>
          <w:szCs w:val="21"/>
        </w:rPr>
        <w:t>3、磋商小组分别与各</w:t>
      </w:r>
      <w:r>
        <w:rPr>
          <w:rFonts w:hint="eastAsia" w:ascii="宋体" w:hAnsi="宋体"/>
          <w:szCs w:val="21"/>
          <w:lang w:val="zh-CN"/>
        </w:rPr>
        <w:t>供应商</w:t>
      </w:r>
      <w:r>
        <w:rPr>
          <w:rFonts w:hint="eastAsia" w:ascii="宋体" w:hAnsi="宋体"/>
          <w:szCs w:val="21"/>
        </w:rPr>
        <w:t>进行商务、技术及价格磋商、在磋商过程中，磋商小组成员不得透露其他</w:t>
      </w:r>
      <w:r>
        <w:rPr>
          <w:rFonts w:hint="eastAsia" w:ascii="宋体" w:hAnsi="宋体"/>
          <w:szCs w:val="21"/>
          <w:lang w:val="zh-CN"/>
        </w:rPr>
        <w:t>供应商</w:t>
      </w:r>
      <w:r>
        <w:rPr>
          <w:rFonts w:hint="eastAsia" w:ascii="宋体" w:hAnsi="宋体"/>
          <w:szCs w:val="21"/>
        </w:rPr>
        <w:t>的磋商信息，严守商业秘密。</w:t>
      </w:r>
    </w:p>
    <w:p>
      <w:pPr>
        <w:spacing w:line="360" w:lineRule="auto"/>
        <w:rPr>
          <w:rFonts w:ascii="宋体" w:hAnsi="宋体"/>
          <w:b/>
          <w:bCs/>
          <w:szCs w:val="21"/>
        </w:rPr>
      </w:pPr>
      <w:r>
        <w:rPr>
          <w:rFonts w:hint="eastAsia" w:ascii="宋体" w:hAnsi="宋体"/>
          <w:b/>
          <w:bCs/>
          <w:szCs w:val="21"/>
        </w:rPr>
        <w:t>（四）磋商响应文件的澄清</w:t>
      </w:r>
    </w:p>
    <w:p>
      <w:pPr>
        <w:tabs>
          <w:tab w:val="left" w:pos="720"/>
        </w:tabs>
        <w:spacing w:line="360" w:lineRule="auto"/>
        <w:ind w:firstLine="539" w:firstLineChars="257"/>
        <w:rPr>
          <w:rFonts w:ascii="宋体" w:hAnsi="宋体"/>
          <w:szCs w:val="21"/>
        </w:rPr>
      </w:pPr>
      <w:r>
        <w:rPr>
          <w:rFonts w:hint="eastAsia" w:ascii="宋体" w:hAnsi="宋体"/>
          <w:szCs w:val="21"/>
        </w:rPr>
        <w:t>为有助于磋商响应文件的审查、评判和比较，磋商小组可以书面形式要求</w:t>
      </w:r>
      <w:r>
        <w:rPr>
          <w:rFonts w:hint="eastAsia" w:ascii="宋体" w:hAnsi="宋体"/>
          <w:szCs w:val="21"/>
          <w:lang w:val="zh-CN"/>
        </w:rPr>
        <w:t>供应商</w:t>
      </w:r>
      <w:r>
        <w:rPr>
          <w:rFonts w:hint="eastAsia" w:ascii="宋体" w:hAnsi="宋体"/>
          <w:szCs w:val="21"/>
        </w:rPr>
        <w:t>对磋商响应文件含义不明确的内容作必要的澄清或说明，</w:t>
      </w:r>
      <w:r>
        <w:rPr>
          <w:rFonts w:hint="eastAsia" w:ascii="宋体" w:hAnsi="宋体"/>
          <w:szCs w:val="21"/>
          <w:lang w:val="zh-CN"/>
        </w:rPr>
        <w:t>供应商</w:t>
      </w:r>
      <w:r>
        <w:rPr>
          <w:rFonts w:hint="eastAsia" w:ascii="宋体" w:hAnsi="宋体"/>
          <w:szCs w:val="21"/>
        </w:rPr>
        <w:t>应采用书面形式进行澄清、说明或承诺。</w:t>
      </w:r>
    </w:p>
    <w:p>
      <w:pPr>
        <w:spacing w:line="360" w:lineRule="auto"/>
        <w:rPr>
          <w:rFonts w:ascii="宋体" w:hAnsi="宋体"/>
          <w:b/>
          <w:bCs/>
          <w:szCs w:val="21"/>
        </w:rPr>
      </w:pPr>
      <w:r>
        <w:rPr>
          <w:rFonts w:hint="eastAsia" w:ascii="宋体" w:hAnsi="宋体"/>
          <w:b/>
          <w:bCs/>
          <w:szCs w:val="21"/>
        </w:rPr>
        <w:t>（五）磋商程序与方法</w:t>
      </w:r>
    </w:p>
    <w:p>
      <w:pPr>
        <w:tabs>
          <w:tab w:val="left" w:pos="720"/>
        </w:tabs>
        <w:spacing w:line="360" w:lineRule="auto"/>
        <w:ind w:firstLine="539" w:firstLineChars="257"/>
        <w:rPr>
          <w:rFonts w:ascii="宋体" w:hAnsi="宋体"/>
          <w:szCs w:val="21"/>
        </w:rPr>
      </w:pPr>
      <w:r>
        <w:rPr>
          <w:rFonts w:hint="eastAsia" w:ascii="宋体" w:hAnsi="宋体"/>
          <w:szCs w:val="21"/>
        </w:rPr>
        <w:t>1、初步审查</w:t>
      </w:r>
    </w:p>
    <w:p>
      <w:pPr>
        <w:tabs>
          <w:tab w:val="left" w:pos="720"/>
        </w:tabs>
        <w:spacing w:line="360" w:lineRule="auto"/>
        <w:ind w:firstLine="539" w:firstLineChars="257"/>
        <w:rPr>
          <w:rFonts w:ascii="宋体" w:hAnsi="宋体"/>
          <w:szCs w:val="21"/>
        </w:rPr>
      </w:pPr>
      <w:r>
        <w:rPr>
          <w:rFonts w:hint="eastAsia" w:ascii="宋体" w:hAnsi="宋体"/>
          <w:szCs w:val="21"/>
        </w:rPr>
        <w:t>磋商小组对通过资格性检查的</w:t>
      </w:r>
      <w:r>
        <w:rPr>
          <w:rFonts w:hint="eastAsia" w:ascii="宋体" w:hAnsi="宋体"/>
          <w:szCs w:val="21"/>
          <w:lang w:val="zh-CN"/>
        </w:rPr>
        <w:t>供应商</w:t>
      </w:r>
      <w:r>
        <w:rPr>
          <w:rFonts w:hint="eastAsia" w:ascii="宋体" w:hAnsi="宋体"/>
          <w:szCs w:val="21"/>
        </w:rPr>
        <w:t>进行符合性检查。依据磋商文件的规定，从磋商响应文件的有效性、完整性和对磋商响应文件的响应程度进行初步审查，以确定是否对磋商文件的实质性要求作出响应。</w:t>
      </w:r>
    </w:p>
    <w:p>
      <w:pPr>
        <w:tabs>
          <w:tab w:val="left" w:pos="720"/>
        </w:tabs>
        <w:spacing w:line="360" w:lineRule="auto"/>
        <w:ind w:firstLine="539" w:firstLineChars="257"/>
        <w:rPr>
          <w:rFonts w:ascii="宋体" w:hAnsi="宋体"/>
          <w:bCs/>
          <w:szCs w:val="21"/>
        </w:rPr>
      </w:pPr>
      <w:r>
        <w:rPr>
          <w:rFonts w:hint="eastAsia" w:ascii="宋体" w:hAnsi="宋体"/>
          <w:szCs w:val="21"/>
        </w:rPr>
        <w:t>2、</w:t>
      </w:r>
      <w:r>
        <w:rPr>
          <w:rFonts w:hint="eastAsia" w:ascii="宋体" w:hAnsi="宋体"/>
          <w:bCs/>
          <w:szCs w:val="21"/>
        </w:rPr>
        <w:t>评审过程中磋商供应商有义务对磋商小组提出就磋商响应文件中含义不明确、同类问题表述不一致或者有明显的文字和计算错误的内容进行澄清、说明、或者纠正。并在磋商结束前，对澄清、说明或者纠正的相关内容以书面形式进行最终确认承诺，并由磋商供应商代表签字，但不得改变磋商响应文件的实质性内容。供应商的澄清、说明或者更正应当由法定代表人或其授权代表签字或者加盖公章。由授权代表签字的，应当附法定代表人授权书。供应商为自然人的，应当由本人签字并附身份证明。</w:t>
      </w:r>
    </w:p>
    <w:p>
      <w:pPr>
        <w:pStyle w:val="2"/>
        <w:spacing w:after="0" w:line="360" w:lineRule="auto"/>
        <w:rPr>
          <w:rFonts w:ascii="宋体" w:hAnsi="宋体"/>
          <w:bCs/>
          <w:szCs w:val="21"/>
        </w:rPr>
      </w:pPr>
      <w:r>
        <w:rPr>
          <w:rFonts w:hint="eastAsia" w:ascii="宋体" w:hAnsi="宋体"/>
          <w:bCs/>
          <w:szCs w:val="21"/>
        </w:rPr>
        <w:t xml:space="preserve">  ▲ 3、经澄清后，若偏差仍存在，且不可接受，磋商供应商则被认为是“没有实质性响应竞争性磋商文件要求”，其磋商不进入下一步评审。</w:t>
      </w:r>
    </w:p>
    <w:p>
      <w:pPr>
        <w:tabs>
          <w:tab w:val="left" w:pos="720"/>
        </w:tabs>
        <w:spacing w:line="360" w:lineRule="auto"/>
        <w:ind w:firstLine="539" w:firstLineChars="257"/>
        <w:rPr>
          <w:rFonts w:ascii="宋体" w:hAnsi="宋体"/>
          <w:szCs w:val="21"/>
        </w:rPr>
      </w:pPr>
      <w:r>
        <w:rPr>
          <w:rFonts w:hint="eastAsia" w:ascii="宋体" w:hAnsi="宋体"/>
          <w:szCs w:val="21"/>
        </w:rPr>
        <w:t>4、磋商响应文件计算错误的修正</w:t>
      </w:r>
    </w:p>
    <w:p>
      <w:pPr>
        <w:tabs>
          <w:tab w:val="left" w:pos="720"/>
        </w:tabs>
        <w:spacing w:line="360" w:lineRule="auto"/>
        <w:ind w:firstLine="539" w:firstLineChars="257"/>
        <w:rPr>
          <w:rFonts w:ascii="宋体" w:hAnsi="宋体"/>
          <w:szCs w:val="21"/>
        </w:rPr>
      </w:pPr>
      <w:r>
        <w:rPr>
          <w:rFonts w:hint="eastAsia" w:ascii="宋体" w:hAnsi="宋体"/>
          <w:szCs w:val="21"/>
        </w:rPr>
        <w:t>4.1磋商响应文件中磋商报价一览表内容与磋商响应文件中磋商分项报价表内容不一致的，以磋商报价一览表为准；</w:t>
      </w:r>
    </w:p>
    <w:p>
      <w:pPr>
        <w:tabs>
          <w:tab w:val="left" w:pos="720"/>
        </w:tabs>
        <w:spacing w:line="360" w:lineRule="auto"/>
        <w:ind w:firstLine="539" w:firstLineChars="257"/>
        <w:rPr>
          <w:rFonts w:ascii="宋体" w:hAnsi="宋体"/>
          <w:szCs w:val="21"/>
        </w:rPr>
      </w:pPr>
      <w:r>
        <w:rPr>
          <w:rFonts w:hint="eastAsia" w:ascii="宋体" w:hAnsi="宋体"/>
          <w:szCs w:val="21"/>
        </w:rPr>
        <w:t>4.2磋商响应文件的大写金额和小写金额不一致的，以大写金额为准；</w:t>
      </w:r>
    </w:p>
    <w:p>
      <w:pPr>
        <w:tabs>
          <w:tab w:val="left" w:pos="720"/>
        </w:tabs>
        <w:spacing w:line="360" w:lineRule="auto"/>
        <w:ind w:firstLine="539" w:firstLineChars="257"/>
        <w:rPr>
          <w:rFonts w:ascii="宋体" w:hAnsi="宋体"/>
          <w:szCs w:val="21"/>
        </w:rPr>
      </w:pPr>
      <w:r>
        <w:rPr>
          <w:rFonts w:hint="eastAsia" w:ascii="宋体" w:hAnsi="宋体"/>
          <w:szCs w:val="21"/>
        </w:rPr>
        <w:t>4.3总价金额与按单价汇总金额不一致的，以单价金额计算结果为准;</w:t>
      </w:r>
    </w:p>
    <w:p>
      <w:pPr>
        <w:tabs>
          <w:tab w:val="left" w:pos="720"/>
        </w:tabs>
        <w:spacing w:line="360" w:lineRule="auto"/>
        <w:ind w:firstLine="539" w:firstLineChars="257"/>
        <w:rPr>
          <w:rFonts w:ascii="宋体" w:hAnsi="宋体"/>
          <w:szCs w:val="21"/>
        </w:rPr>
      </w:pPr>
      <w:r>
        <w:rPr>
          <w:rFonts w:hint="eastAsia" w:ascii="宋体" w:hAnsi="宋体"/>
          <w:szCs w:val="21"/>
        </w:rPr>
        <w:t>4.4单价金额小数点有明显错位的，应以总价为准，并修改单价；</w:t>
      </w:r>
    </w:p>
    <w:p>
      <w:pPr>
        <w:tabs>
          <w:tab w:val="left" w:pos="720"/>
        </w:tabs>
        <w:spacing w:line="360" w:lineRule="auto"/>
        <w:ind w:firstLine="539" w:firstLineChars="257"/>
        <w:rPr>
          <w:rFonts w:ascii="宋体" w:hAnsi="宋体"/>
          <w:szCs w:val="21"/>
        </w:rPr>
      </w:pPr>
      <w:r>
        <w:rPr>
          <w:rFonts w:hint="eastAsia" w:ascii="宋体" w:hAnsi="宋体"/>
          <w:szCs w:val="21"/>
        </w:rPr>
        <w:t>4.5对不同文字文本磋商响应文件的解释发生异议的，以中文文本为准。</w:t>
      </w:r>
    </w:p>
    <w:p>
      <w:pPr>
        <w:tabs>
          <w:tab w:val="left" w:pos="720"/>
        </w:tabs>
        <w:spacing w:line="360" w:lineRule="auto"/>
        <w:ind w:firstLine="539" w:firstLineChars="257"/>
        <w:rPr>
          <w:rFonts w:ascii="宋体" w:hAnsi="宋体"/>
          <w:szCs w:val="21"/>
        </w:rPr>
      </w:pPr>
      <w:r>
        <w:rPr>
          <w:rFonts w:hint="eastAsia" w:ascii="宋体" w:hAnsi="宋体"/>
          <w:szCs w:val="21"/>
        </w:rPr>
        <w:t>5、</w:t>
      </w:r>
      <w:r>
        <w:rPr>
          <w:rFonts w:hint="eastAsia" w:ascii="宋体" w:hAnsi="宋体"/>
          <w:bCs/>
          <w:szCs w:val="21"/>
        </w:rPr>
        <w:t>磋商小组所有成员将遵循“公开、公平、公正”的原则，采用相同的程序和标准，所有成员按顺序与单一供应商分别进行单独封闭式磋商。磋商内容包括服务价格、服务质量水平和保障措施、服务期限、服务方案、履约能力、付款方式等方面进行磋商和综合分析考评，以确定是否满足采购要求。在磋商过程中，磋商的任何一方都不得透露与磋商有关的其他供应商的技术资料、价格和其他信息。磋商供应商在磋商过程中</w:t>
      </w:r>
      <w:r>
        <w:rPr>
          <w:rFonts w:hint="eastAsia" w:ascii="宋体" w:hAnsi="宋体"/>
          <w:szCs w:val="21"/>
        </w:rPr>
        <w:t>应当当场作出答复的同时，须对磋商中所涉及的澄清、修改、承诺等补充资料等在规定的时间内以书面文件形式提交至磋商小组，其书面文件必须由</w:t>
      </w:r>
      <w:r>
        <w:rPr>
          <w:rFonts w:hint="eastAsia" w:ascii="宋体" w:hAnsi="宋体"/>
          <w:szCs w:val="21"/>
          <w:lang w:val="zh-CN"/>
        </w:rPr>
        <w:t>供应商</w:t>
      </w:r>
      <w:r>
        <w:rPr>
          <w:rFonts w:hint="eastAsia" w:ascii="宋体" w:hAnsi="宋体"/>
          <w:szCs w:val="21"/>
        </w:rPr>
        <w:t>的法定代表人或其授权代理人签字（或签章），作为磋商响应文件的补充。如该</w:t>
      </w:r>
      <w:r>
        <w:rPr>
          <w:rFonts w:hint="eastAsia" w:ascii="宋体" w:hAnsi="宋体"/>
          <w:szCs w:val="21"/>
          <w:lang w:val="zh-CN"/>
        </w:rPr>
        <w:t>供应商</w:t>
      </w:r>
      <w:r>
        <w:rPr>
          <w:rFonts w:hint="eastAsia" w:ascii="宋体" w:hAnsi="宋体"/>
          <w:szCs w:val="21"/>
        </w:rPr>
        <w:t>成为成交供应商，则该</w:t>
      </w:r>
      <w:r>
        <w:rPr>
          <w:rFonts w:hint="eastAsia" w:ascii="宋体" w:hAnsi="宋体"/>
          <w:szCs w:val="21"/>
          <w:lang w:val="zh-CN"/>
        </w:rPr>
        <w:t>供应商</w:t>
      </w:r>
      <w:r>
        <w:rPr>
          <w:rFonts w:hint="eastAsia" w:ascii="宋体" w:hAnsi="宋体"/>
          <w:szCs w:val="21"/>
        </w:rPr>
        <w:t>的磋商响应文件（含所有补充资料）将作为合同的组成部分。</w:t>
      </w:r>
      <w:r>
        <w:rPr>
          <w:rFonts w:hint="eastAsia" w:ascii="宋体" w:hAnsi="宋体"/>
          <w:bCs/>
          <w:szCs w:val="21"/>
        </w:rPr>
        <w:t>磋商轮次为2轮。</w:t>
      </w:r>
    </w:p>
    <w:p>
      <w:pPr>
        <w:tabs>
          <w:tab w:val="left" w:pos="720"/>
        </w:tabs>
        <w:spacing w:line="360" w:lineRule="auto"/>
        <w:ind w:firstLine="539" w:firstLineChars="257"/>
        <w:rPr>
          <w:rFonts w:ascii="宋体" w:hAnsi="宋体"/>
          <w:szCs w:val="21"/>
        </w:rPr>
      </w:pPr>
      <w:r>
        <w:rPr>
          <w:rFonts w:hint="eastAsia" w:ascii="宋体" w:hAnsi="宋体"/>
          <w:szCs w:val="21"/>
        </w:rPr>
        <w:t>6、</w:t>
      </w:r>
      <w:r>
        <w:rPr>
          <w:rFonts w:hint="eastAsia" w:ascii="宋体" w:hAnsi="宋体"/>
          <w:bCs/>
          <w:szCs w:val="21"/>
        </w:rPr>
        <w:t>磋商结束后，磋商小组将要求所有实质上响应的磋商供应商在规定的时间内，以书面形式统一进行最后报价，</w:t>
      </w:r>
      <w:r>
        <w:rPr>
          <w:rFonts w:hint="eastAsia" w:ascii="宋体" w:hAnsi="宋体"/>
          <w:szCs w:val="21"/>
        </w:rPr>
        <w:t>原则上最终报价不能更改。超过规定时间提交的报价应当作为无效处理。</w:t>
      </w:r>
      <w:r>
        <w:rPr>
          <w:rFonts w:hint="eastAsia" w:ascii="宋体" w:hAnsi="宋体"/>
          <w:b/>
          <w:szCs w:val="21"/>
        </w:rPr>
        <w:t>在磋商内容不变的情况下，最终报价不能高于前轮报价和预算价，高出的报价将作为无效标处理。</w:t>
      </w:r>
    </w:p>
    <w:p>
      <w:pPr>
        <w:tabs>
          <w:tab w:val="left" w:pos="720"/>
        </w:tabs>
        <w:spacing w:line="360" w:lineRule="auto"/>
        <w:ind w:firstLine="539" w:firstLineChars="257"/>
        <w:rPr>
          <w:rFonts w:ascii="宋体" w:hAnsi="宋体"/>
          <w:szCs w:val="21"/>
        </w:rPr>
      </w:pPr>
      <w:r>
        <w:rPr>
          <w:rFonts w:hint="eastAsia" w:ascii="宋体" w:hAnsi="宋体"/>
          <w:szCs w:val="21"/>
        </w:rPr>
        <w:t>7、确定成交供应商</w:t>
      </w:r>
    </w:p>
    <w:p>
      <w:pPr>
        <w:tabs>
          <w:tab w:val="left" w:pos="720"/>
        </w:tabs>
        <w:spacing w:line="360" w:lineRule="auto"/>
        <w:ind w:firstLine="539" w:firstLineChars="257"/>
        <w:rPr>
          <w:rFonts w:ascii="宋体" w:hAnsi="宋体"/>
          <w:szCs w:val="21"/>
        </w:rPr>
      </w:pPr>
      <w:r>
        <w:rPr>
          <w:rFonts w:hint="eastAsia" w:ascii="宋体" w:hAnsi="宋体"/>
          <w:szCs w:val="21"/>
        </w:rPr>
        <w:t>7.1  在全部满足磋商文件实质性要求的前提下，按综合得分高低确定成交供应商。</w:t>
      </w:r>
    </w:p>
    <w:p>
      <w:pPr>
        <w:tabs>
          <w:tab w:val="left" w:pos="720"/>
        </w:tabs>
        <w:spacing w:line="360" w:lineRule="auto"/>
        <w:ind w:firstLine="539" w:firstLineChars="257"/>
        <w:rPr>
          <w:rFonts w:ascii="宋体" w:hAnsi="宋体"/>
          <w:szCs w:val="21"/>
        </w:rPr>
      </w:pPr>
      <w:r>
        <w:rPr>
          <w:rFonts w:hint="eastAsia" w:ascii="宋体" w:hAnsi="宋体"/>
          <w:szCs w:val="21"/>
        </w:rPr>
        <w:t>7.2采购代理机构应当在磋商结束后二个工作日内将磋商评审报告送采购人确认。</w:t>
      </w:r>
    </w:p>
    <w:p>
      <w:pPr>
        <w:tabs>
          <w:tab w:val="left" w:pos="720"/>
        </w:tabs>
        <w:spacing w:line="360" w:lineRule="auto"/>
        <w:ind w:firstLine="539" w:firstLineChars="257"/>
        <w:rPr>
          <w:rFonts w:ascii="宋体" w:hAnsi="宋体"/>
          <w:szCs w:val="21"/>
        </w:rPr>
      </w:pPr>
      <w:r>
        <w:rPr>
          <w:rFonts w:hint="eastAsia" w:ascii="宋体" w:hAnsi="宋体"/>
          <w:szCs w:val="21"/>
        </w:rPr>
        <w:t>7.3采购人应当在收到磋商评审报告后五个工作日内，按照磋商评审报告中推荐的排列顺序依法确定成交供应商。</w:t>
      </w:r>
    </w:p>
    <w:p>
      <w:pPr>
        <w:tabs>
          <w:tab w:val="left" w:pos="720"/>
        </w:tabs>
        <w:spacing w:line="360" w:lineRule="auto"/>
        <w:ind w:firstLine="539" w:firstLineChars="257"/>
        <w:rPr>
          <w:rFonts w:ascii="宋体" w:hAnsi="宋体"/>
          <w:szCs w:val="21"/>
        </w:rPr>
      </w:pPr>
      <w:r>
        <w:rPr>
          <w:rFonts w:hint="eastAsia" w:ascii="宋体" w:hAnsi="宋体"/>
          <w:szCs w:val="21"/>
        </w:rPr>
        <w:t>7.4替补候选人的设定与使用：第一中标候选人放弃中标或者因不可抗力提出不能履行合同，采购人可以确定第二中标候选人为中标人，排名第二的中标候选人因前款同样的原因不能签订合同，采购人可以确定排名第三的中标候选人为中标人。</w:t>
      </w:r>
    </w:p>
    <w:p>
      <w:pPr>
        <w:tabs>
          <w:tab w:val="left" w:pos="720"/>
        </w:tabs>
        <w:spacing w:line="360" w:lineRule="auto"/>
        <w:ind w:firstLine="539" w:firstLineChars="257"/>
        <w:rPr>
          <w:rFonts w:ascii="宋体" w:hAnsi="宋体"/>
          <w:szCs w:val="21"/>
        </w:rPr>
      </w:pPr>
      <w:r>
        <w:rPr>
          <w:rFonts w:hint="eastAsia" w:ascii="宋体" w:hAnsi="宋体"/>
          <w:szCs w:val="21"/>
        </w:rPr>
        <w:t>8、成交公告</w:t>
      </w:r>
    </w:p>
    <w:p>
      <w:pPr>
        <w:tabs>
          <w:tab w:val="left" w:pos="720"/>
        </w:tabs>
        <w:spacing w:line="360" w:lineRule="auto"/>
        <w:ind w:firstLine="539" w:firstLineChars="257"/>
        <w:rPr>
          <w:rFonts w:ascii="宋体" w:hAnsi="宋体"/>
          <w:szCs w:val="21"/>
        </w:rPr>
      </w:pPr>
      <w:r>
        <w:rPr>
          <w:rFonts w:hint="eastAsia" w:ascii="宋体" w:hAnsi="宋体"/>
          <w:szCs w:val="21"/>
        </w:rPr>
        <w:t>招标代理机构应当在收到采购人书面确定的成交供应商通知后将成交结果在原发布磋商公告的媒体上予以公告。公告期按有关规定执行。</w:t>
      </w:r>
    </w:p>
    <w:p>
      <w:pPr>
        <w:tabs>
          <w:tab w:val="left" w:pos="720"/>
        </w:tabs>
        <w:spacing w:line="360" w:lineRule="auto"/>
        <w:ind w:firstLine="539" w:firstLineChars="257"/>
        <w:rPr>
          <w:rFonts w:ascii="宋体" w:hAnsi="宋体"/>
          <w:szCs w:val="21"/>
        </w:rPr>
      </w:pPr>
      <w:r>
        <w:rPr>
          <w:rFonts w:hint="eastAsia" w:ascii="宋体" w:hAnsi="宋体"/>
          <w:szCs w:val="21"/>
        </w:rPr>
        <w:t>9、成交通知</w:t>
      </w:r>
    </w:p>
    <w:p>
      <w:pPr>
        <w:tabs>
          <w:tab w:val="left" w:pos="720"/>
        </w:tabs>
        <w:spacing w:line="360" w:lineRule="auto"/>
        <w:ind w:firstLine="539" w:firstLineChars="257"/>
        <w:rPr>
          <w:rFonts w:ascii="宋体" w:hAnsi="宋体"/>
          <w:szCs w:val="21"/>
        </w:rPr>
      </w:pPr>
      <w:r>
        <w:rPr>
          <w:rFonts w:hint="eastAsia" w:ascii="宋体" w:hAnsi="宋体"/>
          <w:szCs w:val="21"/>
        </w:rPr>
        <w:t>9.1在成交公示期满后，由采购人向成交人发出成交通知书并同时通知落标人；</w:t>
      </w:r>
    </w:p>
    <w:p>
      <w:pPr>
        <w:tabs>
          <w:tab w:val="left" w:pos="720"/>
        </w:tabs>
        <w:spacing w:line="360" w:lineRule="auto"/>
        <w:ind w:firstLine="539" w:firstLineChars="257"/>
        <w:rPr>
          <w:rFonts w:ascii="宋体" w:hAnsi="宋体"/>
          <w:szCs w:val="21"/>
        </w:rPr>
      </w:pPr>
      <w:r>
        <w:rPr>
          <w:rFonts w:hint="eastAsia" w:ascii="宋体" w:hAnsi="宋体"/>
          <w:szCs w:val="21"/>
        </w:rPr>
        <w:t>9.2成交通知书为双方签订合同的依据；</w:t>
      </w:r>
    </w:p>
    <w:p>
      <w:pPr>
        <w:tabs>
          <w:tab w:val="left" w:pos="720"/>
        </w:tabs>
        <w:spacing w:line="360" w:lineRule="auto"/>
        <w:ind w:firstLine="539" w:firstLineChars="257"/>
        <w:rPr>
          <w:rFonts w:ascii="宋体" w:hAnsi="宋体"/>
          <w:szCs w:val="21"/>
        </w:rPr>
      </w:pPr>
      <w:r>
        <w:rPr>
          <w:rFonts w:hint="eastAsia" w:ascii="宋体" w:hAnsi="宋体"/>
          <w:szCs w:val="21"/>
        </w:rPr>
        <w:t>9.3成交供应商应根据成交通知书中规定的时间内，由法定代表人或其授权代理人与采购人签订合同。</w:t>
      </w:r>
    </w:p>
    <w:p>
      <w:pPr>
        <w:tabs>
          <w:tab w:val="left" w:pos="720"/>
        </w:tabs>
        <w:spacing w:line="360" w:lineRule="auto"/>
        <w:ind w:firstLine="539" w:firstLineChars="257"/>
        <w:rPr>
          <w:rFonts w:ascii="宋体" w:hAnsi="宋体"/>
          <w:szCs w:val="21"/>
        </w:rPr>
      </w:pPr>
      <w:r>
        <w:rPr>
          <w:rFonts w:hint="eastAsia" w:ascii="宋体" w:hAnsi="宋体"/>
          <w:szCs w:val="21"/>
        </w:rPr>
        <w:t>10、废标</w:t>
      </w:r>
    </w:p>
    <w:p>
      <w:pPr>
        <w:tabs>
          <w:tab w:val="left" w:pos="720"/>
        </w:tabs>
        <w:spacing w:line="360" w:lineRule="auto"/>
        <w:ind w:firstLine="539" w:firstLineChars="257"/>
        <w:rPr>
          <w:rFonts w:ascii="宋体" w:hAnsi="宋体"/>
          <w:szCs w:val="21"/>
        </w:rPr>
      </w:pPr>
      <w:r>
        <w:rPr>
          <w:rFonts w:hint="eastAsia" w:ascii="宋体" w:hAnsi="宋体"/>
          <w:szCs w:val="21"/>
        </w:rPr>
        <w:t>在磋商中，出现下列情形之一的，应予废标：</w:t>
      </w:r>
    </w:p>
    <w:p>
      <w:pPr>
        <w:tabs>
          <w:tab w:val="left" w:pos="720"/>
        </w:tabs>
        <w:spacing w:line="360" w:lineRule="auto"/>
        <w:ind w:firstLine="539" w:firstLineChars="257"/>
        <w:rPr>
          <w:rFonts w:ascii="宋体" w:hAnsi="宋体"/>
          <w:szCs w:val="21"/>
        </w:rPr>
      </w:pPr>
      <w:r>
        <w:rPr>
          <w:rFonts w:hint="eastAsia" w:ascii="宋体" w:hAnsi="宋体"/>
          <w:szCs w:val="21"/>
        </w:rPr>
        <w:t>10.1出现影响采购公正的违法、违规行为的；</w:t>
      </w:r>
    </w:p>
    <w:p>
      <w:pPr>
        <w:tabs>
          <w:tab w:val="left" w:pos="720"/>
        </w:tabs>
        <w:spacing w:line="360" w:lineRule="auto"/>
        <w:ind w:firstLine="539" w:firstLineChars="257"/>
        <w:rPr>
          <w:rFonts w:ascii="宋体" w:hAnsi="宋体"/>
          <w:szCs w:val="21"/>
        </w:rPr>
      </w:pPr>
      <w:r>
        <w:rPr>
          <w:rFonts w:hint="eastAsia" w:ascii="宋体" w:hAnsi="宋体"/>
          <w:szCs w:val="21"/>
        </w:rPr>
        <w:t>10.2因重大变故，采购任务取消的;</w:t>
      </w:r>
    </w:p>
    <w:p>
      <w:pPr>
        <w:tabs>
          <w:tab w:val="left" w:pos="720"/>
        </w:tabs>
        <w:spacing w:line="360" w:lineRule="auto"/>
        <w:ind w:firstLine="539" w:firstLineChars="257"/>
        <w:rPr>
          <w:rFonts w:ascii="宋体" w:hAnsi="宋体"/>
          <w:szCs w:val="21"/>
        </w:rPr>
      </w:pPr>
      <w:r>
        <w:rPr>
          <w:rFonts w:hint="eastAsia" w:ascii="宋体" w:hAnsi="宋体"/>
          <w:szCs w:val="21"/>
        </w:rPr>
        <w:t>10.3</w:t>
      </w:r>
      <w:r>
        <w:rPr>
          <w:rFonts w:hint="eastAsia" w:ascii="宋体" w:hAnsi="宋体"/>
          <w:szCs w:val="21"/>
          <w:lang w:val="zh-CN"/>
        </w:rPr>
        <w:t>供应商</w:t>
      </w:r>
      <w:r>
        <w:rPr>
          <w:rFonts w:hint="eastAsia" w:ascii="宋体" w:hAnsi="宋体"/>
          <w:szCs w:val="21"/>
        </w:rPr>
        <w:t>的报价均超采购预算的，采购人不能支付的;</w:t>
      </w:r>
    </w:p>
    <w:p>
      <w:pPr>
        <w:tabs>
          <w:tab w:val="left" w:pos="720"/>
        </w:tabs>
        <w:spacing w:line="360" w:lineRule="auto"/>
        <w:ind w:firstLine="539" w:firstLineChars="257"/>
        <w:rPr>
          <w:rFonts w:ascii="宋体" w:hAnsi="宋体"/>
          <w:szCs w:val="21"/>
        </w:rPr>
      </w:pPr>
      <w:r>
        <w:rPr>
          <w:rFonts w:hint="eastAsia" w:ascii="宋体" w:hAnsi="宋体"/>
          <w:szCs w:val="21"/>
        </w:rPr>
        <w:t>10.4法律、法规、规章等规定的其他情形除外。</w:t>
      </w:r>
    </w:p>
    <w:p>
      <w:pPr>
        <w:tabs>
          <w:tab w:val="left" w:pos="720"/>
        </w:tabs>
        <w:spacing w:line="360" w:lineRule="auto"/>
        <w:ind w:firstLine="539" w:firstLineChars="257"/>
        <w:rPr>
          <w:rFonts w:ascii="宋体" w:hAnsi="宋体"/>
          <w:szCs w:val="21"/>
        </w:rPr>
      </w:pPr>
      <w:r>
        <w:rPr>
          <w:rFonts w:hint="eastAsia" w:ascii="宋体" w:hAnsi="宋体"/>
          <w:szCs w:val="21"/>
        </w:rPr>
        <w:t>废标后，招标采购单位将废标理由通知所有</w:t>
      </w:r>
      <w:r>
        <w:rPr>
          <w:rFonts w:hint="eastAsia" w:ascii="宋体" w:hAnsi="宋体"/>
          <w:szCs w:val="21"/>
          <w:lang w:val="zh-CN"/>
        </w:rPr>
        <w:t>供应商</w:t>
      </w:r>
      <w:r>
        <w:rPr>
          <w:rFonts w:hint="eastAsia" w:ascii="宋体" w:hAnsi="宋体"/>
          <w:szCs w:val="21"/>
        </w:rPr>
        <w:t>。</w:t>
      </w:r>
    </w:p>
    <w:p>
      <w:pPr>
        <w:tabs>
          <w:tab w:val="left" w:pos="720"/>
        </w:tabs>
        <w:spacing w:line="360" w:lineRule="auto"/>
        <w:ind w:firstLine="539" w:firstLineChars="257"/>
        <w:rPr>
          <w:rFonts w:ascii="宋体" w:hAnsi="宋体"/>
          <w:szCs w:val="21"/>
        </w:rPr>
      </w:pPr>
      <w:r>
        <w:rPr>
          <w:rFonts w:hint="eastAsia" w:ascii="宋体" w:hAnsi="宋体"/>
          <w:szCs w:val="21"/>
        </w:rPr>
        <w:t>本磋商规则及程序只适用于“长兴县太湖高级中学综合管理平台系统采购项目磋商文件”。</w:t>
      </w:r>
    </w:p>
    <w:p>
      <w:pPr>
        <w:spacing w:line="360" w:lineRule="auto"/>
        <w:rPr>
          <w:rFonts w:ascii="宋体" w:hAnsi="宋体"/>
          <w:b/>
          <w:bCs/>
          <w:szCs w:val="21"/>
        </w:rPr>
      </w:pPr>
      <w:bookmarkStart w:id="47" w:name="_Toc410379357"/>
      <w:r>
        <w:rPr>
          <w:rFonts w:hint="eastAsia" w:ascii="宋体" w:hAnsi="宋体"/>
          <w:b/>
          <w:bCs/>
          <w:szCs w:val="21"/>
        </w:rPr>
        <w:t>（六）授予合同</w:t>
      </w:r>
      <w:bookmarkEnd w:id="47"/>
    </w:p>
    <w:p>
      <w:pPr>
        <w:tabs>
          <w:tab w:val="left" w:pos="720"/>
        </w:tabs>
        <w:spacing w:line="360" w:lineRule="auto"/>
        <w:ind w:firstLine="539" w:firstLineChars="257"/>
        <w:rPr>
          <w:rFonts w:ascii="宋体" w:hAnsi="宋体"/>
          <w:szCs w:val="21"/>
        </w:rPr>
      </w:pPr>
      <w:r>
        <w:rPr>
          <w:rFonts w:hint="eastAsia" w:ascii="宋体" w:hAnsi="宋体"/>
          <w:szCs w:val="21"/>
        </w:rPr>
        <w:t>1、 授予合同的依据</w:t>
      </w:r>
    </w:p>
    <w:p>
      <w:pPr>
        <w:tabs>
          <w:tab w:val="left" w:pos="720"/>
        </w:tabs>
        <w:spacing w:line="360" w:lineRule="auto"/>
        <w:ind w:firstLine="539" w:firstLineChars="257"/>
        <w:rPr>
          <w:rFonts w:ascii="宋体" w:hAnsi="宋体"/>
          <w:szCs w:val="21"/>
        </w:rPr>
      </w:pPr>
      <w:r>
        <w:rPr>
          <w:rFonts w:hint="eastAsia" w:ascii="宋体" w:hAnsi="宋体"/>
          <w:szCs w:val="21"/>
        </w:rPr>
        <w:t>1.1  招标采购单位签发的成交通知书；</w:t>
      </w:r>
    </w:p>
    <w:p>
      <w:pPr>
        <w:tabs>
          <w:tab w:val="left" w:pos="720"/>
        </w:tabs>
        <w:spacing w:line="360" w:lineRule="auto"/>
        <w:ind w:firstLine="539" w:firstLineChars="257"/>
        <w:rPr>
          <w:rFonts w:ascii="宋体" w:hAnsi="宋体"/>
          <w:szCs w:val="21"/>
        </w:rPr>
      </w:pPr>
      <w:r>
        <w:rPr>
          <w:rFonts w:hint="eastAsia" w:ascii="宋体" w:hAnsi="宋体"/>
          <w:szCs w:val="21"/>
        </w:rPr>
        <w:t>1.2  磋商文件、磋商文件的修改及补充通知（函）；</w:t>
      </w:r>
    </w:p>
    <w:p>
      <w:pPr>
        <w:tabs>
          <w:tab w:val="left" w:pos="720"/>
        </w:tabs>
        <w:spacing w:line="360" w:lineRule="auto"/>
        <w:ind w:firstLine="539" w:firstLineChars="257"/>
        <w:rPr>
          <w:rFonts w:ascii="宋体" w:hAnsi="宋体"/>
          <w:szCs w:val="21"/>
        </w:rPr>
      </w:pPr>
      <w:r>
        <w:rPr>
          <w:rFonts w:hint="eastAsia" w:ascii="宋体" w:hAnsi="宋体"/>
          <w:szCs w:val="21"/>
        </w:rPr>
        <w:t>1.3  磋商文件和磋商时</w:t>
      </w:r>
      <w:r>
        <w:rPr>
          <w:rFonts w:hint="eastAsia" w:ascii="宋体" w:hAnsi="宋体"/>
          <w:szCs w:val="21"/>
          <w:lang w:val="zh-CN"/>
        </w:rPr>
        <w:t>供应商</w:t>
      </w:r>
      <w:r>
        <w:rPr>
          <w:rFonts w:hint="eastAsia" w:ascii="宋体" w:hAnsi="宋体"/>
          <w:szCs w:val="21"/>
        </w:rPr>
        <w:t>作出的书面澄清、说明、纠正、承诺等；</w:t>
      </w:r>
    </w:p>
    <w:p>
      <w:pPr>
        <w:tabs>
          <w:tab w:val="left" w:pos="720"/>
        </w:tabs>
        <w:spacing w:line="360" w:lineRule="auto"/>
        <w:ind w:firstLine="539" w:firstLineChars="257"/>
        <w:rPr>
          <w:rFonts w:ascii="宋体" w:hAnsi="宋体"/>
          <w:szCs w:val="21"/>
        </w:rPr>
      </w:pPr>
      <w:r>
        <w:rPr>
          <w:rFonts w:hint="eastAsia" w:ascii="宋体" w:hAnsi="宋体"/>
          <w:szCs w:val="21"/>
        </w:rPr>
        <w:t>2、合同签订</w:t>
      </w:r>
    </w:p>
    <w:p>
      <w:pPr>
        <w:tabs>
          <w:tab w:val="left" w:pos="720"/>
        </w:tabs>
        <w:spacing w:line="360" w:lineRule="auto"/>
        <w:ind w:firstLine="539" w:firstLineChars="257"/>
        <w:rPr>
          <w:rFonts w:ascii="宋体" w:hAnsi="宋体"/>
          <w:szCs w:val="21"/>
        </w:rPr>
      </w:pPr>
      <w:r>
        <w:rPr>
          <w:rFonts w:hint="eastAsia" w:ascii="宋体" w:hAnsi="宋体"/>
          <w:szCs w:val="21"/>
        </w:rPr>
        <w:t>2.1  成交供应商与采购人应按成交通知书中规定的时间、地点签订合同，否则应承担相应的法律责任。</w:t>
      </w:r>
    </w:p>
    <w:p>
      <w:pPr>
        <w:tabs>
          <w:tab w:val="left" w:pos="720"/>
        </w:tabs>
        <w:spacing w:line="360" w:lineRule="auto"/>
        <w:ind w:firstLine="539" w:firstLineChars="257"/>
        <w:rPr>
          <w:rFonts w:ascii="宋体" w:hAnsi="宋体"/>
          <w:szCs w:val="21"/>
        </w:rPr>
      </w:pPr>
      <w:r>
        <w:rPr>
          <w:rFonts w:hint="eastAsia" w:ascii="宋体" w:hAnsi="宋体"/>
          <w:szCs w:val="21"/>
        </w:rPr>
        <w:t>2.2  磋商文件、成交供应商的磋商响应文件及磋商过程中有关澄清文件和承诺均为合同附件。</w:t>
      </w:r>
    </w:p>
    <w:p>
      <w:pPr>
        <w:tabs>
          <w:tab w:val="left" w:pos="720"/>
        </w:tabs>
        <w:spacing w:line="360" w:lineRule="auto"/>
        <w:ind w:firstLine="539" w:firstLineChars="257"/>
        <w:rPr>
          <w:rFonts w:ascii="宋体" w:hAnsi="宋体"/>
          <w:szCs w:val="21"/>
        </w:rPr>
      </w:pPr>
      <w:r>
        <w:rPr>
          <w:rFonts w:hint="eastAsia" w:ascii="宋体" w:hAnsi="宋体"/>
          <w:szCs w:val="21"/>
        </w:rPr>
        <w:t>2</w:t>
      </w:r>
      <w:r>
        <w:rPr>
          <w:rFonts w:ascii="宋体" w:hAnsi="宋体"/>
          <w:szCs w:val="21"/>
        </w:rPr>
        <w:t>.</w:t>
      </w:r>
      <w:r>
        <w:rPr>
          <w:rFonts w:hint="eastAsia" w:ascii="宋体" w:hAnsi="宋体"/>
          <w:szCs w:val="21"/>
        </w:rPr>
        <w:t>3采购人与成交供应商将根据《中华人民共和国合同法》的规定，依据磋商文件和成交供应商的磋商响应文件签订书面合同。</w:t>
      </w:r>
    </w:p>
    <w:p>
      <w:pPr>
        <w:tabs>
          <w:tab w:val="left" w:pos="720"/>
        </w:tabs>
        <w:spacing w:line="360" w:lineRule="auto"/>
        <w:ind w:firstLine="539" w:firstLineChars="257"/>
        <w:rPr>
          <w:rFonts w:ascii="宋体" w:hAnsi="宋体"/>
          <w:szCs w:val="21"/>
        </w:rPr>
      </w:pPr>
      <w:r>
        <w:rPr>
          <w:rFonts w:hint="eastAsia" w:ascii="宋体" w:hAnsi="宋体"/>
          <w:szCs w:val="21"/>
        </w:rPr>
        <w:t>2</w:t>
      </w:r>
      <w:r>
        <w:rPr>
          <w:rFonts w:ascii="宋体" w:hAnsi="宋体"/>
          <w:szCs w:val="21"/>
        </w:rPr>
        <w:t>.</w:t>
      </w:r>
      <w:r>
        <w:rPr>
          <w:rFonts w:hint="eastAsia" w:ascii="宋体" w:hAnsi="宋体"/>
          <w:szCs w:val="21"/>
        </w:rPr>
        <w:t>4采购人</w:t>
      </w:r>
      <w:r>
        <w:rPr>
          <w:rFonts w:ascii="宋体" w:hAnsi="宋体"/>
          <w:szCs w:val="21"/>
        </w:rPr>
        <w:t>如不与</w:t>
      </w:r>
      <w:r>
        <w:rPr>
          <w:rFonts w:hint="eastAsia" w:ascii="宋体" w:hAnsi="宋体"/>
          <w:szCs w:val="21"/>
        </w:rPr>
        <w:t>成交</w:t>
      </w:r>
      <w:r>
        <w:rPr>
          <w:rFonts w:ascii="宋体" w:hAnsi="宋体"/>
          <w:szCs w:val="21"/>
        </w:rPr>
        <w:t>供应商订立合同，或者</w:t>
      </w:r>
      <w:r>
        <w:rPr>
          <w:rFonts w:hint="eastAsia" w:ascii="宋体" w:hAnsi="宋体"/>
          <w:szCs w:val="21"/>
        </w:rPr>
        <w:t>采购</w:t>
      </w:r>
      <w:r>
        <w:rPr>
          <w:rFonts w:ascii="宋体" w:hAnsi="宋体"/>
          <w:szCs w:val="21"/>
        </w:rPr>
        <w:t>人、</w:t>
      </w:r>
      <w:r>
        <w:rPr>
          <w:rFonts w:hint="eastAsia" w:ascii="宋体" w:hAnsi="宋体"/>
          <w:szCs w:val="21"/>
        </w:rPr>
        <w:t>成交</w:t>
      </w:r>
      <w:r>
        <w:rPr>
          <w:rFonts w:ascii="宋体" w:hAnsi="宋体"/>
          <w:szCs w:val="21"/>
        </w:rPr>
        <w:t>供应商订立背离合同实质性内容的协议，</w:t>
      </w:r>
      <w:r>
        <w:rPr>
          <w:rFonts w:hint="eastAsia" w:ascii="宋体" w:hAnsi="宋体"/>
          <w:szCs w:val="21"/>
        </w:rPr>
        <w:t>由政府有关部门责令改正，</w:t>
      </w:r>
      <w:r>
        <w:rPr>
          <w:rFonts w:ascii="宋体" w:hAnsi="宋体"/>
          <w:szCs w:val="21"/>
        </w:rPr>
        <w:t>同时依法承担相应法律责任</w:t>
      </w:r>
      <w:r>
        <w:rPr>
          <w:rFonts w:hint="eastAsia" w:ascii="宋体" w:hAnsi="宋体"/>
          <w:szCs w:val="21"/>
        </w:rPr>
        <w:t>；</w:t>
      </w:r>
    </w:p>
    <w:p>
      <w:pPr>
        <w:tabs>
          <w:tab w:val="left" w:pos="720"/>
        </w:tabs>
        <w:spacing w:line="360" w:lineRule="auto"/>
        <w:ind w:firstLine="539" w:firstLineChars="257"/>
        <w:rPr>
          <w:rFonts w:ascii="宋体" w:hAnsi="宋体"/>
          <w:szCs w:val="21"/>
        </w:rPr>
      </w:pPr>
      <w:r>
        <w:rPr>
          <w:rFonts w:hint="eastAsia" w:ascii="宋体" w:hAnsi="宋体"/>
          <w:szCs w:val="21"/>
        </w:rPr>
        <w:t>2</w:t>
      </w:r>
      <w:r>
        <w:rPr>
          <w:rFonts w:ascii="宋体" w:hAnsi="宋体"/>
          <w:szCs w:val="21"/>
        </w:rPr>
        <w:t>.</w:t>
      </w:r>
      <w:r>
        <w:rPr>
          <w:rFonts w:hint="eastAsia" w:ascii="宋体" w:hAnsi="宋体"/>
          <w:szCs w:val="21"/>
        </w:rPr>
        <w:t>5成交</w:t>
      </w:r>
      <w:r>
        <w:rPr>
          <w:rFonts w:ascii="宋体" w:hAnsi="宋体"/>
          <w:szCs w:val="21"/>
        </w:rPr>
        <w:t>供应商如不按规定与</w:t>
      </w:r>
      <w:r>
        <w:rPr>
          <w:rFonts w:hint="eastAsia" w:ascii="宋体" w:hAnsi="宋体"/>
          <w:szCs w:val="21"/>
        </w:rPr>
        <w:t>采购</w:t>
      </w:r>
      <w:r>
        <w:rPr>
          <w:rFonts w:ascii="宋体" w:hAnsi="宋体"/>
          <w:szCs w:val="21"/>
        </w:rPr>
        <w:t>人订立合同，则</w:t>
      </w:r>
      <w:r>
        <w:rPr>
          <w:rFonts w:hint="eastAsia" w:ascii="宋体" w:hAnsi="宋体"/>
          <w:szCs w:val="21"/>
        </w:rPr>
        <w:t>招标采购单位</w:t>
      </w:r>
      <w:r>
        <w:rPr>
          <w:rFonts w:ascii="宋体" w:hAnsi="宋体"/>
          <w:szCs w:val="21"/>
        </w:rPr>
        <w:t>将废除授标，</w:t>
      </w:r>
      <w:r>
        <w:rPr>
          <w:rFonts w:hint="eastAsia" w:ascii="宋体" w:hAnsi="宋体"/>
          <w:szCs w:val="21"/>
        </w:rPr>
        <w:t>保证金</w:t>
      </w:r>
      <w:r>
        <w:rPr>
          <w:rFonts w:ascii="宋体" w:hAnsi="宋体"/>
          <w:szCs w:val="21"/>
        </w:rPr>
        <w:t>不予退还，给</w:t>
      </w:r>
      <w:r>
        <w:rPr>
          <w:rFonts w:hint="eastAsia" w:ascii="宋体" w:hAnsi="宋体"/>
          <w:szCs w:val="21"/>
        </w:rPr>
        <w:t>招标采购单位</w:t>
      </w:r>
      <w:r>
        <w:rPr>
          <w:rFonts w:ascii="宋体" w:hAnsi="宋体"/>
          <w:szCs w:val="21"/>
        </w:rPr>
        <w:t>造成的损失超过</w:t>
      </w:r>
      <w:r>
        <w:rPr>
          <w:rFonts w:hint="eastAsia" w:ascii="宋体" w:hAnsi="宋体"/>
          <w:szCs w:val="21"/>
        </w:rPr>
        <w:t>竞标</w:t>
      </w:r>
      <w:r>
        <w:rPr>
          <w:rFonts w:ascii="宋体" w:hAnsi="宋体"/>
          <w:szCs w:val="21"/>
        </w:rPr>
        <w:t>担保数额的，还应当对超过部分予以赔偿，同时依法承担相应法律责任。</w:t>
      </w:r>
    </w:p>
    <w:p>
      <w:pPr>
        <w:tabs>
          <w:tab w:val="left" w:pos="720"/>
        </w:tabs>
        <w:spacing w:line="360" w:lineRule="auto"/>
        <w:ind w:firstLine="539" w:firstLineChars="257"/>
        <w:rPr>
          <w:rFonts w:ascii="宋体" w:hAnsi="宋体"/>
          <w:szCs w:val="21"/>
        </w:rPr>
      </w:pPr>
      <w:r>
        <w:rPr>
          <w:rFonts w:hint="eastAsia" w:ascii="宋体" w:hAnsi="宋体"/>
          <w:szCs w:val="21"/>
        </w:rPr>
        <w:t>2</w:t>
      </w:r>
      <w:r>
        <w:rPr>
          <w:rFonts w:ascii="宋体" w:hAnsi="宋体"/>
          <w:szCs w:val="21"/>
        </w:rPr>
        <w:t>.</w:t>
      </w:r>
      <w:r>
        <w:rPr>
          <w:rFonts w:hint="eastAsia" w:ascii="宋体" w:hAnsi="宋体"/>
          <w:szCs w:val="21"/>
        </w:rPr>
        <w:t>6成交</w:t>
      </w:r>
      <w:r>
        <w:rPr>
          <w:rFonts w:ascii="宋体" w:hAnsi="宋体"/>
          <w:szCs w:val="21"/>
        </w:rPr>
        <w:t>供应商应当按照合同约定履行义务，完成</w:t>
      </w:r>
      <w:r>
        <w:rPr>
          <w:rFonts w:hint="eastAsia" w:ascii="宋体" w:hAnsi="宋体"/>
          <w:szCs w:val="21"/>
        </w:rPr>
        <w:t>成交</w:t>
      </w:r>
      <w:r>
        <w:rPr>
          <w:rFonts w:ascii="宋体" w:hAnsi="宋体"/>
          <w:szCs w:val="21"/>
        </w:rPr>
        <w:t>项目</w:t>
      </w:r>
      <w:r>
        <w:rPr>
          <w:rFonts w:hint="eastAsia" w:ascii="宋体" w:hAnsi="宋体"/>
          <w:szCs w:val="21"/>
        </w:rPr>
        <w:t>各项工作</w:t>
      </w:r>
      <w:r>
        <w:rPr>
          <w:rFonts w:ascii="宋体" w:hAnsi="宋体"/>
          <w:szCs w:val="21"/>
        </w:rPr>
        <w:t>，不得将</w:t>
      </w:r>
      <w:r>
        <w:rPr>
          <w:rFonts w:hint="eastAsia" w:ascii="宋体" w:hAnsi="宋体"/>
          <w:szCs w:val="21"/>
        </w:rPr>
        <w:t>成交</w:t>
      </w:r>
      <w:r>
        <w:rPr>
          <w:rFonts w:ascii="宋体" w:hAnsi="宋体"/>
          <w:szCs w:val="21"/>
        </w:rPr>
        <w:t>项目</w:t>
      </w:r>
      <w:r>
        <w:rPr>
          <w:rFonts w:hint="eastAsia" w:ascii="宋体" w:hAnsi="宋体"/>
          <w:szCs w:val="21"/>
        </w:rPr>
        <w:t>违法</w:t>
      </w:r>
      <w:r>
        <w:rPr>
          <w:rFonts w:ascii="宋体" w:hAnsi="宋体"/>
          <w:szCs w:val="21"/>
        </w:rPr>
        <w:t>转让（转包）给他人</w:t>
      </w:r>
      <w:r>
        <w:rPr>
          <w:rFonts w:hint="eastAsia" w:ascii="宋体" w:hAnsi="宋体"/>
          <w:szCs w:val="21"/>
        </w:rPr>
        <w:t>；</w:t>
      </w:r>
    </w:p>
    <w:p>
      <w:pPr>
        <w:tabs>
          <w:tab w:val="left" w:pos="720"/>
        </w:tabs>
        <w:spacing w:line="360" w:lineRule="auto"/>
        <w:ind w:firstLine="539" w:firstLineChars="257"/>
        <w:rPr>
          <w:rFonts w:ascii="宋体" w:hAnsi="宋体"/>
          <w:szCs w:val="21"/>
        </w:rPr>
      </w:pPr>
      <w:r>
        <w:rPr>
          <w:rFonts w:hint="eastAsia" w:ascii="宋体" w:hAnsi="宋体"/>
          <w:szCs w:val="21"/>
        </w:rPr>
        <w:t>2</w:t>
      </w:r>
      <w:r>
        <w:rPr>
          <w:rFonts w:ascii="宋体" w:hAnsi="宋体"/>
          <w:szCs w:val="21"/>
        </w:rPr>
        <w:t>.</w:t>
      </w:r>
      <w:r>
        <w:rPr>
          <w:rFonts w:hint="eastAsia" w:ascii="宋体" w:hAnsi="宋体"/>
          <w:szCs w:val="21"/>
        </w:rPr>
        <w:t>7</w:t>
      </w:r>
      <w:r>
        <w:rPr>
          <w:rFonts w:ascii="宋体" w:hAnsi="宋体"/>
          <w:szCs w:val="21"/>
        </w:rPr>
        <w:t>如果</w:t>
      </w:r>
      <w:r>
        <w:rPr>
          <w:rFonts w:hint="eastAsia" w:ascii="宋体" w:hAnsi="宋体"/>
          <w:szCs w:val="21"/>
        </w:rPr>
        <w:t>成交供应商</w:t>
      </w:r>
      <w:r>
        <w:rPr>
          <w:rFonts w:ascii="宋体" w:hAnsi="宋体"/>
          <w:szCs w:val="21"/>
        </w:rPr>
        <w:t>未能遵守</w:t>
      </w:r>
      <w:r>
        <w:rPr>
          <w:rFonts w:hint="eastAsia" w:ascii="宋体" w:hAnsi="宋体"/>
          <w:szCs w:val="21"/>
        </w:rPr>
        <w:t>上述2.5条</w:t>
      </w:r>
      <w:r>
        <w:rPr>
          <w:rFonts w:ascii="宋体" w:hAnsi="宋体"/>
          <w:szCs w:val="21"/>
        </w:rPr>
        <w:t>的规定，则可取消其</w:t>
      </w:r>
      <w:r>
        <w:rPr>
          <w:rFonts w:hint="eastAsia" w:ascii="宋体" w:hAnsi="宋体"/>
          <w:szCs w:val="21"/>
        </w:rPr>
        <w:t>成交</w:t>
      </w:r>
      <w:r>
        <w:rPr>
          <w:rFonts w:ascii="宋体" w:hAnsi="宋体"/>
          <w:szCs w:val="21"/>
        </w:rPr>
        <w:t>资格，并没收</w:t>
      </w:r>
      <w:r>
        <w:rPr>
          <w:rFonts w:hint="eastAsia" w:ascii="宋体" w:hAnsi="宋体"/>
          <w:szCs w:val="21"/>
        </w:rPr>
        <w:t>磋商保证金</w:t>
      </w:r>
      <w:r>
        <w:rPr>
          <w:rFonts w:ascii="宋体" w:hAnsi="宋体"/>
          <w:szCs w:val="21"/>
        </w:rPr>
        <w:t>。在此情况下，可将合同授予</w:t>
      </w:r>
      <w:r>
        <w:rPr>
          <w:rFonts w:hint="eastAsia" w:ascii="宋体" w:hAnsi="宋体"/>
          <w:szCs w:val="21"/>
        </w:rPr>
        <w:t>排序在成交供应商之后的第一位成交候选供应商</w:t>
      </w:r>
      <w:r>
        <w:rPr>
          <w:rFonts w:ascii="宋体" w:hAnsi="宋体"/>
          <w:szCs w:val="21"/>
        </w:rPr>
        <w:t>。</w:t>
      </w:r>
    </w:p>
    <w:p>
      <w:pPr>
        <w:tabs>
          <w:tab w:val="left" w:pos="720"/>
        </w:tabs>
        <w:spacing w:line="360" w:lineRule="auto"/>
        <w:ind w:firstLine="539" w:firstLineChars="257"/>
        <w:rPr>
          <w:rFonts w:ascii="宋体" w:hAnsi="宋体"/>
          <w:szCs w:val="21"/>
        </w:rPr>
      </w:pPr>
      <w:r>
        <w:rPr>
          <w:rFonts w:hint="eastAsia" w:ascii="宋体" w:hAnsi="宋体"/>
          <w:szCs w:val="21"/>
        </w:rPr>
        <w:t>2.8自合同签订之日起七个工作日内，成交供应商需将合同副本分别送县政府采购办公室和招标代理机构备案。</w:t>
      </w:r>
    </w:p>
    <w:p>
      <w:pPr>
        <w:tabs>
          <w:tab w:val="left" w:pos="720"/>
        </w:tabs>
        <w:spacing w:line="360" w:lineRule="auto"/>
        <w:ind w:firstLine="539" w:firstLineChars="257"/>
        <w:rPr>
          <w:rFonts w:ascii="宋体" w:hAnsi="宋体"/>
          <w:szCs w:val="21"/>
        </w:rPr>
      </w:pPr>
      <w:r>
        <w:rPr>
          <w:rFonts w:hint="eastAsia" w:ascii="宋体" w:hAnsi="宋体"/>
          <w:szCs w:val="21"/>
        </w:rPr>
        <w:t>3、 履约保证金</w:t>
      </w:r>
    </w:p>
    <w:p>
      <w:pPr>
        <w:tabs>
          <w:tab w:val="left" w:pos="720"/>
        </w:tabs>
        <w:spacing w:line="360" w:lineRule="auto"/>
        <w:ind w:firstLine="539" w:firstLineChars="257"/>
        <w:rPr>
          <w:rFonts w:ascii="宋体" w:hAnsi="宋体"/>
          <w:szCs w:val="21"/>
        </w:rPr>
      </w:pPr>
      <w:r>
        <w:rPr>
          <w:rFonts w:hint="eastAsia" w:ascii="宋体" w:hAnsi="宋体"/>
          <w:szCs w:val="21"/>
        </w:rPr>
        <w:t>3.1  成交供应商在领取成交通知书时，应向采购单位提交合同总价5%的履约保证金。</w:t>
      </w:r>
    </w:p>
    <w:p>
      <w:pPr>
        <w:tabs>
          <w:tab w:val="left" w:pos="720"/>
        </w:tabs>
        <w:spacing w:line="360" w:lineRule="auto"/>
        <w:ind w:firstLine="539" w:firstLineChars="257"/>
        <w:rPr>
          <w:rFonts w:ascii="宋体" w:hAnsi="宋体"/>
          <w:szCs w:val="21"/>
        </w:rPr>
      </w:pPr>
      <w:r>
        <w:rPr>
          <w:rFonts w:hint="eastAsia" w:ascii="宋体" w:hAnsi="宋体"/>
          <w:szCs w:val="21"/>
        </w:rPr>
        <w:t>3.2  履约保证金退还方式：</w:t>
      </w:r>
      <w:r>
        <w:rPr>
          <w:rFonts w:hint="eastAsia" w:ascii="宋体" w:hAnsi="宋体"/>
          <w:szCs w:val="21"/>
          <w:lang w:val="zh-CN"/>
        </w:rPr>
        <w:t>供应商</w:t>
      </w:r>
      <w:r>
        <w:rPr>
          <w:rFonts w:hint="eastAsia" w:ascii="宋体" w:hAnsi="宋体"/>
          <w:szCs w:val="21"/>
        </w:rPr>
        <w:t>符合保证金退还条件，采购单位在收到</w:t>
      </w:r>
      <w:r>
        <w:rPr>
          <w:rFonts w:hint="eastAsia" w:ascii="宋体" w:hAnsi="宋体"/>
          <w:szCs w:val="21"/>
          <w:lang w:val="zh-CN"/>
        </w:rPr>
        <w:t>供应商</w:t>
      </w:r>
      <w:r>
        <w:rPr>
          <w:rFonts w:hint="eastAsia" w:ascii="宋体" w:hAnsi="宋体"/>
          <w:szCs w:val="21"/>
        </w:rPr>
        <w:t>开具的收据后将以支票、汇票、电汇三种方式之一退还至原中标人帐户。</w:t>
      </w:r>
    </w:p>
    <w:p>
      <w:pPr>
        <w:tabs>
          <w:tab w:val="left" w:pos="720"/>
        </w:tabs>
        <w:spacing w:line="360" w:lineRule="auto"/>
        <w:ind w:firstLine="539" w:firstLineChars="257"/>
        <w:rPr>
          <w:rFonts w:ascii="宋体" w:hAnsi="宋体"/>
          <w:szCs w:val="21"/>
        </w:rPr>
      </w:pPr>
      <w:r>
        <w:rPr>
          <w:rFonts w:hint="eastAsia" w:ascii="宋体" w:hAnsi="宋体"/>
          <w:szCs w:val="21"/>
        </w:rPr>
        <w:t>3.3  履约保证金自交纳之日起，至采购项目验收合格之日有效。</w:t>
      </w:r>
    </w:p>
    <w:p>
      <w:pPr>
        <w:tabs>
          <w:tab w:val="left" w:pos="720"/>
        </w:tabs>
        <w:spacing w:line="360" w:lineRule="auto"/>
        <w:ind w:firstLine="539" w:firstLineChars="257"/>
        <w:rPr>
          <w:rFonts w:ascii="宋体" w:hAnsi="宋体"/>
          <w:szCs w:val="21"/>
        </w:rPr>
      </w:pPr>
    </w:p>
    <w:p>
      <w:pPr>
        <w:tabs>
          <w:tab w:val="left" w:pos="720"/>
        </w:tabs>
        <w:spacing w:line="360" w:lineRule="auto"/>
        <w:ind w:firstLine="539" w:firstLineChars="257"/>
        <w:rPr>
          <w:rFonts w:ascii="宋体" w:hAnsi="宋体"/>
          <w:szCs w:val="21"/>
        </w:rPr>
      </w:pPr>
    </w:p>
    <w:p>
      <w:pPr>
        <w:tabs>
          <w:tab w:val="left" w:pos="720"/>
        </w:tabs>
        <w:spacing w:line="360" w:lineRule="auto"/>
        <w:ind w:firstLine="539" w:firstLineChars="257"/>
        <w:rPr>
          <w:rFonts w:ascii="宋体" w:hAnsi="宋体"/>
          <w:szCs w:val="21"/>
        </w:rPr>
      </w:pPr>
    </w:p>
    <w:p>
      <w:pPr>
        <w:tabs>
          <w:tab w:val="left" w:pos="720"/>
        </w:tabs>
        <w:spacing w:line="360" w:lineRule="auto"/>
        <w:ind w:firstLine="539" w:firstLineChars="257"/>
        <w:rPr>
          <w:rFonts w:ascii="宋体" w:hAnsi="宋体"/>
          <w:szCs w:val="21"/>
        </w:rPr>
      </w:pPr>
    </w:p>
    <w:p>
      <w:pPr>
        <w:tabs>
          <w:tab w:val="left" w:pos="720"/>
        </w:tabs>
        <w:spacing w:line="360" w:lineRule="auto"/>
        <w:ind w:firstLine="539" w:firstLineChars="257"/>
        <w:rPr>
          <w:rFonts w:ascii="宋体" w:hAnsi="宋体"/>
          <w:szCs w:val="21"/>
        </w:rPr>
      </w:pPr>
    </w:p>
    <w:p>
      <w:pPr>
        <w:tabs>
          <w:tab w:val="left" w:pos="720"/>
        </w:tabs>
        <w:spacing w:line="360" w:lineRule="auto"/>
        <w:ind w:firstLine="539" w:firstLineChars="257"/>
        <w:rPr>
          <w:rFonts w:ascii="宋体" w:hAnsi="宋体"/>
          <w:szCs w:val="21"/>
        </w:rPr>
      </w:pPr>
    </w:p>
    <w:p>
      <w:pPr>
        <w:tabs>
          <w:tab w:val="left" w:pos="720"/>
        </w:tabs>
        <w:spacing w:line="360" w:lineRule="auto"/>
        <w:ind w:firstLine="539" w:firstLineChars="257"/>
        <w:rPr>
          <w:rFonts w:ascii="宋体" w:hAnsi="宋体"/>
          <w:szCs w:val="21"/>
        </w:rPr>
      </w:pPr>
    </w:p>
    <w:p>
      <w:pPr>
        <w:tabs>
          <w:tab w:val="left" w:pos="720"/>
        </w:tabs>
        <w:spacing w:line="360" w:lineRule="auto"/>
        <w:ind w:firstLine="539" w:firstLineChars="257"/>
        <w:rPr>
          <w:rFonts w:ascii="宋体" w:hAnsi="宋体"/>
          <w:szCs w:val="21"/>
        </w:rPr>
      </w:pPr>
    </w:p>
    <w:p>
      <w:pPr>
        <w:tabs>
          <w:tab w:val="left" w:pos="720"/>
        </w:tabs>
        <w:spacing w:line="360" w:lineRule="auto"/>
        <w:ind w:firstLine="539" w:firstLineChars="257"/>
        <w:rPr>
          <w:rFonts w:ascii="宋体" w:hAnsi="宋体"/>
          <w:szCs w:val="21"/>
        </w:rPr>
      </w:pPr>
    </w:p>
    <w:p>
      <w:pPr>
        <w:tabs>
          <w:tab w:val="left" w:pos="720"/>
        </w:tabs>
        <w:spacing w:line="360" w:lineRule="auto"/>
        <w:ind w:firstLine="539" w:firstLineChars="257"/>
        <w:rPr>
          <w:rFonts w:ascii="宋体" w:hAnsi="宋体"/>
          <w:szCs w:val="21"/>
        </w:rPr>
      </w:pPr>
    </w:p>
    <w:p>
      <w:pPr>
        <w:tabs>
          <w:tab w:val="left" w:pos="720"/>
        </w:tabs>
        <w:spacing w:line="360" w:lineRule="auto"/>
        <w:ind w:firstLine="539" w:firstLineChars="257"/>
        <w:rPr>
          <w:rFonts w:ascii="宋体" w:hAnsi="宋体"/>
          <w:szCs w:val="21"/>
        </w:rPr>
      </w:pPr>
    </w:p>
    <w:p>
      <w:pPr>
        <w:tabs>
          <w:tab w:val="left" w:pos="720"/>
        </w:tabs>
        <w:spacing w:line="360" w:lineRule="auto"/>
        <w:ind w:firstLine="539" w:firstLineChars="257"/>
        <w:rPr>
          <w:rFonts w:ascii="宋体" w:hAnsi="宋体"/>
          <w:szCs w:val="21"/>
        </w:rPr>
      </w:pPr>
    </w:p>
    <w:p>
      <w:pPr>
        <w:tabs>
          <w:tab w:val="left" w:pos="720"/>
        </w:tabs>
        <w:spacing w:line="360" w:lineRule="auto"/>
        <w:ind w:firstLine="539" w:firstLineChars="257"/>
        <w:rPr>
          <w:rFonts w:ascii="宋体" w:hAnsi="宋体"/>
          <w:szCs w:val="21"/>
        </w:rPr>
      </w:pPr>
    </w:p>
    <w:p>
      <w:pPr>
        <w:tabs>
          <w:tab w:val="left" w:pos="720"/>
        </w:tabs>
        <w:spacing w:line="360" w:lineRule="auto"/>
        <w:ind w:firstLine="539" w:firstLineChars="257"/>
        <w:rPr>
          <w:rFonts w:ascii="宋体" w:hAnsi="宋体"/>
          <w:szCs w:val="21"/>
        </w:rPr>
      </w:pPr>
    </w:p>
    <w:p>
      <w:pPr>
        <w:tabs>
          <w:tab w:val="left" w:pos="720"/>
        </w:tabs>
        <w:spacing w:line="360" w:lineRule="auto"/>
        <w:ind w:firstLine="539" w:firstLineChars="257"/>
        <w:rPr>
          <w:rFonts w:ascii="宋体" w:hAnsi="宋体"/>
          <w:szCs w:val="21"/>
        </w:rPr>
      </w:pPr>
    </w:p>
    <w:p>
      <w:pPr>
        <w:tabs>
          <w:tab w:val="left" w:pos="720"/>
        </w:tabs>
        <w:spacing w:line="360" w:lineRule="auto"/>
        <w:ind w:firstLine="539" w:firstLineChars="257"/>
        <w:rPr>
          <w:rFonts w:ascii="宋体" w:hAnsi="宋体"/>
          <w:szCs w:val="21"/>
        </w:rPr>
      </w:pPr>
    </w:p>
    <w:p>
      <w:pPr>
        <w:tabs>
          <w:tab w:val="left" w:pos="720"/>
        </w:tabs>
        <w:spacing w:line="360" w:lineRule="auto"/>
        <w:ind w:firstLine="539" w:firstLineChars="257"/>
        <w:rPr>
          <w:rFonts w:ascii="宋体" w:hAnsi="宋体"/>
          <w:szCs w:val="21"/>
        </w:rPr>
      </w:pPr>
    </w:p>
    <w:p>
      <w:pPr>
        <w:tabs>
          <w:tab w:val="left" w:pos="720"/>
        </w:tabs>
        <w:spacing w:line="360" w:lineRule="auto"/>
        <w:ind w:firstLine="539" w:firstLineChars="257"/>
        <w:rPr>
          <w:rFonts w:ascii="宋体" w:hAnsi="宋体"/>
          <w:szCs w:val="21"/>
        </w:rPr>
      </w:pPr>
    </w:p>
    <w:p>
      <w:pPr>
        <w:tabs>
          <w:tab w:val="left" w:pos="720"/>
        </w:tabs>
        <w:spacing w:line="360" w:lineRule="auto"/>
        <w:rPr>
          <w:rFonts w:ascii="宋体" w:hAnsi="宋体"/>
          <w:szCs w:val="21"/>
        </w:rPr>
      </w:pPr>
    </w:p>
    <w:p>
      <w:pPr>
        <w:tabs>
          <w:tab w:val="left" w:pos="720"/>
        </w:tabs>
        <w:spacing w:line="360" w:lineRule="auto"/>
        <w:rPr>
          <w:rFonts w:ascii="宋体" w:hAnsi="宋体"/>
          <w:szCs w:val="21"/>
        </w:rPr>
      </w:pPr>
    </w:p>
    <w:p>
      <w:pPr>
        <w:tabs>
          <w:tab w:val="left" w:pos="720"/>
        </w:tabs>
        <w:spacing w:line="360" w:lineRule="auto"/>
        <w:rPr>
          <w:rFonts w:ascii="宋体" w:hAnsi="宋体"/>
          <w:szCs w:val="21"/>
        </w:rPr>
      </w:pPr>
    </w:p>
    <w:p>
      <w:pPr>
        <w:tabs>
          <w:tab w:val="left" w:pos="720"/>
        </w:tabs>
        <w:spacing w:line="360" w:lineRule="auto"/>
        <w:rPr>
          <w:rFonts w:ascii="宋体" w:hAnsi="宋体"/>
          <w:szCs w:val="21"/>
        </w:rPr>
      </w:pPr>
    </w:p>
    <w:p>
      <w:pPr>
        <w:tabs>
          <w:tab w:val="left" w:pos="720"/>
        </w:tabs>
        <w:spacing w:line="360" w:lineRule="auto"/>
        <w:rPr>
          <w:rFonts w:ascii="宋体" w:hAnsi="宋体"/>
          <w:szCs w:val="21"/>
        </w:rPr>
      </w:pPr>
    </w:p>
    <w:p>
      <w:pPr>
        <w:pStyle w:val="3"/>
        <w:spacing w:line="240" w:lineRule="auto"/>
        <w:jc w:val="center"/>
        <w:rPr>
          <w:rFonts w:ascii="黑体" w:hAnsi="宋体" w:eastAsia="黑体"/>
          <w:bCs w:val="0"/>
          <w:kern w:val="2"/>
          <w:sz w:val="30"/>
          <w:szCs w:val="30"/>
        </w:rPr>
      </w:pPr>
      <w:bookmarkStart w:id="48" w:name="_Toc18722"/>
      <w:bookmarkStart w:id="49" w:name="_Toc456078615"/>
      <w:r>
        <w:rPr>
          <w:rFonts w:hint="eastAsia" w:ascii="黑体" w:hAnsi="宋体" w:eastAsia="黑体"/>
          <w:bCs w:val="0"/>
          <w:kern w:val="2"/>
          <w:sz w:val="30"/>
          <w:szCs w:val="30"/>
        </w:rPr>
        <w:t>第四章  评标办法及评分标准</w:t>
      </w:r>
      <w:bookmarkEnd w:id="48"/>
      <w:bookmarkEnd w:id="49"/>
    </w:p>
    <w:p>
      <w:pPr>
        <w:tabs>
          <w:tab w:val="left" w:pos="720"/>
        </w:tabs>
        <w:spacing w:line="360" w:lineRule="auto"/>
        <w:ind w:firstLine="539" w:firstLineChars="257"/>
        <w:rPr>
          <w:rFonts w:ascii="宋体" w:hAnsi="宋体"/>
          <w:szCs w:val="21"/>
        </w:rPr>
      </w:pPr>
      <w:r>
        <w:rPr>
          <w:rFonts w:hint="eastAsia" w:ascii="宋体" w:hAnsi="宋体"/>
          <w:szCs w:val="21"/>
        </w:rPr>
        <w:t>为公正、公平、科学地选择成交人，根据《中华人民共和国政府采购法》等有关法律法规的规定，并结合本项目的实际，制定本办法。</w:t>
      </w:r>
    </w:p>
    <w:p>
      <w:pPr>
        <w:tabs>
          <w:tab w:val="left" w:pos="720"/>
        </w:tabs>
        <w:spacing w:line="360" w:lineRule="auto"/>
        <w:ind w:firstLine="539" w:firstLineChars="257"/>
        <w:rPr>
          <w:rFonts w:ascii="宋体" w:hAnsi="宋体"/>
          <w:szCs w:val="21"/>
        </w:rPr>
      </w:pPr>
      <w:r>
        <w:rPr>
          <w:rFonts w:hint="eastAsia" w:ascii="宋体" w:hAnsi="宋体"/>
          <w:szCs w:val="21"/>
        </w:rPr>
        <w:t>本办法适用于长兴县太湖高级中学综合管理平台系统采购项目的评标。</w:t>
      </w:r>
    </w:p>
    <w:p>
      <w:pPr>
        <w:tabs>
          <w:tab w:val="left" w:pos="360"/>
        </w:tabs>
        <w:spacing w:line="360" w:lineRule="auto"/>
        <w:rPr>
          <w:rFonts w:ascii="宋体" w:hAnsi="宋体"/>
          <w:b/>
          <w:bCs/>
          <w:sz w:val="24"/>
        </w:rPr>
      </w:pPr>
      <w:r>
        <w:rPr>
          <w:rFonts w:hint="eastAsia" w:ascii="宋体" w:hAnsi="宋体"/>
          <w:b/>
          <w:bCs/>
          <w:szCs w:val="21"/>
        </w:rPr>
        <w:t>一、开标</w:t>
      </w:r>
    </w:p>
    <w:p>
      <w:pPr>
        <w:tabs>
          <w:tab w:val="left" w:pos="720"/>
        </w:tabs>
        <w:spacing w:line="360" w:lineRule="auto"/>
        <w:ind w:firstLine="539" w:firstLineChars="257"/>
        <w:rPr>
          <w:rFonts w:ascii="宋体" w:hAnsi="宋体"/>
          <w:szCs w:val="21"/>
        </w:rPr>
      </w:pPr>
      <w:r>
        <w:rPr>
          <w:rFonts w:hint="eastAsia" w:ascii="宋体" w:hAnsi="宋体"/>
          <w:szCs w:val="21"/>
        </w:rPr>
        <w:t xml:space="preserve"> 1、招标采购单位在竞争性磋商公告规定的时间和地点且有</w:t>
      </w:r>
      <w:r>
        <w:rPr>
          <w:rFonts w:hint="eastAsia" w:ascii="宋体" w:hAnsi="宋体"/>
          <w:szCs w:val="21"/>
          <w:lang w:val="zh-CN"/>
        </w:rPr>
        <w:t>供应商</w:t>
      </w:r>
      <w:r>
        <w:rPr>
          <w:rFonts w:hint="eastAsia" w:ascii="宋体" w:hAnsi="宋体"/>
          <w:szCs w:val="21"/>
        </w:rPr>
        <w:t>代表在场的情况下公开开标，参加开标的</w:t>
      </w:r>
      <w:r>
        <w:rPr>
          <w:rFonts w:hint="eastAsia" w:ascii="宋体" w:hAnsi="宋体"/>
          <w:szCs w:val="21"/>
          <w:lang w:val="zh-CN"/>
        </w:rPr>
        <w:t>供应商</w:t>
      </w:r>
      <w:r>
        <w:rPr>
          <w:rFonts w:hint="eastAsia" w:ascii="宋体" w:hAnsi="宋体"/>
          <w:szCs w:val="21"/>
        </w:rPr>
        <w:t>代表应签名报到以证明其出席。</w:t>
      </w:r>
    </w:p>
    <w:p>
      <w:pPr>
        <w:tabs>
          <w:tab w:val="left" w:pos="720"/>
        </w:tabs>
        <w:spacing w:line="360" w:lineRule="auto"/>
        <w:ind w:firstLine="539" w:firstLineChars="257"/>
        <w:rPr>
          <w:rFonts w:ascii="宋体" w:hAnsi="宋体"/>
          <w:szCs w:val="21"/>
        </w:rPr>
      </w:pPr>
      <w:r>
        <w:rPr>
          <w:rFonts w:hint="eastAsia" w:ascii="宋体" w:hAnsi="宋体"/>
          <w:szCs w:val="21"/>
        </w:rPr>
        <w:t xml:space="preserve">   2、开标时，招标代理机构应确认磋商响应文件密封情况。</w:t>
      </w:r>
    </w:p>
    <w:p>
      <w:pPr>
        <w:spacing w:line="360" w:lineRule="auto"/>
        <w:rPr>
          <w:rFonts w:ascii="宋体" w:hAnsi="宋体"/>
          <w:b/>
          <w:bCs/>
          <w:sz w:val="24"/>
        </w:rPr>
      </w:pPr>
      <w:r>
        <w:rPr>
          <w:rFonts w:hint="eastAsia" w:ascii="宋体" w:hAnsi="宋体"/>
          <w:b/>
          <w:bCs/>
          <w:szCs w:val="21"/>
        </w:rPr>
        <w:t xml:space="preserve"> 二、磋商小组</w:t>
      </w:r>
    </w:p>
    <w:p>
      <w:pPr>
        <w:spacing w:line="360" w:lineRule="auto"/>
        <w:rPr>
          <w:rFonts w:ascii="宋体" w:hAnsi="宋体"/>
          <w:szCs w:val="21"/>
        </w:rPr>
      </w:pPr>
      <w:r>
        <w:rPr>
          <w:rFonts w:hint="eastAsia" w:ascii="宋体" w:hAnsi="宋体"/>
          <w:szCs w:val="21"/>
        </w:rPr>
        <w:t xml:space="preserve">  招标采购单位将根据磋商项目的特点，依照《中华人民共和国政府采购法》的有关规定组建由三人组成的磋商小组，其成员由经济、技术等方面的专家以及采购人的代表组成，并由磋商小组推选评委负责人。</w:t>
      </w:r>
    </w:p>
    <w:p>
      <w:pPr>
        <w:tabs>
          <w:tab w:val="left" w:pos="360"/>
        </w:tabs>
        <w:spacing w:line="360" w:lineRule="auto"/>
        <w:rPr>
          <w:rFonts w:ascii="宋体" w:hAnsi="宋体"/>
          <w:b/>
          <w:bCs/>
          <w:szCs w:val="21"/>
        </w:rPr>
      </w:pPr>
      <w:r>
        <w:rPr>
          <w:rFonts w:hint="eastAsia" w:ascii="宋体" w:hAnsi="宋体"/>
          <w:b/>
          <w:bCs/>
          <w:szCs w:val="21"/>
        </w:rPr>
        <w:t>三、评标内容与方法</w:t>
      </w:r>
    </w:p>
    <w:p>
      <w:pPr>
        <w:tabs>
          <w:tab w:val="left" w:pos="1260"/>
        </w:tabs>
        <w:spacing w:line="360" w:lineRule="auto"/>
        <w:ind w:left="360"/>
        <w:rPr>
          <w:rFonts w:ascii="宋体" w:hAnsi="宋体"/>
          <w:sz w:val="24"/>
        </w:rPr>
      </w:pPr>
      <w:r>
        <w:rPr>
          <w:rFonts w:hint="eastAsia" w:ascii="宋体" w:hAnsi="宋体"/>
          <w:b/>
          <w:bCs/>
          <w:sz w:val="24"/>
        </w:rPr>
        <w:t>（一）</w:t>
      </w:r>
      <w:r>
        <w:rPr>
          <w:rFonts w:hint="eastAsia" w:ascii="宋体" w:hAnsi="宋体"/>
          <w:b/>
          <w:bCs/>
          <w:szCs w:val="21"/>
        </w:rPr>
        <w:t>评标方法说明</w:t>
      </w:r>
      <w:r>
        <w:rPr>
          <w:rFonts w:hint="eastAsia" w:ascii="宋体" w:hAnsi="宋体"/>
          <w:b/>
          <w:bCs/>
          <w:sz w:val="24"/>
        </w:rPr>
        <w:t>：</w:t>
      </w:r>
    </w:p>
    <w:p>
      <w:pPr>
        <w:tabs>
          <w:tab w:val="left" w:pos="720"/>
        </w:tabs>
        <w:spacing w:line="360" w:lineRule="auto"/>
        <w:ind w:firstLine="539" w:firstLineChars="257"/>
        <w:rPr>
          <w:rFonts w:ascii="宋体" w:hAnsi="宋体"/>
          <w:szCs w:val="21"/>
        </w:rPr>
      </w:pPr>
      <w:r>
        <w:rPr>
          <w:rFonts w:hint="eastAsia" w:ascii="宋体" w:hAnsi="宋体"/>
          <w:szCs w:val="21"/>
        </w:rPr>
        <w:t>本次评标采用综合评分法，总分为100分，其中</w:t>
      </w:r>
      <w:r>
        <w:rPr>
          <w:rFonts w:hint="eastAsia" w:ascii="宋体" w:hAnsi="宋体"/>
          <w:szCs w:val="21"/>
          <w:lang w:val="zh-CN"/>
        </w:rPr>
        <w:t>商务、资信、技术及其他分合计70分</w:t>
      </w:r>
      <w:r>
        <w:rPr>
          <w:rFonts w:hint="eastAsia" w:ascii="宋体" w:hAnsi="宋体"/>
          <w:szCs w:val="21"/>
        </w:rPr>
        <w:t>、价格分30分。合格供应商的评标得分为各项目汇总得分，按综合得分由高到低顺序排列，评分过程中采用四舍五入法，并保留小数2位。</w:t>
      </w:r>
    </w:p>
    <w:p>
      <w:pPr>
        <w:tabs>
          <w:tab w:val="left" w:pos="720"/>
        </w:tabs>
        <w:spacing w:line="360" w:lineRule="auto"/>
        <w:ind w:firstLine="539" w:firstLineChars="257"/>
        <w:rPr>
          <w:rFonts w:ascii="宋体" w:hAnsi="宋体"/>
          <w:szCs w:val="21"/>
        </w:rPr>
      </w:pPr>
      <w:r>
        <w:rPr>
          <w:rFonts w:hint="eastAsia" w:ascii="宋体" w:hAnsi="宋体"/>
          <w:szCs w:val="21"/>
          <w:lang w:val="zh-CN"/>
        </w:rPr>
        <w:t>供应商</w:t>
      </w:r>
      <w:r>
        <w:rPr>
          <w:rFonts w:hint="eastAsia" w:ascii="宋体" w:hAnsi="宋体"/>
          <w:szCs w:val="21"/>
        </w:rPr>
        <w:t>评标综合得分=</w:t>
      </w:r>
      <w:r>
        <w:rPr>
          <w:rFonts w:hint="eastAsia" w:ascii="宋体" w:hAnsi="宋体"/>
          <w:szCs w:val="21"/>
          <w:lang w:val="zh-CN"/>
        </w:rPr>
        <w:t>商务、资信、技术及其他分</w:t>
      </w:r>
      <w:r>
        <w:rPr>
          <w:rFonts w:hint="eastAsia" w:ascii="宋体" w:hAnsi="宋体"/>
          <w:szCs w:val="21"/>
        </w:rPr>
        <w:t>+价格分</w:t>
      </w:r>
    </w:p>
    <w:p>
      <w:pPr>
        <w:tabs>
          <w:tab w:val="left" w:pos="1080"/>
        </w:tabs>
        <w:spacing w:line="360" w:lineRule="auto"/>
        <w:ind w:firstLine="482" w:firstLineChars="200"/>
        <w:rPr>
          <w:rFonts w:ascii="宋体" w:hAnsi="宋体"/>
          <w:b/>
          <w:bCs/>
          <w:sz w:val="24"/>
        </w:rPr>
      </w:pPr>
      <w:r>
        <w:rPr>
          <w:rFonts w:hint="eastAsia" w:ascii="宋体" w:hAnsi="宋体"/>
          <w:b/>
          <w:bCs/>
          <w:sz w:val="24"/>
        </w:rPr>
        <w:t>（二）</w:t>
      </w:r>
      <w:r>
        <w:rPr>
          <w:rFonts w:hint="eastAsia" w:ascii="宋体" w:hAnsi="宋体"/>
          <w:b/>
          <w:bCs/>
          <w:szCs w:val="21"/>
        </w:rPr>
        <w:tab/>
      </w:r>
      <w:r>
        <w:rPr>
          <w:rFonts w:hint="eastAsia" w:ascii="宋体" w:hAnsi="宋体"/>
          <w:b/>
          <w:bCs/>
          <w:szCs w:val="21"/>
        </w:rPr>
        <w:t>评标内容、评定办法</w:t>
      </w:r>
      <w:r>
        <w:rPr>
          <w:rFonts w:hint="eastAsia" w:ascii="宋体" w:hAnsi="宋体"/>
          <w:b/>
          <w:bCs/>
          <w:sz w:val="24"/>
        </w:rPr>
        <w:t>：</w:t>
      </w:r>
    </w:p>
    <w:p>
      <w:pPr>
        <w:tabs>
          <w:tab w:val="left" w:pos="1080"/>
        </w:tabs>
        <w:spacing w:line="360" w:lineRule="auto"/>
        <w:ind w:firstLine="482" w:firstLineChars="200"/>
        <w:rPr>
          <w:rFonts w:ascii="宋体" w:hAnsi="宋体"/>
          <w:b/>
          <w:bCs/>
          <w:szCs w:val="21"/>
        </w:rPr>
      </w:pPr>
      <w:r>
        <w:rPr>
          <w:rFonts w:hint="eastAsia" w:ascii="宋体" w:hAnsi="宋体"/>
          <w:b/>
          <w:bCs/>
          <w:sz w:val="24"/>
        </w:rPr>
        <w:t>（1）</w:t>
      </w:r>
      <w:r>
        <w:rPr>
          <w:rFonts w:hint="eastAsia" w:ascii="宋体" w:hAnsi="宋体"/>
          <w:b/>
          <w:bCs/>
          <w:szCs w:val="21"/>
        </w:rPr>
        <w:t>价格分（磋商报价）评定：30分</w:t>
      </w:r>
    </w:p>
    <w:p>
      <w:pPr>
        <w:tabs>
          <w:tab w:val="left" w:pos="720"/>
        </w:tabs>
        <w:spacing w:line="360" w:lineRule="auto"/>
        <w:ind w:firstLine="539" w:firstLineChars="257"/>
        <w:rPr>
          <w:rFonts w:ascii="宋体" w:hAnsi="宋体"/>
          <w:szCs w:val="21"/>
        </w:rPr>
      </w:pPr>
      <w:r>
        <w:rPr>
          <w:rFonts w:hint="eastAsia" w:ascii="宋体" w:hAnsi="宋体"/>
          <w:szCs w:val="21"/>
        </w:rPr>
        <w:t>竞标人的竞标报价超过采购人设定的控制限价(即408000元)作无效竞标处理。</w:t>
      </w:r>
    </w:p>
    <w:p>
      <w:pPr>
        <w:tabs>
          <w:tab w:val="left" w:pos="720"/>
        </w:tabs>
        <w:spacing w:line="360" w:lineRule="auto"/>
        <w:ind w:firstLine="539" w:firstLineChars="257"/>
        <w:rPr>
          <w:rFonts w:ascii="宋体" w:hAnsi="宋体"/>
          <w:szCs w:val="21"/>
        </w:rPr>
      </w:pPr>
      <w:r>
        <w:rPr>
          <w:rFonts w:hint="eastAsia" w:ascii="宋体" w:hAnsi="宋体"/>
          <w:szCs w:val="21"/>
        </w:rPr>
        <w:t>价格分采用低价优先法计算，取所有有效</w:t>
      </w:r>
      <w:r>
        <w:rPr>
          <w:rFonts w:hint="eastAsia" w:ascii="宋体" w:hAnsi="宋体"/>
          <w:szCs w:val="21"/>
          <w:lang w:val="zh-CN"/>
        </w:rPr>
        <w:t>供应商</w:t>
      </w:r>
      <w:r>
        <w:rPr>
          <w:rFonts w:hint="eastAsia" w:ascii="宋体" w:hAnsi="宋体"/>
          <w:szCs w:val="21"/>
        </w:rPr>
        <w:t>中满足磋商文件要求且最终报价最低的供应商的价格为磋商基准价，其他</w:t>
      </w:r>
      <w:r>
        <w:rPr>
          <w:rFonts w:hint="eastAsia" w:ascii="宋体" w:hAnsi="宋体"/>
          <w:szCs w:val="21"/>
          <w:lang w:val="zh-CN"/>
        </w:rPr>
        <w:t>供应商</w:t>
      </w:r>
      <w:r>
        <w:rPr>
          <w:rFonts w:hint="eastAsia" w:ascii="宋体" w:hAnsi="宋体"/>
          <w:szCs w:val="21"/>
        </w:rPr>
        <w:t>的价格分按照下列公式计算：</w:t>
      </w:r>
    </w:p>
    <w:p>
      <w:pPr>
        <w:tabs>
          <w:tab w:val="left" w:pos="720"/>
        </w:tabs>
        <w:spacing w:line="360" w:lineRule="auto"/>
        <w:ind w:firstLine="539" w:firstLineChars="257"/>
        <w:rPr>
          <w:rFonts w:ascii="宋体" w:hAnsi="宋体"/>
          <w:szCs w:val="21"/>
        </w:rPr>
      </w:pPr>
      <w:r>
        <w:rPr>
          <w:rFonts w:hint="eastAsia" w:ascii="宋体" w:hAnsi="宋体"/>
          <w:szCs w:val="21"/>
        </w:rPr>
        <w:t xml:space="preserve"> 磋商报价得分=（磋商基准价/最后磋商报价）×30%×100</w:t>
      </w:r>
    </w:p>
    <w:p>
      <w:pPr>
        <w:numPr>
          <w:ilvl w:val="0"/>
          <w:numId w:val="8"/>
        </w:numPr>
        <w:spacing w:beforeLines="50" w:afterLines="50"/>
        <w:ind w:firstLine="413" w:firstLineChars="196"/>
        <w:rPr>
          <w:rFonts w:ascii="宋体" w:hAnsi="宋体"/>
          <w:b/>
          <w:bCs/>
          <w:szCs w:val="21"/>
        </w:rPr>
      </w:pPr>
      <w:r>
        <w:rPr>
          <w:rFonts w:hint="eastAsia" w:ascii="宋体" w:hAnsi="宋体"/>
          <w:b/>
          <w:bCs/>
          <w:szCs w:val="21"/>
        </w:rPr>
        <w:t>商务和资信、技术及其他评定:70分</w:t>
      </w:r>
    </w:p>
    <w:p>
      <w:pPr>
        <w:tabs>
          <w:tab w:val="left" w:pos="720"/>
        </w:tabs>
        <w:spacing w:line="360" w:lineRule="auto"/>
        <w:ind w:firstLine="539" w:firstLineChars="257"/>
        <w:rPr>
          <w:rFonts w:ascii="宋体" w:hAnsi="宋体"/>
          <w:szCs w:val="21"/>
        </w:rPr>
      </w:pPr>
      <w:r>
        <w:rPr>
          <w:rFonts w:hint="eastAsia" w:ascii="宋体" w:hAnsi="宋体"/>
          <w:szCs w:val="21"/>
        </w:rPr>
        <w:t xml:space="preserve">技术、商务、资信及其他分按照磋商委员会成员的独立评分结果汇总数的算术平均分计算，计算公式为：         </w:t>
      </w:r>
    </w:p>
    <w:p>
      <w:pPr>
        <w:tabs>
          <w:tab w:val="left" w:pos="720"/>
        </w:tabs>
        <w:spacing w:line="360" w:lineRule="auto"/>
        <w:ind w:firstLine="539" w:firstLineChars="257"/>
        <w:rPr>
          <w:rFonts w:ascii="宋体" w:hAnsi="宋体"/>
          <w:szCs w:val="21"/>
        </w:rPr>
      </w:pPr>
      <w:r>
        <w:rPr>
          <w:rFonts w:hint="eastAsia" w:ascii="宋体" w:hAnsi="宋体"/>
          <w:szCs w:val="21"/>
        </w:rPr>
        <w:t>技术、商务、资信及其他分=磋商委员会所有成员评分合计数/磋商委员会组成人员数</w:t>
      </w:r>
    </w:p>
    <w:p>
      <w:pPr>
        <w:tabs>
          <w:tab w:val="left" w:pos="720"/>
        </w:tabs>
        <w:spacing w:line="360" w:lineRule="auto"/>
        <w:ind w:firstLine="539" w:firstLineChars="257"/>
        <w:rPr>
          <w:rFonts w:ascii="宋体" w:hAnsi="宋体"/>
          <w:szCs w:val="21"/>
        </w:rPr>
      </w:pPr>
      <w:r>
        <w:rPr>
          <w:rFonts w:hint="eastAsia" w:ascii="宋体" w:hAnsi="宋体"/>
          <w:szCs w:val="21"/>
        </w:rPr>
        <w:t>附件：评分表格式（技术、商务、资信及其他分，共70分）</w:t>
      </w:r>
    </w:p>
    <w:p>
      <w:pPr>
        <w:spacing w:beforeLines="50" w:afterLines="50"/>
        <w:ind w:firstLine="480" w:firstLineChars="200"/>
        <w:rPr>
          <w:rFonts w:ascii="宋体" w:hAnsi="宋体"/>
          <w:sz w:val="24"/>
        </w:rPr>
      </w:pPr>
    </w:p>
    <w:p>
      <w:pPr>
        <w:spacing w:beforeLines="50" w:afterLines="50"/>
        <w:ind w:firstLine="480" w:firstLineChars="200"/>
        <w:rPr>
          <w:rFonts w:ascii="宋体" w:hAnsi="宋体"/>
          <w:sz w:val="24"/>
        </w:rPr>
      </w:pPr>
    </w:p>
    <w:p>
      <w:pPr>
        <w:spacing w:beforeLines="50" w:afterLines="50"/>
        <w:ind w:firstLine="480" w:firstLineChars="200"/>
        <w:rPr>
          <w:rFonts w:ascii="宋体" w:hAnsi="宋体"/>
          <w:sz w:val="24"/>
        </w:rPr>
      </w:pPr>
    </w:p>
    <w:tbl>
      <w:tblPr>
        <w:tblStyle w:val="50"/>
        <w:tblW w:w="8856" w:type="dxa"/>
        <w:tblInd w:w="0" w:type="dxa"/>
        <w:tblLayout w:type="fixed"/>
        <w:tblCellMar>
          <w:top w:w="0" w:type="dxa"/>
          <w:left w:w="108" w:type="dxa"/>
          <w:bottom w:w="0" w:type="dxa"/>
          <w:right w:w="108" w:type="dxa"/>
        </w:tblCellMar>
      </w:tblPr>
      <w:tblGrid>
        <w:gridCol w:w="685"/>
        <w:gridCol w:w="1440"/>
        <w:gridCol w:w="5565"/>
        <w:gridCol w:w="1166"/>
      </w:tblGrid>
      <w:tr>
        <w:tblPrEx>
          <w:tblLayout w:type="fixed"/>
          <w:tblCellMar>
            <w:top w:w="0" w:type="dxa"/>
            <w:left w:w="108" w:type="dxa"/>
            <w:bottom w:w="0" w:type="dxa"/>
            <w:right w:w="108" w:type="dxa"/>
          </w:tblCellMar>
        </w:tblPrEx>
        <w:trPr>
          <w:trHeight w:val="312" w:hRule="atLeast"/>
        </w:trPr>
        <w:tc>
          <w:tcPr>
            <w:tcW w:w="685" w:type="dxa"/>
            <w:tcBorders>
              <w:top w:val="single" w:color="auto" w:sz="4" w:space="0"/>
              <w:left w:val="single" w:color="auto" w:sz="4" w:space="0"/>
              <w:bottom w:val="single" w:color="auto" w:sz="4" w:space="0"/>
              <w:right w:val="single" w:color="auto" w:sz="4" w:space="0"/>
            </w:tcBorders>
            <w:vAlign w:val="center"/>
          </w:tcPr>
          <w:p>
            <w:pPr>
              <w:pStyle w:val="18"/>
              <w:snapToGrid w:val="0"/>
              <w:spacing w:before="120" w:after="120"/>
              <w:jc w:val="center"/>
              <w:rPr>
                <w:rFonts w:hAnsi="宋体" w:cs="宋体"/>
                <w:szCs w:val="21"/>
              </w:rPr>
            </w:pPr>
            <w:r>
              <w:rPr>
                <w:rFonts w:hint="eastAsia" w:hAnsi="宋体" w:cs="宋体"/>
                <w:szCs w:val="21"/>
              </w:rPr>
              <w:t>序号</w:t>
            </w:r>
          </w:p>
        </w:tc>
        <w:tc>
          <w:tcPr>
            <w:tcW w:w="1440" w:type="dxa"/>
            <w:tcBorders>
              <w:top w:val="single" w:color="auto" w:sz="4" w:space="0"/>
              <w:left w:val="nil"/>
              <w:bottom w:val="single" w:color="auto" w:sz="4" w:space="0"/>
              <w:right w:val="single" w:color="auto" w:sz="4" w:space="0"/>
            </w:tcBorders>
            <w:vAlign w:val="center"/>
          </w:tcPr>
          <w:p>
            <w:pPr>
              <w:pStyle w:val="18"/>
              <w:snapToGrid w:val="0"/>
              <w:spacing w:before="120" w:after="120"/>
              <w:jc w:val="center"/>
              <w:rPr>
                <w:rFonts w:hAnsi="宋体" w:cs="宋体"/>
                <w:szCs w:val="21"/>
              </w:rPr>
            </w:pPr>
            <w:r>
              <w:rPr>
                <w:rFonts w:hint="eastAsia" w:hAnsi="宋体" w:cs="宋体"/>
                <w:szCs w:val="21"/>
              </w:rPr>
              <w:t>评分因素</w:t>
            </w:r>
          </w:p>
        </w:tc>
        <w:tc>
          <w:tcPr>
            <w:tcW w:w="5565" w:type="dxa"/>
            <w:tcBorders>
              <w:top w:val="single" w:color="auto" w:sz="4" w:space="0"/>
              <w:left w:val="nil"/>
              <w:bottom w:val="single" w:color="auto" w:sz="4" w:space="0"/>
              <w:right w:val="single" w:color="auto" w:sz="4" w:space="0"/>
            </w:tcBorders>
            <w:vAlign w:val="center"/>
          </w:tcPr>
          <w:p>
            <w:pPr>
              <w:pStyle w:val="18"/>
              <w:snapToGrid w:val="0"/>
              <w:spacing w:before="120" w:after="120"/>
              <w:jc w:val="center"/>
              <w:rPr>
                <w:rFonts w:hAnsi="宋体" w:cs="宋体"/>
                <w:szCs w:val="21"/>
              </w:rPr>
            </w:pPr>
            <w:r>
              <w:rPr>
                <w:rFonts w:hint="eastAsia" w:hAnsi="宋体" w:cs="宋体"/>
                <w:szCs w:val="21"/>
              </w:rPr>
              <w:t>评分细则</w:t>
            </w:r>
          </w:p>
        </w:tc>
        <w:tc>
          <w:tcPr>
            <w:tcW w:w="1166" w:type="dxa"/>
            <w:tcBorders>
              <w:top w:val="single" w:color="auto" w:sz="4" w:space="0"/>
              <w:left w:val="nil"/>
              <w:bottom w:val="single" w:color="auto" w:sz="4" w:space="0"/>
              <w:right w:val="single" w:color="auto" w:sz="4" w:space="0"/>
            </w:tcBorders>
            <w:vAlign w:val="center"/>
          </w:tcPr>
          <w:p>
            <w:pPr>
              <w:pStyle w:val="18"/>
              <w:snapToGrid w:val="0"/>
              <w:spacing w:before="120" w:after="120"/>
              <w:jc w:val="center"/>
              <w:rPr>
                <w:rFonts w:hAnsi="宋体" w:cs="宋体"/>
                <w:szCs w:val="21"/>
              </w:rPr>
            </w:pPr>
            <w:r>
              <w:rPr>
                <w:rFonts w:hint="eastAsia" w:hAnsi="宋体" w:cs="宋体"/>
                <w:szCs w:val="21"/>
              </w:rPr>
              <w:t>分值（分）</w:t>
            </w:r>
          </w:p>
        </w:tc>
      </w:tr>
      <w:tr>
        <w:tblPrEx>
          <w:tblLayout w:type="fixed"/>
          <w:tblCellMar>
            <w:top w:w="0" w:type="dxa"/>
            <w:left w:w="108" w:type="dxa"/>
            <w:bottom w:w="0" w:type="dxa"/>
            <w:right w:w="108" w:type="dxa"/>
          </w:tblCellMar>
        </w:tblPrEx>
        <w:trPr>
          <w:trHeight w:val="368" w:hRule="atLeast"/>
        </w:trPr>
        <w:tc>
          <w:tcPr>
            <w:tcW w:w="8856" w:type="dxa"/>
            <w:gridSpan w:val="4"/>
            <w:tcBorders>
              <w:top w:val="single" w:color="000000" w:sz="4" w:space="0"/>
              <w:left w:val="single" w:color="000000" w:sz="4" w:space="0"/>
              <w:bottom w:val="single" w:color="000000" w:sz="4" w:space="0"/>
              <w:right w:val="single" w:color="000000" w:sz="4" w:space="0"/>
            </w:tcBorders>
            <w:vAlign w:val="center"/>
          </w:tcPr>
          <w:p>
            <w:pPr>
              <w:pStyle w:val="18"/>
              <w:adjustRightInd w:val="0"/>
              <w:snapToGrid w:val="0"/>
              <w:jc w:val="center"/>
              <w:rPr>
                <w:rFonts w:hAnsi="宋体" w:cs="宋体"/>
                <w:color w:val="000000"/>
                <w:szCs w:val="21"/>
              </w:rPr>
            </w:pPr>
            <w:r>
              <w:rPr>
                <w:rFonts w:hint="eastAsia" w:hAnsi="宋体" w:cs="宋体"/>
                <w:b/>
                <w:bCs/>
                <w:color w:val="000000"/>
                <w:szCs w:val="21"/>
              </w:rPr>
              <w:t>技术分（43分）</w:t>
            </w:r>
          </w:p>
        </w:tc>
      </w:tr>
      <w:tr>
        <w:tblPrEx>
          <w:tblLayout w:type="fixed"/>
          <w:tblCellMar>
            <w:top w:w="0" w:type="dxa"/>
            <w:left w:w="108" w:type="dxa"/>
            <w:bottom w:w="0" w:type="dxa"/>
            <w:right w:w="108" w:type="dxa"/>
          </w:tblCellMar>
        </w:tblPrEx>
        <w:trPr>
          <w:trHeight w:val="1369" w:hRule="atLeast"/>
        </w:trPr>
        <w:tc>
          <w:tcPr>
            <w:tcW w:w="68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00" w:lineRule="auto"/>
              <w:jc w:val="center"/>
              <w:rPr>
                <w:rFonts w:ascii="宋体" w:hAnsi="宋体" w:cs="宋体"/>
                <w:kern w:val="0"/>
                <w:szCs w:val="21"/>
              </w:rPr>
            </w:pPr>
            <w:r>
              <w:rPr>
                <w:rFonts w:hint="eastAsia" w:ascii="宋体" w:hAnsi="宋体" w:cs="宋体"/>
                <w:kern w:val="0"/>
                <w:szCs w:val="21"/>
              </w:rPr>
              <w:t>1</w:t>
            </w:r>
          </w:p>
        </w:tc>
        <w:tc>
          <w:tcPr>
            <w:tcW w:w="1440" w:type="dxa"/>
            <w:tcBorders>
              <w:top w:val="single" w:color="000000" w:sz="4" w:space="0"/>
              <w:left w:val="nil"/>
              <w:bottom w:val="single" w:color="000000" w:sz="4" w:space="0"/>
              <w:right w:val="single" w:color="auto" w:sz="4" w:space="0"/>
            </w:tcBorders>
            <w:vAlign w:val="center"/>
          </w:tcPr>
          <w:p>
            <w:pPr>
              <w:rPr>
                <w:color w:val="auto"/>
              </w:rPr>
            </w:pPr>
            <w:r>
              <w:rPr>
                <w:rFonts w:hint="eastAsia"/>
                <w:color w:val="auto"/>
              </w:rPr>
              <w:t>招标货物的性能及技术指标</w:t>
            </w:r>
          </w:p>
          <w:p>
            <w:pPr>
              <w:pStyle w:val="18"/>
              <w:adjustRightInd w:val="0"/>
              <w:snapToGrid w:val="0"/>
              <w:spacing w:before="120" w:after="120" w:line="300" w:lineRule="auto"/>
              <w:jc w:val="center"/>
              <w:rPr>
                <w:rFonts w:hAnsi="宋体" w:cs="宋体"/>
                <w:color w:val="auto"/>
                <w:szCs w:val="21"/>
              </w:rPr>
            </w:pPr>
          </w:p>
        </w:tc>
        <w:tc>
          <w:tcPr>
            <w:tcW w:w="5565" w:type="dxa"/>
            <w:tcBorders>
              <w:top w:val="single" w:color="000000" w:sz="4" w:space="0"/>
              <w:left w:val="nil"/>
              <w:bottom w:val="single" w:color="000000" w:sz="4" w:space="0"/>
              <w:right w:val="single" w:color="000000" w:sz="4" w:space="0"/>
            </w:tcBorders>
            <w:vAlign w:val="center"/>
          </w:tcPr>
          <w:p>
            <w:pPr>
              <w:numPr>
                <w:ilvl w:val="0"/>
                <w:numId w:val="9"/>
              </w:numPr>
              <w:rPr>
                <w:color w:val="auto"/>
              </w:rPr>
            </w:pPr>
            <w:r>
              <w:rPr>
                <w:rFonts w:hint="eastAsia"/>
                <w:color w:val="auto"/>
              </w:rPr>
              <w:t>投标货物（软、硬件）技术参数全部响应招标文件要求的技术参数、技术规格、技术规范和技术要求的得基本7 分；否则该项不得分。</w:t>
            </w:r>
          </w:p>
          <w:p>
            <w:pPr>
              <w:numPr>
                <w:ilvl w:val="1"/>
                <w:numId w:val="10"/>
              </w:numPr>
              <w:rPr>
                <w:color w:val="auto"/>
              </w:rPr>
            </w:pPr>
            <w:r>
              <w:rPr>
                <w:rFonts w:hint="eastAsia"/>
                <w:color w:val="auto"/>
              </w:rPr>
              <w:t>所有重要指标（★条款指标）满足且指标明显优于招标需求的（即正偏离），每优于一项加  0.5</w:t>
            </w:r>
            <w:r>
              <w:rPr>
                <w:rFonts w:hint="eastAsia"/>
                <w:color w:val="auto"/>
                <w:lang w:val="en-US" w:eastAsia="zh-CN"/>
              </w:rPr>
              <w:t>-1</w:t>
            </w:r>
            <w:r>
              <w:rPr>
                <w:rFonts w:hint="eastAsia"/>
                <w:color w:val="auto"/>
              </w:rPr>
              <w:t>分，最高得3分；重要指标（★条款指标）参数不允许负偏离。</w:t>
            </w:r>
          </w:p>
          <w:p>
            <w:pPr>
              <w:numPr>
                <w:ilvl w:val="1"/>
                <w:numId w:val="10"/>
              </w:numPr>
              <w:rPr>
                <w:color w:val="auto"/>
              </w:rPr>
            </w:pPr>
            <w:r>
              <w:rPr>
                <w:rFonts w:hint="eastAsia"/>
                <w:color w:val="auto"/>
              </w:rPr>
              <w:t>硬件其他参数：每个正偏离得0.5</w:t>
            </w:r>
            <w:r>
              <w:rPr>
                <w:rFonts w:hint="eastAsia"/>
                <w:color w:val="auto"/>
                <w:lang w:val="en-US" w:eastAsia="zh-CN"/>
              </w:rPr>
              <w:t>-2</w:t>
            </w:r>
            <w:r>
              <w:rPr>
                <w:rFonts w:hint="eastAsia"/>
                <w:color w:val="auto"/>
              </w:rPr>
              <w:t>分，最高得3分；每个负偏离扣</w:t>
            </w:r>
            <w:r>
              <w:rPr>
                <w:rFonts w:hint="eastAsia"/>
                <w:color w:val="auto"/>
                <w:lang w:val="en-US" w:eastAsia="zh-CN"/>
              </w:rPr>
              <w:t>0.5-2</w:t>
            </w:r>
            <w:r>
              <w:rPr>
                <w:rFonts w:hint="eastAsia"/>
                <w:color w:val="auto"/>
              </w:rPr>
              <w:t>分，基本分扣完为止。</w:t>
            </w:r>
          </w:p>
          <w:p>
            <w:pPr>
              <w:pStyle w:val="2"/>
              <w:rPr>
                <w:color w:val="auto"/>
              </w:rPr>
            </w:pPr>
            <w:r>
              <w:rPr>
                <w:rFonts w:hint="eastAsia"/>
                <w:color w:val="auto"/>
              </w:rPr>
              <w:t>注：所投产品性能高于招标技术参数的为正偏离，低于招标技术参数的为负偏离，等于招标技术参数的为无偏离。</w:t>
            </w:r>
          </w:p>
        </w:tc>
        <w:tc>
          <w:tcPr>
            <w:tcW w:w="1166" w:type="dxa"/>
            <w:tcBorders>
              <w:top w:val="single" w:color="000000" w:sz="4" w:space="0"/>
              <w:left w:val="nil"/>
              <w:bottom w:val="single" w:color="000000" w:sz="4" w:space="0"/>
              <w:right w:val="single" w:color="000000" w:sz="4" w:space="0"/>
            </w:tcBorders>
            <w:vAlign w:val="center"/>
          </w:tcPr>
          <w:p>
            <w:pPr>
              <w:pStyle w:val="18"/>
              <w:adjustRightInd w:val="0"/>
              <w:snapToGrid w:val="0"/>
              <w:spacing w:before="120" w:after="120" w:line="300" w:lineRule="auto"/>
              <w:jc w:val="center"/>
              <w:rPr>
                <w:rFonts w:hAnsi="宋体" w:cs="宋体"/>
                <w:color w:val="000000"/>
                <w:szCs w:val="21"/>
              </w:rPr>
            </w:pPr>
            <w:r>
              <w:rPr>
                <w:rFonts w:hint="eastAsia" w:hAnsi="宋体" w:cs="宋体"/>
                <w:color w:val="000000"/>
                <w:szCs w:val="21"/>
              </w:rPr>
              <w:t>13</w:t>
            </w:r>
          </w:p>
        </w:tc>
      </w:tr>
      <w:tr>
        <w:tblPrEx>
          <w:tblLayout w:type="fixed"/>
          <w:tblCellMar>
            <w:top w:w="0" w:type="dxa"/>
            <w:left w:w="108" w:type="dxa"/>
            <w:bottom w:w="0" w:type="dxa"/>
            <w:right w:w="108" w:type="dxa"/>
          </w:tblCellMar>
        </w:tblPrEx>
        <w:trPr>
          <w:trHeight w:val="90" w:hRule="atLeast"/>
        </w:trPr>
        <w:tc>
          <w:tcPr>
            <w:tcW w:w="68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00" w:lineRule="auto"/>
              <w:jc w:val="center"/>
              <w:rPr>
                <w:rFonts w:ascii="宋体" w:hAnsi="宋体" w:cs="宋体"/>
                <w:kern w:val="0"/>
                <w:szCs w:val="21"/>
              </w:rPr>
            </w:pPr>
            <w:r>
              <w:rPr>
                <w:rFonts w:hint="eastAsia" w:ascii="宋体" w:hAnsi="宋体" w:cs="宋体"/>
                <w:kern w:val="0"/>
                <w:szCs w:val="21"/>
              </w:rPr>
              <w:t>2</w:t>
            </w:r>
          </w:p>
        </w:tc>
        <w:tc>
          <w:tcPr>
            <w:tcW w:w="1440" w:type="dxa"/>
            <w:tcBorders>
              <w:top w:val="single" w:color="000000" w:sz="4" w:space="0"/>
              <w:left w:val="nil"/>
              <w:bottom w:val="single" w:color="000000" w:sz="4" w:space="0"/>
              <w:right w:val="single" w:color="auto" w:sz="4" w:space="0"/>
            </w:tcBorders>
            <w:vAlign w:val="center"/>
          </w:tcPr>
          <w:p>
            <w:pPr>
              <w:pStyle w:val="18"/>
              <w:adjustRightInd w:val="0"/>
              <w:snapToGrid w:val="0"/>
              <w:spacing w:before="120" w:after="120" w:line="300" w:lineRule="auto"/>
              <w:jc w:val="center"/>
              <w:rPr>
                <w:rFonts w:hAnsi="宋体" w:cs="宋体"/>
                <w:color w:val="000000"/>
                <w:szCs w:val="21"/>
              </w:rPr>
            </w:pPr>
            <w:r>
              <w:rPr>
                <w:rFonts w:hint="eastAsia" w:hAnsi="宋体" w:cs="宋体"/>
                <w:color w:val="000000"/>
                <w:szCs w:val="21"/>
              </w:rPr>
              <w:t>项目实方案</w:t>
            </w:r>
          </w:p>
        </w:tc>
        <w:tc>
          <w:tcPr>
            <w:tcW w:w="5565" w:type="dxa"/>
            <w:tcBorders>
              <w:top w:val="single" w:color="000000" w:sz="4" w:space="0"/>
              <w:left w:val="nil"/>
              <w:bottom w:val="single" w:color="000000" w:sz="4" w:space="0"/>
              <w:right w:val="single" w:color="000000" w:sz="4" w:space="0"/>
            </w:tcBorders>
            <w:vAlign w:val="center"/>
          </w:tcPr>
          <w:p>
            <w:pPr>
              <w:rPr>
                <w:rFonts w:ascii="宋体" w:hAnsi="宋体" w:cs="宋体"/>
                <w:szCs w:val="21"/>
              </w:rPr>
            </w:pPr>
            <w:r>
              <w:rPr>
                <w:rFonts w:hint="eastAsia" w:ascii="宋体" w:hAnsi="宋体" w:cs="宋体"/>
                <w:szCs w:val="21"/>
              </w:rPr>
              <w:t>1.根据投标人提出的项目整体实施方案是否技术先进、经济合理、实用可靠（包括组织机构、工作时间进度表、工作程序和步骤、管理和协调方法、关键步骤的思路和要点等实质性内容）酌情给分，很好得5分，良好得3分，一般1分，差不得分。</w:t>
            </w:r>
          </w:p>
          <w:p>
            <w:pPr>
              <w:rPr>
                <w:rFonts w:ascii="宋体" w:hAnsi="宋体" w:cs="宋体"/>
                <w:b/>
                <w:bCs/>
                <w:szCs w:val="21"/>
              </w:rPr>
            </w:pPr>
            <w:r>
              <w:rPr>
                <w:rFonts w:hint="eastAsia" w:ascii="宋体" w:hAnsi="宋体" w:cs="宋体"/>
                <w:szCs w:val="21"/>
              </w:rPr>
              <w:t>2.为了避免学校重复繁琐的数据导入，力求数据的真实可靠性，本次建设内容要与《浙江省普通高中选课系统》、《浙江省中小学电子学籍系统》、《浙江省普通高中学生综合素质评价系统》紧密衔接，数据共享。能够提供与《浙江省普通高中选课系统》对接的书面证明材料的得4分；能够提供与《浙江省中小学电子学籍系统》对接的书面证明材料的得3分；能够提供与《浙江省普通高中学生综合素质评价系统》对接的书面证明材料的得3分；未提供证明材料的不得分。</w:t>
            </w:r>
          </w:p>
        </w:tc>
        <w:tc>
          <w:tcPr>
            <w:tcW w:w="1166" w:type="dxa"/>
            <w:tcBorders>
              <w:top w:val="single" w:color="000000" w:sz="4" w:space="0"/>
              <w:left w:val="nil"/>
              <w:bottom w:val="single" w:color="000000" w:sz="4" w:space="0"/>
              <w:right w:val="single" w:color="000000" w:sz="4" w:space="0"/>
            </w:tcBorders>
            <w:vAlign w:val="center"/>
          </w:tcPr>
          <w:p>
            <w:pPr>
              <w:pStyle w:val="18"/>
              <w:adjustRightInd w:val="0"/>
              <w:snapToGrid w:val="0"/>
              <w:spacing w:before="120" w:after="120" w:line="300" w:lineRule="auto"/>
              <w:jc w:val="center"/>
              <w:rPr>
                <w:rFonts w:hAnsi="宋体" w:cs="宋体"/>
                <w:color w:val="000000"/>
                <w:szCs w:val="21"/>
              </w:rPr>
            </w:pPr>
            <w:r>
              <w:rPr>
                <w:rFonts w:hint="eastAsia" w:hAnsi="宋体" w:cs="宋体"/>
                <w:color w:val="000000"/>
                <w:szCs w:val="21"/>
              </w:rPr>
              <w:t>15</w:t>
            </w:r>
          </w:p>
        </w:tc>
      </w:tr>
      <w:tr>
        <w:tblPrEx>
          <w:tblLayout w:type="fixed"/>
          <w:tblCellMar>
            <w:top w:w="0" w:type="dxa"/>
            <w:left w:w="108" w:type="dxa"/>
            <w:bottom w:w="0" w:type="dxa"/>
            <w:right w:w="108" w:type="dxa"/>
          </w:tblCellMar>
        </w:tblPrEx>
        <w:trPr>
          <w:trHeight w:val="912" w:hRule="atLeast"/>
        </w:trPr>
        <w:tc>
          <w:tcPr>
            <w:tcW w:w="68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00" w:lineRule="auto"/>
              <w:jc w:val="center"/>
              <w:rPr>
                <w:rFonts w:ascii="宋体" w:hAnsi="宋体" w:cs="宋体"/>
                <w:kern w:val="0"/>
                <w:szCs w:val="21"/>
              </w:rPr>
            </w:pPr>
            <w:r>
              <w:rPr>
                <w:rFonts w:hint="eastAsia" w:ascii="宋体" w:hAnsi="宋体" w:cs="宋体"/>
                <w:kern w:val="0"/>
                <w:szCs w:val="21"/>
              </w:rPr>
              <w:t>3</w:t>
            </w:r>
          </w:p>
        </w:tc>
        <w:tc>
          <w:tcPr>
            <w:tcW w:w="1440" w:type="dxa"/>
            <w:tcBorders>
              <w:top w:val="single" w:color="000000" w:sz="4" w:space="0"/>
              <w:left w:val="nil"/>
              <w:bottom w:val="single" w:color="000000" w:sz="4" w:space="0"/>
              <w:right w:val="single" w:color="auto" w:sz="4" w:space="0"/>
            </w:tcBorders>
            <w:vAlign w:val="center"/>
          </w:tcPr>
          <w:p>
            <w:pPr>
              <w:pStyle w:val="18"/>
              <w:adjustRightInd w:val="0"/>
              <w:snapToGrid w:val="0"/>
              <w:spacing w:before="120" w:after="120" w:line="300" w:lineRule="auto"/>
              <w:jc w:val="center"/>
              <w:rPr>
                <w:rFonts w:hAnsi="宋体" w:cs="宋体"/>
                <w:szCs w:val="21"/>
              </w:rPr>
            </w:pPr>
            <w:r>
              <w:rPr>
                <w:rFonts w:hint="eastAsia" w:hAnsi="宋体" w:cs="宋体"/>
                <w:szCs w:val="21"/>
              </w:rPr>
              <w:t>演示</w:t>
            </w:r>
          </w:p>
        </w:tc>
        <w:tc>
          <w:tcPr>
            <w:tcW w:w="5565" w:type="dxa"/>
            <w:tcBorders>
              <w:top w:val="single" w:color="000000" w:sz="4" w:space="0"/>
              <w:left w:val="nil"/>
              <w:bottom w:val="single" w:color="000000" w:sz="4" w:space="0"/>
              <w:right w:val="single" w:color="000000" w:sz="4" w:space="0"/>
            </w:tcBorders>
            <w:vAlign w:val="center"/>
          </w:tcPr>
          <w:p>
            <w:pPr>
              <w:widowControl/>
            </w:pPr>
            <w:r>
              <w:rPr>
                <w:rFonts w:hint="eastAsia"/>
              </w:rPr>
              <w:t>演示要求：</w:t>
            </w:r>
          </w:p>
          <w:p>
            <w:r>
              <w:rPr>
                <w:rFonts w:hint="eastAsia"/>
              </w:rPr>
              <w:t>演示软件须提供真实运行系统演示，每位供应商代表演示时间不超过15分钟,不接受Demo、PPT、静态图片等概念原型方式，具体要求如下：</w:t>
            </w:r>
          </w:p>
          <w:p>
            <w:pPr>
              <w:rPr>
                <w:rFonts w:ascii="宋体" w:hAnsi="宋体" w:cs="宋体"/>
                <w:szCs w:val="21"/>
              </w:rPr>
            </w:pPr>
            <w:r>
              <w:rPr>
                <w:rFonts w:hint="eastAsia" w:asciiTheme="majorEastAsia" w:hAnsiTheme="majorEastAsia" w:eastAsiaTheme="majorEastAsia"/>
              </w:rPr>
              <w:t>1.能够演示学生请假通过班牌提交申请及班主任查询申请结果得5分；只具备班牌提交学生请假申请的</w:t>
            </w:r>
            <w:r>
              <w:rPr>
                <w:rFonts w:hint="eastAsia" w:ascii="宋体" w:hAnsi="宋体" w:cs="宋体"/>
                <w:szCs w:val="21"/>
              </w:rPr>
              <w:t>3分，只具备</w:t>
            </w:r>
            <w:r>
              <w:rPr>
                <w:rFonts w:hint="eastAsia" w:asciiTheme="majorEastAsia" w:hAnsiTheme="majorEastAsia" w:eastAsiaTheme="majorEastAsia"/>
              </w:rPr>
              <w:t>班主任查询申请结果</w:t>
            </w:r>
            <w:r>
              <w:rPr>
                <w:rFonts w:hint="eastAsia" w:ascii="宋体" w:hAnsi="宋体" w:cs="宋体"/>
                <w:szCs w:val="21"/>
              </w:rPr>
              <w:t>得1分，其他不得分。</w:t>
            </w:r>
          </w:p>
          <w:p>
            <w:pPr>
              <w:rPr>
                <w:rFonts w:asciiTheme="majorEastAsia" w:hAnsiTheme="majorEastAsia" w:eastAsiaTheme="majorEastAsia"/>
              </w:rPr>
            </w:pPr>
            <w:r>
              <w:rPr>
                <w:rFonts w:hint="eastAsia" w:asciiTheme="majorEastAsia" w:hAnsiTheme="majorEastAsia" w:eastAsiaTheme="majorEastAsia"/>
              </w:rPr>
              <w:t>。</w:t>
            </w:r>
          </w:p>
          <w:p>
            <w:pPr>
              <w:rPr>
                <w:rFonts w:ascii="宋体" w:hAnsi="宋体" w:cs="宋体"/>
                <w:szCs w:val="21"/>
              </w:rPr>
            </w:pPr>
            <w:r>
              <w:rPr>
                <w:rFonts w:hint="eastAsia" w:asciiTheme="majorEastAsia" w:hAnsiTheme="majorEastAsia" w:eastAsiaTheme="majorEastAsia"/>
              </w:rPr>
              <w:t>2.能够演示通过App查看学生小组分组及对学习情况进行评分的得5分；只能对小组学习情况进行评分</w:t>
            </w:r>
            <w:r>
              <w:rPr>
                <w:rFonts w:hint="eastAsia" w:ascii="宋体" w:hAnsi="宋体" w:cs="宋体"/>
                <w:szCs w:val="21"/>
              </w:rPr>
              <w:t>得3分，只能</w:t>
            </w:r>
            <w:r>
              <w:rPr>
                <w:rFonts w:hint="eastAsia" w:asciiTheme="majorEastAsia" w:hAnsiTheme="majorEastAsia" w:eastAsiaTheme="majorEastAsia"/>
              </w:rPr>
              <w:t>查看学生小组分组情况</w:t>
            </w:r>
            <w:r>
              <w:rPr>
                <w:rFonts w:hint="eastAsia" w:ascii="宋体" w:hAnsi="宋体" w:cs="宋体"/>
                <w:szCs w:val="21"/>
              </w:rPr>
              <w:t>得1分，差不得分。</w:t>
            </w:r>
          </w:p>
          <w:p>
            <w:pPr>
              <w:rPr>
                <w:rFonts w:asciiTheme="majorEastAsia" w:hAnsiTheme="majorEastAsia" w:eastAsiaTheme="majorEastAsia"/>
              </w:rPr>
            </w:pPr>
            <w:r>
              <w:rPr>
                <w:rFonts w:hint="eastAsia" w:asciiTheme="majorEastAsia" w:hAnsiTheme="majorEastAsia" w:eastAsiaTheme="majorEastAsia"/>
              </w:rPr>
              <w:t>。</w:t>
            </w:r>
          </w:p>
          <w:p>
            <w:pPr>
              <w:rPr>
                <w:rFonts w:ascii="宋体" w:hAnsi="宋体" w:cs="宋体"/>
                <w:szCs w:val="21"/>
              </w:rPr>
            </w:pPr>
            <w:r>
              <w:rPr>
                <w:rFonts w:hint="eastAsia" w:asciiTheme="majorEastAsia" w:hAnsiTheme="majorEastAsia" w:eastAsiaTheme="majorEastAsia"/>
              </w:rPr>
              <w:t>3.能够完全演示通过德育App进行班级德育项目评分实时推送班牌、查询及结果管理的得5分；只能进行评分操作</w:t>
            </w:r>
            <w:r>
              <w:rPr>
                <w:rFonts w:hint="eastAsia" w:ascii="宋体" w:hAnsi="宋体" w:cs="宋体"/>
                <w:szCs w:val="21"/>
              </w:rPr>
              <w:t>得3分，只能进行查询得1分，其他不得分。</w:t>
            </w:r>
          </w:p>
          <w:p>
            <w:r>
              <w:rPr>
                <w:rFonts w:hint="eastAsia" w:asciiTheme="majorEastAsia" w:hAnsiTheme="majorEastAsia" w:eastAsiaTheme="majorEastAsia"/>
              </w:rPr>
              <w:t>。</w:t>
            </w:r>
          </w:p>
        </w:tc>
        <w:tc>
          <w:tcPr>
            <w:tcW w:w="1166" w:type="dxa"/>
            <w:tcBorders>
              <w:top w:val="single" w:color="000000" w:sz="4" w:space="0"/>
              <w:left w:val="nil"/>
              <w:bottom w:val="single" w:color="000000" w:sz="4" w:space="0"/>
              <w:right w:val="single" w:color="000000" w:sz="4" w:space="0"/>
            </w:tcBorders>
            <w:vAlign w:val="center"/>
          </w:tcPr>
          <w:p>
            <w:pPr>
              <w:pStyle w:val="18"/>
              <w:adjustRightInd w:val="0"/>
              <w:snapToGrid w:val="0"/>
              <w:spacing w:before="120" w:after="120" w:line="300" w:lineRule="auto"/>
              <w:jc w:val="center"/>
              <w:rPr>
                <w:rFonts w:hAnsi="宋体" w:cs="宋体"/>
                <w:color w:val="000000"/>
                <w:szCs w:val="21"/>
              </w:rPr>
            </w:pPr>
            <w:r>
              <w:rPr>
                <w:rFonts w:hint="eastAsia" w:hAnsi="宋体" w:cs="宋体"/>
                <w:szCs w:val="21"/>
              </w:rPr>
              <w:t>15</w:t>
            </w:r>
          </w:p>
        </w:tc>
      </w:tr>
      <w:tr>
        <w:tblPrEx>
          <w:tblLayout w:type="fixed"/>
          <w:tblCellMar>
            <w:top w:w="0" w:type="dxa"/>
            <w:left w:w="108" w:type="dxa"/>
            <w:bottom w:w="0" w:type="dxa"/>
            <w:right w:w="108" w:type="dxa"/>
          </w:tblCellMar>
        </w:tblPrEx>
        <w:trPr>
          <w:trHeight w:val="140" w:hRule="atLeast"/>
        </w:trPr>
        <w:tc>
          <w:tcPr>
            <w:tcW w:w="8856" w:type="dxa"/>
            <w:gridSpan w:val="4"/>
            <w:tcBorders>
              <w:top w:val="single" w:color="000000" w:sz="4" w:space="0"/>
              <w:left w:val="single" w:color="000000" w:sz="4" w:space="0"/>
              <w:bottom w:val="single" w:color="000000" w:sz="4" w:space="0"/>
              <w:right w:val="single" w:color="000000" w:sz="4" w:space="0"/>
            </w:tcBorders>
            <w:vAlign w:val="center"/>
          </w:tcPr>
          <w:p>
            <w:pPr>
              <w:pStyle w:val="18"/>
              <w:adjustRightInd w:val="0"/>
              <w:snapToGrid w:val="0"/>
              <w:jc w:val="center"/>
              <w:rPr>
                <w:rFonts w:hAnsi="宋体" w:cs="宋体"/>
                <w:szCs w:val="21"/>
              </w:rPr>
            </w:pPr>
            <w:r>
              <w:rPr>
                <w:rFonts w:hint="eastAsia" w:hAnsi="宋体" w:cs="宋体"/>
                <w:b/>
                <w:bCs/>
                <w:szCs w:val="21"/>
              </w:rPr>
              <w:t>商务分（8分）</w:t>
            </w:r>
          </w:p>
        </w:tc>
      </w:tr>
      <w:tr>
        <w:tblPrEx>
          <w:tblLayout w:type="fixed"/>
          <w:tblCellMar>
            <w:top w:w="0" w:type="dxa"/>
            <w:left w:w="108" w:type="dxa"/>
            <w:bottom w:w="0" w:type="dxa"/>
            <w:right w:w="108" w:type="dxa"/>
          </w:tblCellMar>
        </w:tblPrEx>
        <w:trPr>
          <w:trHeight w:val="2971" w:hRule="atLeast"/>
        </w:trPr>
        <w:tc>
          <w:tcPr>
            <w:tcW w:w="68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00" w:lineRule="auto"/>
              <w:jc w:val="center"/>
              <w:rPr>
                <w:rFonts w:ascii="宋体" w:hAnsi="宋体" w:cs="宋体"/>
                <w:kern w:val="0"/>
                <w:szCs w:val="21"/>
              </w:rPr>
            </w:pPr>
            <w:r>
              <w:rPr>
                <w:rFonts w:hint="eastAsia" w:ascii="宋体" w:hAnsi="宋体" w:cs="宋体"/>
                <w:kern w:val="0"/>
                <w:szCs w:val="21"/>
              </w:rPr>
              <w:t>4</w:t>
            </w:r>
          </w:p>
        </w:tc>
        <w:tc>
          <w:tcPr>
            <w:tcW w:w="1440" w:type="dxa"/>
            <w:tcBorders>
              <w:top w:val="single" w:color="000000" w:sz="4" w:space="0"/>
              <w:left w:val="nil"/>
              <w:bottom w:val="single" w:color="000000" w:sz="4" w:space="0"/>
              <w:right w:val="single" w:color="auto" w:sz="4" w:space="0"/>
            </w:tcBorders>
            <w:vAlign w:val="center"/>
          </w:tcPr>
          <w:p>
            <w:pPr>
              <w:pStyle w:val="18"/>
              <w:adjustRightInd w:val="0"/>
              <w:snapToGrid w:val="0"/>
              <w:spacing w:before="120" w:after="120" w:line="300" w:lineRule="auto"/>
              <w:jc w:val="center"/>
              <w:rPr>
                <w:rFonts w:hAnsi="宋体" w:cs="宋体"/>
                <w:color w:val="000000"/>
                <w:szCs w:val="21"/>
              </w:rPr>
            </w:pPr>
            <w:r>
              <w:rPr>
                <w:rFonts w:hint="eastAsia" w:hAnsi="宋体" w:cs="宋体"/>
                <w:color w:val="000000"/>
                <w:szCs w:val="21"/>
              </w:rPr>
              <w:t>售后服务</w:t>
            </w:r>
          </w:p>
        </w:tc>
        <w:tc>
          <w:tcPr>
            <w:tcW w:w="5565" w:type="dxa"/>
            <w:tcBorders>
              <w:top w:val="single" w:color="000000" w:sz="4" w:space="0"/>
              <w:left w:val="nil"/>
              <w:bottom w:val="single" w:color="000000" w:sz="4" w:space="0"/>
              <w:right w:val="single" w:color="000000" w:sz="4" w:space="0"/>
            </w:tcBorders>
            <w:vAlign w:val="center"/>
          </w:tcPr>
          <w:p>
            <w:r>
              <w:rPr>
                <w:rFonts w:hint="eastAsia"/>
              </w:rPr>
              <w:t>1.根据售后服务、培训方案是否合理、项目维护计划是否合理（对用户故障的处理）进行综合评审：</w:t>
            </w:r>
          </w:p>
          <w:p>
            <w:pPr>
              <w:ind w:firstLine="315" w:firstLineChars="150"/>
            </w:pPr>
            <w:r>
              <w:rPr>
                <w:rFonts w:hint="eastAsia"/>
              </w:rPr>
              <w:t>故障报修30分钟内响应的同时维护计划充实科学的得3分；响应时间超过30分钟的，项目维护计划不科学不充实的酌情扣0.5分-3分，扣完为止。</w:t>
            </w:r>
          </w:p>
          <w:p>
            <w:pPr>
              <w:numPr>
                <w:ilvl w:val="0"/>
                <w:numId w:val="11"/>
              </w:numPr>
            </w:pPr>
            <w:r>
              <w:rPr>
                <w:rFonts w:hint="eastAsia"/>
              </w:rPr>
              <w:t>投标人服务网点在湖州市得2分；服务网点在湖州市以外的得1分；浙江省外不得分。（须提供详细的网点全称、施工人员社保证明、联系人、联系方式等相关证明材料，未提供相关证明材料的该项不得分）。</w:t>
            </w:r>
          </w:p>
        </w:tc>
        <w:tc>
          <w:tcPr>
            <w:tcW w:w="1166" w:type="dxa"/>
            <w:tcBorders>
              <w:top w:val="single" w:color="000000" w:sz="4" w:space="0"/>
              <w:left w:val="nil"/>
              <w:bottom w:val="single" w:color="000000" w:sz="4" w:space="0"/>
              <w:right w:val="single" w:color="000000" w:sz="4" w:space="0"/>
            </w:tcBorders>
            <w:vAlign w:val="center"/>
          </w:tcPr>
          <w:p>
            <w:pPr>
              <w:pStyle w:val="18"/>
              <w:adjustRightInd w:val="0"/>
              <w:snapToGrid w:val="0"/>
              <w:spacing w:before="120" w:after="120" w:line="300" w:lineRule="auto"/>
              <w:jc w:val="center"/>
              <w:rPr>
                <w:rFonts w:hAnsi="宋体" w:cs="宋体"/>
                <w:szCs w:val="21"/>
              </w:rPr>
            </w:pPr>
            <w:r>
              <w:rPr>
                <w:rFonts w:hint="eastAsia" w:hAnsi="宋体" w:cs="宋体"/>
                <w:szCs w:val="21"/>
              </w:rPr>
              <w:t>5</w:t>
            </w:r>
          </w:p>
        </w:tc>
      </w:tr>
      <w:tr>
        <w:tblPrEx>
          <w:tblLayout w:type="fixed"/>
          <w:tblCellMar>
            <w:top w:w="0" w:type="dxa"/>
            <w:left w:w="108" w:type="dxa"/>
            <w:bottom w:w="0" w:type="dxa"/>
            <w:right w:w="108" w:type="dxa"/>
          </w:tblCellMar>
        </w:tblPrEx>
        <w:trPr>
          <w:trHeight w:val="1953" w:hRule="atLeast"/>
        </w:trPr>
        <w:tc>
          <w:tcPr>
            <w:tcW w:w="68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00" w:lineRule="auto"/>
              <w:jc w:val="center"/>
              <w:rPr>
                <w:rFonts w:ascii="宋体" w:hAnsi="宋体" w:cs="宋体"/>
                <w:kern w:val="0"/>
                <w:szCs w:val="21"/>
              </w:rPr>
            </w:pPr>
            <w:r>
              <w:rPr>
                <w:rFonts w:hint="eastAsia" w:ascii="宋体" w:hAnsi="宋体" w:cs="宋体"/>
                <w:kern w:val="0"/>
                <w:szCs w:val="21"/>
              </w:rPr>
              <w:t>5</w:t>
            </w:r>
          </w:p>
        </w:tc>
        <w:tc>
          <w:tcPr>
            <w:tcW w:w="1440" w:type="dxa"/>
            <w:tcBorders>
              <w:top w:val="single" w:color="000000" w:sz="4" w:space="0"/>
              <w:left w:val="nil"/>
              <w:bottom w:val="single" w:color="000000" w:sz="4" w:space="0"/>
              <w:right w:val="single" w:color="auto" w:sz="4" w:space="0"/>
            </w:tcBorders>
            <w:vAlign w:val="center"/>
          </w:tcPr>
          <w:p>
            <w:pPr>
              <w:pStyle w:val="18"/>
              <w:adjustRightInd w:val="0"/>
              <w:snapToGrid w:val="0"/>
              <w:spacing w:before="120" w:after="120" w:line="300" w:lineRule="auto"/>
              <w:jc w:val="center"/>
              <w:rPr>
                <w:rFonts w:hAnsi="宋体" w:cs="宋体"/>
                <w:color w:val="000000"/>
                <w:szCs w:val="21"/>
              </w:rPr>
            </w:pPr>
            <w:r>
              <w:rPr>
                <w:rFonts w:hint="eastAsia" w:hAnsi="宋体" w:cs="宋体"/>
                <w:color w:val="000000"/>
                <w:szCs w:val="21"/>
              </w:rPr>
              <w:t>硬件质保期</w:t>
            </w:r>
          </w:p>
        </w:tc>
        <w:tc>
          <w:tcPr>
            <w:tcW w:w="5565" w:type="dxa"/>
            <w:tcBorders>
              <w:top w:val="single" w:color="000000" w:sz="4" w:space="0"/>
              <w:left w:val="nil"/>
              <w:bottom w:val="single" w:color="000000" w:sz="4" w:space="0"/>
              <w:right w:val="single" w:color="000000" w:sz="4" w:space="0"/>
            </w:tcBorders>
            <w:vAlign w:val="center"/>
          </w:tcPr>
          <w:p>
            <w:r>
              <w:rPr>
                <w:rFonts w:hint="eastAsia"/>
              </w:rPr>
              <w:t>1.所投标货物硬件质保期在三年及三年以下的不得分。</w:t>
            </w:r>
          </w:p>
          <w:p>
            <w:pPr>
              <w:rPr>
                <w:rFonts w:eastAsiaTheme="majorEastAsia"/>
              </w:rPr>
            </w:pPr>
            <w:r>
              <w:rPr>
                <w:rFonts w:hint="eastAsia"/>
              </w:rPr>
              <w:t>2.所投标货物硬件质保期在三年以上的，每增加一年得1分，</w:t>
            </w:r>
            <w:r>
              <w:rPr>
                <w:rFonts w:hint="eastAsia"/>
                <w:color w:val="FF0000"/>
              </w:rPr>
              <w:t>最多不超过</w:t>
            </w:r>
            <w:r>
              <w:rPr>
                <w:rFonts w:hint="eastAsia"/>
                <w:color w:val="FF0000"/>
                <w:lang w:val="en-US" w:eastAsia="zh-CN"/>
              </w:rPr>
              <w:t>3</w:t>
            </w:r>
            <w:r>
              <w:rPr>
                <w:rFonts w:hint="eastAsia"/>
                <w:color w:val="FF0000"/>
              </w:rPr>
              <w:t>分</w:t>
            </w:r>
            <w:r>
              <w:rPr>
                <w:rFonts w:hint="eastAsia"/>
                <w:color w:val="FF0000"/>
                <w:lang w:eastAsia="zh-CN"/>
              </w:rPr>
              <w:t>；</w:t>
            </w:r>
            <w:r>
              <w:rPr>
                <w:rFonts w:hint="eastAsia"/>
                <w:color w:val="FF0000"/>
                <w:lang w:val="en-US" w:eastAsia="zh-CN"/>
              </w:rPr>
              <w:t>中标单位在中标后需向甲方提供本项目的厂家授权证书和质保证</w:t>
            </w:r>
            <w:bookmarkStart w:id="58" w:name="_GoBack"/>
            <w:bookmarkEnd w:id="58"/>
            <w:r>
              <w:rPr>
                <w:rFonts w:hint="eastAsia"/>
                <w:color w:val="FF0000"/>
                <w:lang w:val="en-US" w:eastAsia="zh-CN"/>
              </w:rPr>
              <w:t>书。</w:t>
            </w:r>
          </w:p>
        </w:tc>
        <w:tc>
          <w:tcPr>
            <w:tcW w:w="1166" w:type="dxa"/>
            <w:tcBorders>
              <w:top w:val="single" w:color="000000" w:sz="4" w:space="0"/>
              <w:left w:val="nil"/>
              <w:bottom w:val="single" w:color="000000" w:sz="4" w:space="0"/>
              <w:right w:val="single" w:color="000000" w:sz="4" w:space="0"/>
            </w:tcBorders>
            <w:vAlign w:val="center"/>
          </w:tcPr>
          <w:p>
            <w:pPr>
              <w:pStyle w:val="18"/>
              <w:adjustRightInd w:val="0"/>
              <w:snapToGrid w:val="0"/>
              <w:spacing w:before="120" w:after="120" w:line="300" w:lineRule="auto"/>
              <w:jc w:val="center"/>
              <w:rPr>
                <w:rFonts w:hAnsi="宋体" w:cs="宋体"/>
                <w:szCs w:val="21"/>
              </w:rPr>
            </w:pPr>
            <w:r>
              <w:rPr>
                <w:rFonts w:hint="eastAsia" w:hAnsi="宋体" w:cs="宋体"/>
                <w:szCs w:val="21"/>
              </w:rPr>
              <w:t>3</w:t>
            </w:r>
          </w:p>
        </w:tc>
      </w:tr>
      <w:tr>
        <w:tblPrEx>
          <w:tblLayout w:type="fixed"/>
          <w:tblCellMar>
            <w:top w:w="0" w:type="dxa"/>
            <w:left w:w="108" w:type="dxa"/>
            <w:bottom w:w="0" w:type="dxa"/>
            <w:right w:w="108" w:type="dxa"/>
          </w:tblCellMar>
        </w:tblPrEx>
        <w:trPr>
          <w:trHeight w:val="244" w:hRule="atLeast"/>
        </w:trPr>
        <w:tc>
          <w:tcPr>
            <w:tcW w:w="8856" w:type="dxa"/>
            <w:gridSpan w:val="4"/>
            <w:tcBorders>
              <w:top w:val="single" w:color="000000" w:sz="4" w:space="0"/>
              <w:left w:val="single" w:color="000000" w:sz="4" w:space="0"/>
              <w:bottom w:val="single" w:color="000000" w:sz="4" w:space="0"/>
              <w:right w:val="single" w:color="000000" w:sz="4" w:space="0"/>
            </w:tcBorders>
            <w:vAlign w:val="center"/>
          </w:tcPr>
          <w:p>
            <w:pPr>
              <w:pStyle w:val="18"/>
              <w:adjustRightInd w:val="0"/>
              <w:snapToGrid w:val="0"/>
              <w:jc w:val="center"/>
              <w:rPr>
                <w:rFonts w:hAnsi="宋体" w:cs="宋体"/>
                <w:szCs w:val="21"/>
              </w:rPr>
            </w:pPr>
            <w:r>
              <w:rPr>
                <w:rFonts w:hint="eastAsia" w:hAnsi="宋体" w:cs="宋体"/>
                <w:b/>
                <w:bCs/>
                <w:szCs w:val="21"/>
              </w:rPr>
              <w:t>资信及其他分（19分）</w:t>
            </w:r>
          </w:p>
        </w:tc>
      </w:tr>
      <w:tr>
        <w:tblPrEx>
          <w:tblLayout w:type="fixed"/>
          <w:tblCellMar>
            <w:top w:w="0" w:type="dxa"/>
            <w:left w:w="108" w:type="dxa"/>
            <w:bottom w:w="0" w:type="dxa"/>
            <w:right w:w="108" w:type="dxa"/>
          </w:tblCellMar>
        </w:tblPrEx>
        <w:trPr>
          <w:trHeight w:val="454" w:hRule="atLeast"/>
        </w:trPr>
        <w:tc>
          <w:tcPr>
            <w:tcW w:w="68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00" w:lineRule="auto"/>
              <w:jc w:val="center"/>
              <w:rPr>
                <w:rFonts w:ascii="宋体" w:hAnsi="宋体" w:cs="宋体"/>
                <w:kern w:val="0"/>
                <w:szCs w:val="21"/>
              </w:rPr>
            </w:pPr>
            <w:r>
              <w:rPr>
                <w:rFonts w:hint="eastAsia" w:ascii="宋体" w:hAnsi="宋体" w:cs="宋体"/>
                <w:kern w:val="0"/>
                <w:szCs w:val="21"/>
              </w:rPr>
              <w:t>6</w:t>
            </w:r>
          </w:p>
        </w:tc>
        <w:tc>
          <w:tcPr>
            <w:tcW w:w="1440" w:type="dxa"/>
            <w:tcBorders>
              <w:top w:val="single" w:color="000000" w:sz="4" w:space="0"/>
              <w:left w:val="nil"/>
              <w:bottom w:val="single" w:color="000000" w:sz="4" w:space="0"/>
              <w:right w:val="single" w:color="auto" w:sz="4" w:space="0"/>
            </w:tcBorders>
            <w:vAlign w:val="center"/>
          </w:tcPr>
          <w:p>
            <w:pPr>
              <w:pStyle w:val="18"/>
              <w:adjustRightInd w:val="0"/>
              <w:snapToGrid w:val="0"/>
              <w:spacing w:before="120" w:after="120" w:line="300" w:lineRule="auto"/>
              <w:jc w:val="center"/>
              <w:rPr>
                <w:rFonts w:hAnsi="宋体" w:cs="宋体"/>
                <w:szCs w:val="21"/>
              </w:rPr>
            </w:pPr>
            <w:r>
              <w:rPr>
                <w:rFonts w:hint="eastAsia" w:hAnsi="宋体" w:cs="宋体"/>
                <w:color w:val="000000"/>
                <w:szCs w:val="21"/>
              </w:rPr>
              <w:t>投标人业绩</w:t>
            </w:r>
          </w:p>
        </w:tc>
        <w:tc>
          <w:tcPr>
            <w:tcW w:w="5565" w:type="dxa"/>
            <w:tcBorders>
              <w:top w:val="single" w:color="000000" w:sz="4" w:space="0"/>
              <w:left w:val="nil"/>
              <w:bottom w:val="single" w:color="000000" w:sz="4" w:space="0"/>
              <w:right w:val="single" w:color="000000" w:sz="4" w:space="0"/>
            </w:tcBorders>
            <w:vAlign w:val="center"/>
          </w:tcPr>
          <w:p>
            <w:pPr>
              <w:snapToGrid w:val="0"/>
              <w:rPr>
                <w:rFonts w:ascii="宋体" w:hAnsi="宋体" w:cs="宋体"/>
                <w:b/>
                <w:bCs/>
                <w:szCs w:val="21"/>
              </w:rPr>
            </w:pPr>
            <w:r>
              <w:rPr>
                <w:rFonts w:hint="eastAsia" w:ascii="宋体" w:hAnsi="宋体" w:cs="宋体"/>
                <w:szCs w:val="21"/>
              </w:rPr>
              <w:t xml:space="preserve">投标人自2016年1月1日以来，承建过类似项目的，每提供1个合同得2分，最高得6分，合同不可重复得分。  </w:t>
            </w:r>
          </w:p>
          <w:p>
            <w:pPr>
              <w:rPr>
                <w:rFonts w:ascii="宋体" w:hAnsi="宋体" w:cs="宋体"/>
                <w:b/>
                <w:bCs/>
                <w:szCs w:val="21"/>
              </w:rPr>
            </w:pPr>
            <w:r>
              <w:rPr>
                <w:rFonts w:hint="eastAsia" w:ascii="宋体" w:hAnsi="宋体" w:cs="宋体"/>
                <w:b/>
                <w:bCs/>
                <w:szCs w:val="21"/>
              </w:rPr>
              <w:t>（需提供合同、用户使用报告、验收证明等资料，以上资料提供资料复印件，原件备查。）</w:t>
            </w:r>
          </w:p>
        </w:tc>
        <w:tc>
          <w:tcPr>
            <w:tcW w:w="1166" w:type="dxa"/>
            <w:tcBorders>
              <w:top w:val="single" w:color="000000" w:sz="4" w:space="0"/>
              <w:left w:val="nil"/>
              <w:bottom w:val="single" w:color="000000" w:sz="4" w:space="0"/>
              <w:right w:val="single" w:color="000000" w:sz="4" w:space="0"/>
            </w:tcBorders>
            <w:vAlign w:val="center"/>
          </w:tcPr>
          <w:p>
            <w:pPr>
              <w:pStyle w:val="18"/>
              <w:adjustRightInd w:val="0"/>
              <w:snapToGrid w:val="0"/>
              <w:spacing w:before="120" w:after="120" w:line="300" w:lineRule="auto"/>
              <w:jc w:val="center"/>
              <w:rPr>
                <w:rFonts w:hAnsi="宋体" w:cs="宋体"/>
                <w:szCs w:val="21"/>
              </w:rPr>
            </w:pPr>
            <w:r>
              <w:rPr>
                <w:rFonts w:hint="eastAsia" w:hAnsi="宋体" w:cs="宋体"/>
                <w:szCs w:val="21"/>
              </w:rPr>
              <w:t>6</w:t>
            </w:r>
          </w:p>
        </w:tc>
      </w:tr>
      <w:tr>
        <w:tblPrEx>
          <w:tblLayout w:type="fixed"/>
          <w:tblCellMar>
            <w:top w:w="0" w:type="dxa"/>
            <w:left w:w="108" w:type="dxa"/>
            <w:bottom w:w="0" w:type="dxa"/>
            <w:right w:w="108" w:type="dxa"/>
          </w:tblCellMar>
        </w:tblPrEx>
        <w:trPr>
          <w:trHeight w:val="1051" w:hRule="atLeast"/>
        </w:trPr>
        <w:tc>
          <w:tcPr>
            <w:tcW w:w="68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00" w:lineRule="auto"/>
              <w:jc w:val="center"/>
              <w:rPr>
                <w:rFonts w:ascii="宋体" w:hAnsi="宋体" w:cs="宋体"/>
                <w:color w:val="000000"/>
                <w:szCs w:val="21"/>
              </w:rPr>
            </w:pPr>
            <w:r>
              <w:rPr>
                <w:rFonts w:hint="eastAsia" w:ascii="宋体" w:hAnsi="宋体" w:cs="宋体"/>
                <w:color w:val="000000"/>
                <w:szCs w:val="21"/>
              </w:rPr>
              <w:t>7</w:t>
            </w:r>
          </w:p>
        </w:tc>
        <w:tc>
          <w:tcPr>
            <w:tcW w:w="1440" w:type="dxa"/>
            <w:tcBorders>
              <w:top w:val="single" w:color="000000" w:sz="4" w:space="0"/>
              <w:left w:val="nil"/>
              <w:bottom w:val="single" w:color="000000" w:sz="4" w:space="0"/>
              <w:right w:val="single" w:color="auto" w:sz="4" w:space="0"/>
            </w:tcBorders>
            <w:vAlign w:val="center"/>
          </w:tcPr>
          <w:p>
            <w:pPr>
              <w:snapToGrid w:val="0"/>
              <w:rPr>
                <w:rFonts w:ascii="宋体" w:hAnsi="宋体" w:cs="宋体"/>
                <w:color w:val="000000"/>
                <w:szCs w:val="21"/>
              </w:rPr>
            </w:pPr>
            <w:r>
              <w:rPr>
                <w:rFonts w:hint="eastAsia" w:ascii="宋体" w:hAnsi="宋体" w:cs="宋体"/>
                <w:color w:val="000000"/>
                <w:szCs w:val="21"/>
              </w:rPr>
              <w:t>资质分</w:t>
            </w:r>
          </w:p>
        </w:tc>
        <w:tc>
          <w:tcPr>
            <w:tcW w:w="5565" w:type="dxa"/>
            <w:tcBorders>
              <w:top w:val="single" w:color="000000" w:sz="4" w:space="0"/>
              <w:left w:val="nil"/>
              <w:bottom w:val="single" w:color="000000" w:sz="4" w:space="0"/>
              <w:right w:val="single" w:color="000000" w:sz="4" w:space="0"/>
            </w:tcBorders>
            <w:vAlign w:val="center"/>
          </w:tcPr>
          <w:p>
            <w:pPr>
              <w:snapToGrid w:val="0"/>
              <w:rPr>
                <w:rFonts w:ascii="宋体" w:hAnsi="宋体" w:cs="宋体"/>
                <w:szCs w:val="21"/>
              </w:rPr>
            </w:pPr>
            <w:r>
              <w:rPr>
                <w:rFonts w:hint="eastAsia" w:ascii="宋体" w:hAnsi="宋体" w:cs="宋体"/>
                <w:szCs w:val="21"/>
              </w:rPr>
              <w:t>1.投标人具有相关计算机软件著作权登记证书得1分；</w:t>
            </w:r>
          </w:p>
          <w:p>
            <w:pPr>
              <w:snapToGrid w:val="0"/>
              <w:rPr>
                <w:rFonts w:ascii="宋体" w:hAnsi="宋体" w:cs="宋体"/>
                <w:szCs w:val="21"/>
              </w:rPr>
            </w:pPr>
            <w:r>
              <w:rPr>
                <w:rFonts w:hint="eastAsia" w:ascii="宋体" w:hAnsi="宋体" w:cs="宋体"/>
                <w:szCs w:val="21"/>
              </w:rPr>
              <w:t>2.投标人具有软件企业认定证书得2分。</w:t>
            </w:r>
          </w:p>
          <w:p>
            <w:pPr>
              <w:snapToGrid w:val="0"/>
              <w:rPr>
                <w:rFonts w:ascii="宋体" w:hAnsi="宋体" w:cs="宋体"/>
                <w:szCs w:val="21"/>
              </w:rPr>
            </w:pPr>
            <w:r>
              <w:rPr>
                <w:rFonts w:hint="eastAsia" w:ascii="宋体" w:hAnsi="宋体" w:cs="宋体"/>
                <w:szCs w:val="21"/>
              </w:rPr>
              <w:t>3.投标人具有能力成熟度集成模型认证（CMMI）得2分。</w:t>
            </w:r>
          </w:p>
        </w:tc>
        <w:tc>
          <w:tcPr>
            <w:tcW w:w="1166" w:type="dxa"/>
            <w:tcBorders>
              <w:top w:val="single" w:color="000000" w:sz="4" w:space="0"/>
              <w:left w:val="nil"/>
              <w:bottom w:val="single" w:color="000000" w:sz="4" w:space="0"/>
              <w:right w:val="single" w:color="000000" w:sz="4" w:space="0"/>
            </w:tcBorders>
            <w:vAlign w:val="center"/>
          </w:tcPr>
          <w:p>
            <w:pPr>
              <w:pStyle w:val="18"/>
              <w:adjustRightInd w:val="0"/>
              <w:snapToGrid w:val="0"/>
              <w:spacing w:before="120" w:after="120" w:line="300" w:lineRule="auto"/>
              <w:jc w:val="center"/>
              <w:rPr>
                <w:rFonts w:hAnsi="宋体" w:cs="宋体"/>
                <w:szCs w:val="21"/>
              </w:rPr>
            </w:pPr>
            <w:r>
              <w:rPr>
                <w:rFonts w:hint="eastAsia" w:hAnsi="宋体" w:cs="宋体"/>
                <w:szCs w:val="21"/>
              </w:rPr>
              <w:t>5</w:t>
            </w:r>
          </w:p>
        </w:tc>
      </w:tr>
      <w:tr>
        <w:tblPrEx>
          <w:tblLayout w:type="fixed"/>
          <w:tblCellMar>
            <w:top w:w="0" w:type="dxa"/>
            <w:left w:w="108" w:type="dxa"/>
            <w:bottom w:w="0" w:type="dxa"/>
            <w:right w:w="108" w:type="dxa"/>
          </w:tblCellMar>
        </w:tblPrEx>
        <w:trPr>
          <w:trHeight w:val="1051" w:hRule="atLeast"/>
        </w:trPr>
        <w:tc>
          <w:tcPr>
            <w:tcW w:w="68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00" w:lineRule="auto"/>
              <w:jc w:val="center"/>
              <w:rPr>
                <w:rFonts w:ascii="宋体" w:hAnsi="宋体" w:cs="宋体"/>
                <w:color w:val="000000"/>
                <w:szCs w:val="21"/>
              </w:rPr>
            </w:pPr>
            <w:r>
              <w:rPr>
                <w:rFonts w:hint="eastAsia" w:ascii="宋体" w:hAnsi="宋体" w:cs="宋体"/>
                <w:color w:val="000000"/>
                <w:szCs w:val="21"/>
              </w:rPr>
              <w:t>8</w:t>
            </w:r>
          </w:p>
        </w:tc>
        <w:tc>
          <w:tcPr>
            <w:tcW w:w="1440" w:type="dxa"/>
            <w:tcBorders>
              <w:top w:val="single" w:color="000000" w:sz="4" w:space="0"/>
              <w:left w:val="nil"/>
              <w:bottom w:val="single" w:color="000000" w:sz="4" w:space="0"/>
              <w:right w:val="single" w:color="auto" w:sz="4" w:space="0"/>
            </w:tcBorders>
            <w:vAlign w:val="center"/>
          </w:tcPr>
          <w:p>
            <w:pPr>
              <w:snapToGrid w:val="0"/>
              <w:rPr>
                <w:rFonts w:ascii="宋体" w:hAnsi="宋体" w:cs="宋体"/>
                <w:color w:val="000000"/>
                <w:szCs w:val="21"/>
              </w:rPr>
            </w:pPr>
            <w:r>
              <w:rPr>
                <w:rFonts w:hint="eastAsia" w:ascii="宋体" w:hAnsi="宋体" w:cs="宋体"/>
                <w:color w:val="000000"/>
                <w:szCs w:val="21"/>
              </w:rPr>
              <w:t>企业</w:t>
            </w:r>
          </w:p>
          <w:p>
            <w:pPr>
              <w:snapToGrid w:val="0"/>
              <w:rPr>
                <w:rFonts w:ascii="宋体" w:hAnsi="宋体" w:cs="宋体"/>
                <w:color w:val="000000"/>
                <w:szCs w:val="21"/>
              </w:rPr>
            </w:pPr>
            <w:r>
              <w:rPr>
                <w:rFonts w:hint="eastAsia" w:ascii="宋体" w:hAnsi="宋体" w:cs="宋体"/>
                <w:color w:val="000000"/>
                <w:szCs w:val="21"/>
              </w:rPr>
              <w:t>荣誉</w:t>
            </w:r>
          </w:p>
        </w:tc>
        <w:tc>
          <w:tcPr>
            <w:tcW w:w="5565" w:type="dxa"/>
            <w:tcBorders>
              <w:top w:val="single" w:color="000000" w:sz="4" w:space="0"/>
              <w:left w:val="nil"/>
              <w:bottom w:val="single" w:color="000000" w:sz="4" w:space="0"/>
              <w:right w:val="single" w:color="000000" w:sz="4" w:space="0"/>
            </w:tcBorders>
            <w:vAlign w:val="center"/>
          </w:tcPr>
          <w:p>
            <w:pPr>
              <w:snapToGrid w:val="0"/>
              <w:rPr>
                <w:rFonts w:ascii="宋体" w:hAnsi="宋体" w:cs="宋体"/>
                <w:szCs w:val="21"/>
              </w:rPr>
            </w:pPr>
            <w:r>
              <w:rPr>
                <w:rFonts w:hint="eastAsia" w:ascii="宋体" w:hAnsi="宋体" w:cs="宋体"/>
                <w:szCs w:val="21"/>
              </w:rPr>
              <w:t>评委按投标人或制造商提供的2014年1月1日至今政府行政职能部门或行业主管部门授予的投标企业荣誉证书或投标产品质量荣誉证书（复印件并加盖投标人公章）进行评分。</w:t>
            </w:r>
          </w:p>
          <w:p>
            <w:pPr>
              <w:snapToGrid w:val="0"/>
              <w:rPr>
                <w:rFonts w:ascii="宋体" w:hAnsi="宋体" w:cs="宋体"/>
                <w:szCs w:val="21"/>
              </w:rPr>
            </w:pPr>
            <w:r>
              <w:rPr>
                <w:rFonts w:hint="eastAsia" w:ascii="宋体" w:hAnsi="宋体" w:cs="宋体"/>
                <w:szCs w:val="21"/>
              </w:rPr>
              <w:t>有国家级，包含国务院所属的部、委、办、局授予的荣誉的得2分；</w:t>
            </w:r>
          </w:p>
          <w:p>
            <w:pPr>
              <w:snapToGrid w:val="0"/>
              <w:rPr>
                <w:rFonts w:ascii="宋体" w:hAnsi="宋体" w:cs="宋体"/>
                <w:szCs w:val="21"/>
              </w:rPr>
            </w:pPr>
            <w:r>
              <w:rPr>
                <w:rFonts w:hint="eastAsia" w:ascii="宋体" w:hAnsi="宋体" w:cs="宋体"/>
                <w:szCs w:val="21"/>
              </w:rPr>
              <w:t>有省级，包含省政府所属的部、委、办、局（厅）授予的荣誉的得1分；有市级，包含市政府所属的部、委、办、局或区、县政府授予的荣誉的得0.5分。</w:t>
            </w:r>
          </w:p>
          <w:p>
            <w:pPr>
              <w:snapToGrid w:val="0"/>
              <w:rPr>
                <w:rFonts w:ascii="宋体" w:hAnsi="宋体" w:cs="宋体"/>
                <w:szCs w:val="21"/>
              </w:rPr>
            </w:pPr>
            <w:r>
              <w:rPr>
                <w:rFonts w:hint="eastAsia" w:ascii="宋体" w:hAnsi="宋体" w:cs="宋体"/>
                <w:szCs w:val="21"/>
              </w:rPr>
              <w:t>分值不重复计算。未提供不得分。</w:t>
            </w:r>
          </w:p>
        </w:tc>
        <w:tc>
          <w:tcPr>
            <w:tcW w:w="1166" w:type="dxa"/>
            <w:tcBorders>
              <w:top w:val="single" w:color="000000" w:sz="4" w:space="0"/>
              <w:left w:val="nil"/>
              <w:bottom w:val="single" w:color="000000" w:sz="4" w:space="0"/>
              <w:right w:val="single" w:color="000000" w:sz="4" w:space="0"/>
            </w:tcBorders>
            <w:vAlign w:val="center"/>
          </w:tcPr>
          <w:p>
            <w:pPr>
              <w:pStyle w:val="18"/>
              <w:adjustRightInd w:val="0"/>
              <w:snapToGrid w:val="0"/>
              <w:spacing w:before="120" w:after="120" w:line="300" w:lineRule="auto"/>
              <w:jc w:val="center"/>
              <w:rPr>
                <w:rFonts w:hAnsi="宋体" w:cs="宋体"/>
                <w:szCs w:val="21"/>
              </w:rPr>
            </w:pPr>
            <w:r>
              <w:rPr>
                <w:rFonts w:hint="eastAsia" w:hAnsi="宋体" w:cs="宋体"/>
                <w:szCs w:val="21"/>
              </w:rPr>
              <w:t>2</w:t>
            </w:r>
          </w:p>
        </w:tc>
      </w:tr>
      <w:tr>
        <w:tblPrEx>
          <w:tblLayout w:type="fixed"/>
          <w:tblCellMar>
            <w:top w:w="0" w:type="dxa"/>
            <w:left w:w="108" w:type="dxa"/>
            <w:bottom w:w="0" w:type="dxa"/>
            <w:right w:w="108" w:type="dxa"/>
          </w:tblCellMar>
        </w:tblPrEx>
        <w:trPr>
          <w:trHeight w:val="726" w:hRule="atLeast"/>
        </w:trPr>
        <w:tc>
          <w:tcPr>
            <w:tcW w:w="68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00" w:lineRule="auto"/>
              <w:jc w:val="center"/>
              <w:rPr>
                <w:rFonts w:ascii="宋体" w:hAnsi="宋体" w:cs="宋体"/>
                <w:color w:val="000000"/>
                <w:szCs w:val="21"/>
              </w:rPr>
            </w:pPr>
            <w:r>
              <w:rPr>
                <w:rFonts w:hint="eastAsia" w:ascii="宋体" w:hAnsi="宋体" w:cs="宋体"/>
                <w:color w:val="000000"/>
                <w:szCs w:val="21"/>
              </w:rPr>
              <w:t>9</w:t>
            </w:r>
          </w:p>
        </w:tc>
        <w:tc>
          <w:tcPr>
            <w:tcW w:w="1440" w:type="dxa"/>
            <w:tcBorders>
              <w:top w:val="single" w:color="000000" w:sz="4" w:space="0"/>
              <w:left w:val="nil"/>
              <w:bottom w:val="single" w:color="000000" w:sz="4" w:space="0"/>
              <w:right w:val="single" w:color="auto" w:sz="4" w:space="0"/>
            </w:tcBorders>
            <w:vAlign w:val="center"/>
          </w:tcPr>
          <w:p>
            <w:pPr>
              <w:snapToGrid w:val="0"/>
              <w:spacing w:line="300" w:lineRule="auto"/>
              <w:jc w:val="center"/>
              <w:rPr>
                <w:rFonts w:ascii="宋体" w:hAnsi="宋体" w:cs="宋体"/>
                <w:color w:val="000000"/>
                <w:szCs w:val="21"/>
              </w:rPr>
            </w:pPr>
            <w:r>
              <w:rPr>
                <w:rFonts w:hint="eastAsia" w:ascii="宋体" w:hAnsi="宋体" w:cs="宋体"/>
                <w:color w:val="000000"/>
                <w:szCs w:val="21"/>
              </w:rPr>
              <w:t>政策分</w:t>
            </w:r>
          </w:p>
        </w:tc>
        <w:tc>
          <w:tcPr>
            <w:tcW w:w="5565" w:type="dxa"/>
            <w:tcBorders>
              <w:top w:val="single" w:color="000000" w:sz="4" w:space="0"/>
              <w:left w:val="nil"/>
              <w:bottom w:val="single" w:color="000000" w:sz="4" w:space="0"/>
              <w:right w:val="single" w:color="000000" w:sz="4" w:space="0"/>
            </w:tcBorders>
            <w:vAlign w:val="center"/>
          </w:tcPr>
          <w:p>
            <w:pPr>
              <w:pStyle w:val="18"/>
              <w:jc w:val="left"/>
              <w:rPr>
                <w:rFonts w:hAnsi="宋体"/>
                <w:bCs/>
                <w:szCs w:val="21"/>
              </w:rPr>
            </w:pPr>
            <w:r>
              <w:rPr>
                <w:rFonts w:hint="eastAsia" w:hAnsi="宋体"/>
                <w:bCs/>
                <w:szCs w:val="21"/>
              </w:rPr>
              <w:t>（1）供应商或投标产品中有由财政部、发展改革委员会发布的《节能产品政府采购清单》的有效证明文书的，得2分；</w:t>
            </w:r>
          </w:p>
          <w:p>
            <w:pPr>
              <w:pStyle w:val="18"/>
              <w:jc w:val="left"/>
              <w:rPr>
                <w:rFonts w:hAnsi="宋体"/>
                <w:bCs/>
                <w:szCs w:val="21"/>
              </w:rPr>
            </w:pPr>
            <w:r>
              <w:rPr>
                <w:rFonts w:hint="eastAsia" w:hAnsi="宋体"/>
                <w:bCs/>
                <w:szCs w:val="21"/>
              </w:rPr>
              <w:t>（2）供应商或投标产品中有由财政部、环境保护部发布的《环境标志产品政府采购清单》的有效证明文书的，得2分；</w:t>
            </w:r>
          </w:p>
          <w:p>
            <w:pPr>
              <w:pStyle w:val="18"/>
              <w:jc w:val="left"/>
              <w:rPr>
                <w:rFonts w:hAnsi="宋体"/>
                <w:bCs/>
                <w:szCs w:val="21"/>
              </w:rPr>
            </w:pPr>
            <w:r>
              <w:rPr>
                <w:rFonts w:hint="eastAsia" w:hAnsi="宋体"/>
                <w:bCs/>
                <w:szCs w:val="21"/>
              </w:rPr>
              <w:t>（3）供应商属于小微企业的，由供应商提供相关法律法规依据、证明材料，得1分。</w:t>
            </w:r>
          </w:p>
          <w:p>
            <w:pPr>
              <w:pStyle w:val="18"/>
              <w:jc w:val="left"/>
              <w:rPr>
                <w:rFonts w:hAnsi="宋体" w:cs="宋体"/>
                <w:color w:val="000000"/>
                <w:szCs w:val="21"/>
              </w:rPr>
            </w:pPr>
            <w:r>
              <w:rPr>
                <w:rFonts w:hint="eastAsia" w:hAnsi="宋体"/>
                <w:bCs/>
                <w:szCs w:val="21"/>
              </w:rPr>
              <w:t>政策分加分需由供应商提供相关证明资料及法律依据（例：可参照“工信部联企业2011-300号”针对中小企业划型标准规定等文件），如未提供则不得加分；列入国家公布产品清单的提供证明材料（认证证书、文件、目录页码）复印件加盖公章。</w:t>
            </w:r>
          </w:p>
        </w:tc>
        <w:tc>
          <w:tcPr>
            <w:tcW w:w="1166" w:type="dxa"/>
            <w:tcBorders>
              <w:top w:val="single" w:color="000000" w:sz="4" w:space="0"/>
              <w:left w:val="nil"/>
              <w:bottom w:val="single" w:color="000000" w:sz="4" w:space="0"/>
              <w:right w:val="single" w:color="000000" w:sz="4" w:space="0"/>
            </w:tcBorders>
            <w:vAlign w:val="center"/>
          </w:tcPr>
          <w:p>
            <w:pPr>
              <w:pStyle w:val="18"/>
              <w:adjustRightInd w:val="0"/>
              <w:snapToGrid w:val="0"/>
              <w:spacing w:before="120" w:after="120" w:line="300" w:lineRule="auto"/>
              <w:jc w:val="center"/>
              <w:rPr>
                <w:rFonts w:hAnsi="宋体" w:cs="宋体"/>
                <w:color w:val="000000"/>
                <w:szCs w:val="21"/>
              </w:rPr>
            </w:pPr>
            <w:r>
              <w:rPr>
                <w:rFonts w:hint="eastAsia" w:hAnsi="宋体" w:cs="宋体"/>
                <w:color w:val="000000"/>
                <w:szCs w:val="21"/>
              </w:rPr>
              <w:t>5</w:t>
            </w:r>
          </w:p>
        </w:tc>
      </w:tr>
      <w:tr>
        <w:tblPrEx>
          <w:tblLayout w:type="fixed"/>
          <w:tblCellMar>
            <w:top w:w="0" w:type="dxa"/>
            <w:left w:w="108" w:type="dxa"/>
            <w:bottom w:w="0" w:type="dxa"/>
            <w:right w:w="108" w:type="dxa"/>
          </w:tblCellMar>
        </w:tblPrEx>
        <w:trPr>
          <w:trHeight w:val="726" w:hRule="atLeast"/>
        </w:trPr>
        <w:tc>
          <w:tcPr>
            <w:tcW w:w="68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00" w:lineRule="auto"/>
              <w:jc w:val="center"/>
              <w:rPr>
                <w:rFonts w:ascii="宋体" w:hAnsi="宋体" w:cs="宋体"/>
                <w:color w:val="000000"/>
                <w:szCs w:val="21"/>
              </w:rPr>
            </w:pPr>
            <w:r>
              <w:rPr>
                <w:rFonts w:hint="eastAsia" w:ascii="宋体" w:hAnsi="宋体" w:cs="宋体"/>
                <w:color w:val="000000"/>
                <w:szCs w:val="21"/>
              </w:rPr>
              <w:t>10</w:t>
            </w:r>
          </w:p>
        </w:tc>
        <w:tc>
          <w:tcPr>
            <w:tcW w:w="1440" w:type="dxa"/>
            <w:tcBorders>
              <w:top w:val="single" w:color="000000" w:sz="4" w:space="0"/>
              <w:left w:val="nil"/>
              <w:bottom w:val="single" w:color="000000" w:sz="4" w:space="0"/>
              <w:right w:val="single" w:color="auto" w:sz="4" w:space="0"/>
            </w:tcBorders>
            <w:vAlign w:val="center"/>
          </w:tcPr>
          <w:p>
            <w:pPr>
              <w:snapToGrid w:val="0"/>
              <w:spacing w:line="300" w:lineRule="auto"/>
              <w:jc w:val="center"/>
              <w:rPr>
                <w:rFonts w:ascii="宋体" w:hAnsi="宋体" w:cs="宋体"/>
                <w:color w:val="000000"/>
                <w:szCs w:val="21"/>
              </w:rPr>
            </w:pPr>
            <w:r>
              <w:rPr>
                <w:rFonts w:hint="eastAsia" w:ascii="宋体" w:hAnsi="宋体" w:cs="宋体"/>
                <w:color w:val="000000"/>
                <w:szCs w:val="21"/>
              </w:rPr>
              <w:t>文件质量</w:t>
            </w:r>
          </w:p>
        </w:tc>
        <w:tc>
          <w:tcPr>
            <w:tcW w:w="5565" w:type="dxa"/>
            <w:tcBorders>
              <w:top w:val="single" w:color="000000" w:sz="4" w:space="0"/>
              <w:left w:val="nil"/>
              <w:bottom w:val="single" w:color="000000" w:sz="4" w:space="0"/>
              <w:right w:val="single" w:color="000000" w:sz="4" w:space="0"/>
            </w:tcBorders>
            <w:vAlign w:val="center"/>
          </w:tcPr>
          <w:p>
            <w:pPr>
              <w:rPr>
                <w:rFonts w:ascii="宋体" w:hAnsi="宋体" w:cs="宋体"/>
                <w:color w:val="000000"/>
                <w:szCs w:val="21"/>
              </w:rPr>
            </w:pPr>
            <w:r>
              <w:rPr>
                <w:rFonts w:hint="eastAsia" w:ascii="宋体" w:hAnsi="宋体" w:cs="宋体"/>
                <w:color w:val="000000"/>
                <w:szCs w:val="21"/>
              </w:rPr>
              <w:t>评委根据投标文件的编制整体情况综合评分（投标文件是否编制完整、格式规范、内容齐全、表述准确、条理清晰，内容无前后矛盾，符合招标文件要求。）</w:t>
            </w:r>
          </w:p>
        </w:tc>
        <w:tc>
          <w:tcPr>
            <w:tcW w:w="1166" w:type="dxa"/>
            <w:tcBorders>
              <w:top w:val="single" w:color="000000" w:sz="4" w:space="0"/>
              <w:left w:val="nil"/>
              <w:bottom w:val="single" w:color="000000" w:sz="4" w:space="0"/>
              <w:right w:val="single" w:color="000000" w:sz="4" w:space="0"/>
            </w:tcBorders>
            <w:vAlign w:val="center"/>
          </w:tcPr>
          <w:p>
            <w:pPr>
              <w:pStyle w:val="18"/>
              <w:adjustRightInd w:val="0"/>
              <w:snapToGrid w:val="0"/>
              <w:spacing w:before="120" w:after="120" w:line="300" w:lineRule="auto"/>
              <w:jc w:val="center"/>
              <w:rPr>
                <w:rFonts w:hAnsi="宋体" w:cs="宋体"/>
                <w:color w:val="000000"/>
                <w:szCs w:val="21"/>
              </w:rPr>
            </w:pPr>
            <w:r>
              <w:rPr>
                <w:rFonts w:hint="eastAsia" w:hAnsi="宋体" w:cs="宋体"/>
                <w:color w:val="000000"/>
                <w:szCs w:val="21"/>
              </w:rPr>
              <w:t>1</w:t>
            </w:r>
          </w:p>
        </w:tc>
      </w:tr>
    </w:tbl>
    <w:p>
      <w:pPr>
        <w:spacing w:beforeLines="50" w:afterLines="50"/>
        <w:ind w:firstLine="420" w:firstLineChars="200"/>
        <w:rPr>
          <w:rFonts w:ascii="宋体" w:hAnsi="宋体"/>
          <w:szCs w:val="21"/>
        </w:rPr>
      </w:pPr>
    </w:p>
    <w:p>
      <w:pPr>
        <w:spacing w:line="360" w:lineRule="exact"/>
        <w:rPr>
          <w:rFonts w:ascii="微软雅黑" w:hAnsi="微软雅黑" w:eastAsia="微软雅黑"/>
          <w:b/>
          <w:szCs w:val="21"/>
          <w:u w:val="single"/>
        </w:rPr>
      </w:pPr>
      <w:r>
        <w:rPr>
          <w:rFonts w:hint="eastAsia" w:ascii="微软雅黑" w:hAnsi="微软雅黑" w:eastAsia="微软雅黑"/>
          <w:b/>
          <w:szCs w:val="21"/>
          <w:u w:val="single"/>
        </w:rPr>
        <w:t>注：以上各类证明文件（业绩证明等）复印件均需加盖公章，附在响应文件中，原件随带备查；提供材料不真实、不完整或伪造证明材料的，后果自负。</w:t>
      </w:r>
    </w:p>
    <w:p>
      <w:pPr>
        <w:spacing w:beforeLines="50" w:afterLines="50"/>
        <w:ind w:firstLine="420" w:firstLineChars="200"/>
        <w:rPr>
          <w:rFonts w:ascii="宋体" w:hAnsi="宋体"/>
          <w:szCs w:val="21"/>
        </w:rPr>
      </w:pPr>
    </w:p>
    <w:bookmarkEnd w:id="39"/>
    <w:bookmarkEnd w:id="43"/>
    <w:bookmarkEnd w:id="44"/>
    <w:bookmarkEnd w:id="45"/>
    <w:p>
      <w:pPr>
        <w:pStyle w:val="3"/>
        <w:spacing w:line="240" w:lineRule="auto"/>
        <w:rPr>
          <w:rFonts w:ascii="黑体" w:hAnsi="宋体" w:eastAsia="黑体"/>
          <w:bCs w:val="0"/>
          <w:kern w:val="2"/>
          <w:sz w:val="30"/>
          <w:szCs w:val="30"/>
        </w:rPr>
      </w:pPr>
      <w:bookmarkStart w:id="50" w:name="_Toc21737"/>
      <w:bookmarkStart w:id="51" w:name="_Toc456078616"/>
      <w:bookmarkStart w:id="52" w:name="_Toc182125903"/>
      <w:bookmarkStart w:id="53" w:name="_Toc269397676"/>
      <w:bookmarkStart w:id="54" w:name="_Toc174767479"/>
      <w:bookmarkStart w:id="55" w:name="_Toc182125826"/>
    </w:p>
    <w:p>
      <w:pPr>
        <w:pStyle w:val="3"/>
        <w:spacing w:line="240" w:lineRule="auto"/>
        <w:jc w:val="center"/>
        <w:rPr>
          <w:rFonts w:ascii="黑体" w:hAnsi="宋体" w:eastAsia="黑体"/>
          <w:bCs w:val="0"/>
          <w:kern w:val="2"/>
          <w:sz w:val="30"/>
          <w:szCs w:val="30"/>
        </w:rPr>
      </w:pPr>
    </w:p>
    <w:p>
      <w:pPr>
        <w:pStyle w:val="3"/>
        <w:spacing w:line="240" w:lineRule="auto"/>
        <w:rPr>
          <w:rFonts w:ascii="黑体" w:hAnsi="宋体" w:eastAsia="黑体"/>
          <w:bCs w:val="0"/>
          <w:kern w:val="2"/>
          <w:sz w:val="30"/>
          <w:szCs w:val="30"/>
        </w:rPr>
      </w:pPr>
    </w:p>
    <w:p>
      <w:pPr>
        <w:rPr>
          <w:rFonts w:ascii="黑体" w:hAnsi="宋体" w:eastAsia="黑体"/>
          <w:sz w:val="30"/>
          <w:szCs w:val="30"/>
        </w:rPr>
      </w:pPr>
    </w:p>
    <w:p>
      <w:pPr>
        <w:pStyle w:val="2"/>
        <w:rPr>
          <w:rFonts w:ascii="黑体" w:hAnsi="宋体" w:eastAsia="黑体"/>
          <w:sz w:val="30"/>
          <w:szCs w:val="30"/>
        </w:rPr>
      </w:pPr>
    </w:p>
    <w:p>
      <w:pPr>
        <w:pStyle w:val="2"/>
        <w:rPr>
          <w:rFonts w:ascii="黑体" w:hAnsi="宋体" w:eastAsia="黑体"/>
          <w:sz w:val="30"/>
          <w:szCs w:val="30"/>
        </w:rPr>
      </w:pPr>
    </w:p>
    <w:p>
      <w:pPr>
        <w:pStyle w:val="2"/>
        <w:rPr>
          <w:rFonts w:ascii="黑体" w:hAnsi="宋体" w:eastAsia="黑体"/>
          <w:sz w:val="30"/>
          <w:szCs w:val="30"/>
        </w:rPr>
      </w:pPr>
    </w:p>
    <w:p>
      <w:pPr>
        <w:pStyle w:val="2"/>
        <w:rPr>
          <w:rFonts w:ascii="黑体" w:hAnsi="宋体" w:eastAsia="黑体"/>
          <w:sz w:val="30"/>
          <w:szCs w:val="30"/>
        </w:rPr>
      </w:pPr>
    </w:p>
    <w:p>
      <w:pPr>
        <w:pStyle w:val="2"/>
        <w:rPr>
          <w:rFonts w:ascii="黑体" w:hAnsi="宋体" w:eastAsia="黑体"/>
          <w:sz w:val="30"/>
          <w:szCs w:val="30"/>
        </w:rPr>
      </w:pPr>
    </w:p>
    <w:p>
      <w:pPr>
        <w:pStyle w:val="2"/>
        <w:rPr>
          <w:rFonts w:ascii="黑体" w:hAnsi="宋体" w:eastAsia="黑体"/>
          <w:sz w:val="30"/>
          <w:szCs w:val="30"/>
        </w:rPr>
      </w:pPr>
    </w:p>
    <w:p>
      <w:pPr>
        <w:pStyle w:val="2"/>
        <w:rPr>
          <w:rFonts w:ascii="黑体" w:hAnsi="宋体" w:eastAsia="黑体"/>
          <w:sz w:val="30"/>
          <w:szCs w:val="30"/>
        </w:rPr>
      </w:pPr>
    </w:p>
    <w:p>
      <w:pPr>
        <w:pStyle w:val="2"/>
        <w:rPr>
          <w:rFonts w:ascii="黑体" w:hAnsi="宋体" w:eastAsia="黑体"/>
          <w:sz w:val="30"/>
          <w:szCs w:val="30"/>
        </w:rPr>
      </w:pPr>
    </w:p>
    <w:p>
      <w:pPr>
        <w:pStyle w:val="2"/>
        <w:rPr>
          <w:rFonts w:ascii="黑体" w:hAnsi="宋体" w:eastAsia="黑体"/>
          <w:sz w:val="30"/>
          <w:szCs w:val="30"/>
        </w:rPr>
      </w:pPr>
    </w:p>
    <w:p>
      <w:pPr>
        <w:pStyle w:val="2"/>
        <w:rPr>
          <w:rFonts w:ascii="黑体" w:hAnsi="宋体" w:eastAsia="黑体"/>
          <w:sz w:val="30"/>
          <w:szCs w:val="30"/>
        </w:rPr>
      </w:pPr>
    </w:p>
    <w:p>
      <w:pPr>
        <w:pStyle w:val="2"/>
        <w:rPr>
          <w:rFonts w:ascii="黑体" w:hAnsi="宋体" w:eastAsia="黑体"/>
          <w:sz w:val="30"/>
          <w:szCs w:val="30"/>
        </w:rPr>
      </w:pPr>
    </w:p>
    <w:p>
      <w:pPr>
        <w:pStyle w:val="2"/>
        <w:rPr>
          <w:rFonts w:ascii="黑体" w:hAnsi="宋体" w:eastAsia="黑体"/>
          <w:sz w:val="30"/>
          <w:szCs w:val="30"/>
        </w:rPr>
      </w:pPr>
    </w:p>
    <w:p>
      <w:pPr>
        <w:pStyle w:val="2"/>
        <w:rPr>
          <w:rFonts w:ascii="黑体" w:hAnsi="宋体" w:eastAsia="黑体"/>
          <w:sz w:val="30"/>
          <w:szCs w:val="30"/>
        </w:rPr>
      </w:pPr>
    </w:p>
    <w:p>
      <w:pPr>
        <w:pStyle w:val="2"/>
        <w:rPr>
          <w:rFonts w:ascii="黑体" w:hAnsi="宋体" w:eastAsia="黑体"/>
          <w:sz w:val="30"/>
          <w:szCs w:val="30"/>
        </w:rPr>
      </w:pPr>
    </w:p>
    <w:p>
      <w:pPr>
        <w:pStyle w:val="3"/>
        <w:spacing w:line="240" w:lineRule="auto"/>
        <w:jc w:val="center"/>
        <w:rPr>
          <w:rFonts w:ascii="黑体" w:hAnsi="宋体" w:eastAsia="黑体"/>
          <w:bCs w:val="0"/>
          <w:kern w:val="2"/>
          <w:sz w:val="30"/>
          <w:szCs w:val="30"/>
        </w:rPr>
      </w:pPr>
    </w:p>
    <w:p>
      <w:pPr>
        <w:pStyle w:val="3"/>
        <w:spacing w:line="240" w:lineRule="auto"/>
        <w:jc w:val="center"/>
        <w:rPr>
          <w:rFonts w:ascii="黑体" w:hAnsi="宋体" w:eastAsia="黑体"/>
          <w:bCs w:val="0"/>
          <w:kern w:val="2"/>
          <w:sz w:val="30"/>
          <w:szCs w:val="30"/>
        </w:rPr>
      </w:pPr>
      <w:r>
        <w:rPr>
          <w:rFonts w:hint="eastAsia" w:ascii="黑体" w:hAnsi="宋体" w:eastAsia="黑体"/>
          <w:bCs w:val="0"/>
          <w:kern w:val="2"/>
          <w:sz w:val="30"/>
          <w:szCs w:val="30"/>
        </w:rPr>
        <w:t>第五章  合同条款</w:t>
      </w:r>
      <w:bookmarkEnd w:id="50"/>
      <w:bookmarkEnd w:id="51"/>
    </w:p>
    <w:bookmarkEnd w:id="40"/>
    <w:bookmarkEnd w:id="41"/>
    <w:bookmarkEnd w:id="42"/>
    <w:bookmarkEnd w:id="52"/>
    <w:bookmarkEnd w:id="53"/>
    <w:bookmarkEnd w:id="54"/>
    <w:bookmarkEnd w:id="55"/>
    <w:p>
      <w:pPr>
        <w:spacing w:line="480" w:lineRule="exact"/>
        <w:jc w:val="center"/>
        <w:rPr>
          <w:rFonts w:ascii="微软雅黑" w:hAnsi="微软雅黑" w:eastAsia="微软雅黑"/>
          <w:b/>
          <w:sz w:val="28"/>
          <w:szCs w:val="28"/>
        </w:rPr>
      </w:pPr>
      <w:bookmarkStart w:id="56" w:name="_Toc456078618"/>
      <w:r>
        <w:rPr>
          <w:rFonts w:hint="eastAsia" w:ascii="微软雅黑" w:hAnsi="微软雅黑" w:eastAsia="微软雅黑"/>
          <w:b/>
          <w:sz w:val="28"/>
          <w:szCs w:val="28"/>
        </w:rPr>
        <w:t>政府采购合同书</w:t>
      </w:r>
    </w:p>
    <w:p>
      <w:pPr>
        <w:spacing w:line="480" w:lineRule="exact"/>
        <w:jc w:val="center"/>
        <w:rPr>
          <w:rFonts w:ascii="微软雅黑" w:hAnsi="微软雅黑" w:eastAsia="微软雅黑"/>
          <w:b/>
          <w:sz w:val="28"/>
          <w:szCs w:val="28"/>
        </w:rPr>
      </w:pPr>
    </w:p>
    <w:p>
      <w:pPr>
        <w:spacing w:line="480" w:lineRule="exact"/>
        <w:rPr>
          <w:rFonts w:ascii="微软雅黑" w:hAnsi="微软雅黑" w:eastAsia="微软雅黑"/>
          <w:szCs w:val="21"/>
        </w:rPr>
      </w:pPr>
      <w:r>
        <w:rPr>
          <w:rFonts w:hint="eastAsia" w:ascii="微软雅黑" w:hAnsi="微软雅黑" w:eastAsia="微软雅黑"/>
          <w:szCs w:val="21"/>
        </w:rPr>
        <w:t xml:space="preserve">项目名称：                                  </w:t>
      </w:r>
    </w:p>
    <w:p>
      <w:pPr>
        <w:spacing w:line="480" w:lineRule="exact"/>
        <w:rPr>
          <w:rFonts w:ascii="微软雅黑" w:hAnsi="微软雅黑" w:eastAsia="微软雅黑"/>
          <w:szCs w:val="21"/>
        </w:rPr>
      </w:pPr>
      <w:r>
        <w:rPr>
          <w:rFonts w:hint="eastAsia" w:ascii="微软雅黑" w:hAnsi="微软雅黑" w:eastAsia="微软雅黑"/>
          <w:szCs w:val="21"/>
        </w:rPr>
        <w:t xml:space="preserve">项目编号： </w:t>
      </w:r>
    </w:p>
    <w:p>
      <w:pPr>
        <w:spacing w:line="480" w:lineRule="exact"/>
        <w:rPr>
          <w:rFonts w:ascii="微软雅黑" w:hAnsi="微软雅黑" w:eastAsia="微软雅黑"/>
          <w:szCs w:val="21"/>
        </w:rPr>
      </w:pPr>
      <w:r>
        <w:rPr>
          <w:rFonts w:hint="eastAsia" w:ascii="微软雅黑" w:hAnsi="微软雅黑" w:eastAsia="微软雅黑"/>
          <w:szCs w:val="21"/>
        </w:rPr>
        <w:t>甲方：                              乙方：</w:t>
      </w:r>
    </w:p>
    <w:p>
      <w:pPr>
        <w:spacing w:line="480" w:lineRule="exact"/>
        <w:rPr>
          <w:rFonts w:ascii="微软雅黑" w:hAnsi="微软雅黑" w:eastAsia="微软雅黑"/>
          <w:szCs w:val="21"/>
        </w:rPr>
      </w:pPr>
      <w:r>
        <w:rPr>
          <w:rFonts w:hint="eastAsia" w:ascii="微软雅黑" w:hAnsi="微软雅黑" w:eastAsia="微软雅黑"/>
          <w:szCs w:val="21"/>
        </w:rPr>
        <w:t xml:space="preserve">   甲乙双方根据项目的采购结果，甲乙双方本着既严格执行国家有关政策，又兼顾双方利益的原则，经协商，特签订本合同书。</w:t>
      </w:r>
    </w:p>
    <w:p>
      <w:pPr>
        <w:spacing w:line="480" w:lineRule="exact"/>
        <w:rPr>
          <w:rFonts w:ascii="微软雅黑" w:hAnsi="微软雅黑" w:eastAsia="微软雅黑"/>
          <w:szCs w:val="21"/>
        </w:rPr>
      </w:pPr>
      <w:r>
        <w:rPr>
          <w:rFonts w:hint="eastAsia" w:ascii="微软雅黑" w:hAnsi="微软雅黑" w:eastAsia="微软雅黑"/>
          <w:szCs w:val="21"/>
        </w:rPr>
        <w:t>一、服务内容</w:t>
      </w:r>
    </w:p>
    <w:p>
      <w:pPr>
        <w:spacing w:line="480" w:lineRule="exact"/>
        <w:rPr>
          <w:rFonts w:ascii="微软雅黑" w:hAnsi="微软雅黑" w:eastAsia="微软雅黑"/>
          <w:szCs w:val="21"/>
        </w:rPr>
      </w:pPr>
      <w:r>
        <w:rPr>
          <w:rFonts w:hint="eastAsia" w:ascii="微软雅黑" w:hAnsi="微软雅黑" w:eastAsia="微软雅黑"/>
          <w:szCs w:val="21"/>
        </w:rPr>
        <w:t>二、合同金额</w:t>
      </w:r>
    </w:p>
    <w:p>
      <w:pPr>
        <w:spacing w:line="480" w:lineRule="exact"/>
        <w:rPr>
          <w:rFonts w:ascii="微软雅黑" w:hAnsi="微软雅黑" w:eastAsia="微软雅黑"/>
          <w:szCs w:val="21"/>
        </w:rPr>
      </w:pPr>
      <w:r>
        <w:rPr>
          <w:rFonts w:hint="eastAsia" w:ascii="微软雅黑" w:hAnsi="微软雅黑" w:eastAsia="微软雅黑"/>
          <w:szCs w:val="21"/>
        </w:rPr>
        <w:t>本合同金额为（大写）：（￥：元）人民币。</w:t>
      </w:r>
    </w:p>
    <w:p>
      <w:pPr>
        <w:spacing w:line="480" w:lineRule="exact"/>
        <w:rPr>
          <w:rFonts w:ascii="微软雅黑" w:hAnsi="微软雅黑" w:eastAsia="微软雅黑"/>
          <w:szCs w:val="21"/>
        </w:rPr>
      </w:pPr>
      <w:r>
        <w:rPr>
          <w:rFonts w:hint="eastAsia" w:ascii="微软雅黑" w:hAnsi="微软雅黑" w:eastAsia="微软雅黑"/>
          <w:szCs w:val="21"/>
        </w:rPr>
        <w:t>三、技术资料</w:t>
      </w:r>
    </w:p>
    <w:p>
      <w:pPr>
        <w:spacing w:line="480" w:lineRule="exact"/>
        <w:rPr>
          <w:rFonts w:ascii="微软雅黑" w:hAnsi="微软雅黑" w:eastAsia="微软雅黑"/>
          <w:szCs w:val="21"/>
        </w:rPr>
      </w:pPr>
      <w:r>
        <w:rPr>
          <w:rFonts w:hint="eastAsia" w:ascii="微软雅黑" w:hAnsi="微软雅黑" w:eastAsia="微软雅黑"/>
          <w:szCs w:val="21"/>
        </w:rPr>
        <w:t>1.乙方应按招标文件规定的时间向甲方提供使用货物的有关技术资料。</w:t>
      </w:r>
    </w:p>
    <w:p>
      <w:pPr>
        <w:spacing w:line="480" w:lineRule="exact"/>
        <w:rPr>
          <w:rFonts w:ascii="微软雅黑" w:hAnsi="微软雅黑" w:eastAsia="微软雅黑"/>
          <w:szCs w:val="21"/>
        </w:rPr>
      </w:pPr>
      <w:r>
        <w:rPr>
          <w:rFonts w:hint="eastAsia" w:ascii="微软雅黑" w:hAnsi="微软雅黑" w:eastAsia="微软雅黑"/>
          <w:szCs w:val="21"/>
        </w:rPr>
        <w:t>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spacing w:line="480" w:lineRule="exact"/>
        <w:rPr>
          <w:rFonts w:ascii="微软雅黑" w:hAnsi="微软雅黑" w:eastAsia="微软雅黑"/>
          <w:szCs w:val="21"/>
        </w:rPr>
      </w:pPr>
      <w:r>
        <w:rPr>
          <w:rFonts w:hint="eastAsia" w:ascii="微软雅黑" w:hAnsi="微软雅黑" w:eastAsia="微软雅黑"/>
          <w:szCs w:val="21"/>
        </w:rPr>
        <w:t>四、知识产权</w:t>
      </w:r>
    </w:p>
    <w:p>
      <w:pPr>
        <w:spacing w:line="480" w:lineRule="exact"/>
        <w:rPr>
          <w:rFonts w:ascii="微软雅黑" w:hAnsi="微软雅黑" w:eastAsia="微软雅黑"/>
          <w:szCs w:val="21"/>
        </w:rPr>
      </w:pPr>
      <w:r>
        <w:rPr>
          <w:rFonts w:hint="eastAsia" w:ascii="微软雅黑" w:hAnsi="微软雅黑" w:eastAsia="微软雅黑"/>
          <w:szCs w:val="21"/>
        </w:rPr>
        <w:t>乙方应保证所提供的货物或其任何一部分均不会侵犯任何第三方的知识产权。</w:t>
      </w:r>
    </w:p>
    <w:p>
      <w:pPr>
        <w:spacing w:line="480" w:lineRule="exact"/>
        <w:rPr>
          <w:rFonts w:ascii="微软雅黑" w:hAnsi="微软雅黑" w:eastAsia="微软雅黑"/>
          <w:szCs w:val="21"/>
        </w:rPr>
      </w:pPr>
      <w:r>
        <w:rPr>
          <w:rFonts w:hint="eastAsia" w:ascii="微软雅黑" w:hAnsi="微软雅黑" w:eastAsia="微软雅黑"/>
          <w:szCs w:val="21"/>
        </w:rPr>
        <w:t>五、产权担保</w:t>
      </w:r>
    </w:p>
    <w:p>
      <w:pPr>
        <w:spacing w:line="480" w:lineRule="exact"/>
        <w:rPr>
          <w:rFonts w:ascii="微软雅黑" w:hAnsi="微软雅黑" w:eastAsia="微软雅黑"/>
          <w:szCs w:val="21"/>
        </w:rPr>
      </w:pPr>
      <w:r>
        <w:rPr>
          <w:rFonts w:hint="eastAsia" w:ascii="微软雅黑" w:hAnsi="微软雅黑" w:eastAsia="微软雅黑"/>
          <w:szCs w:val="21"/>
        </w:rPr>
        <w:t>乙方保证所交付的货物的所有权完全属于乙方且无任何抵押、查封等产权瑕疵。</w:t>
      </w:r>
    </w:p>
    <w:p>
      <w:pPr>
        <w:spacing w:line="480" w:lineRule="exact"/>
        <w:rPr>
          <w:rFonts w:ascii="微软雅黑" w:hAnsi="微软雅黑" w:eastAsia="微软雅黑"/>
          <w:szCs w:val="21"/>
        </w:rPr>
      </w:pPr>
      <w:r>
        <w:rPr>
          <w:rFonts w:hint="eastAsia" w:ascii="微软雅黑" w:hAnsi="微软雅黑" w:eastAsia="微软雅黑"/>
          <w:szCs w:val="21"/>
        </w:rPr>
        <w:t>六、履约保证金</w:t>
      </w:r>
    </w:p>
    <w:p>
      <w:pPr>
        <w:spacing w:line="480" w:lineRule="exact"/>
        <w:rPr>
          <w:rFonts w:ascii="微软雅黑" w:hAnsi="微软雅黑" w:eastAsia="微软雅黑"/>
          <w:szCs w:val="21"/>
        </w:rPr>
      </w:pPr>
      <w:r>
        <w:rPr>
          <w:rFonts w:hint="eastAsia" w:ascii="微软雅黑" w:hAnsi="微软雅黑" w:eastAsia="微软雅黑"/>
          <w:szCs w:val="21"/>
        </w:rPr>
        <w:t>乙方交纳人民币    万元作为本合同的履约保证金。</w:t>
      </w:r>
    </w:p>
    <w:p>
      <w:pPr>
        <w:spacing w:line="480" w:lineRule="exact"/>
        <w:rPr>
          <w:rFonts w:ascii="微软雅黑" w:hAnsi="微软雅黑" w:eastAsia="微软雅黑"/>
          <w:szCs w:val="21"/>
        </w:rPr>
      </w:pPr>
      <w:r>
        <w:rPr>
          <w:rFonts w:hint="eastAsia" w:ascii="微软雅黑" w:hAnsi="微软雅黑" w:eastAsia="微软雅黑"/>
          <w:szCs w:val="21"/>
        </w:rPr>
        <w:t>七、转包或分包</w:t>
      </w:r>
    </w:p>
    <w:p>
      <w:pPr>
        <w:spacing w:line="480" w:lineRule="exact"/>
        <w:rPr>
          <w:rFonts w:ascii="微软雅黑" w:hAnsi="微软雅黑" w:eastAsia="微软雅黑"/>
          <w:szCs w:val="21"/>
        </w:rPr>
      </w:pPr>
      <w:r>
        <w:rPr>
          <w:rFonts w:hint="eastAsia" w:ascii="微软雅黑" w:hAnsi="微软雅黑" w:eastAsia="微软雅黑"/>
          <w:szCs w:val="21"/>
        </w:rPr>
        <w:t>1.本合同范围的服务范围，应由乙方直接负责，不得转让他人；</w:t>
      </w:r>
    </w:p>
    <w:p>
      <w:pPr>
        <w:spacing w:line="480" w:lineRule="exact"/>
        <w:rPr>
          <w:rFonts w:ascii="微软雅黑" w:hAnsi="微软雅黑" w:eastAsia="微软雅黑"/>
          <w:szCs w:val="21"/>
        </w:rPr>
      </w:pPr>
      <w:r>
        <w:rPr>
          <w:rFonts w:hint="eastAsia" w:ascii="微软雅黑" w:hAnsi="微软雅黑" w:eastAsia="微软雅黑"/>
          <w:szCs w:val="21"/>
        </w:rPr>
        <w:t>2.除非得到甲方的书面同意，乙方不得将本合同范围的货物全部或部分分包给他人供应；</w:t>
      </w:r>
    </w:p>
    <w:p>
      <w:pPr>
        <w:spacing w:line="480" w:lineRule="exact"/>
        <w:rPr>
          <w:rFonts w:ascii="微软雅黑" w:hAnsi="微软雅黑" w:eastAsia="微软雅黑"/>
          <w:szCs w:val="21"/>
        </w:rPr>
      </w:pPr>
      <w:r>
        <w:rPr>
          <w:rFonts w:hint="eastAsia" w:ascii="微软雅黑" w:hAnsi="微软雅黑" w:eastAsia="微软雅黑"/>
          <w:szCs w:val="21"/>
        </w:rPr>
        <w:t>3.如有转让和未经甲方同意的分包行为，甲方有权解除合同，没收履约保证金并追究乙方的违约责任。</w:t>
      </w:r>
    </w:p>
    <w:p>
      <w:pPr>
        <w:spacing w:line="480" w:lineRule="exact"/>
        <w:rPr>
          <w:rFonts w:ascii="微软雅黑" w:hAnsi="微软雅黑" w:eastAsia="微软雅黑"/>
          <w:szCs w:val="21"/>
        </w:rPr>
      </w:pPr>
      <w:r>
        <w:rPr>
          <w:rFonts w:hint="eastAsia" w:ascii="微软雅黑" w:hAnsi="微软雅黑" w:eastAsia="微软雅黑"/>
          <w:szCs w:val="21"/>
        </w:rPr>
        <w:t>八、服务期限：</w:t>
      </w:r>
    </w:p>
    <w:p>
      <w:pPr>
        <w:spacing w:line="480" w:lineRule="exact"/>
        <w:rPr>
          <w:rFonts w:ascii="微软雅黑" w:hAnsi="微软雅黑" w:eastAsia="微软雅黑"/>
          <w:szCs w:val="21"/>
        </w:rPr>
      </w:pPr>
      <w:r>
        <w:rPr>
          <w:rFonts w:hint="eastAsia" w:ascii="微软雅黑" w:hAnsi="微软雅黑" w:eastAsia="微软雅黑"/>
          <w:szCs w:val="21"/>
        </w:rPr>
        <w:t xml:space="preserve">1.服务期限： </w:t>
      </w:r>
    </w:p>
    <w:p>
      <w:pPr>
        <w:spacing w:line="480" w:lineRule="exact"/>
        <w:rPr>
          <w:rFonts w:ascii="微软雅黑" w:hAnsi="微软雅黑" w:eastAsia="微软雅黑"/>
          <w:szCs w:val="21"/>
        </w:rPr>
      </w:pPr>
      <w:r>
        <w:rPr>
          <w:rFonts w:hint="eastAsia" w:ascii="微软雅黑" w:hAnsi="微软雅黑" w:eastAsia="微软雅黑"/>
          <w:szCs w:val="21"/>
        </w:rPr>
        <w:t xml:space="preserve">2.服务方式： </w:t>
      </w:r>
    </w:p>
    <w:p>
      <w:pPr>
        <w:spacing w:line="480" w:lineRule="exact"/>
        <w:rPr>
          <w:rFonts w:ascii="微软雅黑" w:hAnsi="微软雅黑" w:eastAsia="微软雅黑"/>
          <w:szCs w:val="21"/>
        </w:rPr>
      </w:pPr>
      <w:r>
        <w:rPr>
          <w:rFonts w:hint="eastAsia" w:ascii="微软雅黑" w:hAnsi="微软雅黑" w:eastAsia="微软雅黑"/>
          <w:szCs w:val="21"/>
        </w:rPr>
        <w:t xml:space="preserve">3.服务地点： </w:t>
      </w:r>
    </w:p>
    <w:p>
      <w:pPr>
        <w:spacing w:line="480" w:lineRule="exact"/>
        <w:rPr>
          <w:rFonts w:ascii="微软雅黑" w:hAnsi="微软雅黑" w:eastAsia="微软雅黑"/>
          <w:szCs w:val="21"/>
        </w:rPr>
      </w:pPr>
      <w:r>
        <w:rPr>
          <w:rFonts w:hint="eastAsia" w:ascii="微软雅黑" w:hAnsi="微软雅黑" w:eastAsia="微软雅黑"/>
          <w:szCs w:val="21"/>
        </w:rPr>
        <w:t>九、货款支付</w:t>
      </w:r>
    </w:p>
    <w:p>
      <w:pPr>
        <w:pStyle w:val="18"/>
        <w:rPr>
          <w:rFonts w:ascii="微软雅黑" w:hAnsi="微软雅黑" w:eastAsia="微软雅黑"/>
          <w:szCs w:val="21"/>
        </w:rPr>
      </w:pPr>
      <w:r>
        <w:rPr>
          <w:rFonts w:hint="eastAsia" w:ascii="微软雅黑" w:hAnsi="微软雅黑" w:eastAsia="微软雅黑"/>
          <w:szCs w:val="21"/>
        </w:rPr>
        <w:t>付款方式： 1、中标人签订合同之前，按照项目合同价格的5%向采购人交纳履约保证金；设备安装完毕调试验收合格后，付合同总金额的100%，履约保证金自动转为质保金，自验收合格之日起三年后退还（不计息）。</w:t>
      </w:r>
    </w:p>
    <w:p>
      <w:pPr>
        <w:spacing w:line="480" w:lineRule="exact"/>
        <w:rPr>
          <w:rFonts w:ascii="微软雅黑" w:hAnsi="微软雅黑" w:eastAsia="微软雅黑"/>
          <w:szCs w:val="21"/>
        </w:rPr>
      </w:pPr>
      <w:r>
        <w:rPr>
          <w:rFonts w:hint="eastAsia" w:ascii="微软雅黑" w:hAnsi="微软雅黑" w:eastAsia="微软雅黑"/>
          <w:szCs w:val="21"/>
        </w:rPr>
        <w:t>2、当采购数量与实际使用数量不一致时，乙方应根据实际使用量供货，合同的最终结算金额按实际使用量乘以成交单价进行计算。</w:t>
      </w:r>
    </w:p>
    <w:p>
      <w:pPr>
        <w:spacing w:line="480" w:lineRule="exact"/>
        <w:rPr>
          <w:rFonts w:ascii="微软雅黑" w:hAnsi="微软雅黑" w:eastAsia="微软雅黑"/>
          <w:szCs w:val="21"/>
        </w:rPr>
      </w:pPr>
      <w:r>
        <w:rPr>
          <w:rFonts w:hint="eastAsia" w:ascii="微软雅黑" w:hAnsi="微软雅黑" w:eastAsia="微软雅黑"/>
          <w:szCs w:val="21"/>
        </w:rPr>
        <w:t>十、税费</w:t>
      </w:r>
    </w:p>
    <w:p>
      <w:pPr>
        <w:spacing w:line="480" w:lineRule="exact"/>
        <w:rPr>
          <w:rFonts w:ascii="微软雅黑" w:hAnsi="微软雅黑" w:eastAsia="微软雅黑"/>
          <w:szCs w:val="21"/>
        </w:rPr>
      </w:pPr>
      <w:r>
        <w:rPr>
          <w:rFonts w:hint="eastAsia" w:ascii="微软雅黑" w:hAnsi="微软雅黑" w:eastAsia="微软雅黑"/>
          <w:szCs w:val="21"/>
        </w:rPr>
        <w:t>本合同执行中相关的一切税费均由乙方负担。</w:t>
      </w:r>
    </w:p>
    <w:p>
      <w:pPr>
        <w:spacing w:line="480" w:lineRule="exact"/>
        <w:rPr>
          <w:rFonts w:ascii="微软雅黑" w:hAnsi="微软雅黑" w:eastAsia="微软雅黑"/>
          <w:szCs w:val="21"/>
        </w:rPr>
      </w:pPr>
      <w:r>
        <w:rPr>
          <w:rFonts w:hint="eastAsia" w:ascii="微软雅黑" w:hAnsi="微软雅黑" w:eastAsia="微软雅黑"/>
          <w:szCs w:val="21"/>
        </w:rPr>
        <w:t>十一、质量保证及后续服务</w:t>
      </w:r>
    </w:p>
    <w:p>
      <w:pPr>
        <w:spacing w:line="480" w:lineRule="exact"/>
        <w:rPr>
          <w:rFonts w:ascii="微软雅黑" w:hAnsi="微软雅黑" w:eastAsia="微软雅黑"/>
          <w:szCs w:val="21"/>
        </w:rPr>
      </w:pPr>
      <w:r>
        <w:rPr>
          <w:rFonts w:hint="eastAsia" w:ascii="微软雅黑" w:hAnsi="微软雅黑" w:eastAsia="微软雅黑"/>
          <w:szCs w:val="21"/>
        </w:rPr>
        <w:t>1、乙方应按招标文件规定向甲方提供服务。</w:t>
      </w:r>
    </w:p>
    <w:p>
      <w:pPr>
        <w:spacing w:line="480" w:lineRule="exact"/>
        <w:rPr>
          <w:rFonts w:ascii="微软雅黑" w:hAnsi="微软雅黑" w:eastAsia="微软雅黑"/>
          <w:szCs w:val="21"/>
        </w:rPr>
      </w:pPr>
      <w:r>
        <w:rPr>
          <w:rFonts w:hint="eastAsia" w:ascii="微软雅黑" w:hAnsi="微软雅黑" w:eastAsia="微软雅黑"/>
          <w:szCs w:val="21"/>
        </w:rPr>
        <w:t>2、乙方提供的服务成果在服务质量保证期内发生故障，乙方应负责免费提供后续服务。对达不到要求者，根据实际情况，经双方协商，可按照以下办法处理：</w:t>
      </w:r>
    </w:p>
    <w:p>
      <w:pPr>
        <w:spacing w:line="480" w:lineRule="exact"/>
        <w:rPr>
          <w:rFonts w:ascii="微软雅黑" w:hAnsi="微软雅黑" w:eastAsia="微软雅黑"/>
          <w:szCs w:val="21"/>
        </w:rPr>
      </w:pPr>
      <w:r>
        <w:rPr>
          <w:rFonts w:hint="eastAsia" w:ascii="微软雅黑" w:hAnsi="微软雅黑" w:eastAsia="微软雅黑"/>
          <w:szCs w:val="21"/>
        </w:rPr>
        <w:t>1）重做：由乙方承担所发生的全部费用。</w:t>
      </w:r>
    </w:p>
    <w:p>
      <w:pPr>
        <w:spacing w:line="480" w:lineRule="exact"/>
        <w:rPr>
          <w:rFonts w:ascii="微软雅黑" w:hAnsi="微软雅黑" w:eastAsia="微软雅黑"/>
          <w:szCs w:val="21"/>
        </w:rPr>
      </w:pPr>
      <w:r>
        <w:rPr>
          <w:rFonts w:hint="eastAsia" w:ascii="微软雅黑" w:hAnsi="微软雅黑" w:eastAsia="微软雅黑"/>
          <w:szCs w:val="21"/>
        </w:rPr>
        <w:t>2）贬值处理：由甲乙双方合议定价。</w:t>
      </w:r>
    </w:p>
    <w:p>
      <w:pPr>
        <w:spacing w:line="480" w:lineRule="exact"/>
        <w:rPr>
          <w:rFonts w:ascii="微软雅黑" w:hAnsi="微软雅黑" w:eastAsia="微软雅黑"/>
          <w:szCs w:val="21"/>
        </w:rPr>
      </w:pPr>
      <w:r>
        <w:rPr>
          <w:rFonts w:hint="eastAsia" w:ascii="微软雅黑" w:hAnsi="微软雅黑" w:eastAsia="微软雅黑"/>
          <w:szCs w:val="21"/>
        </w:rPr>
        <w:t>3）解除合同。</w:t>
      </w:r>
    </w:p>
    <w:p>
      <w:pPr>
        <w:spacing w:line="480" w:lineRule="exact"/>
        <w:rPr>
          <w:rFonts w:ascii="微软雅黑" w:hAnsi="微软雅黑" w:eastAsia="微软雅黑"/>
          <w:szCs w:val="21"/>
        </w:rPr>
      </w:pPr>
      <w:r>
        <w:rPr>
          <w:rFonts w:hint="eastAsia" w:ascii="微软雅黑" w:hAnsi="微软雅黑" w:eastAsia="微软雅黑"/>
          <w:szCs w:val="21"/>
        </w:rPr>
        <w:t>3、如在使用过程中发生问题，乙方接到甲方通知后在  小时内到达甲方现场。</w:t>
      </w:r>
    </w:p>
    <w:p>
      <w:pPr>
        <w:spacing w:line="480" w:lineRule="exact"/>
        <w:rPr>
          <w:rFonts w:ascii="微软雅黑" w:hAnsi="微软雅黑" w:eastAsia="微软雅黑"/>
          <w:szCs w:val="21"/>
        </w:rPr>
      </w:pPr>
      <w:r>
        <w:rPr>
          <w:rFonts w:hint="eastAsia" w:ascii="微软雅黑" w:hAnsi="微软雅黑" w:eastAsia="微软雅黑"/>
          <w:szCs w:val="21"/>
        </w:rPr>
        <w:t>4、在服务质量保证期内，乙方应对出现的质量问题和安全问题负责处理并承担一切费用。</w:t>
      </w:r>
    </w:p>
    <w:p>
      <w:pPr>
        <w:spacing w:line="480" w:lineRule="exact"/>
        <w:rPr>
          <w:rFonts w:ascii="微软雅黑" w:hAnsi="微软雅黑" w:eastAsia="微软雅黑"/>
          <w:szCs w:val="21"/>
        </w:rPr>
      </w:pPr>
      <w:r>
        <w:rPr>
          <w:rFonts w:hint="eastAsia" w:ascii="微软雅黑" w:hAnsi="微软雅黑" w:eastAsia="微软雅黑"/>
          <w:szCs w:val="21"/>
        </w:rPr>
        <w:t>十二、验收标准</w:t>
      </w:r>
    </w:p>
    <w:p>
      <w:pPr>
        <w:spacing w:line="480" w:lineRule="exact"/>
        <w:rPr>
          <w:rFonts w:ascii="微软雅黑" w:hAnsi="微软雅黑" w:eastAsia="微软雅黑"/>
          <w:szCs w:val="21"/>
        </w:rPr>
      </w:pPr>
      <w:r>
        <w:rPr>
          <w:rFonts w:hint="eastAsia" w:ascii="微软雅黑" w:hAnsi="微软雅黑" w:eastAsia="微软雅黑"/>
          <w:szCs w:val="21"/>
        </w:rPr>
        <w:t xml:space="preserve"> 十三、违约责任</w:t>
      </w:r>
    </w:p>
    <w:p>
      <w:pPr>
        <w:spacing w:line="480" w:lineRule="exact"/>
        <w:rPr>
          <w:rFonts w:ascii="微软雅黑" w:hAnsi="微软雅黑" w:eastAsia="微软雅黑"/>
          <w:szCs w:val="21"/>
        </w:rPr>
      </w:pPr>
      <w:r>
        <w:rPr>
          <w:rFonts w:hint="eastAsia" w:ascii="微软雅黑" w:hAnsi="微软雅黑" w:eastAsia="微软雅黑"/>
          <w:szCs w:val="21"/>
        </w:rPr>
        <w:t>1. 甲方无正当理由拒收服务计划，甲方向乙方偿付拒收服务总值的百分之五违约金。</w:t>
      </w:r>
    </w:p>
    <w:p>
      <w:pPr>
        <w:spacing w:line="480" w:lineRule="exact"/>
        <w:rPr>
          <w:rFonts w:ascii="微软雅黑" w:hAnsi="微软雅黑" w:eastAsia="微软雅黑"/>
          <w:szCs w:val="21"/>
        </w:rPr>
      </w:pPr>
      <w:r>
        <w:rPr>
          <w:rFonts w:hint="eastAsia" w:ascii="微软雅黑" w:hAnsi="微软雅黑" w:eastAsia="微软雅黑"/>
          <w:szCs w:val="21"/>
        </w:rPr>
        <w:t>2. 甲方无故逾期验收和办理服务期限支付手续的,甲方应按逾期付款总额每日万分之五向乙方支付违约金。</w:t>
      </w:r>
    </w:p>
    <w:p>
      <w:pPr>
        <w:spacing w:line="480" w:lineRule="exact"/>
        <w:rPr>
          <w:rFonts w:ascii="微软雅黑" w:hAnsi="微软雅黑" w:eastAsia="微软雅黑"/>
          <w:szCs w:val="21"/>
        </w:rPr>
      </w:pPr>
      <w:r>
        <w:rPr>
          <w:rFonts w:hint="eastAsia" w:ascii="微软雅黑" w:hAnsi="微软雅黑" w:eastAsia="微软雅黑"/>
          <w:szCs w:val="21"/>
        </w:rPr>
        <w:t xml:space="preserve">3. 乙方逾期履约服务计划，乙方应按逾期服务总额每日千分之六向甲方支付违约金，由甲方从待付货款中扣除。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 </w:t>
      </w:r>
    </w:p>
    <w:p>
      <w:pPr>
        <w:spacing w:line="480" w:lineRule="exact"/>
        <w:rPr>
          <w:rFonts w:ascii="微软雅黑" w:hAnsi="微软雅黑" w:eastAsia="微软雅黑"/>
          <w:szCs w:val="21"/>
        </w:rPr>
      </w:pPr>
      <w:r>
        <w:rPr>
          <w:rFonts w:hint="eastAsia" w:ascii="微软雅黑" w:hAnsi="微软雅黑" w:eastAsia="微软雅黑"/>
          <w:szCs w:val="21"/>
        </w:rPr>
        <w:t>4. 乙方所提供的服务质量不符合合同规定及招标文件规定标准的，甲方有权拒收该继续服务，乙方愿意调整服务质量，按乙方部悔约行为处理。乙方拒绝改进服务的，甲方可单方面解除合同。</w:t>
      </w:r>
    </w:p>
    <w:p>
      <w:pPr>
        <w:spacing w:line="480" w:lineRule="exact"/>
        <w:rPr>
          <w:rFonts w:ascii="微软雅黑" w:hAnsi="微软雅黑" w:eastAsia="微软雅黑"/>
          <w:szCs w:val="21"/>
        </w:rPr>
      </w:pPr>
      <w:r>
        <w:rPr>
          <w:rFonts w:hint="eastAsia" w:ascii="微软雅黑" w:hAnsi="微软雅黑" w:eastAsia="微软雅黑"/>
          <w:szCs w:val="21"/>
        </w:rPr>
        <w:t>十四、不可抗力事件处理</w:t>
      </w:r>
    </w:p>
    <w:p>
      <w:pPr>
        <w:spacing w:line="480" w:lineRule="exact"/>
        <w:rPr>
          <w:rFonts w:ascii="微软雅黑" w:hAnsi="微软雅黑" w:eastAsia="微软雅黑"/>
          <w:szCs w:val="21"/>
        </w:rPr>
      </w:pPr>
      <w:r>
        <w:rPr>
          <w:rFonts w:hint="eastAsia" w:ascii="微软雅黑" w:hAnsi="微软雅黑" w:eastAsia="微软雅黑"/>
          <w:szCs w:val="21"/>
        </w:rPr>
        <w:t>1. 在合同有效期内，任何一方因不可抗力事件导致不能履行合同，则合同履行期可延长，其延长期与不可抗力影响期相同。</w:t>
      </w:r>
    </w:p>
    <w:p>
      <w:pPr>
        <w:spacing w:line="480" w:lineRule="exact"/>
        <w:rPr>
          <w:rFonts w:ascii="微软雅黑" w:hAnsi="微软雅黑" w:eastAsia="微软雅黑"/>
          <w:szCs w:val="21"/>
        </w:rPr>
      </w:pPr>
      <w:r>
        <w:rPr>
          <w:rFonts w:hint="eastAsia" w:ascii="微软雅黑" w:hAnsi="微软雅黑" w:eastAsia="微软雅黑"/>
          <w:szCs w:val="21"/>
        </w:rPr>
        <w:t>2. 不可抗力事件发生后，应立即通知对方，并寄送有关权威机构出具的证明。</w:t>
      </w:r>
    </w:p>
    <w:p>
      <w:pPr>
        <w:spacing w:line="480" w:lineRule="exact"/>
        <w:rPr>
          <w:rFonts w:ascii="微软雅黑" w:hAnsi="微软雅黑" w:eastAsia="微软雅黑"/>
          <w:szCs w:val="21"/>
        </w:rPr>
      </w:pPr>
      <w:r>
        <w:rPr>
          <w:rFonts w:hint="eastAsia" w:ascii="微软雅黑" w:hAnsi="微软雅黑" w:eastAsia="微软雅黑"/>
          <w:szCs w:val="21"/>
        </w:rPr>
        <w:t>3. 不可抗力事件延续120天以上，双方应通过友好协商，确定是否继续履行合同。</w:t>
      </w:r>
    </w:p>
    <w:p>
      <w:pPr>
        <w:spacing w:line="480" w:lineRule="exact"/>
        <w:rPr>
          <w:rFonts w:ascii="微软雅黑" w:hAnsi="微软雅黑" w:eastAsia="微软雅黑"/>
          <w:szCs w:val="21"/>
        </w:rPr>
      </w:pPr>
      <w:r>
        <w:rPr>
          <w:rFonts w:hint="eastAsia" w:ascii="微软雅黑" w:hAnsi="微软雅黑" w:eastAsia="微软雅黑"/>
          <w:szCs w:val="21"/>
        </w:rPr>
        <w:t>十五、诉讼</w:t>
      </w:r>
    </w:p>
    <w:p>
      <w:pPr>
        <w:spacing w:line="480" w:lineRule="exact"/>
        <w:rPr>
          <w:rFonts w:ascii="微软雅黑" w:hAnsi="微软雅黑" w:eastAsia="微软雅黑"/>
          <w:szCs w:val="21"/>
        </w:rPr>
      </w:pPr>
      <w:r>
        <w:rPr>
          <w:rFonts w:hint="eastAsia" w:ascii="微软雅黑" w:hAnsi="微软雅黑" w:eastAsia="微软雅黑"/>
          <w:szCs w:val="21"/>
        </w:rPr>
        <w:t xml:space="preserve"> 双方在执行合同中所发生的一切争议，应通过协商解决。如协商不成，可向甲方所在地法院起诉。</w:t>
      </w:r>
    </w:p>
    <w:p>
      <w:pPr>
        <w:spacing w:line="480" w:lineRule="exact"/>
        <w:rPr>
          <w:rFonts w:ascii="微软雅黑" w:hAnsi="微软雅黑" w:eastAsia="微软雅黑"/>
          <w:szCs w:val="21"/>
        </w:rPr>
      </w:pPr>
      <w:r>
        <w:rPr>
          <w:rFonts w:hint="eastAsia" w:ascii="微软雅黑" w:hAnsi="微软雅黑" w:eastAsia="微软雅黑"/>
          <w:szCs w:val="21"/>
        </w:rPr>
        <w:t>十六、合同生效及其它</w:t>
      </w:r>
    </w:p>
    <w:p>
      <w:pPr>
        <w:spacing w:line="480" w:lineRule="exact"/>
        <w:rPr>
          <w:rFonts w:ascii="微软雅黑" w:hAnsi="微软雅黑" w:eastAsia="微软雅黑"/>
          <w:szCs w:val="21"/>
        </w:rPr>
      </w:pPr>
      <w:r>
        <w:rPr>
          <w:rFonts w:hint="eastAsia" w:ascii="微软雅黑" w:hAnsi="微软雅黑" w:eastAsia="微软雅黑"/>
          <w:szCs w:val="21"/>
        </w:rPr>
        <w:t>1. 合同经双方法定代表人或授权代表签字并加盖单位公章后生效。</w:t>
      </w:r>
    </w:p>
    <w:p>
      <w:pPr>
        <w:spacing w:line="480" w:lineRule="exact"/>
        <w:rPr>
          <w:rFonts w:ascii="微软雅黑" w:hAnsi="微软雅黑" w:eastAsia="微软雅黑"/>
          <w:szCs w:val="21"/>
        </w:rPr>
      </w:pPr>
      <w:r>
        <w:rPr>
          <w:rFonts w:hint="eastAsia" w:ascii="微软雅黑" w:hAnsi="微软雅黑" w:eastAsia="微软雅黑"/>
          <w:szCs w:val="21"/>
        </w:rPr>
        <w:t>2.合同执行中涉及采购资金和采购内容修改或补充的，须经财政部门审批，并签书面补充协议报采购代理机构及长兴县财政局备案，方可作为主合同不可分割的一部分。</w:t>
      </w:r>
    </w:p>
    <w:p>
      <w:pPr>
        <w:spacing w:line="480" w:lineRule="exact"/>
        <w:rPr>
          <w:rFonts w:ascii="微软雅黑" w:hAnsi="微软雅黑" w:eastAsia="微软雅黑"/>
          <w:szCs w:val="21"/>
        </w:rPr>
      </w:pPr>
      <w:r>
        <w:rPr>
          <w:rFonts w:hint="eastAsia" w:ascii="微软雅黑" w:hAnsi="微软雅黑" w:eastAsia="微软雅黑"/>
          <w:szCs w:val="21"/>
        </w:rPr>
        <w:t>3.本合同未尽事宜，遵照《合同法》有关条文执行。</w:t>
      </w:r>
    </w:p>
    <w:p>
      <w:pPr>
        <w:spacing w:line="480" w:lineRule="exact"/>
        <w:rPr>
          <w:rFonts w:ascii="微软雅黑" w:hAnsi="微软雅黑" w:eastAsia="微软雅黑"/>
          <w:szCs w:val="21"/>
        </w:rPr>
      </w:pPr>
      <w:r>
        <w:rPr>
          <w:rFonts w:hint="eastAsia" w:ascii="微软雅黑" w:hAnsi="微软雅黑" w:eastAsia="微软雅黑"/>
          <w:szCs w:val="21"/>
        </w:rPr>
        <w:t>4.本合同正本一式五份，具有同等法律效力，甲乙双方各执二份；长兴县财政局备案一份。</w:t>
      </w:r>
    </w:p>
    <w:p>
      <w:pPr>
        <w:spacing w:line="480" w:lineRule="exact"/>
        <w:rPr>
          <w:rFonts w:ascii="微软雅黑" w:hAnsi="微软雅黑" w:eastAsia="微软雅黑"/>
          <w:szCs w:val="21"/>
        </w:rPr>
      </w:pPr>
      <w:r>
        <w:rPr>
          <w:rFonts w:hint="eastAsia" w:ascii="微软雅黑" w:hAnsi="微软雅黑" w:eastAsia="微软雅黑"/>
          <w:szCs w:val="21"/>
        </w:rPr>
        <w:t xml:space="preserve">  甲方：                                   乙方： </w:t>
      </w:r>
    </w:p>
    <w:p>
      <w:pPr>
        <w:spacing w:line="480" w:lineRule="exact"/>
        <w:rPr>
          <w:rFonts w:ascii="微软雅黑" w:hAnsi="微软雅黑" w:eastAsia="微软雅黑"/>
          <w:szCs w:val="21"/>
        </w:rPr>
      </w:pPr>
      <w:r>
        <w:rPr>
          <w:rFonts w:hint="eastAsia" w:ascii="微软雅黑" w:hAnsi="微软雅黑" w:eastAsia="微软雅黑"/>
          <w:szCs w:val="21"/>
        </w:rPr>
        <w:t xml:space="preserve">  地址：                                   地址： </w:t>
      </w:r>
    </w:p>
    <w:p>
      <w:pPr>
        <w:spacing w:line="480" w:lineRule="exact"/>
        <w:rPr>
          <w:rFonts w:ascii="微软雅黑" w:hAnsi="微软雅黑" w:eastAsia="微软雅黑"/>
          <w:szCs w:val="21"/>
        </w:rPr>
      </w:pPr>
      <w:r>
        <w:rPr>
          <w:rFonts w:hint="eastAsia" w:ascii="微软雅黑" w:hAnsi="微软雅黑" w:eastAsia="微软雅黑"/>
          <w:szCs w:val="21"/>
        </w:rPr>
        <w:t xml:space="preserve">  法定（授权）代表人：                     法定（授权）代表人：</w:t>
      </w:r>
    </w:p>
    <w:p>
      <w:pPr>
        <w:spacing w:line="480" w:lineRule="exact"/>
        <w:rPr>
          <w:rFonts w:ascii="微软雅黑" w:hAnsi="微软雅黑" w:eastAsia="微软雅黑"/>
          <w:szCs w:val="21"/>
        </w:rPr>
      </w:pPr>
      <w:r>
        <w:rPr>
          <w:rFonts w:hint="eastAsia" w:ascii="微软雅黑" w:hAnsi="微软雅黑" w:eastAsia="微软雅黑"/>
          <w:szCs w:val="21"/>
        </w:rPr>
        <w:t xml:space="preserve">  签字日期：      年  月  日               签字日期：      年  月  </w:t>
      </w:r>
    </w:p>
    <w:p>
      <w:pPr>
        <w:spacing w:line="480" w:lineRule="exact"/>
        <w:rPr>
          <w:rFonts w:ascii="微软雅黑" w:hAnsi="微软雅黑" w:eastAsia="微软雅黑"/>
          <w:szCs w:val="21"/>
        </w:rPr>
      </w:pPr>
    </w:p>
    <w:p>
      <w:pPr>
        <w:spacing w:line="480" w:lineRule="exact"/>
        <w:rPr>
          <w:rFonts w:ascii="微软雅黑" w:hAnsi="微软雅黑" w:eastAsia="微软雅黑"/>
          <w:szCs w:val="21"/>
        </w:rPr>
      </w:pPr>
    </w:p>
    <w:p>
      <w:pPr>
        <w:spacing w:line="480" w:lineRule="exact"/>
        <w:rPr>
          <w:rFonts w:ascii="微软雅黑" w:hAnsi="微软雅黑" w:eastAsia="微软雅黑"/>
          <w:szCs w:val="21"/>
        </w:rPr>
      </w:pPr>
    </w:p>
    <w:p>
      <w:pPr>
        <w:spacing w:line="480" w:lineRule="exact"/>
        <w:rPr>
          <w:rFonts w:ascii="微软雅黑" w:hAnsi="微软雅黑" w:eastAsia="微软雅黑"/>
          <w:szCs w:val="21"/>
        </w:rPr>
      </w:pPr>
    </w:p>
    <w:p>
      <w:pPr>
        <w:spacing w:line="480" w:lineRule="exact"/>
        <w:rPr>
          <w:rFonts w:ascii="微软雅黑" w:hAnsi="微软雅黑" w:eastAsia="微软雅黑"/>
          <w:szCs w:val="21"/>
        </w:rPr>
      </w:pPr>
    </w:p>
    <w:p>
      <w:pPr>
        <w:spacing w:line="480" w:lineRule="exact"/>
        <w:rPr>
          <w:rFonts w:ascii="微软雅黑" w:hAnsi="微软雅黑" w:eastAsia="微软雅黑"/>
          <w:szCs w:val="21"/>
        </w:rPr>
      </w:pPr>
    </w:p>
    <w:p>
      <w:pPr>
        <w:spacing w:line="480" w:lineRule="exact"/>
        <w:rPr>
          <w:rFonts w:ascii="微软雅黑" w:hAnsi="微软雅黑" w:eastAsia="微软雅黑"/>
          <w:szCs w:val="21"/>
        </w:rPr>
      </w:pPr>
    </w:p>
    <w:p>
      <w:pPr>
        <w:spacing w:line="480" w:lineRule="exact"/>
        <w:rPr>
          <w:rFonts w:ascii="微软雅黑" w:hAnsi="微软雅黑" w:eastAsia="微软雅黑"/>
          <w:szCs w:val="21"/>
        </w:rPr>
      </w:pPr>
    </w:p>
    <w:p>
      <w:pPr>
        <w:pStyle w:val="3"/>
        <w:spacing w:line="240" w:lineRule="auto"/>
        <w:jc w:val="center"/>
        <w:rPr>
          <w:rFonts w:ascii="黑体" w:hAnsi="宋体" w:eastAsia="黑体"/>
          <w:bCs w:val="0"/>
          <w:kern w:val="2"/>
          <w:sz w:val="30"/>
          <w:szCs w:val="30"/>
        </w:rPr>
      </w:pPr>
      <w:bookmarkStart w:id="57" w:name="_Toc17520"/>
      <w:r>
        <w:rPr>
          <w:rFonts w:hint="eastAsia" w:ascii="黑体" w:hAnsi="宋体" w:eastAsia="黑体"/>
          <w:snapToGrid w:val="0"/>
          <w:kern w:val="0"/>
          <w:sz w:val="30"/>
          <w:szCs w:val="30"/>
        </w:rPr>
        <w:br w:type="page"/>
      </w:r>
      <w:r>
        <w:rPr>
          <w:rFonts w:hint="eastAsia" w:ascii="黑体" w:hAnsi="宋体" w:eastAsia="黑体"/>
          <w:snapToGrid w:val="0"/>
          <w:kern w:val="0"/>
          <w:sz w:val="30"/>
          <w:szCs w:val="30"/>
        </w:rPr>
        <w:t>第六章</w:t>
      </w:r>
      <w:r>
        <w:rPr>
          <w:rFonts w:hint="eastAsia" w:ascii="黑体" w:hAnsi="宋体" w:eastAsia="黑体"/>
          <w:bCs w:val="0"/>
          <w:kern w:val="2"/>
          <w:sz w:val="30"/>
          <w:szCs w:val="30"/>
        </w:rPr>
        <w:t>供应商磋商响应文件格式</w:t>
      </w:r>
      <w:bookmarkEnd w:id="56"/>
      <w:bookmarkEnd w:id="57"/>
    </w:p>
    <w:p>
      <w:pPr>
        <w:pStyle w:val="18"/>
        <w:snapToGrid w:val="0"/>
        <w:spacing w:before="120" w:after="120"/>
        <w:jc w:val="center"/>
        <w:rPr>
          <w:b/>
        </w:rPr>
      </w:pPr>
      <w:r>
        <w:rPr>
          <w:rFonts w:hint="eastAsia"/>
          <w:b/>
        </w:rPr>
        <w:t>（本章仅提供了部分磋商响应文件中所需的表格格式，供应商应根据第三章中“磋商响应文件的组成”及第四章“评标办法及评分标准”制作完整的磋商响应文件）</w:t>
      </w:r>
    </w:p>
    <w:p>
      <w:pPr>
        <w:snapToGrid w:val="0"/>
        <w:spacing w:beforeLines="50" w:after="50"/>
        <w:rPr>
          <w:rFonts w:ascii="宋体" w:hAnsi="宋体"/>
          <w:b/>
          <w:sz w:val="24"/>
          <w:szCs w:val="20"/>
        </w:rPr>
      </w:pPr>
      <w:r>
        <w:rPr>
          <w:rFonts w:hint="eastAsia" w:ascii="宋体" w:hAnsi="宋体"/>
          <w:b/>
          <w:bCs/>
          <w:sz w:val="24"/>
        </w:rPr>
        <w:t>磋商响应文件</w:t>
      </w:r>
      <w:r>
        <w:rPr>
          <w:rFonts w:hint="eastAsia" w:ascii="宋体" w:hAnsi="宋体"/>
          <w:b/>
          <w:sz w:val="24"/>
        </w:rPr>
        <w:t>外</w:t>
      </w:r>
      <w:r>
        <w:rPr>
          <w:rFonts w:hint="eastAsia" w:ascii="宋体" w:hAnsi="宋体"/>
          <w:b/>
          <w:bCs/>
          <w:sz w:val="24"/>
        </w:rPr>
        <w:t>包装封面格式</w:t>
      </w:r>
    </w:p>
    <w:p>
      <w:pPr>
        <w:snapToGrid w:val="0"/>
        <w:spacing w:beforeLines="50" w:after="50"/>
        <w:rPr>
          <w:rFonts w:ascii="宋体" w:hAnsi="宋体"/>
          <w:sz w:val="24"/>
        </w:rPr>
      </w:pPr>
    </w:p>
    <w:p>
      <w:pPr>
        <w:snapToGrid w:val="0"/>
        <w:spacing w:beforeLines="50" w:after="50"/>
        <w:rPr>
          <w:rFonts w:ascii="宋体" w:hAnsi="宋体"/>
          <w:sz w:val="24"/>
        </w:rPr>
      </w:pPr>
    </w:p>
    <w:p>
      <w:pPr>
        <w:snapToGrid w:val="0"/>
        <w:spacing w:beforeLines="50" w:after="50"/>
        <w:jc w:val="right"/>
        <w:rPr>
          <w:rFonts w:ascii="宋体" w:hAnsi="宋体"/>
          <w:b/>
          <w:bCs/>
        </w:rPr>
      </w:pPr>
    </w:p>
    <w:p>
      <w:pPr>
        <w:snapToGrid w:val="0"/>
        <w:spacing w:beforeLines="50" w:after="50"/>
        <w:jc w:val="right"/>
        <w:rPr>
          <w:rFonts w:ascii="宋体" w:hAnsi="宋体"/>
          <w:sz w:val="24"/>
          <w:szCs w:val="20"/>
        </w:rPr>
      </w:pPr>
      <w:r>
        <w:rPr>
          <w:rFonts w:hint="eastAsia" w:ascii="宋体" w:hAnsi="宋体"/>
          <w:b/>
          <w:bCs/>
        </w:rPr>
        <w:t>正本</w:t>
      </w:r>
      <w:r>
        <w:rPr>
          <w:rFonts w:ascii="宋体" w:hAnsi="宋体"/>
          <w:b/>
          <w:bCs/>
        </w:rPr>
        <w:t>/</w:t>
      </w:r>
      <w:r>
        <w:rPr>
          <w:rFonts w:hint="eastAsia" w:ascii="宋体" w:hAnsi="宋体"/>
          <w:b/>
          <w:bCs/>
        </w:rPr>
        <w:t>或副本</w:t>
      </w:r>
    </w:p>
    <w:p>
      <w:pPr>
        <w:snapToGrid w:val="0"/>
        <w:spacing w:beforeLines="50" w:after="50"/>
        <w:jc w:val="center"/>
        <w:rPr>
          <w:rFonts w:ascii="宋体" w:hAnsi="宋体"/>
          <w:bCs/>
          <w:sz w:val="24"/>
          <w:szCs w:val="20"/>
        </w:rPr>
      </w:pPr>
    </w:p>
    <w:p>
      <w:pPr>
        <w:snapToGrid w:val="0"/>
        <w:spacing w:beforeLines="50" w:after="50"/>
        <w:jc w:val="center"/>
        <w:rPr>
          <w:rFonts w:ascii="宋体" w:hAnsi="宋体"/>
          <w:b/>
          <w:sz w:val="28"/>
          <w:szCs w:val="28"/>
        </w:rPr>
      </w:pPr>
      <w:r>
        <w:rPr>
          <w:rFonts w:hint="eastAsia" w:ascii="宋体" w:hAnsi="宋体"/>
          <w:b/>
          <w:sz w:val="28"/>
          <w:szCs w:val="28"/>
        </w:rPr>
        <w:t>磋商响应文件</w:t>
      </w:r>
    </w:p>
    <w:p>
      <w:pPr>
        <w:snapToGrid w:val="0"/>
        <w:spacing w:beforeLines="50" w:after="50"/>
        <w:rPr>
          <w:rFonts w:ascii="宋体" w:hAnsi="宋体"/>
          <w:bCs/>
          <w:sz w:val="24"/>
          <w:szCs w:val="20"/>
        </w:rPr>
      </w:pPr>
    </w:p>
    <w:p>
      <w:pPr>
        <w:snapToGrid w:val="0"/>
        <w:spacing w:beforeLines="50" w:after="50"/>
        <w:ind w:firstLine="1068" w:firstLineChars="445"/>
        <w:rPr>
          <w:rFonts w:ascii="宋体" w:hAnsi="宋体"/>
          <w:bCs/>
          <w:sz w:val="24"/>
        </w:rPr>
      </w:pPr>
      <w:r>
        <w:rPr>
          <w:rFonts w:hint="eastAsia" w:ascii="宋体" w:hAnsi="宋体"/>
          <w:bCs/>
          <w:sz w:val="24"/>
        </w:rPr>
        <w:t>项目名称：长兴县太湖高级中学综合管理平台系统采购项目</w:t>
      </w:r>
    </w:p>
    <w:p>
      <w:pPr>
        <w:snapToGrid w:val="0"/>
        <w:spacing w:beforeLines="50" w:after="50"/>
        <w:ind w:firstLine="1068" w:firstLineChars="445"/>
        <w:rPr>
          <w:rFonts w:ascii="宋体" w:hAnsi="宋体"/>
          <w:bCs/>
          <w:sz w:val="24"/>
        </w:rPr>
      </w:pPr>
      <w:r>
        <w:rPr>
          <w:rFonts w:hint="eastAsia" w:ascii="宋体" w:hAnsi="宋体"/>
          <w:bCs/>
          <w:sz w:val="24"/>
        </w:rPr>
        <w:t>项目编号：</w:t>
      </w:r>
    </w:p>
    <w:p>
      <w:pPr>
        <w:snapToGrid w:val="0"/>
        <w:spacing w:beforeLines="50" w:after="50"/>
        <w:ind w:firstLine="1068" w:firstLineChars="445"/>
        <w:rPr>
          <w:rFonts w:ascii="宋体" w:hAnsi="宋体"/>
          <w:bCs/>
          <w:sz w:val="24"/>
        </w:rPr>
      </w:pPr>
      <w:r>
        <w:rPr>
          <w:rFonts w:hint="eastAsia" w:ascii="宋体" w:hAnsi="宋体"/>
          <w:bCs/>
          <w:sz w:val="24"/>
        </w:rPr>
        <w:t>供应商名称：</w:t>
      </w:r>
    </w:p>
    <w:p>
      <w:pPr>
        <w:snapToGrid w:val="0"/>
        <w:spacing w:beforeLines="50" w:after="50"/>
        <w:ind w:firstLine="1068" w:firstLineChars="445"/>
        <w:rPr>
          <w:rFonts w:ascii="宋体" w:hAnsi="宋体"/>
          <w:bCs/>
          <w:sz w:val="24"/>
        </w:rPr>
      </w:pPr>
      <w:r>
        <w:rPr>
          <w:rFonts w:hint="eastAsia" w:ascii="宋体" w:hAnsi="宋体"/>
          <w:sz w:val="24"/>
          <w:lang w:val="zh-CN"/>
        </w:rPr>
        <w:t>供应商</w:t>
      </w:r>
      <w:r>
        <w:rPr>
          <w:rFonts w:hint="eastAsia" w:ascii="宋体" w:hAnsi="宋体"/>
          <w:bCs/>
          <w:sz w:val="24"/>
        </w:rPr>
        <w:t>地址：</w:t>
      </w:r>
    </w:p>
    <w:p>
      <w:pPr>
        <w:snapToGrid w:val="0"/>
        <w:spacing w:beforeLines="50" w:after="50"/>
        <w:ind w:firstLine="1068" w:firstLineChars="445"/>
        <w:rPr>
          <w:rFonts w:ascii="宋体" w:hAnsi="宋体"/>
          <w:bCs/>
          <w:sz w:val="24"/>
        </w:rPr>
      </w:pPr>
      <w:r>
        <w:rPr>
          <w:rFonts w:hint="eastAsia" w:ascii="宋体" w:hAnsi="宋体"/>
          <w:bCs/>
          <w:sz w:val="24"/>
        </w:rPr>
        <w:t>在年月日时分之前不得启封</w:t>
      </w:r>
    </w:p>
    <w:p>
      <w:pPr>
        <w:pStyle w:val="12"/>
        <w:snapToGrid w:val="0"/>
        <w:spacing w:before="50" w:after="50"/>
        <w:ind w:firstLine="960" w:firstLineChars="400"/>
        <w:rPr>
          <w:rFonts w:ascii="宋体" w:hAnsi="宋体"/>
          <w:bCs/>
          <w:sz w:val="24"/>
          <w:szCs w:val="24"/>
        </w:rPr>
      </w:pPr>
    </w:p>
    <w:p>
      <w:pPr>
        <w:snapToGrid w:val="0"/>
        <w:spacing w:beforeLines="50" w:after="50"/>
        <w:ind w:firstLine="4080" w:firstLineChars="1700"/>
        <w:rPr>
          <w:rFonts w:ascii="宋体" w:hAnsi="宋体"/>
          <w:sz w:val="24"/>
          <w:szCs w:val="20"/>
        </w:rPr>
      </w:pPr>
    </w:p>
    <w:p>
      <w:pPr>
        <w:snapToGrid w:val="0"/>
        <w:spacing w:beforeLines="50" w:after="50"/>
        <w:ind w:firstLine="645"/>
        <w:jc w:val="center"/>
        <w:rPr>
          <w:rFonts w:ascii="宋体" w:hAnsi="宋体"/>
          <w:sz w:val="24"/>
          <w:szCs w:val="20"/>
        </w:rPr>
      </w:pPr>
      <w:r>
        <w:rPr>
          <w:rFonts w:hint="eastAsia" w:ascii="宋体" w:hAnsi="宋体"/>
          <w:sz w:val="24"/>
        </w:rPr>
        <w:t>年月日</w:t>
      </w:r>
    </w:p>
    <w:p>
      <w:pPr>
        <w:jc w:val="center"/>
        <w:rPr>
          <w:rFonts w:ascii="宋体" w:hAnsi="宋体"/>
          <w:b/>
          <w:bCs/>
          <w:spacing w:val="14"/>
          <w:sz w:val="32"/>
        </w:rPr>
      </w:pPr>
    </w:p>
    <w:p>
      <w:pPr>
        <w:jc w:val="center"/>
        <w:rPr>
          <w:rFonts w:ascii="宋体" w:hAnsi="宋体"/>
          <w:b/>
          <w:bCs/>
          <w:spacing w:val="14"/>
          <w:sz w:val="32"/>
        </w:rPr>
      </w:pPr>
    </w:p>
    <w:p>
      <w:pPr>
        <w:jc w:val="center"/>
        <w:rPr>
          <w:rFonts w:ascii="宋体" w:hAnsi="宋体"/>
          <w:b/>
          <w:bCs/>
          <w:spacing w:val="14"/>
          <w:sz w:val="32"/>
        </w:rPr>
      </w:pPr>
    </w:p>
    <w:p>
      <w:pPr>
        <w:jc w:val="center"/>
        <w:rPr>
          <w:rFonts w:ascii="宋体" w:hAnsi="宋体"/>
          <w:b/>
          <w:bCs/>
          <w:spacing w:val="14"/>
          <w:sz w:val="32"/>
        </w:rPr>
      </w:pPr>
    </w:p>
    <w:p>
      <w:pPr>
        <w:jc w:val="center"/>
        <w:rPr>
          <w:rFonts w:ascii="宋体" w:hAnsi="宋体"/>
          <w:b/>
          <w:bCs/>
          <w:spacing w:val="14"/>
          <w:sz w:val="32"/>
        </w:rPr>
      </w:pPr>
    </w:p>
    <w:p>
      <w:pPr>
        <w:jc w:val="center"/>
        <w:rPr>
          <w:rFonts w:ascii="宋体" w:hAnsi="宋体"/>
          <w:b/>
          <w:bCs/>
          <w:spacing w:val="14"/>
          <w:sz w:val="32"/>
        </w:rPr>
      </w:pPr>
    </w:p>
    <w:p>
      <w:pPr>
        <w:jc w:val="center"/>
        <w:rPr>
          <w:rFonts w:ascii="宋体" w:hAnsi="宋体"/>
          <w:b/>
          <w:bCs/>
          <w:spacing w:val="14"/>
          <w:sz w:val="32"/>
        </w:rPr>
      </w:pPr>
    </w:p>
    <w:p>
      <w:pPr>
        <w:jc w:val="center"/>
        <w:rPr>
          <w:rFonts w:ascii="宋体" w:hAnsi="宋体"/>
          <w:b/>
          <w:bCs/>
          <w:spacing w:val="14"/>
          <w:sz w:val="32"/>
        </w:rPr>
      </w:pPr>
    </w:p>
    <w:p>
      <w:pPr>
        <w:jc w:val="center"/>
        <w:rPr>
          <w:rFonts w:ascii="宋体" w:hAnsi="宋体"/>
          <w:b/>
          <w:bCs/>
          <w:spacing w:val="14"/>
          <w:sz w:val="32"/>
        </w:rPr>
      </w:pPr>
    </w:p>
    <w:p>
      <w:pPr>
        <w:jc w:val="center"/>
        <w:rPr>
          <w:rFonts w:ascii="宋体" w:hAnsi="宋体"/>
          <w:b/>
          <w:bCs/>
          <w:spacing w:val="14"/>
          <w:sz w:val="32"/>
        </w:rPr>
      </w:pPr>
    </w:p>
    <w:p>
      <w:pPr>
        <w:jc w:val="center"/>
        <w:rPr>
          <w:rFonts w:ascii="宋体" w:hAnsi="宋体"/>
          <w:b/>
          <w:bCs/>
          <w:spacing w:val="14"/>
          <w:sz w:val="32"/>
        </w:rPr>
      </w:pPr>
    </w:p>
    <w:p>
      <w:pPr>
        <w:jc w:val="center"/>
        <w:rPr>
          <w:rFonts w:ascii="宋体" w:hAnsi="宋体"/>
          <w:b/>
          <w:bCs/>
          <w:spacing w:val="14"/>
          <w:sz w:val="32"/>
        </w:rPr>
      </w:pPr>
    </w:p>
    <w:p>
      <w:pPr>
        <w:jc w:val="center"/>
        <w:rPr>
          <w:rFonts w:ascii="宋体" w:hAnsi="宋体"/>
          <w:b/>
          <w:bCs/>
          <w:spacing w:val="14"/>
          <w:sz w:val="32"/>
        </w:rPr>
      </w:pPr>
    </w:p>
    <w:p>
      <w:pPr>
        <w:jc w:val="center"/>
        <w:rPr>
          <w:rFonts w:ascii="宋体" w:hAnsi="宋体"/>
          <w:b/>
          <w:bCs/>
          <w:spacing w:val="14"/>
          <w:sz w:val="32"/>
        </w:rPr>
      </w:pPr>
    </w:p>
    <w:p>
      <w:pPr>
        <w:jc w:val="center"/>
        <w:rPr>
          <w:rFonts w:ascii="宋体" w:hAnsi="宋体"/>
          <w:b/>
          <w:bCs/>
          <w:spacing w:val="14"/>
          <w:sz w:val="28"/>
          <w:szCs w:val="28"/>
          <w:highlight w:val="yellow"/>
        </w:rPr>
      </w:pPr>
      <w:r>
        <w:rPr>
          <w:rFonts w:hint="eastAsia" w:ascii="宋体" w:hAnsi="宋体"/>
          <w:b/>
          <w:bCs/>
          <w:spacing w:val="14"/>
          <w:sz w:val="32"/>
        </w:rPr>
        <w:t>一、</w:t>
      </w:r>
      <w:r>
        <w:rPr>
          <w:rFonts w:hint="eastAsia" w:ascii="宋体" w:hAnsi="宋体"/>
          <w:b/>
          <w:bCs/>
          <w:spacing w:val="14"/>
          <w:sz w:val="28"/>
          <w:szCs w:val="28"/>
          <w:highlight w:val="yellow"/>
          <w:shd w:val="clear" w:color="FFFFFF" w:fill="D9D9D9"/>
        </w:rPr>
        <w:t>竞 标 函</w:t>
      </w:r>
    </w:p>
    <w:p>
      <w:pPr>
        <w:spacing w:line="360" w:lineRule="auto"/>
        <w:ind w:right="420"/>
        <w:rPr>
          <w:rFonts w:ascii="宋体" w:hAnsi="宋体"/>
          <w:szCs w:val="21"/>
        </w:rPr>
      </w:pPr>
      <w:r>
        <w:rPr>
          <w:rFonts w:hint="eastAsia" w:ascii="宋体" w:hAnsi="宋体" w:cs="Arial"/>
          <w:szCs w:val="21"/>
        </w:rPr>
        <w:t>长兴县太湖高级中学</w:t>
      </w:r>
      <w:r>
        <w:rPr>
          <w:rFonts w:hint="eastAsia" w:ascii="宋体" w:hAnsi="宋体"/>
          <w:szCs w:val="21"/>
        </w:rPr>
        <w:t>：</w:t>
      </w:r>
    </w:p>
    <w:p>
      <w:pPr>
        <w:spacing w:line="360" w:lineRule="auto"/>
        <w:ind w:firstLine="420" w:firstLineChars="200"/>
        <w:rPr>
          <w:rFonts w:ascii="宋体" w:hAnsi="宋体"/>
          <w:szCs w:val="21"/>
        </w:rPr>
      </w:pPr>
      <w:r>
        <w:rPr>
          <w:rFonts w:hint="eastAsia" w:ascii="宋体" w:hAnsi="宋体"/>
          <w:szCs w:val="21"/>
        </w:rPr>
        <w:t>根据已收到贵方招标编号为（</w:t>
      </w:r>
      <w:r>
        <w:rPr>
          <w:rFonts w:hint="eastAsia" w:ascii="宋体" w:hAnsi="宋体" w:cs="Arial"/>
          <w:spacing w:val="-6"/>
          <w:szCs w:val="21"/>
        </w:rPr>
        <w:t>HZJNCG-201</w:t>
      </w:r>
      <w:r>
        <w:rPr>
          <w:rFonts w:hint="eastAsia" w:ascii="宋体" w:hAnsi="宋体" w:cs="Arial"/>
          <w:spacing w:val="-6"/>
          <w:szCs w:val="21"/>
          <w:lang w:val="en-US" w:eastAsia="zh-CN"/>
        </w:rPr>
        <w:t>9</w:t>
      </w:r>
      <w:r>
        <w:rPr>
          <w:rFonts w:hint="eastAsia" w:ascii="宋体" w:hAnsi="宋体" w:cs="Arial"/>
          <w:spacing w:val="-6"/>
          <w:szCs w:val="21"/>
        </w:rPr>
        <w:t>-</w:t>
      </w:r>
      <w:r>
        <w:rPr>
          <w:rFonts w:hint="eastAsia" w:ascii="宋体" w:hAnsi="宋体" w:cs="Arial"/>
          <w:spacing w:val="-6"/>
          <w:szCs w:val="21"/>
          <w:lang w:val="en-US" w:eastAsia="zh-CN"/>
        </w:rPr>
        <w:t>04</w:t>
      </w:r>
      <w:r>
        <w:rPr>
          <w:rFonts w:ascii="宋体" w:hAnsi="宋体" w:cs="Arial"/>
          <w:spacing w:val="-6"/>
          <w:szCs w:val="21"/>
        </w:rPr>
        <w:t>）</w:t>
      </w:r>
      <w:r>
        <w:rPr>
          <w:rFonts w:hint="eastAsia" w:ascii="宋体" w:hAnsi="宋体" w:cs="Arial"/>
          <w:spacing w:val="-6"/>
          <w:szCs w:val="21"/>
        </w:rPr>
        <w:t>的</w:t>
      </w:r>
      <w:r>
        <w:rPr>
          <w:rFonts w:hint="eastAsia" w:ascii="宋体" w:hAnsi="宋体"/>
          <w:szCs w:val="21"/>
          <w:u w:val="single"/>
        </w:rPr>
        <w:t>长兴县太湖高级中学综合管理平台系统采购项目</w:t>
      </w:r>
      <w:r>
        <w:rPr>
          <w:rFonts w:hint="eastAsia" w:ascii="宋体" w:hAnsi="宋体"/>
          <w:szCs w:val="21"/>
        </w:rPr>
        <w:t>的竞争性磋商文件，签字代表（职务、职称：），经正式授权并代表供应商（地址：）提交下述磋商响应文件正本</w:t>
      </w:r>
      <w:r>
        <w:rPr>
          <w:rFonts w:hint="eastAsia" w:ascii="宋体" w:hAnsi="宋体"/>
          <w:szCs w:val="21"/>
          <w:u w:val="single"/>
        </w:rPr>
        <w:t xml:space="preserve"> 1  </w:t>
      </w:r>
      <w:r>
        <w:rPr>
          <w:rFonts w:hint="eastAsia" w:ascii="宋体" w:hAnsi="宋体"/>
          <w:szCs w:val="21"/>
        </w:rPr>
        <w:t>份和副本</w:t>
      </w:r>
      <w:r>
        <w:rPr>
          <w:rFonts w:hint="eastAsia" w:ascii="宋体" w:hAnsi="宋体"/>
          <w:szCs w:val="21"/>
          <w:u w:val="single"/>
        </w:rPr>
        <w:t xml:space="preserve"> 2  </w:t>
      </w:r>
      <w:r>
        <w:rPr>
          <w:rFonts w:hint="eastAsia" w:ascii="宋体" w:hAnsi="宋体"/>
          <w:szCs w:val="21"/>
        </w:rPr>
        <w:t>份。</w:t>
      </w:r>
    </w:p>
    <w:p>
      <w:pPr>
        <w:spacing w:line="360" w:lineRule="auto"/>
        <w:rPr>
          <w:rFonts w:ascii="宋体" w:hAnsi="宋体"/>
          <w:szCs w:val="21"/>
        </w:rPr>
      </w:pPr>
      <w:r>
        <w:rPr>
          <w:rFonts w:hint="eastAsia" w:ascii="宋体" w:hAnsi="宋体"/>
          <w:szCs w:val="21"/>
        </w:rPr>
        <w:t>（一）磋商响应文件包括：</w:t>
      </w:r>
    </w:p>
    <w:p>
      <w:pPr>
        <w:spacing w:line="360" w:lineRule="auto"/>
        <w:rPr>
          <w:rFonts w:ascii="宋体" w:hAnsi="宋体"/>
          <w:b/>
          <w:szCs w:val="21"/>
        </w:rPr>
      </w:pPr>
      <w:r>
        <w:rPr>
          <w:rFonts w:hint="eastAsia" w:ascii="宋体" w:hAnsi="宋体"/>
          <w:b/>
          <w:szCs w:val="21"/>
        </w:rPr>
        <w:t>1、报价文件：</w:t>
      </w:r>
    </w:p>
    <w:p>
      <w:pPr>
        <w:autoSpaceDE w:val="0"/>
        <w:autoSpaceDN w:val="0"/>
        <w:adjustRightInd w:val="0"/>
        <w:spacing w:line="360" w:lineRule="auto"/>
        <w:ind w:firstLine="480"/>
        <w:rPr>
          <w:rFonts w:ascii="宋体"/>
          <w:szCs w:val="21"/>
          <w:lang w:val="zh-CN"/>
        </w:rPr>
      </w:pPr>
      <w:r>
        <w:rPr>
          <w:rFonts w:hint="eastAsia" w:ascii="宋体"/>
          <w:szCs w:val="21"/>
          <w:lang w:val="zh-CN"/>
        </w:rPr>
        <w:t>（1）竞标函；</w:t>
      </w:r>
    </w:p>
    <w:p>
      <w:pPr>
        <w:autoSpaceDE w:val="0"/>
        <w:autoSpaceDN w:val="0"/>
        <w:adjustRightInd w:val="0"/>
        <w:spacing w:line="360" w:lineRule="auto"/>
        <w:ind w:firstLine="480"/>
        <w:rPr>
          <w:rFonts w:ascii="宋体"/>
          <w:szCs w:val="21"/>
          <w:lang w:val="zh-CN"/>
        </w:rPr>
      </w:pPr>
      <w:r>
        <w:rPr>
          <w:rFonts w:hint="eastAsia" w:ascii="宋体"/>
          <w:szCs w:val="21"/>
          <w:lang w:val="zh-CN"/>
        </w:rPr>
        <w:t>（2）磋商报价一览表；</w:t>
      </w:r>
    </w:p>
    <w:p>
      <w:pPr>
        <w:autoSpaceDE w:val="0"/>
        <w:autoSpaceDN w:val="0"/>
        <w:adjustRightInd w:val="0"/>
        <w:spacing w:line="360" w:lineRule="auto"/>
        <w:ind w:firstLine="480"/>
        <w:rPr>
          <w:rFonts w:ascii="宋体"/>
          <w:szCs w:val="21"/>
          <w:lang w:val="zh-CN"/>
        </w:rPr>
      </w:pPr>
      <w:r>
        <w:rPr>
          <w:rFonts w:hint="eastAsia" w:ascii="宋体"/>
          <w:szCs w:val="21"/>
          <w:lang w:val="zh-CN"/>
        </w:rPr>
        <w:t>（3）磋商报价明细表（格式见附件）；</w:t>
      </w:r>
    </w:p>
    <w:p>
      <w:pPr>
        <w:autoSpaceDE w:val="0"/>
        <w:autoSpaceDN w:val="0"/>
        <w:adjustRightInd w:val="0"/>
        <w:spacing w:line="360" w:lineRule="auto"/>
        <w:ind w:firstLine="480"/>
        <w:rPr>
          <w:rFonts w:ascii="宋体"/>
          <w:szCs w:val="21"/>
          <w:lang w:val="zh-CN"/>
        </w:rPr>
      </w:pPr>
      <w:r>
        <w:rPr>
          <w:rFonts w:hint="eastAsia" w:ascii="宋体"/>
          <w:szCs w:val="21"/>
        </w:rPr>
        <w:t>（4）</w:t>
      </w:r>
      <w:r>
        <w:rPr>
          <w:rFonts w:ascii="宋体" w:hAnsi="宋体"/>
          <w:szCs w:val="21"/>
        </w:rPr>
        <w:t>投标人</w:t>
      </w:r>
      <w:r>
        <w:rPr>
          <w:rFonts w:hint="eastAsia" w:ascii="宋体" w:hAnsi="宋体"/>
          <w:szCs w:val="21"/>
        </w:rPr>
        <w:t>针对报价</w:t>
      </w:r>
      <w:r>
        <w:rPr>
          <w:rFonts w:ascii="宋体" w:hAnsi="宋体"/>
          <w:szCs w:val="21"/>
        </w:rPr>
        <w:t>需要说明的其他文件和说明（格式</w:t>
      </w:r>
      <w:r>
        <w:rPr>
          <w:rFonts w:hint="eastAsia" w:ascii="宋体" w:hAnsi="宋体"/>
          <w:szCs w:val="21"/>
        </w:rPr>
        <w:t>自拟）</w:t>
      </w:r>
    </w:p>
    <w:p>
      <w:pPr>
        <w:snapToGrid w:val="0"/>
        <w:spacing w:beforeLines="50" w:line="360" w:lineRule="auto"/>
        <w:jc w:val="left"/>
        <w:rPr>
          <w:rFonts w:ascii="宋体" w:hAnsi="宋体" w:cs="宋体"/>
          <w:b/>
          <w:szCs w:val="21"/>
        </w:rPr>
      </w:pPr>
      <w:r>
        <w:rPr>
          <w:rFonts w:hint="eastAsia" w:ascii="宋体"/>
          <w:b/>
          <w:bCs/>
          <w:szCs w:val="21"/>
          <w:lang w:val="zh-CN"/>
        </w:rPr>
        <w:t>2、资信及</w:t>
      </w:r>
      <w:r>
        <w:rPr>
          <w:rFonts w:hint="eastAsia" w:ascii="宋体" w:hAnsi="宋体" w:cs="宋体"/>
          <w:b/>
          <w:szCs w:val="21"/>
        </w:rPr>
        <w:t>商务部分</w:t>
      </w:r>
    </w:p>
    <w:p>
      <w:pPr>
        <w:spacing w:line="360" w:lineRule="auto"/>
        <w:ind w:firstLine="420" w:firstLineChars="200"/>
        <w:rPr>
          <w:rFonts w:ascii="宋体" w:hAnsi="宋体"/>
          <w:bCs/>
          <w:szCs w:val="21"/>
        </w:rPr>
      </w:pPr>
      <w:r>
        <w:rPr>
          <w:rFonts w:hint="eastAsia" w:ascii="宋体" w:hAnsi="宋体"/>
          <w:bCs/>
          <w:szCs w:val="21"/>
        </w:rPr>
        <w:t>（1）</w:t>
      </w:r>
      <w:r>
        <w:rPr>
          <w:rFonts w:hint="eastAsia" w:ascii="宋体" w:hAnsi="宋体"/>
          <w:szCs w:val="21"/>
        </w:rPr>
        <w:t>磋商</w:t>
      </w:r>
      <w:r>
        <w:rPr>
          <w:rFonts w:ascii="宋体" w:hAnsi="宋体"/>
          <w:szCs w:val="21"/>
        </w:rPr>
        <w:t>声明书</w:t>
      </w:r>
      <w:r>
        <w:rPr>
          <w:rFonts w:hint="eastAsia" w:ascii="宋体" w:hAnsi="宋体"/>
          <w:bCs/>
          <w:szCs w:val="21"/>
        </w:rPr>
        <w:t xml:space="preserve">；                                          </w:t>
      </w:r>
    </w:p>
    <w:p>
      <w:pPr>
        <w:spacing w:line="360" w:lineRule="auto"/>
        <w:ind w:firstLine="420" w:firstLineChars="200"/>
        <w:rPr>
          <w:rFonts w:ascii="宋体" w:hAnsi="宋体"/>
          <w:bCs/>
          <w:szCs w:val="21"/>
        </w:rPr>
      </w:pPr>
      <w:r>
        <w:rPr>
          <w:rFonts w:hint="eastAsia" w:ascii="宋体" w:hAnsi="宋体"/>
          <w:bCs/>
          <w:szCs w:val="21"/>
        </w:rPr>
        <w:t>（2）</w:t>
      </w:r>
      <w:r>
        <w:rPr>
          <w:rFonts w:ascii="宋体" w:hAnsi="宋体"/>
          <w:szCs w:val="21"/>
        </w:rPr>
        <w:t>法定代表人授权委托书</w:t>
      </w:r>
      <w:r>
        <w:rPr>
          <w:rFonts w:hint="eastAsia" w:ascii="宋体" w:hAnsi="宋体"/>
          <w:bCs/>
          <w:szCs w:val="21"/>
        </w:rPr>
        <w:t>；</w:t>
      </w:r>
    </w:p>
    <w:p>
      <w:pPr>
        <w:spacing w:line="360" w:lineRule="auto"/>
        <w:rPr>
          <w:rFonts w:ascii="宋体" w:hAnsi="宋体"/>
          <w:bCs/>
          <w:szCs w:val="21"/>
        </w:rPr>
      </w:pPr>
      <w:r>
        <w:rPr>
          <w:rFonts w:hint="eastAsia" w:ascii="宋体" w:hAnsi="宋体"/>
          <w:bCs/>
          <w:szCs w:val="21"/>
        </w:rPr>
        <w:t xml:space="preserve">    （3）磋商保证金；                                    </w:t>
      </w:r>
    </w:p>
    <w:p>
      <w:pPr>
        <w:spacing w:line="360" w:lineRule="auto"/>
        <w:ind w:firstLine="420" w:firstLineChars="200"/>
        <w:rPr>
          <w:rFonts w:ascii="宋体" w:hAnsi="宋体"/>
          <w:bCs/>
          <w:szCs w:val="21"/>
        </w:rPr>
      </w:pPr>
      <w:r>
        <w:rPr>
          <w:rFonts w:hint="eastAsia" w:ascii="宋体" w:hAnsi="宋体"/>
          <w:bCs/>
          <w:szCs w:val="21"/>
        </w:rPr>
        <w:t>（4）</w:t>
      </w:r>
      <w:r>
        <w:rPr>
          <w:rFonts w:hint="eastAsia" w:ascii="宋体" w:hAnsi="宋体"/>
          <w:szCs w:val="21"/>
        </w:rPr>
        <w:t>供应商情况表</w:t>
      </w:r>
      <w:r>
        <w:rPr>
          <w:rFonts w:hint="eastAsia" w:ascii="宋体" w:hAnsi="宋体"/>
          <w:bCs/>
          <w:szCs w:val="21"/>
        </w:rPr>
        <w:t xml:space="preserve">； </w:t>
      </w:r>
    </w:p>
    <w:p>
      <w:pPr>
        <w:spacing w:line="360" w:lineRule="auto"/>
        <w:ind w:firstLine="420" w:firstLineChars="200"/>
        <w:rPr>
          <w:rFonts w:ascii="宋体" w:hAnsi="宋体"/>
          <w:bCs/>
          <w:szCs w:val="21"/>
        </w:rPr>
      </w:pPr>
      <w:r>
        <w:rPr>
          <w:rFonts w:hint="eastAsia" w:ascii="宋体" w:hAnsi="宋体"/>
          <w:bCs/>
          <w:szCs w:val="21"/>
        </w:rPr>
        <w:t>（5）资格资信证明文件（营业执照或事业单位法人证书、资质证书等，复印件加盖公章）；</w:t>
      </w:r>
    </w:p>
    <w:p>
      <w:pPr>
        <w:snapToGrid w:val="0"/>
        <w:spacing w:line="360" w:lineRule="auto"/>
        <w:ind w:firstLine="411" w:firstLineChars="196"/>
        <w:jc w:val="left"/>
        <w:rPr>
          <w:rFonts w:ascii="宋体" w:hAnsi="宋体"/>
          <w:szCs w:val="21"/>
        </w:rPr>
      </w:pPr>
      <w:r>
        <w:rPr>
          <w:rFonts w:hint="eastAsia" w:ascii="宋体" w:hAnsi="宋体"/>
          <w:bCs/>
          <w:szCs w:val="21"/>
        </w:rPr>
        <w:t>（6）</w:t>
      </w:r>
      <w:r>
        <w:rPr>
          <w:rFonts w:hint="eastAsia" w:ascii="宋体" w:hAnsi="宋体"/>
          <w:szCs w:val="21"/>
        </w:rPr>
        <w:t>供应商经当地税务、社保部门确认的2017年度依法缴纳税收和社保基金缴纳情况的证明文书；</w:t>
      </w:r>
    </w:p>
    <w:p>
      <w:pPr>
        <w:snapToGrid w:val="0"/>
        <w:spacing w:line="360" w:lineRule="auto"/>
        <w:ind w:firstLine="411" w:firstLineChars="196"/>
        <w:jc w:val="left"/>
        <w:rPr>
          <w:rFonts w:ascii="宋体" w:hAnsi="宋体"/>
          <w:szCs w:val="21"/>
        </w:rPr>
      </w:pPr>
      <w:r>
        <w:rPr>
          <w:rFonts w:hint="eastAsia" w:ascii="宋体" w:hAnsi="宋体"/>
          <w:szCs w:val="21"/>
        </w:rPr>
        <w:t>（7）商务响应表；</w:t>
      </w:r>
    </w:p>
    <w:p>
      <w:pPr>
        <w:snapToGrid w:val="0"/>
        <w:spacing w:line="360" w:lineRule="auto"/>
        <w:ind w:firstLine="411" w:firstLineChars="196"/>
        <w:jc w:val="left"/>
        <w:rPr>
          <w:rFonts w:ascii="宋体" w:hAnsi="宋体"/>
          <w:szCs w:val="21"/>
        </w:rPr>
      </w:pPr>
      <w:r>
        <w:rPr>
          <w:rFonts w:hint="eastAsia" w:ascii="宋体" w:hAnsi="宋体"/>
          <w:szCs w:val="21"/>
        </w:rPr>
        <w:t>（8）技术响应表</w:t>
      </w:r>
    </w:p>
    <w:p>
      <w:pPr>
        <w:snapToGrid w:val="0"/>
        <w:spacing w:line="360" w:lineRule="auto"/>
        <w:ind w:firstLine="411" w:firstLineChars="196"/>
        <w:jc w:val="left"/>
        <w:rPr>
          <w:rFonts w:ascii="宋体" w:hAnsi="宋体"/>
          <w:szCs w:val="21"/>
        </w:rPr>
      </w:pPr>
      <w:r>
        <w:rPr>
          <w:rFonts w:hint="eastAsia" w:ascii="宋体" w:hAnsi="宋体"/>
          <w:szCs w:val="21"/>
        </w:rPr>
        <w:t>（9）供应商同类项目实施情况一览表</w:t>
      </w:r>
    </w:p>
    <w:p>
      <w:pPr>
        <w:snapToGrid w:val="0"/>
        <w:spacing w:line="360" w:lineRule="auto"/>
        <w:ind w:firstLine="411" w:firstLineChars="196"/>
        <w:jc w:val="left"/>
        <w:rPr>
          <w:rFonts w:ascii="宋体" w:hAnsi="宋体"/>
          <w:szCs w:val="21"/>
        </w:rPr>
      </w:pPr>
      <w:r>
        <w:rPr>
          <w:rFonts w:hint="eastAsia" w:ascii="宋体" w:hAnsi="宋体"/>
          <w:szCs w:val="21"/>
        </w:rPr>
        <w:t>（10）投标人的荣誉、信誉证书或文件（如有）；</w:t>
      </w:r>
    </w:p>
    <w:p>
      <w:pPr>
        <w:spacing w:line="360" w:lineRule="auto"/>
        <w:ind w:firstLine="420" w:firstLineChars="200"/>
        <w:rPr>
          <w:rFonts w:ascii="宋体" w:hAnsi="宋体" w:cs="Arial"/>
          <w:szCs w:val="21"/>
        </w:rPr>
      </w:pPr>
      <w:r>
        <w:rPr>
          <w:rFonts w:hint="eastAsia" w:ascii="宋体" w:hAnsi="宋体"/>
          <w:szCs w:val="21"/>
        </w:rPr>
        <w:t>（11</w:t>
      </w:r>
      <w:r>
        <w:rPr>
          <w:rFonts w:ascii="宋体" w:hAnsi="宋体"/>
          <w:szCs w:val="21"/>
        </w:rPr>
        <w:t>）</w:t>
      </w:r>
      <w:r>
        <w:rPr>
          <w:rFonts w:hint="eastAsia" w:ascii="宋体" w:hAnsi="宋体"/>
          <w:szCs w:val="21"/>
        </w:rPr>
        <w:t>投标人认为可以证明其能力或业绩的其他材料</w:t>
      </w:r>
      <w:r>
        <w:rPr>
          <w:rFonts w:hint="eastAsia" w:ascii="宋体" w:hAnsi="宋体" w:cs="Arial"/>
          <w:szCs w:val="21"/>
        </w:rPr>
        <w:t>；</w:t>
      </w:r>
    </w:p>
    <w:p>
      <w:pPr>
        <w:autoSpaceDE w:val="0"/>
        <w:autoSpaceDN w:val="0"/>
        <w:adjustRightInd w:val="0"/>
        <w:spacing w:line="360" w:lineRule="auto"/>
        <w:rPr>
          <w:rFonts w:ascii="宋体" w:hAnsi="宋体"/>
          <w:b/>
          <w:bCs/>
          <w:szCs w:val="21"/>
          <w:lang w:val="zh-CN"/>
        </w:rPr>
      </w:pPr>
      <w:r>
        <w:rPr>
          <w:rFonts w:hint="eastAsia" w:ascii="宋体" w:hAnsi="宋体"/>
          <w:b/>
          <w:bCs/>
          <w:szCs w:val="21"/>
        </w:rPr>
        <w:t>3、技术部分：</w:t>
      </w:r>
    </w:p>
    <w:p>
      <w:pPr>
        <w:snapToGrid w:val="0"/>
        <w:spacing w:line="360" w:lineRule="auto"/>
        <w:ind w:firstLine="411" w:firstLineChars="196"/>
        <w:jc w:val="left"/>
        <w:rPr>
          <w:rFonts w:ascii="宋体" w:hAnsi="宋体"/>
          <w:szCs w:val="21"/>
        </w:rPr>
      </w:pPr>
      <w:r>
        <w:rPr>
          <w:rFonts w:hint="eastAsia" w:ascii="宋体" w:hAnsi="宋体"/>
          <w:szCs w:val="21"/>
        </w:rPr>
        <w:t>（1）本项目技术及组织实施方案；</w:t>
      </w:r>
    </w:p>
    <w:p>
      <w:pPr>
        <w:snapToGrid w:val="0"/>
        <w:spacing w:line="360" w:lineRule="auto"/>
        <w:ind w:firstLine="411" w:firstLineChars="196"/>
        <w:jc w:val="left"/>
        <w:rPr>
          <w:rFonts w:ascii="宋体" w:hAnsi="宋体"/>
          <w:szCs w:val="21"/>
        </w:rPr>
      </w:pPr>
      <w:r>
        <w:rPr>
          <w:rFonts w:hint="eastAsia" w:ascii="宋体" w:hAnsi="宋体"/>
          <w:szCs w:val="21"/>
        </w:rPr>
        <w:t>（2）项目质量控制措施和服务承诺；</w:t>
      </w:r>
    </w:p>
    <w:p>
      <w:pPr>
        <w:snapToGrid w:val="0"/>
        <w:spacing w:line="360" w:lineRule="auto"/>
        <w:ind w:firstLine="411" w:firstLineChars="196"/>
        <w:jc w:val="left"/>
        <w:rPr>
          <w:rFonts w:ascii="宋体" w:hAnsi="宋体"/>
          <w:szCs w:val="21"/>
        </w:rPr>
      </w:pPr>
      <w:r>
        <w:rPr>
          <w:rFonts w:hint="eastAsia" w:ascii="宋体" w:hAnsi="宋体"/>
          <w:szCs w:val="21"/>
        </w:rPr>
        <w:t>（3）拟派驻本项目实施人员汇总表及相关证明材料；（格式自拟）</w:t>
      </w:r>
    </w:p>
    <w:p>
      <w:pPr>
        <w:snapToGrid w:val="0"/>
        <w:spacing w:line="360" w:lineRule="auto"/>
        <w:ind w:firstLine="411" w:firstLineChars="196"/>
        <w:jc w:val="left"/>
        <w:rPr>
          <w:rFonts w:ascii="宋体" w:hAnsi="宋体"/>
          <w:szCs w:val="21"/>
        </w:rPr>
      </w:pPr>
      <w:r>
        <w:rPr>
          <w:rFonts w:hint="eastAsia" w:ascii="宋体" w:hAnsi="宋体"/>
          <w:szCs w:val="21"/>
        </w:rPr>
        <w:t>（4）项目负责人情况表；</w:t>
      </w:r>
    </w:p>
    <w:p>
      <w:pPr>
        <w:snapToGrid w:val="0"/>
        <w:spacing w:line="360" w:lineRule="auto"/>
        <w:ind w:firstLine="411" w:firstLineChars="196"/>
        <w:jc w:val="left"/>
        <w:rPr>
          <w:rFonts w:ascii="宋体" w:hAnsi="宋体"/>
          <w:szCs w:val="21"/>
        </w:rPr>
      </w:pPr>
      <w:r>
        <w:rPr>
          <w:rFonts w:hint="eastAsia" w:ascii="宋体" w:hAnsi="宋体"/>
          <w:szCs w:val="21"/>
        </w:rPr>
        <w:t>（5）竞争性磋商文件有规定而无格式的资料和文件</w:t>
      </w:r>
    </w:p>
    <w:p>
      <w:pPr>
        <w:snapToGrid w:val="0"/>
        <w:spacing w:line="360" w:lineRule="auto"/>
        <w:ind w:firstLine="411" w:firstLineChars="196"/>
        <w:jc w:val="left"/>
        <w:rPr>
          <w:rFonts w:ascii="宋体" w:hAnsi="宋体"/>
          <w:szCs w:val="21"/>
        </w:rPr>
      </w:pPr>
      <w:r>
        <w:rPr>
          <w:rFonts w:hint="eastAsia" w:ascii="宋体" w:hAnsi="宋体"/>
          <w:szCs w:val="21"/>
        </w:rPr>
        <w:t>（6）供应商认为需要提供的其他资料和文件</w:t>
      </w:r>
    </w:p>
    <w:p>
      <w:pPr>
        <w:autoSpaceDE w:val="0"/>
        <w:autoSpaceDN w:val="0"/>
        <w:adjustRightInd w:val="0"/>
        <w:spacing w:line="360" w:lineRule="auto"/>
        <w:ind w:firstLine="105" w:firstLineChars="50"/>
        <w:rPr>
          <w:rFonts w:ascii="宋体" w:hAnsi="宋体"/>
          <w:szCs w:val="21"/>
        </w:rPr>
      </w:pPr>
      <w:r>
        <w:rPr>
          <w:rFonts w:hint="eastAsia" w:ascii="宋体"/>
          <w:szCs w:val="21"/>
          <w:lang w:val="zh-CN"/>
        </w:rPr>
        <w:t>（二）</w:t>
      </w:r>
      <w:r>
        <w:rPr>
          <w:rFonts w:hint="eastAsia" w:ascii="宋体" w:hAnsi="宋体"/>
          <w:szCs w:val="21"/>
        </w:rPr>
        <w:t>磋商总价：人民币元（大写），￥</w:t>
      </w:r>
      <w:r>
        <w:rPr>
          <w:rFonts w:ascii="宋体" w:hAnsi="宋体"/>
          <w:szCs w:val="21"/>
        </w:rPr>
        <w:softHyphen/>
      </w:r>
      <w:r>
        <w:rPr>
          <w:rFonts w:hint="eastAsia" w:ascii="宋体" w:hAnsi="宋体"/>
          <w:szCs w:val="21"/>
        </w:rPr>
        <w:t xml:space="preserve">元（小写）。 </w:t>
      </w:r>
    </w:p>
    <w:p>
      <w:pPr>
        <w:autoSpaceDE w:val="0"/>
        <w:autoSpaceDN w:val="0"/>
        <w:adjustRightInd w:val="0"/>
        <w:spacing w:line="360" w:lineRule="auto"/>
        <w:ind w:firstLine="105" w:firstLineChars="50"/>
        <w:rPr>
          <w:szCs w:val="21"/>
        </w:rPr>
      </w:pPr>
      <w:r>
        <w:rPr>
          <w:rFonts w:hint="eastAsia" w:ascii="宋体" w:hAnsi="宋体"/>
          <w:szCs w:val="21"/>
        </w:rPr>
        <w:t>（三）</w:t>
      </w:r>
      <w:r>
        <w:rPr>
          <w:rFonts w:hint="eastAsia"/>
          <w:szCs w:val="21"/>
        </w:rPr>
        <w:t>我方派驻现场的项目经理（项目负责人）为：</w:t>
      </w:r>
      <w:r>
        <w:rPr>
          <w:rFonts w:hint="eastAsia"/>
          <w:szCs w:val="21"/>
          <w:u w:val="single"/>
        </w:rPr>
        <w:t xml:space="preserve">   （姓名）  </w:t>
      </w:r>
      <w:r>
        <w:rPr>
          <w:rFonts w:hint="eastAsia"/>
          <w:szCs w:val="21"/>
        </w:rPr>
        <w:t>，身份证号码为： 。</w:t>
      </w:r>
    </w:p>
    <w:p>
      <w:pPr>
        <w:autoSpaceDE w:val="0"/>
        <w:autoSpaceDN w:val="0"/>
        <w:adjustRightInd w:val="0"/>
        <w:spacing w:line="360" w:lineRule="auto"/>
        <w:ind w:firstLine="105" w:firstLineChars="50"/>
        <w:rPr>
          <w:szCs w:val="21"/>
        </w:rPr>
      </w:pPr>
      <w:r>
        <w:rPr>
          <w:rFonts w:hint="eastAsia"/>
          <w:szCs w:val="21"/>
        </w:rPr>
        <w:t>（四）</w:t>
      </w:r>
      <w:r>
        <w:rPr>
          <w:rFonts w:hint="eastAsia" w:ascii="宋体" w:hAnsi="宋体"/>
          <w:szCs w:val="21"/>
        </w:rPr>
        <w:t>一旦我方中标，我方保证</w:t>
      </w:r>
      <w:r>
        <w:rPr>
          <w:rFonts w:hint="eastAsia" w:ascii="宋体" w:hAnsi="宋体"/>
          <w:snapToGrid w:val="0"/>
          <w:kern w:val="0"/>
          <w:szCs w:val="21"/>
        </w:rPr>
        <w:t>在</w:t>
      </w:r>
      <w:r>
        <w:rPr>
          <w:rFonts w:hint="eastAsia" w:ascii="宋体" w:hAnsi="宋体"/>
          <w:szCs w:val="21"/>
          <w:u w:val="single"/>
        </w:rPr>
        <w:t xml:space="preserve">{工期}  </w:t>
      </w:r>
      <w:r>
        <w:rPr>
          <w:rFonts w:hint="eastAsia" w:ascii="宋体" w:hAnsi="宋体"/>
          <w:szCs w:val="21"/>
        </w:rPr>
        <w:t>日历天内完成并移交全部工程。</w:t>
      </w:r>
    </w:p>
    <w:p>
      <w:pPr>
        <w:tabs>
          <w:tab w:val="left" w:pos="1740"/>
        </w:tabs>
        <w:spacing w:line="360" w:lineRule="auto"/>
        <w:rPr>
          <w:szCs w:val="21"/>
        </w:rPr>
      </w:pPr>
      <w:r>
        <w:rPr>
          <w:rFonts w:hint="eastAsia"/>
          <w:szCs w:val="21"/>
        </w:rPr>
        <w:t xml:space="preserve"> （五）我们将按本次竞争性磋商文件的规定履行合同责任和义务。</w:t>
      </w:r>
    </w:p>
    <w:p>
      <w:pPr>
        <w:tabs>
          <w:tab w:val="left" w:pos="1740"/>
        </w:tabs>
        <w:spacing w:line="360" w:lineRule="auto"/>
        <w:rPr>
          <w:szCs w:val="21"/>
        </w:rPr>
      </w:pPr>
      <w:r>
        <w:rPr>
          <w:rFonts w:hint="eastAsia"/>
          <w:szCs w:val="21"/>
        </w:rPr>
        <w:t xml:space="preserve"> （六）我们已详细审核竞争性磋商文件全部内容，包括修改文件、参考资料及有关附件，我们完全知道必须放弃提出含糊不清或误解的权利。</w:t>
      </w:r>
    </w:p>
    <w:p>
      <w:pPr>
        <w:spacing w:line="360" w:lineRule="auto"/>
        <w:rPr>
          <w:rFonts w:ascii="宋体" w:hAnsi="宋体"/>
          <w:szCs w:val="21"/>
        </w:rPr>
      </w:pPr>
      <w:r>
        <w:rPr>
          <w:rFonts w:hint="eastAsia" w:ascii="宋体" w:hAnsi="宋体"/>
          <w:szCs w:val="21"/>
        </w:rPr>
        <w:t xml:space="preserve"> （七）我们保证遵守竞争性磋商文件中的有关规定和收费标准。</w:t>
      </w:r>
    </w:p>
    <w:p>
      <w:pPr>
        <w:spacing w:line="360" w:lineRule="auto"/>
        <w:rPr>
          <w:rFonts w:ascii="宋体" w:hAnsi="宋体"/>
          <w:szCs w:val="21"/>
        </w:rPr>
      </w:pPr>
      <w:r>
        <w:rPr>
          <w:rFonts w:hint="eastAsia" w:ascii="宋体" w:hAnsi="宋体"/>
          <w:szCs w:val="21"/>
        </w:rPr>
        <w:t xml:space="preserve"> （八）中标后若不履行磋商响应文件的内容要求和各项承诺及义务的，我们愿承担违约责任。</w:t>
      </w:r>
    </w:p>
    <w:p>
      <w:pPr>
        <w:tabs>
          <w:tab w:val="left" w:pos="1740"/>
        </w:tabs>
        <w:spacing w:line="360" w:lineRule="auto"/>
        <w:rPr>
          <w:rFonts w:ascii="宋体" w:hAnsi="宋体"/>
          <w:szCs w:val="21"/>
        </w:rPr>
      </w:pPr>
      <w:r>
        <w:rPr>
          <w:rFonts w:hint="eastAsia" w:ascii="宋体" w:hAnsi="宋体"/>
          <w:szCs w:val="21"/>
        </w:rPr>
        <w:t xml:space="preserve"> （九）我们同意提供按照贵方要求的与其磋商有关的一切数据或资料，完全理解贵方不一定要接受最低价的竞标或收到的任何竞标。</w:t>
      </w:r>
    </w:p>
    <w:p>
      <w:pPr>
        <w:tabs>
          <w:tab w:val="left" w:pos="1740"/>
        </w:tabs>
        <w:spacing w:line="360" w:lineRule="auto"/>
        <w:rPr>
          <w:rFonts w:ascii="宋体" w:hAnsi="宋体"/>
          <w:szCs w:val="21"/>
        </w:rPr>
      </w:pPr>
      <w:r>
        <w:rPr>
          <w:rFonts w:hint="eastAsia" w:ascii="宋体" w:hAnsi="宋体"/>
          <w:szCs w:val="21"/>
        </w:rPr>
        <w:t xml:space="preserve"> （十）与磋商有关的正式通讯地址为：</w:t>
      </w:r>
    </w:p>
    <w:p>
      <w:pPr>
        <w:spacing w:before="240" w:line="360" w:lineRule="auto"/>
        <w:rPr>
          <w:rFonts w:ascii="宋体" w:hAnsi="宋体"/>
          <w:szCs w:val="21"/>
          <w:u w:val="single"/>
        </w:rPr>
      </w:pPr>
      <w:r>
        <w:rPr>
          <w:rFonts w:hint="eastAsia" w:ascii="宋体" w:hAnsi="宋体"/>
          <w:szCs w:val="21"/>
        </w:rPr>
        <w:t xml:space="preserve">   竞标单位名称：</w:t>
      </w:r>
    </w:p>
    <w:p>
      <w:pPr>
        <w:spacing w:before="240" w:line="360" w:lineRule="auto"/>
        <w:ind w:firstLine="315" w:firstLineChars="150"/>
        <w:rPr>
          <w:rFonts w:ascii="宋体" w:hAnsi="宋体"/>
          <w:szCs w:val="21"/>
        </w:rPr>
      </w:pPr>
      <w:r>
        <w:rPr>
          <w:rFonts w:hint="eastAsia" w:ascii="宋体" w:hAnsi="宋体"/>
          <w:szCs w:val="21"/>
        </w:rPr>
        <w:t>法定代表人签字：</w:t>
      </w:r>
    </w:p>
    <w:p>
      <w:pPr>
        <w:spacing w:before="240" w:line="360" w:lineRule="auto"/>
        <w:rPr>
          <w:rFonts w:ascii="宋体" w:hAnsi="宋体"/>
          <w:szCs w:val="21"/>
        </w:rPr>
      </w:pPr>
      <w:r>
        <w:rPr>
          <w:rFonts w:hint="eastAsia" w:ascii="宋体" w:hAnsi="宋体"/>
          <w:szCs w:val="21"/>
        </w:rPr>
        <w:t xml:space="preserve">   授权代表（签字）：</w:t>
      </w:r>
    </w:p>
    <w:p>
      <w:pPr>
        <w:spacing w:before="240" w:line="360" w:lineRule="auto"/>
        <w:ind w:firstLine="315" w:firstLineChars="150"/>
        <w:rPr>
          <w:rFonts w:ascii="宋体" w:hAnsi="宋体"/>
          <w:szCs w:val="21"/>
          <w:u w:val="single"/>
        </w:rPr>
      </w:pPr>
      <w:r>
        <w:rPr>
          <w:rFonts w:hint="eastAsia" w:ascii="宋体" w:hAnsi="宋体"/>
          <w:szCs w:val="21"/>
        </w:rPr>
        <w:t>地址：</w:t>
      </w:r>
    </w:p>
    <w:p>
      <w:pPr>
        <w:spacing w:before="240" w:line="360" w:lineRule="auto"/>
        <w:rPr>
          <w:rFonts w:ascii="宋体" w:hAnsi="宋体"/>
          <w:szCs w:val="21"/>
          <w:u w:val="single"/>
        </w:rPr>
      </w:pPr>
      <w:r>
        <w:rPr>
          <w:rFonts w:hint="eastAsia" w:ascii="宋体" w:hAnsi="宋体"/>
          <w:szCs w:val="21"/>
        </w:rPr>
        <w:t xml:space="preserve">   邮编：</w:t>
      </w:r>
    </w:p>
    <w:p>
      <w:pPr>
        <w:spacing w:before="240" w:line="360" w:lineRule="auto"/>
        <w:rPr>
          <w:rFonts w:ascii="宋体" w:hAnsi="宋体"/>
          <w:szCs w:val="21"/>
          <w:u w:val="single"/>
        </w:rPr>
      </w:pPr>
      <w:r>
        <w:rPr>
          <w:rFonts w:hint="eastAsia" w:ascii="宋体" w:hAnsi="宋体"/>
          <w:szCs w:val="21"/>
        </w:rPr>
        <w:t xml:space="preserve">   电话：</w:t>
      </w:r>
    </w:p>
    <w:p>
      <w:pPr>
        <w:spacing w:before="240" w:line="360" w:lineRule="auto"/>
        <w:rPr>
          <w:rFonts w:ascii="宋体" w:hAnsi="宋体"/>
          <w:szCs w:val="21"/>
          <w:u w:val="single"/>
        </w:rPr>
      </w:pPr>
      <w:r>
        <w:rPr>
          <w:rFonts w:hint="eastAsia" w:ascii="宋体" w:hAnsi="宋体"/>
          <w:szCs w:val="21"/>
        </w:rPr>
        <w:t xml:space="preserve">   传真；</w:t>
      </w:r>
    </w:p>
    <w:p>
      <w:pPr>
        <w:spacing w:before="240" w:line="360" w:lineRule="auto"/>
        <w:rPr>
          <w:rFonts w:ascii="宋体" w:hAnsi="宋体"/>
          <w:szCs w:val="21"/>
          <w:u w:val="single"/>
        </w:rPr>
      </w:pPr>
      <w:r>
        <w:rPr>
          <w:rFonts w:hint="eastAsia" w:ascii="宋体" w:hAnsi="宋体"/>
          <w:szCs w:val="21"/>
        </w:rPr>
        <w:t xml:space="preserve">   公章：</w:t>
      </w:r>
    </w:p>
    <w:p>
      <w:pPr>
        <w:spacing w:before="240" w:line="360" w:lineRule="auto"/>
        <w:rPr>
          <w:rFonts w:ascii="宋体" w:hAnsi="宋体"/>
          <w:szCs w:val="21"/>
          <w:u w:val="single"/>
        </w:rPr>
      </w:pPr>
      <w:r>
        <w:rPr>
          <w:rFonts w:hint="eastAsia" w:ascii="宋体" w:hAnsi="宋体"/>
          <w:szCs w:val="21"/>
        </w:rPr>
        <w:t xml:space="preserve">   日期：</w:t>
      </w:r>
    </w:p>
    <w:p>
      <w:pPr>
        <w:spacing w:line="360" w:lineRule="auto"/>
        <w:rPr>
          <w:rFonts w:ascii="宋体" w:hAnsi="宋体"/>
          <w:b/>
          <w:bCs/>
          <w:szCs w:val="21"/>
        </w:rPr>
      </w:pPr>
    </w:p>
    <w:p>
      <w:pPr>
        <w:spacing w:line="760" w:lineRule="exact"/>
        <w:rPr>
          <w:rFonts w:ascii="宋体" w:hAnsi="宋体"/>
          <w:b/>
          <w:bCs/>
          <w:sz w:val="32"/>
        </w:rPr>
      </w:pPr>
    </w:p>
    <w:p>
      <w:pPr>
        <w:spacing w:line="760" w:lineRule="exact"/>
        <w:rPr>
          <w:rFonts w:ascii="宋体" w:hAnsi="宋体"/>
          <w:b/>
          <w:bCs/>
          <w:sz w:val="32"/>
        </w:rPr>
      </w:pPr>
    </w:p>
    <w:p>
      <w:pPr>
        <w:spacing w:line="760" w:lineRule="exact"/>
        <w:rPr>
          <w:rFonts w:ascii="宋体" w:hAnsi="宋体"/>
          <w:b/>
          <w:bCs/>
          <w:sz w:val="32"/>
        </w:rPr>
      </w:pPr>
    </w:p>
    <w:p>
      <w:pPr>
        <w:spacing w:line="760" w:lineRule="exact"/>
        <w:rPr>
          <w:rFonts w:ascii="宋体" w:hAnsi="宋体"/>
          <w:b/>
          <w:bCs/>
          <w:sz w:val="32"/>
        </w:rPr>
      </w:pPr>
    </w:p>
    <w:p>
      <w:pPr>
        <w:spacing w:line="760" w:lineRule="exact"/>
        <w:rPr>
          <w:rFonts w:ascii="宋体" w:hAnsi="宋体"/>
          <w:b/>
          <w:bCs/>
          <w:sz w:val="32"/>
        </w:rPr>
      </w:pPr>
    </w:p>
    <w:p>
      <w:pPr>
        <w:numPr>
          <w:ilvl w:val="0"/>
          <w:numId w:val="12"/>
        </w:numPr>
        <w:spacing w:line="760" w:lineRule="exact"/>
        <w:jc w:val="center"/>
        <w:rPr>
          <w:rFonts w:ascii="宋体" w:hAnsi="宋体"/>
          <w:b/>
          <w:bCs/>
          <w:sz w:val="30"/>
          <w:szCs w:val="30"/>
        </w:rPr>
      </w:pPr>
      <w:r>
        <w:rPr>
          <w:rFonts w:hint="eastAsia" w:ascii="宋体" w:hAnsi="宋体"/>
          <w:b/>
          <w:bCs/>
          <w:sz w:val="30"/>
          <w:szCs w:val="30"/>
        </w:rPr>
        <w:t xml:space="preserve">磋商报价一览表 </w:t>
      </w:r>
    </w:p>
    <w:p>
      <w:pPr>
        <w:spacing w:line="760" w:lineRule="exact"/>
        <w:rPr>
          <w:rFonts w:ascii="宋体" w:hAnsi="宋体"/>
          <w:b/>
          <w:bCs/>
          <w:sz w:val="32"/>
        </w:rPr>
      </w:pPr>
    </w:p>
    <w:p>
      <w:pPr>
        <w:autoSpaceDE w:val="0"/>
        <w:autoSpaceDN w:val="0"/>
        <w:adjustRightInd w:val="0"/>
        <w:spacing w:line="600" w:lineRule="exact"/>
        <w:rPr>
          <w:rFonts w:ascii="宋体" w:hAnsi="宋体" w:cs="仿宋_GB2312"/>
          <w:sz w:val="24"/>
          <w:lang w:val="zh-CN"/>
        </w:rPr>
      </w:pPr>
      <w:r>
        <w:rPr>
          <w:rFonts w:hint="eastAsia" w:ascii="宋体" w:hAnsi="宋体" w:cs="仿宋_GB2312"/>
          <w:sz w:val="24"/>
          <w:lang w:val="zh-CN"/>
        </w:rPr>
        <w:t>供应商名称：</w:t>
      </w:r>
    </w:p>
    <w:p>
      <w:pPr>
        <w:autoSpaceDE w:val="0"/>
        <w:autoSpaceDN w:val="0"/>
        <w:adjustRightInd w:val="0"/>
        <w:spacing w:line="600" w:lineRule="exact"/>
        <w:rPr>
          <w:rFonts w:ascii="宋体" w:hAnsi="宋体" w:cs="仿宋_GB2312"/>
          <w:sz w:val="24"/>
          <w:u w:val="single"/>
          <w:lang w:val="zh-CN"/>
        </w:rPr>
      </w:pPr>
      <w:r>
        <w:rPr>
          <w:rFonts w:hint="eastAsia" w:ascii="宋体" w:hAnsi="宋体" w:cs="仿宋_GB2312"/>
          <w:sz w:val="24"/>
          <w:lang w:val="zh-CN"/>
        </w:rPr>
        <w:t>招标编号：    报价单位：</w:t>
      </w:r>
      <w:r>
        <w:rPr>
          <w:rFonts w:hint="eastAsia" w:ascii="宋体" w:hAnsi="宋体" w:cs="仿宋_GB2312"/>
          <w:sz w:val="24"/>
          <w:u w:val="single"/>
          <w:lang w:val="zh-CN"/>
        </w:rPr>
        <w:t>人民币元</w:t>
      </w:r>
    </w:p>
    <w:tbl>
      <w:tblPr>
        <w:tblStyle w:val="50"/>
        <w:tblW w:w="919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16"/>
        <w:gridCol w:w="51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3" w:hRule="atLeast"/>
        </w:trPr>
        <w:tc>
          <w:tcPr>
            <w:tcW w:w="4016" w:type="dxa"/>
            <w:vAlign w:val="center"/>
          </w:tcPr>
          <w:p>
            <w:pPr>
              <w:pStyle w:val="18"/>
              <w:snapToGrid w:val="0"/>
              <w:spacing w:line="600" w:lineRule="exact"/>
              <w:jc w:val="center"/>
              <w:rPr>
                <w:rFonts w:hAnsi="宋体"/>
              </w:rPr>
            </w:pPr>
            <w:r>
              <w:rPr>
                <w:rFonts w:hint="eastAsia" w:hAnsi="宋体"/>
              </w:rPr>
              <w:t>项目名称</w:t>
            </w:r>
          </w:p>
        </w:tc>
        <w:tc>
          <w:tcPr>
            <w:tcW w:w="5176" w:type="dxa"/>
            <w:vAlign w:val="center"/>
          </w:tcPr>
          <w:p>
            <w:pPr>
              <w:pStyle w:val="18"/>
              <w:snapToGrid w:val="0"/>
              <w:spacing w:line="600" w:lineRule="exact"/>
              <w:jc w:val="center"/>
              <w:rPr>
                <w:rFonts w:hAnsi="宋体"/>
              </w:rPr>
            </w:pPr>
            <w:r>
              <w:rPr>
                <w:rFonts w:hint="eastAsia" w:hAnsi="宋体"/>
              </w:rPr>
              <w:t>磋商报价</w:t>
            </w:r>
            <w:r>
              <w:rPr>
                <w:rFonts w:hint="eastAsia" w:hAnsi="宋体"/>
                <w:b/>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12" w:hRule="atLeast"/>
        </w:trPr>
        <w:tc>
          <w:tcPr>
            <w:tcW w:w="4016" w:type="dxa"/>
            <w:vAlign w:val="center"/>
          </w:tcPr>
          <w:p>
            <w:pPr>
              <w:pStyle w:val="18"/>
              <w:snapToGrid w:val="0"/>
              <w:spacing w:line="600" w:lineRule="exact"/>
              <w:jc w:val="center"/>
              <w:rPr>
                <w:rFonts w:hAnsi="宋体"/>
              </w:rPr>
            </w:pPr>
            <w:r>
              <w:rPr>
                <w:rFonts w:hint="eastAsia" w:hAnsi="宋体"/>
                <w:sz w:val="24"/>
                <w:szCs w:val="24"/>
              </w:rPr>
              <w:t>长兴县太湖高级中学综合管理平台系统采购项目</w:t>
            </w:r>
          </w:p>
        </w:tc>
        <w:tc>
          <w:tcPr>
            <w:tcW w:w="5176" w:type="dxa"/>
            <w:vAlign w:val="center"/>
          </w:tcPr>
          <w:p>
            <w:pPr>
              <w:pStyle w:val="18"/>
              <w:spacing w:line="600" w:lineRule="exact"/>
              <w:rPr>
                <w:rFonts w:hAnsi="宋体"/>
              </w:rPr>
            </w:pPr>
            <w:r>
              <w:rPr>
                <w:rFonts w:hint="eastAsia" w:hAnsi="宋体"/>
              </w:rPr>
              <w:t>大写：</w:t>
            </w:r>
          </w:p>
          <w:p>
            <w:pPr>
              <w:pStyle w:val="18"/>
              <w:spacing w:line="600" w:lineRule="exact"/>
              <w:rPr>
                <w:rFonts w:hAnsi="宋体"/>
              </w:rPr>
            </w:pPr>
            <w:r>
              <w:rPr>
                <w:rFonts w:hint="eastAsia" w:hAnsi="宋体"/>
              </w:rPr>
              <w:t>小写：</w:t>
            </w:r>
          </w:p>
        </w:tc>
      </w:tr>
    </w:tbl>
    <w:p>
      <w:pPr>
        <w:pStyle w:val="18"/>
        <w:spacing w:line="600" w:lineRule="exact"/>
        <w:rPr>
          <w:rFonts w:hAnsi="宋体"/>
          <w:b/>
          <w:sz w:val="24"/>
          <w:szCs w:val="24"/>
        </w:rPr>
      </w:pPr>
    </w:p>
    <w:p>
      <w:pPr>
        <w:pStyle w:val="18"/>
        <w:spacing w:line="600" w:lineRule="exact"/>
        <w:rPr>
          <w:rFonts w:hAnsi="宋体"/>
          <w:b/>
          <w:sz w:val="24"/>
          <w:szCs w:val="24"/>
        </w:rPr>
      </w:pPr>
      <w:r>
        <w:rPr>
          <w:rFonts w:hint="eastAsia" w:hAnsi="宋体"/>
          <w:b/>
          <w:sz w:val="24"/>
          <w:szCs w:val="24"/>
        </w:rPr>
        <w:t>注：▲1、报价一经涂改，应在涂改处加盖单位公章或者由法定代表人或授权委托人签字或盖章，否则其投标作无效标处理。</w:t>
      </w:r>
    </w:p>
    <w:p>
      <w:pPr>
        <w:pStyle w:val="18"/>
        <w:spacing w:line="600" w:lineRule="exact"/>
        <w:rPr>
          <w:rFonts w:hAnsi="宋体"/>
          <w:b/>
          <w:sz w:val="24"/>
          <w:szCs w:val="24"/>
        </w:rPr>
      </w:pPr>
      <w:r>
        <w:rPr>
          <w:rFonts w:hint="eastAsia" w:hAnsi="宋体"/>
          <w:b/>
          <w:sz w:val="24"/>
          <w:szCs w:val="24"/>
        </w:rPr>
        <w:t>▲2、投标费用包括人工费、材料费、机械费、措施费、管理费、利润、税金、专家评审费等费用以及合同明示或暗示的所有风险、责任、义务等各项应有的费用。</w:t>
      </w:r>
    </w:p>
    <w:p>
      <w:pPr>
        <w:pStyle w:val="18"/>
        <w:spacing w:line="600" w:lineRule="exact"/>
        <w:rPr>
          <w:rFonts w:hAnsi="宋体"/>
          <w:b/>
          <w:sz w:val="24"/>
          <w:szCs w:val="24"/>
        </w:rPr>
      </w:pPr>
      <w:r>
        <w:rPr>
          <w:rFonts w:hint="eastAsia" w:hAnsi="宋体"/>
          <w:b/>
          <w:sz w:val="24"/>
          <w:szCs w:val="24"/>
        </w:rPr>
        <w:t>▲3、以上报价应与“磋商报价明细表”中的“磋商总价”相一致</w:t>
      </w:r>
    </w:p>
    <w:p>
      <w:pPr>
        <w:pStyle w:val="18"/>
        <w:spacing w:line="600" w:lineRule="exact"/>
        <w:rPr>
          <w:rFonts w:hAnsi="宋体"/>
          <w:b/>
          <w:sz w:val="24"/>
          <w:szCs w:val="24"/>
        </w:rPr>
      </w:pPr>
      <w:r>
        <w:rPr>
          <w:rFonts w:hint="eastAsia" w:hAnsi="宋体"/>
          <w:b/>
          <w:sz w:val="24"/>
          <w:szCs w:val="24"/>
        </w:rPr>
        <w:t>▲4、不提供此表格的将视为没有实质性响应磋商文件。</w:t>
      </w:r>
    </w:p>
    <w:p>
      <w:pPr>
        <w:spacing w:line="360" w:lineRule="auto"/>
        <w:rPr>
          <w:rFonts w:ascii="宋体" w:hAnsi="宋体"/>
          <w:b/>
          <w:sz w:val="24"/>
        </w:rPr>
      </w:pPr>
    </w:p>
    <w:p>
      <w:pPr>
        <w:snapToGrid w:val="0"/>
        <w:spacing w:line="600" w:lineRule="exact"/>
        <w:rPr>
          <w:rFonts w:ascii="宋体" w:hAnsi="宋体"/>
          <w:sz w:val="24"/>
          <w:szCs w:val="20"/>
          <w:u w:val="single"/>
        </w:rPr>
      </w:pPr>
      <w:r>
        <w:rPr>
          <w:rFonts w:hint="eastAsia" w:ascii="宋体" w:hAnsi="宋体"/>
          <w:sz w:val="24"/>
        </w:rPr>
        <w:t>法定代表人签字：</w:t>
      </w:r>
    </w:p>
    <w:p>
      <w:pPr>
        <w:snapToGrid w:val="0"/>
        <w:spacing w:line="600" w:lineRule="exact"/>
        <w:rPr>
          <w:rFonts w:ascii="宋体" w:hAnsi="宋体"/>
          <w:sz w:val="24"/>
        </w:rPr>
      </w:pPr>
      <w:r>
        <w:rPr>
          <w:rFonts w:hint="eastAsia" w:ascii="宋体" w:hAnsi="宋体"/>
          <w:sz w:val="24"/>
          <w:lang w:val="zh-CN"/>
        </w:rPr>
        <w:t>供应商</w:t>
      </w:r>
      <w:r>
        <w:rPr>
          <w:rFonts w:hint="eastAsia" w:ascii="宋体" w:hAnsi="宋体"/>
          <w:sz w:val="24"/>
        </w:rPr>
        <w:t>公章：</w:t>
      </w:r>
    </w:p>
    <w:p>
      <w:pPr>
        <w:snapToGrid w:val="0"/>
        <w:spacing w:line="600" w:lineRule="exact"/>
        <w:ind w:firstLine="6240" w:firstLineChars="2600"/>
        <w:rPr>
          <w:rFonts w:ascii="宋体" w:hAnsi="宋体"/>
          <w:sz w:val="24"/>
        </w:rPr>
      </w:pPr>
    </w:p>
    <w:p>
      <w:pPr>
        <w:jc w:val="center"/>
        <w:rPr>
          <w:rFonts w:ascii="宋体" w:hAnsi="宋体"/>
          <w:b/>
          <w:bCs/>
          <w:sz w:val="30"/>
        </w:rPr>
      </w:pPr>
      <w:r>
        <w:rPr>
          <w:rFonts w:hint="eastAsia" w:ascii="宋体" w:hAnsi="宋体"/>
          <w:sz w:val="24"/>
        </w:rPr>
        <w:t xml:space="preserve">                                                  年    月    日</w:t>
      </w:r>
    </w:p>
    <w:p>
      <w:pPr>
        <w:jc w:val="center"/>
        <w:rPr>
          <w:rFonts w:ascii="宋体" w:hAnsi="宋体"/>
          <w:b/>
          <w:bCs/>
          <w:sz w:val="30"/>
        </w:rPr>
      </w:pPr>
    </w:p>
    <w:p>
      <w:pPr>
        <w:jc w:val="center"/>
        <w:rPr>
          <w:rFonts w:ascii="宋体" w:hAnsi="宋体"/>
          <w:b/>
          <w:bCs/>
          <w:sz w:val="30"/>
        </w:rPr>
      </w:pPr>
    </w:p>
    <w:p>
      <w:pPr>
        <w:jc w:val="center"/>
        <w:rPr>
          <w:rFonts w:ascii="宋体" w:hAnsi="宋体"/>
          <w:b/>
          <w:bCs/>
          <w:sz w:val="30"/>
        </w:rPr>
      </w:pPr>
    </w:p>
    <w:p>
      <w:pPr>
        <w:numPr>
          <w:ilvl w:val="0"/>
          <w:numId w:val="12"/>
        </w:numPr>
        <w:spacing w:line="760" w:lineRule="exact"/>
        <w:jc w:val="center"/>
        <w:rPr>
          <w:rFonts w:ascii="宋体" w:hAnsi="宋体"/>
          <w:b/>
          <w:bCs/>
          <w:sz w:val="32"/>
          <w:lang w:val="zh-CN"/>
        </w:rPr>
      </w:pPr>
      <w:r>
        <w:rPr>
          <w:rFonts w:hint="eastAsia" w:ascii="宋体" w:hAnsi="宋体"/>
          <w:b/>
          <w:bCs/>
          <w:sz w:val="32"/>
          <w:lang w:val="zh-CN"/>
        </w:rPr>
        <w:t>磋商报价明细表</w:t>
      </w:r>
    </w:p>
    <w:p>
      <w:pPr>
        <w:snapToGrid w:val="0"/>
        <w:spacing w:line="330" w:lineRule="exact"/>
        <w:jc w:val="center"/>
        <w:rPr>
          <w:rFonts w:ascii="宋体" w:hAnsi="宋体"/>
          <w:szCs w:val="21"/>
        </w:rPr>
      </w:pPr>
      <w:r>
        <w:rPr>
          <w:rFonts w:hint="eastAsia" w:ascii="宋体" w:hAnsi="宋体"/>
          <w:szCs w:val="21"/>
        </w:rPr>
        <w:t>（格式自拟）</w:t>
      </w:r>
    </w:p>
    <w:p>
      <w:pPr>
        <w:snapToGrid w:val="0"/>
        <w:spacing w:line="330" w:lineRule="exact"/>
        <w:jc w:val="center"/>
        <w:rPr>
          <w:rFonts w:ascii="宋体" w:hAnsi="宋体"/>
          <w:b/>
          <w:sz w:val="32"/>
          <w:szCs w:val="32"/>
        </w:rPr>
      </w:pPr>
    </w:p>
    <w:p>
      <w:pPr>
        <w:snapToGrid w:val="0"/>
        <w:spacing w:line="330" w:lineRule="exact"/>
        <w:jc w:val="center"/>
        <w:rPr>
          <w:rFonts w:ascii="宋体" w:hAnsi="宋体"/>
          <w:b/>
          <w:sz w:val="32"/>
          <w:szCs w:val="32"/>
        </w:rPr>
      </w:pPr>
    </w:p>
    <w:p>
      <w:pPr>
        <w:snapToGrid w:val="0"/>
        <w:spacing w:line="330" w:lineRule="exact"/>
        <w:jc w:val="center"/>
        <w:rPr>
          <w:rFonts w:ascii="宋体" w:hAnsi="宋体"/>
          <w:b/>
          <w:sz w:val="32"/>
          <w:szCs w:val="32"/>
        </w:rPr>
      </w:pPr>
    </w:p>
    <w:p>
      <w:pPr>
        <w:snapToGrid w:val="0"/>
        <w:spacing w:line="330" w:lineRule="exact"/>
        <w:jc w:val="center"/>
        <w:rPr>
          <w:rFonts w:ascii="宋体" w:hAnsi="宋体"/>
          <w:b/>
          <w:sz w:val="32"/>
          <w:szCs w:val="32"/>
        </w:rPr>
      </w:pPr>
    </w:p>
    <w:p>
      <w:pPr>
        <w:snapToGrid w:val="0"/>
        <w:spacing w:line="330" w:lineRule="exact"/>
        <w:jc w:val="center"/>
        <w:rPr>
          <w:rFonts w:ascii="宋体" w:hAnsi="宋体"/>
          <w:b/>
          <w:sz w:val="32"/>
          <w:szCs w:val="32"/>
        </w:rPr>
      </w:pPr>
    </w:p>
    <w:p>
      <w:pPr>
        <w:snapToGrid w:val="0"/>
        <w:spacing w:line="330" w:lineRule="exact"/>
        <w:jc w:val="center"/>
        <w:rPr>
          <w:rFonts w:ascii="宋体" w:hAnsi="宋体"/>
          <w:b/>
          <w:sz w:val="32"/>
          <w:szCs w:val="32"/>
        </w:rPr>
      </w:pPr>
    </w:p>
    <w:p>
      <w:pPr>
        <w:snapToGrid w:val="0"/>
        <w:spacing w:line="330" w:lineRule="exact"/>
        <w:jc w:val="center"/>
        <w:rPr>
          <w:rFonts w:ascii="宋体" w:hAnsi="宋体"/>
          <w:b/>
          <w:sz w:val="32"/>
          <w:szCs w:val="32"/>
        </w:rPr>
      </w:pPr>
    </w:p>
    <w:p>
      <w:pPr>
        <w:snapToGrid w:val="0"/>
        <w:spacing w:line="330" w:lineRule="exact"/>
        <w:jc w:val="center"/>
        <w:rPr>
          <w:rFonts w:ascii="宋体" w:hAnsi="宋体"/>
          <w:b/>
          <w:sz w:val="32"/>
          <w:szCs w:val="32"/>
        </w:rPr>
      </w:pPr>
    </w:p>
    <w:p>
      <w:pPr>
        <w:snapToGrid w:val="0"/>
        <w:spacing w:line="330" w:lineRule="exact"/>
        <w:jc w:val="center"/>
        <w:rPr>
          <w:rFonts w:ascii="宋体" w:hAnsi="宋体"/>
          <w:b/>
          <w:sz w:val="32"/>
          <w:szCs w:val="32"/>
        </w:rPr>
      </w:pPr>
    </w:p>
    <w:p>
      <w:pPr>
        <w:snapToGrid w:val="0"/>
        <w:spacing w:line="330" w:lineRule="exact"/>
        <w:jc w:val="center"/>
        <w:rPr>
          <w:rFonts w:ascii="宋体" w:hAnsi="宋体"/>
          <w:b/>
          <w:sz w:val="32"/>
          <w:szCs w:val="32"/>
        </w:rPr>
      </w:pPr>
    </w:p>
    <w:p>
      <w:pPr>
        <w:snapToGrid w:val="0"/>
        <w:spacing w:line="330" w:lineRule="exact"/>
        <w:jc w:val="center"/>
        <w:rPr>
          <w:rFonts w:ascii="宋体" w:hAnsi="宋体"/>
          <w:b/>
          <w:sz w:val="32"/>
          <w:szCs w:val="32"/>
        </w:rPr>
      </w:pPr>
    </w:p>
    <w:p>
      <w:pPr>
        <w:snapToGrid w:val="0"/>
        <w:spacing w:line="330" w:lineRule="exact"/>
        <w:jc w:val="center"/>
        <w:rPr>
          <w:rFonts w:ascii="宋体" w:hAnsi="宋体"/>
          <w:b/>
          <w:sz w:val="32"/>
          <w:szCs w:val="32"/>
        </w:rPr>
      </w:pPr>
    </w:p>
    <w:p>
      <w:pPr>
        <w:snapToGrid w:val="0"/>
        <w:spacing w:line="330" w:lineRule="exact"/>
        <w:jc w:val="center"/>
        <w:rPr>
          <w:rFonts w:ascii="宋体" w:hAnsi="宋体"/>
          <w:b/>
          <w:sz w:val="32"/>
          <w:szCs w:val="32"/>
        </w:rPr>
      </w:pPr>
    </w:p>
    <w:p>
      <w:pPr>
        <w:snapToGrid w:val="0"/>
        <w:spacing w:line="330" w:lineRule="exact"/>
        <w:jc w:val="center"/>
        <w:rPr>
          <w:rFonts w:ascii="宋体" w:hAnsi="宋体"/>
          <w:b/>
          <w:sz w:val="32"/>
          <w:szCs w:val="32"/>
        </w:rPr>
      </w:pPr>
    </w:p>
    <w:p>
      <w:pPr>
        <w:snapToGrid w:val="0"/>
        <w:spacing w:line="330" w:lineRule="exact"/>
        <w:jc w:val="center"/>
        <w:rPr>
          <w:rFonts w:ascii="宋体" w:hAnsi="宋体"/>
          <w:b/>
          <w:sz w:val="32"/>
          <w:szCs w:val="32"/>
        </w:rPr>
      </w:pPr>
    </w:p>
    <w:p>
      <w:pPr>
        <w:snapToGrid w:val="0"/>
        <w:spacing w:line="330" w:lineRule="exact"/>
        <w:jc w:val="center"/>
        <w:rPr>
          <w:rFonts w:ascii="宋体" w:hAnsi="宋体"/>
          <w:b/>
          <w:sz w:val="32"/>
          <w:szCs w:val="32"/>
        </w:rPr>
      </w:pPr>
    </w:p>
    <w:p>
      <w:pPr>
        <w:snapToGrid w:val="0"/>
        <w:spacing w:line="330" w:lineRule="exact"/>
        <w:jc w:val="center"/>
        <w:rPr>
          <w:rFonts w:ascii="宋体" w:hAnsi="宋体"/>
          <w:b/>
          <w:sz w:val="32"/>
          <w:szCs w:val="32"/>
        </w:rPr>
      </w:pPr>
    </w:p>
    <w:p>
      <w:pPr>
        <w:snapToGrid w:val="0"/>
        <w:spacing w:line="330" w:lineRule="exact"/>
        <w:jc w:val="center"/>
        <w:rPr>
          <w:rFonts w:ascii="宋体" w:hAnsi="宋体"/>
          <w:b/>
          <w:sz w:val="32"/>
          <w:szCs w:val="32"/>
        </w:rPr>
      </w:pPr>
    </w:p>
    <w:p>
      <w:pPr>
        <w:snapToGrid w:val="0"/>
        <w:spacing w:line="330" w:lineRule="exact"/>
        <w:jc w:val="center"/>
        <w:rPr>
          <w:rFonts w:ascii="宋体" w:hAnsi="宋体"/>
          <w:b/>
          <w:sz w:val="32"/>
          <w:szCs w:val="32"/>
        </w:rPr>
      </w:pPr>
    </w:p>
    <w:p>
      <w:pPr>
        <w:snapToGrid w:val="0"/>
        <w:spacing w:line="330" w:lineRule="exact"/>
        <w:jc w:val="center"/>
        <w:rPr>
          <w:rFonts w:ascii="宋体" w:hAnsi="宋体"/>
          <w:b/>
          <w:sz w:val="32"/>
          <w:szCs w:val="32"/>
        </w:rPr>
      </w:pPr>
    </w:p>
    <w:p>
      <w:pPr>
        <w:snapToGrid w:val="0"/>
        <w:spacing w:line="330" w:lineRule="exact"/>
        <w:jc w:val="center"/>
        <w:rPr>
          <w:rFonts w:ascii="宋体" w:hAnsi="宋体"/>
          <w:b/>
          <w:sz w:val="32"/>
          <w:szCs w:val="32"/>
        </w:rPr>
      </w:pPr>
    </w:p>
    <w:p>
      <w:pPr>
        <w:snapToGrid w:val="0"/>
        <w:spacing w:line="330" w:lineRule="exact"/>
        <w:jc w:val="center"/>
        <w:rPr>
          <w:rFonts w:ascii="宋体" w:hAnsi="宋体"/>
          <w:b/>
          <w:sz w:val="32"/>
          <w:szCs w:val="32"/>
        </w:rPr>
      </w:pPr>
    </w:p>
    <w:p>
      <w:pPr>
        <w:snapToGrid w:val="0"/>
        <w:spacing w:line="330" w:lineRule="exact"/>
        <w:jc w:val="center"/>
        <w:rPr>
          <w:rFonts w:ascii="宋体" w:hAnsi="宋体"/>
          <w:b/>
          <w:sz w:val="32"/>
          <w:szCs w:val="32"/>
        </w:rPr>
      </w:pPr>
    </w:p>
    <w:p>
      <w:pPr>
        <w:snapToGrid w:val="0"/>
        <w:spacing w:line="330" w:lineRule="exact"/>
        <w:jc w:val="center"/>
        <w:rPr>
          <w:rFonts w:ascii="宋体" w:hAnsi="宋体"/>
          <w:b/>
          <w:sz w:val="32"/>
          <w:szCs w:val="32"/>
        </w:rPr>
      </w:pPr>
    </w:p>
    <w:p>
      <w:pPr>
        <w:snapToGrid w:val="0"/>
        <w:spacing w:line="330" w:lineRule="exact"/>
        <w:jc w:val="center"/>
        <w:rPr>
          <w:rFonts w:ascii="宋体" w:hAnsi="宋体"/>
          <w:b/>
          <w:sz w:val="32"/>
          <w:szCs w:val="32"/>
        </w:rPr>
      </w:pPr>
    </w:p>
    <w:p>
      <w:pPr>
        <w:snapToGrid w:val="0"/>
        <w:spacing w:line="330" w:lineRule="exact"/>
        <w:jc w:val="center"/>
        <w:rPr>
          <w:rFonts w:ascii="宋体" w:hAnsi="宋体"/>
          <w:b/>
          <w:sz w:val="32"/>
          <w:szCs w:val="32"/>
        </w:rPr>
      </w:pPr>
    </w:p>
    <w:p>
      <w:pPr>
        <w:snapToGrid w:val="0"/>
        <w:spacing w:line="330" w:lineRule="exact"/>
        <w:jc w:val="center"/>
        <w:rPr>
          <w:rFonts w:ascii="宋体" w:hAnsi="宋体"/>
          <w:b/>
          <w:sz w:val="32"/>
          <w:szCs w:val="32"/>
        </w:rPr>
      </w:pPr>
    </w:p>
    <w:p>
      <w:pPr>
        <w:snapToGrid w:val="0"/>
        <w:spacing w:line="330" w:lineRule="exact"/>
        <w:jc w:val="center"/>
        <w:rPr>
          <w:rFonts w:ascii="宋体" w:hAnsi="宋体"/>
          <w:b/>
          <w:sz w:val="32"/>
          <w:szCs w:val="32"/>
        </w:rPr>
      </w:pPr>
    </w:p>
    <w:p>
      <w:pPr>
        <w:snapToGrid w:val="0"/>
        <w:spacing w:line="330" w:lineRule="exact"/>
        <w:jc w:val="center"/>
        <w:rPr>
          <w:rFonts w:ascii="宋体" w:hAnsi="宋体"/>
          <w:b/>
          <w:sz w:val="32"/>
          <w:szCs w:val="32"/>
        </w:rPr>
      </w:pPr>
    </w:p>
    <w:p>
      <w:pPr>
        <w:snapToGrid w:val="0"/>
        <w:spacing w:line="330" w:lineRule="exact"/>
        <w:jc w:val="center"/>
        <w:rPr>
          <w:rFonts w:ascii="宋体" w:hAnsi="宋体"/>
          <w:b/>
          <w:sz w:val="32"/>
          <w:szCs w:val="32"/>
        </w:rPr>
      </w:pPr>
    </w:p>
    <w:p>
      <w:pPr>
        <w:snapToGrid w:val="0"/>
        <w:spacing w:line="330" w:lineRule="exact"/>
        <w:jc w:val="center"/>
        <w:rPr>
          <w:rFonts w:ascii="宋体" w:hAnsi="宋体"/>
          <w:b/>
          <w:sz w:val="32"/>
          <w:szCs w:val="32"/>
        </w:rPr>
      </w:pPr>
    </w:p>
    <w:p>
      <w:pPr>
        <w:snapToGrid w:val="0"/>
        <w:spacing w:line="330" w:lineRule="exact"/>
        <w:jc w:val="center"/>
        <w:rPr>
          <w:rFonts w:ascii="宋体" w:hAnsi="宋体"/>
          <w:b/>
          <w:sz w:val="32"/>
          <w:szCs w:val="32"/>
        </w:rPr>
      </w:pPr>
    </w:p>
    <w:p>
      <w:pPr>
        <w:snapToGrid w:val="0"/>
        <w:spacing w:line="330" w:lineRule="exact"/>
        <w:jc w:val="center"/>
        <w:rPr>
          <w:rFonts w:ascii="宋体" w:hAnsi="宋体"/>
          <w:b/>
          <w:sz w:val="32"/>
          <w:szCs w:val="32"/>
        </w:rPr>
      </w:pPr>
    </w:p>
    <w:p>
      <w:pPr>
        <w:snapToGrid w:val="0"/>
        <w:spacing w:line="330" w:lineRule="exact"/>
        <w:jc w:val="center"/>
        <w:rPr>
          <w:rFonts w:ascii="宋体" w:hAnsi="宋体"/>
          <w:b/>
          <w:sz w:val="32"/>
          <w:szCs w:val="32"/>
        </w:rPr>
      </w:pPr>
    </w:p>
    <w:p>
      <w:pPr>
        <w:snapToGrid w:val="0"/>
        <w:spacing w:line="330" w:lineRule="exact"/>
        <w:jc w:val="center"/>
        <w:rPr>
          <w:rFonts w:ascii="宋体" w:hAnsi="宋体"/>
          <w:b/>
          <w:sz w:val="32"/>
          <w:szCs w:val="32"/>
        </w:rPr>
      </w:pPr>
    </w:p>
    <w:p>
      <w:pPr>
        <w:snapToGrid w:val="0"/>
        <w:spacing w:line="330" w:lineRule="exact"/>
        <w:jc w:val="center"/>
        <w:rPr>
          <w:rFonts w:ascii="宋体" w:hAnsi="宋体"/>
          <w:b/>
          <w:sz w:val="32"/>
          <w:szCs w:val="32"/>
        </w:rPr>
      </w:pPr>
    </w:p>
    <w:p>
      <w:pPr>
        <w:snapToGrid w:val="0"/>
        <w:spacing w:line="330" w:lineRule="exact"/>
        <w:jc w:val="center"/>
        <w:rPr>
          <w:rFonts w:ascii="宋体" w:hAnsi="宋体"/>
          <w:b/>
          <w:sz w:val="32"/>
          <w:szCs w:val="32"/>
        </w:rPr>
      </w:pPr>
    </w:p>
    <w:p>
      <w:pPr>
        <w:snapToGrid w:val="0"/>
        <w:spacing w:line="330" w:lineRule="exact"/>
        <w:jc w:val="center"/>
        <w:rPr>
          <w:rFonts w:ascii="宋体" w:hAnsi="宋体"/>
          <w:b/>
          <w:sz w:val="32"/>
          <w:szCs w:val="32"/>
        </w:rPr>
      </w:pPr>
    </w:p>
    <w:p>
      <w:pPr>
        <w:snapToGrid w:val="0"/>
        <w:spacing w:line="330" w:lineRule="exact"/>
        <w:jc w:val="center"/>
        <w:rPr>
          <w:rFonts w:ascii="宋体" w:hAnsi="宋体"/>
          <w:b/>
          <w:sz w:val="32"/>
          <w:szCs w:val="32"/>
        </w:rPr>
      </w:pPr>
    </w:p>
    <w:p>
      <w:pPr>
        <w:snapToGrid w:val="0"/>
        <w:spacing w:line="330" w:lineRule="exact"/>
        <w:jc w:val="center"/>
        <w:rPr>
          <w:rFonts w:ascii="宋体" w:hAnsi="宋体"/>
          <w:b/>
          <w:sz w:val="32"/>
          <w:szCs w:val="32"/>
        </w:rPr>
      </w:pPr>
    </w:p>
    <w:p>
      <w:pPr>
        <w:snapToGrid w:val="0"/>
        <w:spacing w:line="330" w:lineRule="exact"/>
        <w:jc w:val="center"/>
        <w:rPr>
          <w:rFonts w:ascii="宋体" w:hAnsi="宋体"/>
          <w:b/>
          <w:sz w:val="32"/>
          <w:szCs w:val="32"/>
        </w:rPr>
      </w:pPr>
      <w:r>
        <w:rPr>
          <w:rFonts w:hint="eastAsia" w:ascii="宋体" w:hAnsi="宋体"/>
          <w:b/>
          <w:sz w:val="32"/>
          <w:szCs w:val="32"/>
        </w:rPr>
        <w:t>四、磋商声明书；</w:t>
      </w:r>
    </w:p>
    <w:p>
      <w:pPr>
        <w:adjustRightInd w:val="0"/>
        <w:snapToGrid w:val="0"/>
        <w:spacing w:beforeLines="50" w:after="50" w:line="340" w:lineRule="exact"/>
        <w:rPr>
          <w:rFonts w:ascii="宋体" w:hAnsi="宋体" w:cs="宋体"/>
          <w:sz w:val="24"/>
        </w:rPr>
      </w:pPr>
    </w:p>
    <w:p>
      <w:pPr>
        <w:adjustRightInd w:val="0"/>
        <w:snapToGrid w:val="0"/>
        <w:spacing w:beforeLines="50" w:after="50" w:line="340" w:lineRule="exact"/>
        <w:rPr>
          <w:rFonts w:ascii="宋体" w:hAnsi="宋体" w:cs="宋体"/>
          <w:sz w:val="24"/>
        </w:rPr>
      </w:pPr>
      <w:r>
        <w:rPr>
          <w:rFonts w:hint="eastAsia" w:ascii="宋体" w:hAnsi="宋体" w:cs="宋体"/>
          <w:sz w:val="24"/>
        </w:rPr>
        <w:t>致：______</w:t>
      </w:r>
      <w:r>
        <w:rPr>
          <w:rFonts w:hint="eastAsia" w:ascii="宋体" w:hAnsi="宋体" w:cs="宋体"/>
          <w:sz w:val="24"/>
          <w:u w:val="single"/>
        </w:rPr>
        <w:t>_     _</w:t>
      </w:r>
      <w:r>
        <w:rPr>
          <w:rFonts w:hint="eastAsia" w:ascii="宋体" w:hAnsi="宋体" w:cs="宋体"/>
          <w:sz w:val="24"/>
        </w:rPr>
        <w:t>_（招标采购单位名称）：</w:t>
      </w:r>
    </w:p>
    <w:p>
      <w:pPr>
        <w:adjustRightInd w:val="0"/>
        <w:snapToGrid w:val="0"/>
        <w:spacing w:beforeLines="50" w:after="50" w:line="340" w:lineRule="exact"/>
        <w:ind w:firstLine="720" w:firstLineChars="300"/>
        <w:rPr>
          <w:rFonts w:ascii="宋体" w:hAnsi="宋体" w:cs="宋体"/>
          <w:sz w:val="24"/>
        </w:rPr>
      </w:pPr>
      <w:r>
        <w:rPr>
          <w:rFonts w:hint="eastAsia" w:ascii="宋体" w:hAnsi="宋体" w:cs="宋体"/>
          <w:sz w:val="24"/>
        </w:rPr>
        <w:t>______</w:t>
      </w:r>
      <w:r>
        <w:rPr>
          <w:rFonts w:hint="eastAsia" w:ascii="宋体" w:hAnsi="宋体" w:cs="宋体"/>
          <w:sz w:val="24"/>
          <w:u w:val="single"/>
        </w:rPr>
        <w:t>_     _</w:t>
      </w:r>
      <w:r>
        <w:rPr>
          <w:rFonts w:hint="eastAsia" w:ascii="宋体" w:hAnsi="宋体" w:cs="宋体"/>
          <w:sz w:val="24"/>
        </w:rPr>
        <w:t>_（</w:t>
      </w:r>
      <w:r>
        <w:rPr>
          <w:rFonts w:hint="eastAsia" w:ascii="宋体" w:hAnsi="宋体"/>
          <w:sz w:val="24"/>
          <w:lang w:val="zh-CN"/>
        </w:rPr>
        <w:t>供应商</w:t>
      </w:r>
      <w:r>
        <w:rPr>
          <w:rFonts w:hint="eastAsia" w:ascii="宋体" w:hAnsi="宋体" w:cs="宋体"/>
          <w:sz w:val="24"/>
        </w:rPr>
        <w:t>名称）系中华人民共和国合法企业，经营地址。</w:t>
      </w:r>
    </w:p>
    <w:p>
      <w:pPr>
        <w:adjustRightInd w:val="0"/>
        <w:snapToGrid w:val="0"/>
        <w:spacing w:beforeLines="50" w:after="50" w:line="340" w:lineRule="exact"/>
        <w:ind w:firstLine="480" w:firstLineChars="200"/>
        <w:rPr>
          <w:rFonts w:ascii="宋体" w:hAnsi="宋体" w:cs="宋体"/>
          <w:sz w:val="24"/>
        </w:rPr>
      </w:pPr>
      <w:r>
        <w:rPr>
          <w:rFonts w:hint="eastAsia" w:ascii="宋体" w:hAnsi="宋体" w:cs="宋体"/>
          <w:sz w:val="24"/>
        </w:rPr>
        <w:t>我___</w:t>
      </w:r>
      <w:r>
        <w:rPr>
          <w:rFonts w:hint="eastAsia" w:ascii="宋体" w:hAnsi="宋体" w:cs="宋体"/>
          <w:sz w:val="24"/>
          <w:u w:val="single"/>
        </w:rPr>
        <w:t xml:space="preserve">    _</w:t>
      </w:r>
      <w:r>
        <w:rPr>
          <w:rFonts w:hint="eastAsia" w:ascii="宋体" w:hAnsi="宋体" w:cs="宋体"/>
          <w:sz w:val="24"/>
        </w:rPr>
        <w:t>_（姓名）系______</w:t>
      </w:r>
      <w:r>
        <w:rPr>
          <w:rFonts w:hint="eastAsia" w:ascii="宋体" w:hAnsi="宋体" w:cs="宋体"/>
          <w:sz w:val="24"/>
          <w:u w:val="single"/>
        </w:rPr>
        <w:t>_     _</w:t>
      </w:r>
      <w:r>
        <w:rPr>
          <w:rFonts w:hint="eastAsia" w:ascii="宋体" w:hAnsi="宋体" w:cs="宋体"/>
          <w:sz w:val="24"/>
        </w:rPr>
        <w:t>_（</w:t>
      </w:r>
      <w:r>
        <w:rPr>
          <w:rFonts w:hint="eastAsia" w:ascii="宋体" w:hAnsi="宋体"/>
          <w:sz w:val="24"/>
          <w:lang w:val="zh-CN"/>
        </w:rPr>
        <w:t>供应商</w:t>
      </w:r>
      <w:r>
        <w:rPr>
          <w:rFonts w:hint="eastAsia" w:ascii="宋体" w:hAnsi="宋体" w:cs="宋体"/>
          <w:sz w:val="24"/>
        </w:rPr>
        <w:t>名称）的法定代表人，我方愿意参加贵方组织的_____</w:t>
      </w:r>
      <w:r>
        <w:rPr>
          <w:rFonts w:hint="eastAsia" w:ascii="宋体" w:hAnsi="宋体" w:cs="宋体"/>
          <w:sz w:val="24"/>
          <w:u w:val="single"/>
        </w:rPr>
        <w:t>_              _     _</w:t>
      </w:r>
      <w:r>
        <w:rPr>
          <w:rFonts w:hint="eastAsia" w:ascii="宋体" w:hAnsi="宋体" w:cs="宋体"/>
          <w:sz w:val="24"/>
        </w:rPr>
        <w:t>_项目的竞争性磋商，为便于贵方公正、择优地确定成交人及其服务，我方就本次</w:t>
      </w:r>
      <w:r>
        <w:rPr>
          <w:rFonts w:hint="eastAsia" w:ascii="宋体" w:hAnsi="宋体"/>
          <w:sz w:val="24"/>
        </w:rPr>
        <w:t>磋商</w:t>
      </w:r>
      <w:r>
        <w:rPr>
          <w:rFonts w:hint="eastAsia" w:ascii="宋体" w:hAnsi="宋体" w:cs="宋体"/>
          <w:sz w:val="24"/>
        </w:rPr>
        <w:t>有关事项郑重声明如下：</w:t>
      </w:r>
    </w:p>
    <w:p>
      <w:pPr>
        <w:adjustRightInd w:val="0"/>
        <w:snapToGrid w:val="0"/>
        <w:spacing w:line="340" w:lineRule="exact"/>
        <w:ind w:firstLine="480" w:firstLineChars="200"/>
        <w:rPr>
          <w:rFonts w:ascii="宋体" w:hAnsi="宋体" w:cs="宋体"/>
          <w:sz w:val="24"/>
        </w:rPr>
      </w:pPr>
      <w:r>
        <w:rPr>
          <w:rFonts w:hint="eastAsia" w:ascii="宋体" w:hAnsi="宋体" w:cs="宋体"/>
          <w:sz w:val="24"/>
        </w:rPr>
        <w:t>1.我方向贵方提交的所有</w:t>
      </w:r>
      <w:r>
        <w:rPr>
          <w:rFonts w:hint="eastAsia" w:ascii="宋体" w:hAnsi="宋体"/>
          <w:sz w:val="24"/>
        </w:rPr>
        <w:t>磋商响应</w:t>
      </w:r>
      <w:r>
        <w:rPr>
          <w:rFonts w:hint="eastAsia" w:ascii="宋体" w:hAnsi="宋体" w:cs="宋体"/>
          <w:sz w:val="24"/>
        </w:rPr>
        <w:t>文件、资料都是准确的和真实的。</w:t>
      </w:r>
    </w:p>
    <w:p>
      <w:pPr>
        <w:adjustRightInd w:val="0"/>
        <w:snapToGrid w:val="0"/>
        <w:spacing w:beforeLines="50" w:line="340" w:lineRule="exact"/>
        <w:ind w:firstLine="480" w:firstLineChars="200"/>
        <w:rPr>
          <w:rFonts w:ascii="宋体" w:hAnsi="宋体" w:cs="宋体"/>
          <w:sz w:val="24"/>
        </w:rPr>
      </w:pPr>
      <w:r>
        <w:rPr>
          <w:rFonts w:hint="eastAsia" w:ascii="宋体" w:hAnsi="宋体" w:cs="宋体"/>
          <w:sz w:val="24"/>
        </w:rPr>
        <w:t>2.我方不是采购人的附属机构；在获知本项目采购信息后，与采购人聘请的为此项目提供咨询服务的公司及其附属机构没有任何联系。</w:t>
      </w:r>
    </w:p>
    <w:p>
      <w:pPr>
        <w:pStyle w:val="14"/>
        <w:adjustRightInd w:val="0"/>
        <w:snapToGrid w:val="0"/>
        <w:spacing w:line="340" w:lineRule="exact"/>
        <w:ind w:firstLine="480" w:firstLineChars="200"/>
        <w:rPr>
          <w:rFonts w:hAnsi="宋体" w:cs="宋体"/>
          <w:sz w:val="24"/>
        </w:rPr>
      </w:pPr>
      <w:r>
        <w:rPr>
          <w:rFonts w:hint="eastAsia" w:hAnsi="宋体" w:cs="宋体"/>
          <w:sz w:val="24"/>
        </w:rPr>
        <w:t>3. 我方及由本人担任法定代表人的其他机构最近三年内被通报或者被处罚的违法行为有：</w:t>
      </w:r>
    </w:p>
    <w:p>
      <w:pPr>
        <w:adjustRightInd w:val="0"/>
        <w:snapToGrid w:val="0"/>
        <w:spacing w:beforeLines="50" w:line="340" w:lineRule="exact"/>
        <w:ind w:firstLine="480" w:firstLineChars="200"/>
        <w:rPr>
          <w:rFonts w:ascii="宋体" w:hAnsi="宋体" w:cs="宋体"/>
          <w:sz w:val="24"/>
          <w:u w:val="single"/>
        </w:rPr>
      </w:pPr>
      <w:r>
        <w:rPr>
          <w:rFonts w:hint="eastAsia" w:ascii="宋体" w:hAnsi="宋体" w:cs="宋体"/>
          <w:sz w:val="24"/>
          <w:u w:val="single"/>
        </w:rPr>
        <w:t>　　　　　　　　　　　　　　　　　　　　　　　　　　　</w:t>
      </w:r>
    </w:p>
    <w:p>
      <w:pPr>
        <w:adjustRightInd w:val="0"/>
        <w:snapToGrid w:val="0"/>
        <w:spacing w:beforeLines="50" w:line="340" w:lineRule="exact"/>
        <w:ind w:firstLine="480" w:firstLineChars="200"/>
        <w:rPr>
          <w:rFonts w:ascii="宋体" w:hAnsi="宋体" w:cs="宋体"/>
          <w:sz w:val="24"/>
        </w:rPr>
      </w:pPr>
      <w:r>
        <w:rPr>
          <w:rFonts w:hint="eastAsia" w:ascii="宋体" w:hAnsi="宋体" w:cs="宋体"/>
          <w:sz w:val="24"/>
          <w:u w:val="single"/>
        </w:rPr>
        <w:t>　　　　　　　　　　　　　　　　　　　　　　　　　　　</w:t>
      </w:r>
    </w:p>
    <w:p>
      <w:pPr>
        <w:adjustRightInd w:val="0"/>
        <w:snapToGrid w:val="0"/>
        <w:spacing w:beforeLines="50" w:line="340" w:lineRule="exact"/>
        <w:ind w:firstLine="480" w:firstLineChars="200"/>
        <w:rPr>
          <w:rFonts w:ascii="宋体" w:hAnsi="宋体" w:cs="宋体"/>
          <w:sz w:val="24"/>
          <w:u w:val="single"/>
        </w:rPr>
      </w:pPr>
      <w:r>
        <w:rPr>
          <w:rFonts w:hint="eastAsia" w:ascii="宋体" w:hAnsi="宋体" w:cs="宋体"/>
          <w:sz w:val="24"/>
        </w:rPr>
        <w:t>4.以上事项如有虚假或隐瞒，我方愿意承担一切后果，并不再寻求任何旨在减轻或免除法律责任的辩解。</w:t>
      </w:r>
    </w:p>
    <w:p>
      <w:pPr>
        <w:pStyle w:val="15"/>
        <w:tabs>
          <w:tab w:val="left" w:pos="939"/>
        </w:tabs>
        <w:adjustRightInd w:val="0"/>
        <w:snapToGrid w:val="0"/>
        <w:spacing w:line="340" w:lineRule="exact"/>
        <w:ind w:left="773" w:leftChars="150" w:hanging="458" w:hangingChars="191"/>
        <w:rPr>
          <w:rFonts w:ascii="宋体" w:hAnsi="宋体" w:cs="宋体"/>
          <w:sz w:val="24"/>
        </w:rPr>
      </w:pPr>
    </w:p>
    <w:p>
      <w:pPr>
        <w:pStyle w:val="103"/>
        <w:adjustRightInd w:val="0"/>
        <w:snapToGrid w:val="0"/>
        <w:spacing w:beforeLines="50" w:line="340" w:lineRule="exact"/>
        <w:ind w:firstLine="200"/>
        <w:rPr>
          <w:rFonts w:ascii="宋体" w:hAnsi="宋体" w:cs="宋体"/>
          <w:szCs w:val="24"/>
        </w:rPr>
      </w:pPr>
    </w:p>
    <w:p>
      <w:pPr>
        <w:adjustRightInd w:val="0"/>
        <w:snapToGrid w:val="0"/>
        <w:spacing w:beforeLines="50" w:line="340" w:lineRule="exact"/>
        <w:ind w:firstLine="200"/>
        <w:rPr>
          <w:rFonts w:ascii="宋体" w:hAnsi="宋体" w:cs="宋体"/>
          <w:sz w:val="24"/>
          <w:u w:val="single"/>
        </w:rPr>
      </w:pPr>
      <w:r>
        <w:rPr>
          <w:rFonts w:hint="eastAsia" w:ascii="宋体" w:hAnsi="宋体" w:cs="宋体"/>
          <w:sz w:val="24"/>
        </w:rPr>
        <w:t>法定代表人签字：</w:t>
      </w:r>
    </w:p>
    <w:p>
      <w:pPr>
        <w:adjustRightInd w:val="0"/>
        <w:snapToGrid w:val="0"/>
        <w:spacing w:beforeLines="50" w:after="50" w:line="340" w:lineRule="exact"/>
        <w:rPr>
          <w:rFonts w:ascii="宋体" w:hAnsi="宋体"/>
          <w:sz w:val="24"/>
          <w:szCs w:val="20"/>
        </w:rPr>
      </w:pPr>
      <w:r>
        <w:rPr>
          <w:rFonts w:hint="eastAsia" w:ascii="宋体" w:hAnsi="宋体"/>
          <w:sz w:val="24"/>
          <w:lang w:val="zh-CN"/>
        </w:rPr>
        <w:t>供应商</w:t>
      </w:r>
      <w:r>
        <w:rPr>
          <w:rFonts w:hint="eastAsia" w:ascii="宋体" w:hAnsi="宋体" w:cs="宋体"/>
          <w:sz w:val="24"/>
        </w:rPr>
        <w:t>公章：                      年    月    日</w:t>
      </w:r>
    </w:p>
    <w:p>
      <w:pPr>
        <w:snapToGrid w:val="0"/>
        <w:spacing w:line="330" w:lineRule="exact"/>
        <w:ind w:firstLine="472" w:firstLineChars="196"/>
        <w:jc w:val="left"/>
        <w:rPr>
          <w:rFonts w:ascii="宋体" w:hAnsi="宋体"/>
          <w:b/>
          <w:sz w:val="24"/>
        </w:rPr>
      </w:pPr>
    </w:p>
    <w:p>
      <w:pPr>
        <w:snapToGrid w:val="0"/>
        <w:spacing w:line="330" w:lineRule="exact"/>
        <w:ind w:firstLine="472" w:firstLineChars="196"/>
        <w:jc w:val="left"/>
        <w:rPr>
          <w:rFonts w:ascii="宋体" w:hAnsi="宋体"/>
          <w:b/>
          <w:sz w:val="24"/>
        </w:rPr>
      </w:pPr>
    </w:p>
    <w:p>
      <w:pPr>
        <w:snapToGrid w:val="0"/>
        <w:spacing w:line="330" w:lineRule="exact"/>
        <w:ind w:firstLine="472" w:firstLineChars="196"/>
        <w:jc w:val="left"/>
        <w:rPr>
          <w:rFonts w:ascii="宋体" w:hAnsi="宋体"/>
          <w:b/>
          <w:sz w:val="24"/>
        </w:rPr>
      </w:pPr>
    </w:p>
    <w:p>
      <w:pPr>
        <w:snapToGrid w:val="0"/>
        <w:spacing w:line="330" w:lineRule="exact"/>
        <w:ind w:firstLine="472" w:firstLineChars="196"/>
        <w:jc w:val="left"/>
        <w:rPr>
          <w:rFonts w:ascii="宋体" w:hAnsi="宋体"/>
          <w:b/>
          <w:sz w:val="24"/>
        </w:rPr>
      </w:pPr>
    </w:p>
    <w:p>
      <w:pPr>
        <w:snapToGrid w:val="0"/>
        <w:spacing w:line="330" w:lineRule="exact"/>
        <w:ind w:firstLine="472" w:firstLineChars="196"/>
        <w:jc w:val="left"/>
        <w:rPr>
          <w:rFonts w:ascii="宋体" w:hAnsi="宋体"/>
          <w:b/>
          <w:sz w:val="24"/>
        </w:rPr>
      </w:pPr>
    </w:p>
    <w:p>
      <w:pPr>
        <w:snapToGrid w:val="0"/>
        <w:spacing w:line="330" w:lineRule="exact"/>
        <w:ind w:firstLine="472" w:firstLineChars="196"/>
        <w:jc w:val="left"/>
        <w:rPr>
          <w:rFonts w:ascii="宋体" w:hAnsi="宋体"/>
          <w:b/>
          <w:sz w:val="24"/>
        </w:rPr>
      </w:pPr>
    </w:p>
    <w:p>
      <w:pPr>
        <w:snapToGrid w:val="0"/>
        <w:spacing w:line="330" w:lineRule="exact"/>
        <w:ind w:firstLine="472" w:firstLineChars="196"/>
        <w:jc w:val="left"/>
        <w:rPr>
          <w:rFonts w:ascii="宋体" w:hAnsi="宋体"/>
          <w:b/>
          <w:sz w:val="24"/>
        </w:rPr>
      </w:pPr>
    </w:p>
    <w:p>
      <w:pPr>
        <w:snapToGrid w:val="0"/>
        <w:spacing w:line="330" w:lineRule="exact"/>
        <w:ind w:firstLine="472" w:firstLineChars="196"/>
        <w:jc w:val="left"/>
        <w:rPr>
          <w:rFonts w:ascii="宋体" w:hAnsi="宋体"/>
          <w:b/>
          <w:sz w:val="24"/>
        </w:rPr>
      </w:pPr>
    </w:p>
    <w:p>
      <w:pPr>
        <w:snapToGrid w:val="0"/>
        <w:spacing w:line="330" w:lineRule="exact"/>
        <w:ind w:firstLine="472" w:firstLineChars="196"/>
        <w:jc w:val="left"/>
        <w:rPr>
          <w:rFonts w:ascii="宋体" w:hAnsi="宋体"/>
          <w:b/>
          <w:sz w:val="24"/>
        </w:rPr>
      </w:pPr>
    </w:p>
    <w:p>
      <w:pPr>
        <w:snapToGrid w:val="0"/>
        <w:spacing w:line="330" w:lineRule="exact"/>
        <w:ind w:firstLine="472" w:firstLineChars="196"/>
        <w:jc w:val="left"/>
        <w:rPr>
          <w:rFonts w:ascii="宋体" w:hAnsi="宋体"/>
          <w:b/>
          <w:sz w:val="24"/>
        </w:rPr>
      </w:pPr>
    </w:p>
    <w:p>
      <w:pPr>
        <w:snapToGrid w:val="0"/>
        <w:spacing w:line="330" w:lineRule="exact"/>
        <w:ind w:firstLine="472" w:firstLineChars="196"/>
        <w:jc w:val="left"/>
        <w:rPr>
          <w:rFonts w:ascii="宋体" w:hAnsi="宋体"/>
          <w:b/>
          <w:sz w:val="24"/>
        </w:rPr>
      </w:pPr>
    </w:p>
    <w:p>
      <w:pPr>
        <w:snapToGrid w:val="0"/>
        <w:spacing w:line="330" w:lineRule="exact"/>
        <w:ind w:firstLine="472" w:firstLineChars="196"/>
        <w:jc w:val="left"/>
        <w:rPr>
          <w:rFonts w:ascii="宋体" w:hAnsi="宋体"/>
          <w:b/>
          <w:sz w:val="24"/>
        </w:rPr>
      </w:pPr>
    </w:p>
    <w:p>
      <w:pPr>
        <w:snapToGrid w:val="0"/>
        <w:spacing w:line="330" w:lineRule="exact"/>
        <w:ind w:firstLine="472" w:firstLineChars="196"/>
        <w:jc w:val="left"/>
        <w:rPr>
          <w:rFonts w:ascii="宋体" w:hAnsi="宋体"/>
          <w:b/>
          <w:sz w:val="24"/>
        </w:rPr>
      </w:pPr>
    </w:p>
    <w:p>
      <w:pPr>
        <w:snapToGrid w:val="0"/>
        <w:spacing w:line="330" w:lineRule="exact"/>
        <w:rPr>
          <w:rFonts w:ascii="宋体" w:hAnsi="宋体"/>
          <w:b/>
          <w:sz w:val="32"/>
          <w:szCs w:val="32"/>
        </w:rPr>
      </w:pPr>
    </w:p>
    <w:p>
      <w:pPr>
        <w:snapToGrid w:val="0"/>
        <w:spacing w:line="330" w:lineRule="exact"/>
        <w:ind w:firstLine="630" w:firstLineChars="196"/>
        <w:jc w:val="center"/>
        <w:rPr>
          <w:rFonts w:ascii="宋体" w:hAnsi="宋体"/>
          <w:b/>
          <w:sz w:val="32"/>
          <w:szCs w:val="32"/>
        </w:rPr>
      </w:pPr>
      <w:r>
        <w:rPr>
          <w:rFonts w:hint="eastAsia" w:ascii="宋体" w:hAnsi="宋体"/>
          <w:b/>
          <w:sz w:val="32"/>
          <w:szCs w:val="32"/>
        </w:rPr>
        <w:t>五、法定代表人授权委托书</w:t>
      </w:r>
    </w:p>
    <w:p>
      <w:pPr>
        <w:snapToGrid w:val="0"/>
        <w:spacing w:beforeLines="50" w:after="50"/>
        <w:rPr>
          <w:rFonts w:ascii="宋体" w:hAnsi="宋体"/>
          <w:bCs/>
          <w:sz w:val="24"/>
        </w:rPr>
      </w:pPr>
    </w:p>
    <w:p>
      <w:pPr>
        <w:snapToGrid w:val="0"/>
        <w:spacing w:beforeLines="50" w:after="50"/>
        <w:rPr>
          <w:rFonts w:ascii="宋体" w:hAnsi="宋体"/>
          <w:b/>
          <w:bCs/>
          <w:sz w:val="24"/>
          <w:szCs w:val="20"/>
        </w:rPr>
      </w:pPr>
      <w:r>
        <w:rPr>
          <w:rFonts w:hint="eastAsia" w:ascii="宋体" w:hAnsi="宋体"/>
          <w:bCs/>
          <w:sz w:val="24"/>
        </w:rPr>
        <w:t>致：</w:t>
      </w:r>
      <w:r>
        <w:rPr>
          <w:rFonts w:ascii="宋体" w:hAnsi="宋体"/>
          <w:sz w:val="24"/>
        </w:rPr>
        <w:t>______</w:t>
      </w:r>
      <w:r>
        <w:rPr>
          <w:rFonts w:ascii="宋体" w:hAnsi="宋体"/>
          <w:sz w:val="24"/>
          <w:u w:val="single"/>
        </w:rPr>
        <w:t>_     _</w:t>
      </w:r>
      <w:r>
        <w:rPr>
          <w:rFonts w:ascii="宋体" w:hAnsi="宋体"/>
          <w:sz w:val="24"/>
        </w:rPr>
        <w:t>_</w:t>
      </w:r>
      <w:r>
        <w:rPr>
          <w:rFonts w:hint="eastAsia" w:ascii="宋体" w:hAnsi="宋体"/>
          <w:sz w:val="24"/>
        </w:rPr>
        <w:t>（采购单位名称）：</w:t>
      </w:r>
    </w:p>
    <w:p>
      <w:pPr>
        <w:snapToGrid w:val="0"/>
        <w:spacing w:beforeLines="50" w:after="50"/>
        <w:ind w:firstLine="720" w:firstLineChars="300"/>
        <w:rPr>
          <w:rFonts w:ascii="宋体" w:hAnsi="宋体"/>
          <w:sz w:val="24"/>
          <w:szCs w:val="20"/>
        </w:rPr>
      </w:pPr>
      <w:r>
        <w:rPr>
          <w:rFonts w:hint="eastAsia" w:ascii="宋体" w:hAnsi="宋体"/>
          <w:sz w:val="24"/>
        </w:rPr>
        <w:t>我（姓名）系</w:t>
      </w:r>
      <w:r>
        <w:rPr>
          <w:rFonts w:hint="eastAsia" w:ascii="宋体" w:hAnsi="宋体"/>
          <w:sz w:val="24"/>
          <w:lang w:val="zh-CN"/>
        </w:rPr>
        <w:t>供应商</w:t>
      </w:r>
      <w:r>
        <w:rPr>
          <w:rFonts w:hint="eastAsia" w:ascii="宋体" w:hAnsi="宋体"/>
          <w:sz w:val="24"/>
        </w:rPr>
        <w:t>名称）的法定代表人，现授权委托本单位在职职工（姓名）以我方的名义参加</w:t>
      </w:r>
      <w:r>
        <w:rPr>
          <w:rFonts w:hint="eastAsia" w:ascii="宋体" w:hAnsi="宋体"/>
          <w:b/>
          <w:sz w:val="24"/>
          <w:u w:val="single"/>
        </w:rPr>
        <w:t>长兴县太湖高级中学综合管理平台系统采购项目</w:t>
      </w:r>
      <w:r>
        <w:rPr>
          <w:rFonts w:hint="eastAsia" w:ascii="宋体" w:hAnsi="宋体"/>
          <w:sz w:val="24"/>
        </w:rPr>
        <w:t>的投标活动，并代表我方全权办理针对上述项目的投标、开标、评标、签约等具体事务和签署相关文件。</w:t>
      </w:r>
    </w:p>
    <w:p>
      <w:pPr>
        <w:snapToGrid w:val="0"/>
        <w:spacing w:beforeLines="50" w:after="50"/>
        <w:rPr>
          <w:rFonts w:ascii="宋体" w:hAnsi="宋体"/>
          <w:sz w:val="24"/>
          <w:szCs w:val="20"/>
        </w:rPr>
      </w:pPr>
      <w:r>
        <w:rPr>
          <w:rFonts w:hint="eastAsia" w:ascii="宋体" w:hAnsi="宋体"/>
          <w:sz w:val="24"/>
        </w:rPr>
        <w:t>我方对被授权人的签名事项负全部责任。</w:t>
      </w:r>
    </w:p>
    <w:p>
      <w:pPr>
        <w:snapToGrid w:val="0"/>
        <w:spacing w:beforeLines="50" w:after="50"/>
        <w:ind w:firstLine="480"/>
        <w:rPr>
          <w:rFonts w:ascii="宋体" w:hAnsi="宋体"/>
          <w:sz w:val="24"/>
          <w:szCs w:val="20"/>
        </w:rPr>
      </w:pPr>
      <w:r>
        <w:rPr>
          <w:rFonts w:hint="eastAsia" w:ascii="宋体" w:hAnsi="宋体"/>
          <w:sz w:val="24"/>
          <w:u w:val="single"/>
        </w:rPr>
        <w:t>在撤销授权的书面通知以前，本授权书一直有效。</w:t>
      </w:r>
      <w:r>
        <w:rPr>
          <w:rFonts w:hint="eastAsia" w:ascii="宋体" w:hAnsi="宋体"/>
          <w:sz w:val="24"/>
        </w:rPr>
        <w:t>被授权人在授权书有效期内签署的所有文件不因授权的撤销而失效。</w:t>
      </w:r>
    </w:p>
    <w:p>
      <w:pPr>
        <w:snapToGrid w:val="0"/>
        <w:spacing w:beforeLines="50" w:after="50"/>
        <w:ind w:firstLine="480"/>
        <w:rPr>
          <w:rFonts w:ascii="宋体" w:hAnsi="宋体"/>
          <w:sz w:val="24"/>
          <w:szCs w:val="20"/>
        </w:rPr>
      </w:pPr>
      <w:r>
        <w:rPr>
          <w:rFonts w:hint="eastAsia" w:ascii="宋体" w:hAnsi="宋体"/>
          <w:sz w:val="24"/>
        </w:rPr>
        <w:t>被授权人无转委托权，特此委托。</w:t>
      </w:r>
    </w:p>
    <w:p>
      <w:pPr>
        <w:snapToGrid w:val="0"/>
        <w:spacing w:beforeLines="50" w:after="50"/>
        <w:rPr>
          <w:rFonts w:ascii="宋体" w:hAnsi="宋体"/>
          <w:sz w:val="24"/>
          <w:szCs w:val="20"/>
        </w:rPr>
      </w:pPr>
    </w:p>
    <w:p>
      <w:pPr>
        <w:snapToGrid w:val="0"/>
        <w:spacing w:beforeLines="50" w:after="50"/>
        <w:rPr>
          <w:rFonts w:ascii="宋体" w:hAnsi="宋体"/>
          <w:sz w:val="24"/>
          <w:szCs w:val="20"/>
          <w:u w:val="single"/>
        </w:rPr>
      </w:pPr>
      <w:r>
        <w:rPr>
          <w:rFonts w:hint="eastAsia" w:ascii="宋体" w:hAnsi="宋体"/>
          <w:sz w:val="24"/>
        </w:rPr>
        <w:t>被授权人签名：法定代表人签名：</w:t>
      </w:r>
    </w:p>
    <w:p>
      <w:pPr>
        <w:snapToGrid w:val="0"/>
        <w:spacing w:beforeLines="50" w:after="50"/>
        <w:ind w:firstLine="960" w:firstLineChars="400"/>
        <w:rPr>
          <w:rFonts w:ascii="宋体" w:hAnsi="宋体"/>
          <w:sz w:val="24"/>
          <w:szCs w:val="20"/>
        </w:rPr>
      </w:pPr>
      <w:r>
        <w:rPr>
          <w:rFonts w:hint="eastAsia" w:ascii="宋体" w:hAnsi="宋体"/>
          <w:sz w:val="24"/>
        </w:rPr>
        <w:t>职务：职务：</w:t>
      </w:r>
    </w:p>
    <w:p>
      <w:pPr>
        <w:snapToGrid w:val="0"/>
        <w:spacing w:beforeLines="50" w:after="50"/>
        <w:rPr>
          <w:rFonts w:ascii="宋体" w:hAnsi="宋体"/>
          <w:sz w:val="24"/>
        </w:rPr>
      </w:pPr>
      <w:r>
        <w:rPr>
          <w:rFonts w:hint="eastAsia" w:ascii="宋体" w:hAnsi="宋体"/>
          <w:sz w:val="24"/>
        </w:rPr>
        <w:t>被授权人身份证复印件：</w:t>
      </w:r>
    </w:p>
    <w:p>
      <w:pPr>
        <w:snapToGrid w:val="0"/>
        <w:spacing w:beforeLines="50" w:after="50"/>
        <w:rPr>
          <w:rFonts w:ascii="宋体" w:hAnsi="宋体"/>
          <w:sz w:val="24"/>
        </w:rPr>
      </w:pPr>
    </w:p>
    <w:p>
      <w:pPr>
        <w:snapToGrid w:val="0"/>
        <w:spacing w:beforeLines="50" w:after="50"/>
        <w:rPr>
          <w:rFonts w:ascii="宋体" w:hAnsi="宋体"/>
          <w:sz w:val="24"/>
        </w:rPr>
      </w:pPr>
    </w:p>
    <w:p>
      <w:pPr>
        <w:snapToGrid w:val="0"/>
        <w:spacing w:beforeLines="50" w:after="50"/>
        <w:rPr>
          <w:rFonts w:ascii="宋体" w:hAnsi="宋体"/>
          <w:sz w:val="24"/>
        </w:rPr>
      </w:pPr>
    </w:p>
    <w:p>
      <w:pPr>
        <w:snapToGrid w:val="0"/>
        <w:spacing w:beforeLines="50" w:after="50"/>
        <w:rPr>
          <w:rFonts w:ascii="宋体" w:hAnsi="宋体"/>
          <w:sz w:val="24"/>
        </w:rPr>
      </w:pPr>
    </w:p>
    <w:p>
      <w:pPr>
        <w:snapToGrid w:val="0"/>
        <w:spacing w:beforeLines="50" w:after="50"/>
        <w:rPr>
          <w:rFonts w:ascii="宋体" w:hAnsi="宋体"/>
          <w:sz w:val="24"/>
          <w:szCs w:val="20"/>
        </w:rPr>
      </w:pPr>
      <w:r>
        <w:rPr>
          <w:rFonts w:hint="eastAsia" w:ascii="宋体" w:hAnsi="宋体"/>
          <w:sz w:val="24"/>
          <w:lang w:val="zh-CN"/>
        </w:rPr>
        <w:t>供应商</w:t>
      </w:r>
      <w:r>
        <w:rPr>
          <w:rFonts w:hint="eastAsia" w:ascii="宋体" w:hAnsi="宋体"/>
          <w:sz w:val="24"/>
        </w:rPr>
        <w:t>公章：</w:t>
      </w:r>
    </w:p>
    <w:p>
      <w:pPr>
        <w:snapToGrid w:val="0"/>
        <w:spacing w:beforeLines="50" w:after="50"/>
        <w:jc w:val="center"/>
        <w:rPr>
          <w:rFonts w:ascii="宋体" w:hAnsi="宋体"/>
          <w:sz w:val="24"/>
        </w:rPr>
      </w:pPr>
    </w:p>
    <w:p>
      <w:pPr>
        <w:snapToGrid w:val="0"/>
        <w:spacing w:beforeLines="50" w:after="50"/>
        <w:jc w:val="center"/>
        <w:rPr>
          <w:rFonts w:ascii="宋体" w:hAnsi="宋体"/>
          <w:sz w:val="24"/>
        </w:rPr>
      </w:pPr>
      <w:r>
        <w:rPr>
          <w:rFonts w:hint="eastAsia" w:ascii="宋体" w:hAnsi="宋体"/>
          <w:sz w:val="24"/>
        </w:rPr>
        <w:t>年月日</w:t>
      </w:r>
    </w:p>
    <w:p>
      <w:pPr>
        <w:snapToGrid w:val="0"/>
        <w:spacing w:line="330" w:lineRule="exact"/>
        <w:ind w:firstLine="472" w:firstLineChars="196"/>
        <w:jc w:val="left"/>
        <w:rPr>
          <w:rFonts w:ascii="宋体" w:hAnsi="宋体"/>
          <w:b/>
          <w:sz w:val="24"/>
        </w:rPr>
      </w:pPr>
    </w:p>
    <w:p>
      <w:pPr>
        <w:snapToGrid w:val="0"/>
        <w:spacing w:line="330" w:lineRule="exact"/>
        <w:ind w:firstLine="630" w:firstLineChars="196"/>
        <w:jc w:val="center"/>
        <w:rPr>
          <w:rFonts w:ascii="宋体" w:hAnsi="宋体"/>
          <w:b/>
          <w:sz w:val="32"/>
          <w:szCs w:val="32"/>
        </w:rPr>
      </w:pPr>
    </w:p>
    <w:p>
      <w:pPr>
        <w:snapToGrid w:val="0"/>
        <w:spacing w:line="330" w:lineRule="exact"/>
        <w:ind w:firstLine="630" w:firstLineChars="196"/>
        <w:jc w:val="center"/>
        <w:rPr>
          <w:rFonts w:ascii="宋体" w:hAnsi="宋体"/>
          <w:b/>
          <w:sz w:val="32"/>
          <w:szCs w:val="32"/>
        </w:rPr>
      </w:pPr>
    </w:p>
    <w:p>
      <w:pPr>
        <w:snapToGrid w:val="0"/>
        <w:spacing w:line="330" w:lineRule="exact"/>
        <w:ind w:firstLine="630" w:firstLineChars="196"/>
        <w:jc w:val="center"/>
        <w:rPr>
          <w:rFonts w:ascii="宋体" w:hAnsi="宋体"/>
          <w:b/>
          <w:sz w:val="32"/>
          <w:szCs w:val="32"/>
        </w:rPr>
      </w:pPr>
    </w:p>
    <w:p>
      <w:pPr>
        <w:snapToGrid w:val="0"/>
        <w:spacing w:line="330" w:lineRule="exact"/>
        <w:ind w:firstLine="630" w:firstLineChars="196"/>
        <w:jc w:val="center"/>
        <w:rPr>
          <w:rFonts w:ascii="宋体" w:hAnsi="宋体"/>
          <w:b/>
          <w:sz w:val="32"/>
          <w:szCs w:val="32"/>
        </w:rPr>
      </w:pPr>
    </w:p>
    <w:p>
      <w:pPr>
        <w:snapToGrid w:val="0"/>
        <w:spacing w:line="330" w:lineRule="exact"/>
        <w:ind w:firstLine="630" w:firstLineChars="196"/>
        <w:jc w:val="center"/>
        <w:rPr>
          <w:rFonts w:ascii="宋体" w:hAnsi="宋体"/>
          <w:b/>
          <w:sz w:val="32"/>
          <w:szCs w:val="32"/>
        </w:rPr>
      </w:pPr>
    </w:p>
    <w:p>
      <w:pPr>
        <w:snapToGrid w:val="0"/>
        <w:spacing w:line="330" w:lineRule="exact"/>
        <w:ind w:firstLine="630" w:firstLineChars="196"/>
        <w:jc w:val="center"/>
        <w:rPr>
          <w:rFonts w:ascii="宋体" w:hAnsi="宋体"/>
          <w:b/>
          <w:sz w:val="32"/>
          <w:szCs w:val="32"/>
        </w:rPr>
      </w:pPr>
    </w:p>
    <w:p>
      <w:pPr>
        <w:snapToGrid w:val="0"/>
        <w:spacing w:line="330" w:lineRule="exact"/>
        <w:ind w:firstLine="630" w:firstLineChars="196"/>
        <w:jc w:val="center"/>
        <w:rPr>
          <w:rFonts w:ascii="宋体" w:hAnsi="宋体"/>
          <w:b/>
          <w:sz w:val="32"/>
          <w:szCs w:val="32"/>
        </w:rPr>
      </w:pPr>
    </w:p>
    <w:p>
      <w:pPr>
        <w:snapToGrid w:val="0"/>
        <w:spacing w:line="330" w:lineRule="exact"/>
        <w:ind w:firstLine="630" w:firstLineChars="196"/>
        <w:jc w:val="center"/>
        <w:rPr>
          <w:rFonts w:ascii="宋体" w:hAnsi="宋体"/>
          <w:b/>
          <w:sz w:val="32"/>
          <w:szCs w:val="32"/>
        </w:rPr>
      </w:pPr>
    </w:p>
    <w:p>
      <w:pPr>
        <w:snapToGrid w:val="0"/>
        <w:spacing w:line="330" w:lineRule="exact"/>
        <w:ind w:firstLine="630" w:firstLineChars="196"/>
        <w:jc w:val="center"/>
        <w:rPr>
          <w:rFonts w:ascii="宋体" w:hAnsi="宋体"/>
          <w:b/>
          <w:sz w:val="32"/>
          <w:szCs w:val="32"/>
        </w:rPr>
      </w:pPr>
    </w:p>
    <w:p>
      <w:pPr>
        <w:snapToGrid w:val="0"/>
        <w:spacing w:line="330" w:lineRule="exact"/>
        <w:ind w:firstLine="630" w:firstLineChars="196"/>
        <w:jc w:val="center"/>
        <w:rPr>
          <w:rFonts w:ascii="宋体" w:hAnsi="宋体"/>
          <w:b/>
          <w:sz w:val="32"/>
          <w:szCs w:val="32"/>
        </w:rPr>
      </w:pPr>
    </w:p>
    <w:p>
      <w:pPr>
        <w:pStyle w:val="2"/>
      </w:pPr>
    </w:p>
    <w:p>
      <w:pPr>
        <w:snapToGrid w:val="0"/>
        <w:spacing w:line="330" w:lineRule="exact"/>
        <w:ind w:firstLine="630" w:firstLineChars="196"/>
        <w:jc w:val="center"/>
        <w:rPr>
          <w:rFonts w:ascii="宋体" w:hAnsi="宋体"/>
          <w:b/>
          <w:sz w:val="32"/>
          <w:szCs w:val="32"/>
        </w:rPr>
      </w:pPr>
    </w:p>
    <w:p>
      <w:pPr>
        <w:snapToGrid w:val="0"/>
        <w:spacing w:line="330" w:lineRule="exact"/>
        <w:ind w:firstLine="630" w:firstLineChars="196"/>
        <w:jc w:val="center"/>
        <w:rPr>
          <w:rFonts w:ascii="宋体" w:hAnsi="宋体"/>
          <w:b/>
          <w:sz w:val="32"/>
          <w:szCs w:val="32"/>
        </w:rPr>
      </w:pPr>
    </w:p>
    <w:p>
      <w:pPr>
        <w:snapToGrid w:val="0"/>
        <w:spacing w:line="330" w:lineRule="exact"/>
        <w:ind w:firstLine="630" w:firstLineChars="196"/>
        <w:jc w:val="center"/>
        <w:rPr>
          <w:rFonts w:ascii="宋体" w:hAnsi="宋体"/>
          <w:b/>
          <w:sz w:val="32"/>
          <w:szCs w:val="32"/>
        </w:rPr>
      </w:pPr>
    </w:p>
    <w:p>
      <w:pPr>
        <w:snapToGrid w:val="0"/>
        <w:spacing w:line="330" w:lineRule="exact"/>
        <w:ind w:firstLine="630" w:firstLineChars="196"/>
        <w:jc w:val="center"/>
        <w:rPr>
          <w:rFonts w:ascii="宋体" w:hAnsi="宋体"/>
          <w:b/>
          <w:sz w:val="32"/>
          <w:szCs w:val="32"/>
        </w:rPr>
      </w:pPr>
    </w:p>
    <w:p>
      <w:pPr>
        <w:snapToGrid w:val="0"/>
        <w:spacing w:line="330" w:lineRule="exact"/>
        <w:ind w:firstLine="630" w:firstLineChars="196"/>
        <w:jc w:val="center"/>
        <w:rPr>
          <w:rFonts w:ascii="宋体" w:hAnsi="宋体"/>
          <w:b/>
          <w:sz w:val="32"/>
          <w:szCs w:val="32"/>
        </w:rPr>
      </w:pPr>
      <w:r>
        <w:rPr>
          <w:rFonts w:hint="eastAsia" w:ascii="宋体" w:hAnsi="宋体"/>
          <w:b/>
          <w:sz w:val="32"/>
          <w:szCs w:val="32"/>
        </w:rPr>
        <w:t>六、供应商情况表</w:t>
      </w:r>
    </w:p>
    <w:p>
      <w:pPr>
        <w:snapToGrid w:val="0"/>
        <w:spacing w:before="50" w:afterLines="50"/>
        <w:rPr>
          <w:rFonts w:ascii="宋体" w:hAnsi="宋体"/>
          <w:b/>
          <w:sz w:val="24"/>
        </w:rPr>
      </w:pPr>
    </w:p>
    <w:tbl>
      <w:tblPr>
        <w:tblStyle w:val="50"/>
        <w:tblW w:w="94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9"/>
        <w:gridCol w:w="1083"/>
        <w:gridCol w:w="1075"/>
        <w:gridCol w:w="869"/>
        <w:gridCol w:w="206"/>
        <w:gridCol w:w="1075"/>
        <w:gridCol w:w="391"/>
        <w:gridCol w:w="684"/>
        <w:gridCol w:w="893"/>
        <w:gridCol w:w="193"/>
        <w:gridCol w:w="13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7" w:hRule="atLeast"/>
        </w:trPr>
        <w:tc>
          <w:tcPr>
            <w:tcW w:w="9467" w:type="dxa"/>
            <w:gridSpan w:val="11"/>
            <w:vAlign w:val="center"/>
          </w:tcPr>
          <w:p>
            <w:pPr>
              <w:spacing w:line="480" w:lineRule="exact"/>
              <w:jc w:val="center"/>
              <w:rPr>
                <w:rFonts w:ascii="宋体" w:hAnsi="宋体"/>
                <w:sz w:val="24"/>
              </w:rPr>
            </w:pPr>
            <w:r>
              <w:rPr>
                <w:rFonts w:hint="eastAsia" w:ascii="宋体" w:hAnsi="宋体"/>
                <w:sz w:val="24"/>
              </w:rPr>
              <w:t>企业情况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7" w:hRule="atLeast"/>
        </w:trPr>
        <w:tc>
          <w:tcPr>
            <w:tcW w:w="1609" w:type="dxa"/>
            <w:vAlign w:val="center"/>
          </w:tcPr>
          <w:p>
            <w:pPr>
              <w:spacing w:line="480" w:lineRule="exact"/>
              <w:jc w:val="center"/>
              <w:rPr>
                <w:rFonts w:ascii="宋体" w:hAnsi="宋体"/>
                <w:sz w:val="24"/>
              </w:rPr>
            </w:pPr>
            <w:r>
              <w:rPr>
                <w:rFonts w:hint="eastAsia" w:ascii="宋体" w:hAnsi="宋体"/>
                <w:sz w:val="24"/>
              </w:rPr>
              <w:t>单位名称</w:t>
            </w:r>
          </w:p>
        </w:tc>
        <w:tc>
          <w:tcPr>
            <w:tcW w:w="7858" w:type="dxa"/>
            <w:gridSpan w:val="10"/>
            <w:vAlign w:val="center"/>
          </w:tcPr>
          <w:p>
            <w:pPr>
              <w:spacing w:line="48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7" w:hRule="atLeast"/>
        </w:trPr>
        <w:tc>
          <w:tcPr>
            <w:tcW w:w="1609" w:type="dxa"/>
            <w:vAlign w:val="center"/>
          </w:tcPr>
          <w:p>
            <w:pPr>
              <w:spacing w:line="480" w:lineRule="exact"/>
              <w:jc w:val="center"/>
              <w:rPr>
                <w:rFonts w:ascii="宋体" w:hAnsi="宋体"/>
                <w:sz w:val="24"/>
              </w:rPr>
            </w:pPr>
            <w:r>
              <w:rPr>
                <w:rFonts w:hint="eastAsia" w:ascii="宋体" w:hAnsi="宋体"/>
                <w:sz w:val="24"/>
              </w:rPr>
              <w:t>地  址</w:t>
            </w:r>
          </w:p>
        </w:tc>
        <w:tc>
          <w:tcPr>
            <w:tcW w:w="4699" w:type="dxa"/>
            <w:gridSpan w:val="6"/>
            <w:vAlign w:val="center"/>
          </w:tcPr>
          <w:p>
            <w:pPr>
              <w:spacing w:line="480" w:lineRule="exact"/>
              <w:jc w:val="center"/>
              <w:rPr>
                <w:rFonts w:ascii="宋体" w:hAnsi="宋体"/>
                <w:sz w:val="24"/>
              </w:rPr>
            </w:pPr>
          </w:p>
        </w:tc>
        <w:tc>
          <w:tcPr>
            <w:tcW w:w="1577" w:type="dxa"/>
            <w:gridSpan w:val="2"/>
            <w:vAlign w:val="center"/>
          </w:tcPr>
          <w:p>
            <w:pPr>
              <w:spacing w:line="480" w:lineRule="exact"/>
              <w:jc w:val="center"/>
              <w:rPr>
                <w:rFonts w:ascii="宋体" w:hAnsi="宋体"/>
                <w:sz w:val="24"/>
              </w:rPr>
            </w:pPr>
            <w:r>
              <w:rPr>
                <w:rFonts w:hint="eastAsia" w:ascii="宋体" w:hAnsi="宋体"/>
                <w:sz w:val="24"/>
              </w:rPr>
              <w:t>法定代表人</w:t>
            </w:r>
          </w:p>
        </w:tc>
        <w:tc>
          <w:tcPr>
            <w:tcW w:w="1582" w:type="dxa"/>
            <w:gridSpan w:val="2"/>
            <w:vAlign w:val="center"/>
          </w:tcPr>
          <w:p>
            <w:pPr>
              <w:spacing w:line="48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7" w:hRule="atLeast"/>
        </w:trPr>
        <w:tc>
          <w:tcPr>
            <w:tcW w:w="1609" w:type="dxa"/>
            <w:vAlign w:val="center"/>
          </w:tcPr>
          <w:p>
            <w:pPr>
              <w:spacing w:line="480" w:lineRule="exact"/>
              <w:jc w:val="center"/>
              <w:rPr>
                <w:rFonts w:ascii="宋体" w:hAnsi="宋体"/>
                <w:sz w:val="24"/>
              </w:rPr>
            </w:pPr>
            <w:r>
              <w:rPr>
                <w:rFonts w:hint="eastAsia" w:ascii="宋体" w:hAnsi="宋体"/>
                <w:sz w:val="24"/>
              </w:rPr>
              <w:t>成立时间</w:t>
            </w:r>
          </w:p>
        </w:tc>
        <w:tc>
          <w:tcPr>
            <w:tcW w:w="4699" w:type="dxa"/>
            <w:gridSpan w:val="6"/>
            <w:vAlign w:val="center"/>
          </w:tcPr>
          <w:p>
            <w:pPr>
              <w:spacing w:line="480" w:lineRule="exact"/>
              <w:jc w:val="center"/>
              <w:rPr>
                <w:rFonts w:ascii="宋体" w:hAnsi="宋体"/>
                <w:sz w:val="24"/>
              </w:rPr>
            </w:pPr>
          </w:p>
        </w:tc>
        <w:tc>
          <w:tcPr>
            <w:tcW w:w="1577" w:type="dxa"/>
            <w:gridSpan w:val="2"/>
            <w:vAlign w:val="center"/>
          </w:tcPr>
          <w:p>
            <w:pPr>
              <w:spacing w:line="480" w:lineRule="exact"/>
              <w:jc w:val="center"/>
              <w:rPr>
                <w:rFonts w:ascii="宋体" w:hAnsi="宋体"/>
                <w:sz w:val="24"/>
              </w:rPr>
            </w:pPr>
            <w:r>
              <w:rPr>
                <w:rFonts w:hint="eastAsia" w:ascii="宋体" w:hAnsi="宋体"/>
                <w:sz w:val="24"/>
              </w:rPr>
              <w:t>注册资本</w:t>
            </w:r>
          </w:p>
        </w:tc>
        <w:tc>
          <w:tcPr>
            <w:tcW w:w="1582" w:type="dxa"/>
            <w:gridSpan w:val="2"/>
            <w:vAlign w:val="center"/>
          </w:tcPr>
          <w:p>
            <w:pPr>
              <w:spacing w:line="48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7" w:hRule="atLeast"/>
        </w:trPr>
        <w:tc>
          <w:tcPr>
            <w:tcW w:w="1609" w:type="dxa"/>
            <w:vAlign w:val="center"/>
          </w:tcPr>
          <w:p>
            <w:pPr>
              <w:spacing w:line="480" w:lineRule="exact"/>
              <w:jc w:val="center"/>
              <w:rPr>
                <w:rFonts w:ascii="宋体" w:hAnsi="宋体"/>
                <w:sz w:val="24"/>
              </w:rPr>
            </w:pPr>
            <w:r>
              <w:rPr>
                <w:rFonts w:hint="eastAsia" w:ascii="宋体" w:hAnsi="宋体"/>
                <w:sz w:val="24"/>
              </w:rPr>
              <w:t>开户银行</w:t>
            </w:r>
          </w:p>
        </w:tc>
        <w:tc>
          <w:tcPr>
            <w:tcW w:w="3027" w:type="dxa"/>
            <w:gridSpan w:val="3"/>
            <w:vAlign w:val="center"/>
          </w:tcPr>
          <w:p>
            <w:pPr>
              <w:spacing w:line="480" w:lineRule="exact"/>
              <w:jc w:val="center"/>
              <w:rPr>
                <w:rFonts w:ascii="宋体" w:hAnsi="宋体"/>
                <w:sz w:val="24"/>
              </w:rPr>
            </w:pPr>
          </w:p>
        </w:tc>
        <w:tc>
          <w:tcPr>
            <w:tcW w:w="1672" w:type="dxa"/>
            <w:gridSpan w:val="3"/>
            <w:vAlign w:val="center"/>
          </w:tcPr>
          <w:p>
            <w:pPr>
              <w:spacing w:line="480" w:lineRule="exact"/>
              <w:jc w:val="center"/>
              <w:rPr>
                <w:rFonts w:ascii="宋体" w:hAnsi="宋体"/>
                <w:sz w:val="24"/>
              </w:rPr>
            </w:pPr>
            <w:r>
              <w:rPr>
                <w:rFonts w:hint="eastAsia" w:ascii="宋体" w:hAnsi="宋体"/>
                <w:sz w:val="24"/>
              </w:rPr>
              <w:t>帐  号</w:t>
            </w:r>
          </w:p>
        </w:tc>
        <w:tc>
          <w:tcPr>
            <w:tcW w:w="3159" w:type="dxa"/>
            <w:gridSpan w:val="4"/>
            <w:vAlign w:val="center"/>
          </w:tcPr>
          <w:p>
            <w:pPr>
              <w:spacing w:line="48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7" w:hRule="atLeast"/>
        </w:trPr>
        <w:tc>
          <w:tcPr>
            <w:tcW w:w="1609" w:type="dxa"/>
            <w:vAlign w:val="center"/>
          </w:tcPr>
          <w:p>
            <w:pPr>
              <w:spacing w:line="480" w:lineRule="exact"/>
              <w:jc w:val="center"/>
              <w:rPr>
                <w:rFonts w:ascii="宋体" w:hAnsi="宋体"/>
                <w:sz w:val="24"/>
              </w:rPr>
            </w:pPr>
            <w:r>
              <w:rPr>
                <w:rFonts w:hint="eastAsia" w:ascii="宋体" w:hAnsi="宋体"/>
                <w:sz w:val="24"/>
              </w:rPr>
              <w:t>联系电话</w:t>
            </w:r>
          </w:p>
        </w:tc>
        <w:tc>
          <w:tcPr>
            <w:tcW w:w="7858" w:type="dxa"/>
            <w:gridSpan w:val="10"/>
            <w:vAlign w:val="center"/>
          </w:tcPr>
          <w:p>
            <w:pPr>
              <w:spacing w:line="48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7" w:hRule="atLeast"/>
        </w:trPr>
        <w:tc>
          <w:tcPr>
            <w:tcW w:w="1609" w:type="dxa"/>
            <w:vAlign w:val="center"/>
          </w:tcPr>
          <w:p>
            <w:pPr>
              <w:spacing w:line="480" w:lineRule="exact"/>
              <w:jc w:val="center"/>
              <w:rPr>
                <w:rFonts w:ascii="宋体" w:hAnsi="宋体"/>
                <w:sz w:val="24"/>
              </w:rPr>
            </w:pPr>
            <w:r>
              <w:rPr>
                <w:rFonts w:hint="eastAsia" w:ascii="宋体" w:hAnsi="宋体"/>
                <w:sz w:val="24"/>
              </w:rPr>
              <w:t>企业总人数</w:t>
            </w:r>
          </w:p>
        </w:tc>
        <w:tc>
          <w:tcPr>
            <w:tcW w:w="1083" w:type="dxa"/>
            <w:vAlign w:val="center"/>
          </w:tcPr>
          <w:p>
            <w:pPr>
              <w:spacing w:line="480" w:lineRule="exact"/>
              <w:jc w:val="center"/>
              <w:rPr>
                <w:rFonts w:ascii="宋体" w:hAnsi="宋体"/>
                <w:sz w:val="24"/>
              </w:rPr>
            </w:pPr>
          </w:p>
        </w:tc>
        <w:tc>
          <w:tcPr>
            <w:tcW w:w="1075" w:type="dxa"/>
            <w:vAlign w:val="center"/>
          </w:tcPr>
          <w:p>
            <w:pPr>
              <w:spacing w:line="480" w:lineRule="exact"/>
              <w:jc w:val="center"/>
              <w:rPr>
                <w:rFonts w:ascii="宋体" w:hAnsi="宋体"/>
                <w:sz w:val="24"/>
              </w:rPr>
            </w:pPr>
            <w:r>
              <w:rPr>
                <w:rFonts w:hint="eastAsia" w:ascii="宋体" w:hAnsi="宋体"/>
                <w:sz w:val="24"/>
              </w:rPr>
              <w:t>管理</w:t>
            </w:r>
          </w:p>
          <w:p>
            <w:pPr>
              <w:spacing w:line="480" w:lineRule="exact"/>
              <w:jc w:val="center"/>
              <w:rPr>
                <w:rFonts w:ascii="宋体" w:hAnsi="宋体"/>
                <w:sz w:val="24"/>
              </w:rPr>
            </w:pPr>
            <w:r>
              <w:rPr>
                <w:rFonts w:hint="eastAsia" w:ascii="宋体" w:hAnsi="宋体"/>
                <w:sz w:val="24"/>
              </w:rPr>
              <w:t>人员</w:t>
            </w:r>
          </w:p>
        </w:tc>
        <w:tc>
          <w:tcPr>
            <w:tcW w:w="1075" w:type="dxa"/>
            <w:gridSpan w:val="2"/>
            <w:vAlign w:val="center"/>
          </w:tcPr>
          <w:p>
            <w:pPr>
              <w:spacing w:line="480" w:lineRule="exact"/>
              <w:jc w:val="center"/>
              <w:rPr>
                <w:rFonts w:ascii="宋体" w:hAnsi="宋体"/>
                <w:sz w:val="24"/>
              </w:rPr>
            </w:pPr>
          </w:p>
        </w:tc>
        <w:tc>
          <w:tcPr>
            <w:tcW w:w="1075" w:type="dxa"/>
            <w:vAlign w:val="center"/>
          </w:tcPr>
          <w:p>
            <w:pPr>
              <w:spacing w:line="480" w:lineRule="exact"/>
              <w:jc w:val="center"/>
              <w:rPr>
                <w:rFonts w:ascii="宋体" w:hAnsi="宋体"/>
                <w:sz w:val="24"/>
              </w:rPr>
            </w:pPr>
            <w:r>
              <w:rPr>
                <w:rFonts w:hint="eastAsia" w:ascii="宋体" w:hAnsi="宋体"/>
                <w:sz w:val="24"/>
              </w:rPr>
              <w:t>技术</w:t>
            </w:r>
          </w:p>
          <w:p>
            <w:pPr>
              <w:spacing w:line="480" w:lineRule="exact"/>
              <w:jc w:val="center"/>
              <w:rPr>
                <w:rFonts w:ascii="宋体" w:hAnsi="宋体"/>
                <w:sz w:val="24"/>
              </w:rPr>
            </w:pPr>
            <w:r>
              <w:rPr>
                <w:rFonts w:hint="eastAsia" w:ascii="宋体" w:hAnsi="宋体"/>
                <w:sz w:val="24"/>
              </w:rPr>
              <w:t>人员</w:t>
            </w:r>
          </w:p>
        </w:tc>
        <w:tc>
          <w:tcPr>
            <w:tcW w:w="1075" w:type="dxa"/>
            <w:gridSpan w:val="2"/>
            <w:vAlign w:val="center"/>
          </w:tcPr>
          <w:p>
            <w:pPr>
              <w:spacing w:line="480" w:lineRule="exact"/>
              <w:jc w:val="center"/>
              <w:rPr>
                <w:rFonts w:ascii="宋体" w:hAnsi="宋体"/>
                <w:sz w:val="24"/>
              </w:rPr>
            </w:pPr>
          </w:p>
        </w:tc>
        <w:tc>
          <w:tcPr>
            <w:tcW w:w="1086" w:type="dxa"/>
            <w:gridSpan w:val="2"/>
            <w:vAlign w:val="center"/>
          </w:tcPr>
          <w:p>
            <w:pPr>
              <w:spacing w:line="480" w:lineRule="exact"/>
              <w:jc w:val="center"/>
              <w:rPr>
                <w:rFonts w:ascii="宋体" w:hAnsi="宋体"/>
                <w:sz w:val="24"/>
              </w:rPr>
            </w:pPr>
            <w:r>
              <w:rPr>
                <w:rFonts w:hint="eastAsia" w:ascii="宋体" w:hAnsi="宋体"/>
                <w:sz w:val="24"/>
              </w:rPr>
              <w:t>职工</w:t>
            </w:r>
          </w:p>
          <w:p>
            <w:pPr>
              <w:spacing w:line="480" w:lineRule="exact"/>
              <w:jc w:val="center"/>
              <w:rPr>
                <w:rFonts w:ascii="宋体" w:hAnsi="宋体"/>
                <w:sz w:val="24"/>
              </w:rPr>
            </w:pPr>
            <w:r>
              <w:rPr>
                <w:rFonts w:hint="eastAsia" w:ascii="宋体" w:hAnsi="宋体"/>
                <w:sz w:val="24"/>
              </w:rPr>
              <w:t>人员</w:t>
            </w:r>
          </w:p>
        </w:tc>
        <w:tc>
          <w:tcPr>
            <w:tcW w:w="1389" w:type="dxa"/>
            <w:vAlign w:val="center"/>
          </w:tcPr>
          <w:p>
            <w:pPr>
              <w:spacing w:line="48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7" w:hRule="atLeast"/>
        </w:trPr>
        <w:tc>
          <w:tcPr>
            <w:tcW w:w="1609" w:type="dxa"/>
            <w:vAlign w:val="center"/>
          </w:tcPr>
          <w:p>
            <w:pPr>
              <w:spacing w:line="480" w:lineRule="exact"/>
              <w:rPr>
                <w:rFonts w:ascii="宋体" w:hAnsi="宋体"/>
                <w:sz w:val="24"/>
              </w:rPr>
            </w:pPr>
            <w:r>
              <w:rPr>
                <w:rFonts w:hint="eastAsia" w:ascii="宋体" w:hAnsi="宋体"/>
                <w:sz w:val="24"/>
              </w:rPr>
              <w:t>经营范围</w:t>
            </w:r>
          </w:p>
        </w:tc>
        <w:tc>
          <w:tcPr>
            <w:tcW w:w="7858" w:type="dxa"/>
            <w:gridSpan w:val="10"/>
            <w:vAlign w:val="center"/>
          </w:tcPr>
          <w:p>
            <w:pPr>
              <w:spacing w:line="48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01" w:hRule="atLeast"/>
        </w:trPr>
        <w:tc>
          <w:tcPr>
            <w:tcW w:w="1609" w:type="dxa"/>
            <w:tcBorders>
              <w:bottom w:val="single" w:color="auto" w:sz="4" w:space="0"/>
            </w:tcBorders>
            <w:vAlign w:val="center"/>
          </w:tcPr>
          <w:p>
            <w:pPr>
              <w:spacing w:line="480" w:lineRule="exact"/>
              <w:jc w:val="center"/>
              <w:rPr>
                <w:rFonts w:ascii="宋体" w:hAnsi="宋体"/>
                <w:sz w:val="24"/>
              </w:rPr>
            </w:pPr>
            <w:r>
              <w:rPr>
                <w:rFonts w:hint="eastAsia" w:ascii="宋体" w:hAnsi="宋体"/>
                <w:sz w:val="24"/>
              </w:rPr>
              <w:t>企业现有的资质证书</w:t>
            </w:r>
          </w:p>
        </w:tc>
        <w:tc>
          <w:tcPr>
            <w:tcW w:w="7858" w:type="dxa"/>
            <w:gridSpan w:val="10"/>
            <w:tcBorders>
              <w:bottom w:val="single" w:color="auto" w:sz="4" w:space="0"/>
            </w:tcBorders>
            <w:vAlign w:val="center"/>
          </w:tcPr>
          <w:p>
            <w:pPr>
              <w:spacing w:line="480" w:lineRule="exact"/>
              <w:jc w:val="center"/>
              <w:rPr>
                <w:rFonts w:ascii="宋体" w:hAnsi="宋体"/>
                <w:sz w:val="24"/>
              </w:rPr>
            </w:pPr>
          </w:p>
        </w:tc>
      </w:tr>
    </w:tbl>
    <w:p>
      <w:pPr>
        <w:spacing w:line="480" w:lineRule="exact"/>
        <w:rPr>
          <w:rFonts w:ascii="宋体" w:hAnsi="宋体"/>
          <w:sz w:val="24"/>
        </w:rPr>
      </w:pPr>
      <w:r>
        <w:rPr>
          <w:rFonts w:hint="eastAsia" w:ascii="宋体" w:hAnsi="宋体"/>
          <w:sz w:val="24"/>
        </w:rPr>
        <w:t>注：表格不能满足时可自行增加。</w:t>
      </w:r>
    </w:p>
    <w:p>
      <w:pPr>
        <w:snapToGrid w:val="0"/>
        <w:spacing w:beforeLines="50"/>
        <w:rPr>
          <w:rFonts w:ascii="宋体" w:hAnsi="宋体"/>
          <w:b/>
          <w:bCs/>
          <w:sz w:val="32"/>
        </w:rPr>
      </w:pPr>
    </w:p>
    <w:p>
      <w:pPr>
        <w:snapToGrid w:val="0"/>
        <w:spacing w:beforeLines="50"/>
        <w:rPr>
          <w:rFonts w:ascii="宋体" w:hAnsi="宋体"/>
          <w:b/>
          <w:bCs/>
          <w:sz w:val="32"/>
        </w:rPr>
      </w:pPr>
    </w:p>
    <w:p>
      <w:pPr>
        <w:snapToGrid w:val="0"/>
        <w:spacing w:beforeLines="50"/>
        <w:rPr>
          <w:rFonts w:ascii="宋体" w:hAnsi="宋体"/>
          <w:sz w:val="24"/>
          <w:szCs w:val="20"/>
          <w:u w:val="single"/>
        </w:rPr>
      </w:pPr>
      <w:r>
        <w:rPr>
          <w:rFonts w:hint="eastAsia" w:ascii="宋体" w:hAnsi="宋体"/>
          <w:sz w:val="24"/>
        </w:rPr>
        <w:t>法定代表人或授权代表签字：</w:t>
      </w:r>
    </w:p>
    <w:p>
      <w:pPr>
        <w:snapToGrid w:val="0"/>
        <w:spacing w:beforeLines="50" w:after="50"/>
        <w:rPr>
          <w:rFonts w:ascii="宋体" w:hAnsi="宋体"/>
          <w:sz w:val="24"/>
        </w:rPr>
      </w:pPr>
      <w:r>
        <w:rPr>
          <w:rFonts w:hint="eastAsia" w:ascii="宋体" w:hAnsi="宋体"/>
          <w:sz w:val="24"/>
          <w:lang w:val="zh-CN"/>
        </w:rPr>
        <w:t>供应商</w:t>
      </w:r>
      <w:r>
        <w:rPr>
          <w:rFonts w:hint="eastAsia" w:ascii="宋体" w:hAnsi="宋体"/>
          <w:sz w:val="24"/>
        </w:rPr>
        <w:t>公章：</w:t>
      </w:r>
    </w:p>
    <w:p>
      <w:pPr>
        <w:snapToGrid w:val="0"/>
        <w:spacing w:beforeLines="50" w:after="50"/>
        <w:ind w:firstLine="6240" w:firstLineChars="2600"/>
        <w:rPr>
          <w:rFonts w:ascii="宋体" w:hAnsi="宋体"/>
          <w:sz w:val="24"/>
        </w:rPr>
      </w:pPr>
    </w:p>
    <w:p>
      <w:pPr>
        <w:snapToGrid w:val="0"/>
        <w:spacing w:beforeLines="50" w:after="50"/>
        <w:ind w:firstLine="6240" w:firstLineChars="2600"/>
        <w:rPr>
          <w:rFonts w:ascii="宋体" w:hAnsi="宋体"/>
          <w:sz w:val="24"/>
          <w:szCs w:val="20"/>
        </w:rPr>
      </w:pPr>
      <w:r>
        <w:rPr>
          <w:rFonts w:ascii="宋体" w:hAnsi="宋体"/>
          <w:sz w:val="24"/>
        </w:rPr>
        <w:t>年    月    日</w:t>
      </w:r>
    </w:p>
    <w:p>
      <w:pPr>
        <w:snapToGrid w:val="0"/>
        <w:spacing w:line="330" w:lineRule="exact"/>
        <w:ind w:firstLine="472" w:firstLineChars="196"/>
        <w:jc w:val="left"/>
        <w:rPr>
          <w:rFonts w:ascii="宋体" w:hAnsi="宋体"/>
          <w:b/>
          <w:sz w:val="24"/>
        </w:rPr>
      </w:pPr>
    </w:p>
    <w:p>
      <w:pPr>
        <w:snapToGrid w:val="0"/>
        <w:spacing w:line="330" w:lineRule="exact"/>
        <w:ind w:firstLine="630" w:firstLineChars="196"/>
        <w:jc w:val="center"/>
        <w:rPr>
          <w:rFonts w:ascii="宋体" w:hAnsi="宋体"/>
          <w:b/>
          <w:sz w:val="32"/>
          <w:szCs w:val="32"/>
        </w:rPr>
      </w:pPr>
    </w:p>
    <w:p>
      <w:pPr>
        <w:snapToGrid w:val="0"/>
        <w:spacing w:line="330" w:lineRule="exact"/>
        <w:ind w:firstLine="630" w:firstLineChars="196"/>
        <w:jc w:val="center"/>
        <w:rPr>
          <w:rFonts w:ascii="宋体" w:hAnsi="宋体"/>
          <w:b/>
          <w:sz w:val="32"/>
          <w:szCs w:val="32"/>
        </w:rPr>
      </w:pPr>
    </w:p>
    <w:p>
      <w:pPr>
        <w:spacing w:line="360" w:lineRule="auto"/>
        <w:ind w:firstLine="562" w:firstLineChars="200"/>
        <w:rPr>
          <w:rFonts w:ascii="宋体" w:hAnsi="宋体"/>
          <w:b/>
          <w:bCs/>
          <w:sz w:val="28"/>
          <w:szCs w:val="28"/>
        </w:rPr>
      </w:pPr>
      <w:r>
        <w:rPr>
          <w:rFonts w:hint="eastAsia" w:ascii="宋体" w:hAnsi="宋体"/>
          <w:b/>
          <w:bCs/>
          <w:sz w:val="28"/>
          <w:szCs w:val="28"/>
        </w:rPr>
        <w:t>七、资格资信证明文件（营业执照或事业单位法人证书、资质证书等，复印件加盖公章）；</w:t>
      </w:r>
    </w:p>
    <w:p>
      <w:pPr>
        <w:spacing w:line="360" w:lineRule="auto"/>
        <w:ind w:firstLine="562" w:firstLineChars="200"/>
        <w:rPr>
          <w:rFonts w:ascii="宋体" w:hAnsi="宋体"/>
          <w:b/>
          <w:bCs/>
          <w:sz w:val="28"/>
          <w:szCs w:val="28"/>
        </w:rPr>
      </w:pPr>
    </w:p>
    <w:p>
      <w:pPr>
        <w:snapToGrid w:val="0"/>
        <w:spacing w:line="360" w:lineRule="auto"/>
        <w:ind w:firstLine="551" w:firstLineChars="196"/>
        <w:jc w:val="left"/>
        <w:rPr>
          <w:rFonts w:ascii="宋体" w:hAnsi="宋体"/>
          <w:b/>
          <w:sz w:val="28"/>
          <w:szCs w:val="28"/>
        </w:rPr>
      </w:pPr>
      <w:r>
        <w:rPr>
          <w:rFonts w:hint="eastAsia" w:ascii="宋体" w:hAnsi="宋体"/>
          <w:b/>
          <w:bCs/>
          <w:sz w:val="28"/>
          <w:szCs w:val="28"/>
        </w:rPr>
        <w:t>八、</w:t>
      </w:r>
      <w:r>
        <w:rPr>
          <w:rFonts w:hint="eastAsia" w:ascii="宋体" w:hAnsi="宋体"/>
          <w:b/>
          <w:sz w:val="28"/>
          <w:szCs w:val="28"/>
        </w:rPr>
        <w:t>供应商经当地税务、社保部门确认的201</w:t>
      </w:r>
      <w:r>
        <w:rPr>
          <w:rFonts w:hint="eastAsia" w:ascii="宋体" w:hAnsi="宋体" w:cs="Arial"/>
          <w:b/>
          <w:sz w:val="28"/>
          <w:szCs w:val="28"/>
        </w:rPr>
        <w:t>7</w:t>
      </w:r>
      <w:r>
        <w:rPr>
          <w:rFonts w:hint="eastAsia" w:ascii="宋体" w:hAnsi="宋体"/>
          <w:b/>
          <w:sz w:val="28"/>
          <w:szCs w:val="28"/>
        </w:rPr>
        <w:t>年度依法缴纳税收和社保基金缴纳情况的证明文书；</w:t>
      </w:r>
    </w:p>
    <w:p>
      <w:pPr>
        <w:snapToGrid w:val="0"/>
        <w:spacing w:line="330" w:lineRule="exact"/>
        <w:ind w:firstLine="630" w:firstLineChars="196"/>
        <w:jc w:val="center"/>
        <w:rPr>
          <w:rFonts w:ascii="宋体" w:hAnsi="宋体"/>
          <w:b/>
          <w:sz w:val="32"/>
          <w:szCs w:val="32"/>
        </w:rPr>
      </w:pPr>
    </w:p>
    <w:p>
      <w:pPr>
        <w:snapToGrid w:val="0"/>
        <w:spacing w:line="330" w:lineRule="exact"/>
        <w:ind w:firstLine="630" w:firstLineChars="196"/>
        <w:jc w:val="center"/>
        <w:rPr>
          <w:rFonts w:ascii="宋体" w:hAnsi="宋体"/>
          <w:b/>
          <w:sz w:val="32"/>
          <w:szCs w:val="32"/>
        </w:rPr>
      </w:pPr>
    </w:p>
    <w:p>
      <w:pPr>
        <w:snapToGrid w:val="0"/>
        <w:spacing w:line="330" w:lineRule="exact"/>
        <w:ind w:firstLine="630" w:firstLineChars="196"/>
        <w:jc w:val="center"/>
        <w:rPr>
          <w:rFonts w:ascii="宋体" w:hAnsi="宋体"/>
          <w:b/>
          <w:sz w:val="32"/>
          <w:szCs w:val="32"/>
        </w:rPr>
      </w:pPr>
    </w:p>
    <w:p>
      <w:pPr>
        <w:snapToGrid w:val="0"/>
        <w:spacing w:line="330" w:lineRule="exact"/>
        <w:ind w:firstLine="630" w:firstLineChars="196"/>
        <w:jc w:val="center"/>
        <w:rPr>
          <w:rFonts w:ascii="宋体" w:hAnsi="宋体"/>
          <w:b/>
          <w:sz w:val="32"/>
          <w:szCs w:val="32"/>
        </w:rPr>
      </w:pPr>
    </w:p>
    <w:p>
      <w:pPr>
        <w:snapToGrid w:val="0"/>
        <w:spacing w:line="330" w:lineRule="exact"/>
        <w:ind w:firstLine="630" w:firstLineChars="196"/>
        <w:jc w:val="center"/>
        <w:rPr>
          <w:rFonts w:ascii="宋体" w:hAnsi="宋体"/>
          <w:b/>
          <w:sz w:val="32"/>
          <w:szCs w:val="32"/>
        </w:rPr>
      </w:pPr>
    </w:p>
    <w:p>
      <w:pPr>
        <w:snapToGrid w:val="0"/>
        <w:spacing w:line="330" w:lineRule="exact"/>
        <w:ind w:firstLine="630" w:firstLineChars="196"/>
        <w:jc w:val="center"/>
        <w:rPr>
          <w:rFonts w:ascii="宋体" w:hAnsi="宋体"/>
          <w:b/>
          <w:sz w:val="32"/>
          <w:szCs w:val="32"/>
        </w:rPr>
      </w:pPr>
    </w:p>
    <w:p>
      <w:pPr>
        <w:snapToGrid w:val="0"/>
        <w:spacing w:line="330" w:lineRule="exact"/>
        <w:ind w:firstLine="630" w:firstLineChars="196"/>
        <w:jc w:val="center"/>
        <w:rPr>
          <w:rFonts w:ascii="宋体" w:hAnsi="宋体"/>
          <w:b/>
          <w:sz w:val="32"/>
          <w:szCs w:val="32"/>
        </w:rPr>
      </w:pPr>
    </w:p>
    <w:p>
      <w:pPr>
        <w:snapToGrid w:val="0"/>
        <w:spacing w:line="330" w:lineRule="exact"/>
        <w:ind w:firstLine="630" w:firstLineChars="196"/>
        <w:jc w:val="center"/>
        <w:rPr>
          <w:rFonts w:ascii="宋体" w:hAnsi="宋体"/>
          <w:b/>
          <w:sz w:val="32"/>
          <w:szCs w:val="32"/>
        </w:rPr>
      </w:pPr>
    </w:p>
    <w:p>
      <w:pPr>
        <w:snapToGrid w:val="0"/>
        <w:spacing w:line="330" w:lineRule="exact"/>
        <w:ind w:firstLine="630" w:firstLineChars="196"/>
        <w:jc w:val="center"/>
        <w:rPr>
          <w:rFonts w:ascii="宋体" w:hAnsi="宋体"/>
          <w:b/>
          <w:sz w:val="32"/>
          <w:szCs w:val="32"/>
        </w:rPr>
      </w:pPr>
    </w:p>
    <w:p>
      <w:pPr>
        <w:snapToGrid w:val="0"/>
        <w:spacing w:line="330" w:lineRule="exact"/>
        <w:ind w:firstLine="630" w:firstLineChars="196"/>
        <w:jc w:val="center"/>
        <w:rPr>
          <w:rFonts w:ascii="宋体" w:hAnsi="宋体"/>
          <w:b/>
          <w:sz w:val="32"/>
          <w:szCs w:val="32"/>
        </w:rPr>
      </w:pPr>
    </w:p>
    <w:p>
      <w:pPr>
        <w:snapToGrid w:val="0"/>
        <w:spacing w:line="330" w:lineRule="exact"/>
        <w:ind w:firstLine="630" w:firstLineChars="196"/>
        <w:jc w:val="center"/>
        <w:rPr>
          <w:rFonts w:ascii="宋体" w:hAnsi="宋体"/>
          <w:b/>
          <w:sz w:val="32"/>
          <w:szCs w:val="32"/>
        </w:rPr>
      </w:pPr>
    </w:p>
    <w:p>
      <w:pPr>
        <w:snapToGrid w:val="0"/>
        <w:spacing w:line="330" w:lineRule="exact"/>
        <w:ind w:firstLine="630" w:firstLineChars="196"/>
        <w:jc w:val="center"/>
        <w:rPr>
          <w:rFonts w:ascii="宋体" w:hAnsi="宋体"/>
          <w:b/>
          <w:sz w:val="32"/>
          <w:szCs w:val="32"/>
        </w:rPr>
      </w:pPr>
    </w:p>
    <w:p>
      <w:pPr>
        <w:snapToGrid w:val="0"/>
        <w:spacing w:line="330" w:lineRule="exact"/>
        <w:ind w:firstLine="630" w:firstLineChars="196"/>
        <w:jc w:val="center"/>
        <w:rPr>
          <w:rFonts w:ascii="宋体" w:hAnsi="宋体"/>
          <w:b/>
          <w:sz w:val="32"/>
          <w:szCs w:val="32"/>
        </w:rPr>
      </w:pPr>
    </w:p>
    <w:p>
      <w:pPr>
        <w:snapToGrid w:val="0"/>
        <w:spacing w:line="330" w:lineRule="exact"/>
        <w:ind w:firstLine="630" w:firstLineChars="196"/>
        <w:jc w:val="center"/>
        <w:rPr>
          <w:rFonts w:ascii="宋体" w:hAnsi="宋体"/>
          <w:b/>
          <w:sz w:val="32"/>
          <w:szCs w:val="32"/>
        </w:rPr>
      </w:pPr>
    </w:p>
    <w:p>
      <w:pPr>
        <w:snapToGrid w:val="0"/>
        <w:spacing w:line="330" w:lineRule="exact"/>
        <w:ind w:firstLine="630" w:firstLineChars="196"/>
        <w:jc w:val="center"/>
        <w:rPr>
          <w:rFonts w:ascii="宋体" w:hAnsi="宋体"/>
          <w:b/>
          <w:sz w:val="32"/>
          <w:szCs w:val="32"/>
        </w:rPr>
      </w:pPr>
    </w:p>
    <w:p>
      <w:pPr>
        <w:snapToGrid w:val="0"/>
        <w:spacing w:line="330" w:lineRule="exact"/>
        <w:ind w:firstLine="630" w:firstLineChars="196"/>
        <w:jc w:val="center"/>
        <w:rPr>
          <w:rFonts w:ascii="宋体" w:hAnsi="宋体"/>
          <w:b/>
          <w:sz w:val="32"/>
          <w:szCs w:val="32"/>
        </w:rPr>
      </w:pPr>
    </w:p>
    <w:p>
      <w:pPr>
        <w:snapToGrid w:val="0"/>
        <w:spacing w:line="330" w:lineRule="exact"/>
        <w:ind w:firstLine="630" w:firstLineChars="196"/>
        <w:jc w:val="center"/>
        <w:rPr>
          <w:rFonts w:ascii="宋体" w:hAnsi="宋体"/>
          <w:b/>
          <w:sz w:val="32"/>
          <w:szCs w:val="32"/>
        </w:rPr>
      </w:pPr>
    </w:p>
    <w:p>
      <w:pPr>
        <w:snapToGrid w:val="0"/>
        <w:spacing w:line="330" w:lineRule="exact"/>
        <w:ind w:firstLine="630" w:firstLineChars="196"/>
        <w:jc w:val="center"/>
        <w:rPr>
          <w:rFonts w:ascii="宋体" w:hAnsi="宋体"/>
          <w:b/>
          <w:sz w:val="32"/>
          <w:szCs w:val="32"/>
        </w:rPr>
      </w:pPr>
    </w:p>
    <w:p>
      <w:pPr>
        <w:snapToGrid w:val="0"/>
        <w:spacing w:line="330" w:lineRule="exact"/>
        <w:ind w:firstLine="630" w:firstLineChars="196"/>
        <w:jc w:val="center"/>
        <w:rPr>
          <w:rFonts w:ascii="宋体" w:hAnsi="宋体"/>
          <w:b/>
          <w:sz w:val="32"/>
          <w:szCs w:val="32"/>
        </w:rPr>
      </w:pPr>
    </w:p>
    <w:p>
      <w:pPr>
        <w:snapToGrid w:val="0"/>
        <w:spacing w:line="330" w:lineRule="exact"/>
        <w:ind w:firstLine="630" w:firstLineChars="196"/>
        <w:jc w:val="center"/>
        <w:rPr>
          <w:rFonts w:ascii="宋体" w:hAnsi="宋体"/>
          <w:b/>
          <w:sz w:val="32"/>
          <w:szCs w:val="32"/>
        </w:rPr>
      </w:pPr>
    </w:p>
    <w:p>
      <w:pPr>
        <w:snapToGrid w:val="0"/>
        <w:spacing w:line="330" w:lineRule="exact"/>
        <w:ind w:firstLine="630" w:firstLineChars="196"/>
        <w:jc w:val="center"/>
        <w:rPr>
          <w:rFonts w:ascii="宋体" w:hAnsi="宋体"/>
          <w:b/>
          <w:sz w:val="32"/>
          <w:szCs w:val="32"/>
        </w:rPr>
      </w:pPr>
    </w:p>
    <w:p>
      <w:pPr>
        <w:snapToGrid w:val="0"/>
        <w:spacing w:line="330" w:lineRule="exact"/>
        <w:ind w:firstLine="630" w:firstLineChars="196"/>
        <w:jc w:val="center"/>
        <w:rPr>
          <w:rFonts w:ascii="宋体" w:hAnsi="宋体"/>
          <w:b/>
          <w:sz w:val="32"/>
          <w:szCs w:val="32"/>
        </w:rPr>
      </w:pPr>
    </w:p>
    <w:p>
      <w:pPr>
        <w:snapToGrid w:val="0"/>
        <w:spacing w:line="330" w:lineRule="exact"/>
        <w:ind w:firstLine="630" w:firstLineChars="196"/>
        <w:jc w:val="center"/>
        <w:rPr>
          <w:rFonts w:ascii="宋体" w:hAnsi="宋体"/>
          <w:b/>
          <w:sz w:val="32"/>
          <w:szCs w:val="32"/>
        </w:rPr>
      </w:pPr>
    </w:p>
    <w:p>
      <w:pPr>
        <w:snapToGrid w:val="0"/>
        <w:spacing w:line="330" w:lineRule="exact"/>
        <w:ind w:firstLine="630" w:firstLineChars="196"/>
        <w:jc w:val="center"/>
        <w:rPr>
          <w:rFonts w:ascii="宋体" w:hAnsi="宋体"/>
          <w:b/>
          <w:sz w:val="32"/>
          <w:szCs w:val="32"/>
        </w:rPr>
      </w:pPr>
    </w:p>
    <w:p>
      <w:pPr>
        <w:snapToGrid w:val="0"/>
        <w:spacing w:line="330" w:lineRule="exact"/>
        <w:ind w:firstLine="630" w:firstLineChars="196"/>
        <w:jc w:val="center"/>
        <w:rPr>
          <w:rFonts w:ascii="宋体" w:hAnsi="宋体"/>
          <w:b/>
          <w:sz w:val="32"/>
          <w:szCs w:val="32"/>
        </w:rPr>
      </w:pPr>
    </w:p>
    <w:p>
      <w:pPr>
        <w:snapToGrid w:val="0"/>
        <w:spacing w:line="330" w:lineRule="exact"/>
        <w:ind w:firstLine="630" w:firstLineChars="196"/>
        <w:jc w:val="center"/>
        <w:rPr>
          <w:rFonts w:ascii="宋体" w:hAnsi="宋体"/>
          <w:b/>
          <w:sz w:val="32"/>
          <w:szCs w:val="32"/>
        </w:rPr>
      </w:pPr>
    </w:p>
    <w:p>
      <w:pPr>
        <w:snapToGrid w:val="0"/>
        <w:spacing w:line="330" w:lineRule="exact"/>
        <w:ind w:firstLine="630" w:firstLineChars="196"/>
        <w:jc w:val="center"/>
        <w:rPr>
          <w:rFonts w:ascii="宋体" w:hAnsi="宋体"/>
          <w:b/>
          <w:sz w:val="32"/>
          <w:szCs w:val="32"/>
        </w:rPr>
      </w:pPr>
    </w:p>
    <w:p>
      <w:pPr>
        <w:snapToGrid w:val="0"/>
        <w:spacing w:line="330" w:lineRule="exact"/>
        <w:ind w:firstLine="630" w:firstLineChars="196"/>
        <w:jc w:val="center"/>
        <w:rPr>
          <w:rFonts w:ascii="宋体" w:hAnsi="宋体"/>
          <w:b/>
          <w:sz w:val="32"/>
          <w:szCs w:val="32"/>
        </w:rPr>
      </w:pPr>
    </w:p>
    <w:p>
      <w:pPr>
        <w:snapToGrid w:val="0"/>
        <w:spacing w:line="330" w:lineRule="exact"/>
        <w:ind w:firstLine="630" w:firstLineChars="196"/>
        <w:jc w:val="center"/>
        <w:rPr>
          <w:rFonts w:ascii="宋体" w:hAnsi="宋体"/>
          <w:b/>
          <w:sz w:val="32"/>
          <w:szCs w:val="32"/>
        </w:rPr>
      </w:pPr>
    </w:p>
    <w:p>
      <w:pPr>
        <w:snapToGrid w:val="0"/>
        <w:spacing w:line="330" w:lineRule="exact"/>
        <w:ind w:firstLine="630" w:firstLineChars="196"/>
        <w:jc w:val="center"/>
        <w:rPr>
          <w:rFonts w:ascii="宋体" w:hAnsi="宋体"/>
          <w:b/>
          <w:sz w:val="32"/>
          <w:szCs w:val="32"/>
        </w:rPr>
      </w:pPr>
    </w:p>
    <w:p>
      <w:pPr>
        <w:snapToGrid w:val="0"/>
        <w:spacing w:line="330" w:lineRule="exact"/>
        <w:ind w:firstLine="630" w:firstLineChars="196"/>
        <w:jc w:val="center"/>
        <w:rPr>
          <w:rFonts w:ascii="宋体" w:hAnsi="宋体"/>
          <w:b/>
          <w:sz w:val="32"/>
          <w:szCs w:val="32"/>
        </w:rPr>
      </w:pPr>
    </w:p>
    <w:p>
      <w:pPr>
        <w:snapToGrid w:val="0"/>
        <w:spacing w:line="330" w:lineRule="exact"/>
        <w:ind w:firstLine="630" w:firstLineChars="196"/>
        <w:jc w:val="center"/>
        <w:rPr>
          <w:rFonts w:ascii="宋体" w:hAnsi="宋体"/>
          <w:b/>
          <w:sz w:val="32"/>
          <w:szCs w:val="32"/>
        </w:rPr>
      </w:pPr>
    </w:p>
    <w:p>
      <w:pPr>
        <w:snapToGrid w:val="0"/>
        <w:spacing w:line="330" w:lineRule="exact"/>
        <w:ind w:firstLine="630" w:firstLineChars="196"/>
        <w:jc w:val="center"/>
        <w:rPr>
          <w:rFonts w:ascii="宋体" w:hAnsi="宋体"/>
          <w:b/>
          <w:sz w:val="32"/>
          <w:szCs w:val="32"/>
        </w:rPr>
      </w:pPr>
    </w:p>
    <w:p>
      <w:pPr>
        <w:snapToGrid w:val="0"/>
        <w:spacing w:line="330" w:lineRule="exact"/>
        <w:ind w:firstLine="630" w:firstLineChars="196"/>
        <w:jc w:val="center"/>
        <w:rPr>
          <w:rFonts w:ascii="宋体" w:hAnsi="宋体"/>
          <w:b/>
          <w:sz w:val="32"/>
          <w:szCs w:val="32"/>
        </w:rPr>
      </w:pPr>
    </w:p>
    <w:p>
      <w:pPr>
        <w:snapToGrid w:val="0"/>
        <w:spacing w:line="330" w:lineRule="exact"/>
        <w:ind w:firstLine="630" w:firstLineChars="196"/>
        <w:jc w:val="center"/>
        <w:rPr>
          <w:rFonts w:ascii="宋体" w:hAnsi="宋体"/>
          <w:b/>
          <w:sz w:val="32"/>
          <w:szCs w:val="32"/>
        </w:rPr>
        <w:sectPr>
          <w:pgSz w:w="11906" w:h="16838"/>
          <w:pgMar w:top="1440" w:right="1588" w:bottom="1440" w:left="1588" w:header="851" w:footer="851" w:gutter="0"/>
          <w:pgNumType w:fmt="numberInDash"/>
          <w:cols w:space="720" w:num="1"/>
          <w:docGrid w:linePitch="312" w:charSpace="0"/>
        </w:sectPr>
      </w:pPr>
    </w:p>
    <w:p>
      <w:pPr>
        <w:autoSpaceDE w:val="0"/>
        <w:autoSpaceDN w:val="0"/>
        <w:spacing w:line="360" w:lineRule="auto"/>
        <w:jc w:val="left"/>
        <w:rPr>
          <w:rFonts w:ascii="宋体" w:hAnsi="宋体"/>
          <w:b/>
          <w:sz w:val="22"/>
          <w:szCs w:val="18"/>
          <w:lang w:val="zh-CN"/>
        </w:rPr>
      </w:pPr>
    </w:p>
    <w:p>
      <w:pPr>
        <w:snapToGrid w:val="0"/>
        <w:spacing w:line="330" w:lineRule="exact"/>
        <w:ind w:firstLine="630" w:firstLineChars="196"/>
        <w:jc w:val="center"/>
        <w:rPr>
          <w:rFonts w:ascii="宋体" w:hAnsi="宋体"/>
          <w:b/>
          <w:sz w:val="32"/>
          <w:szCs w:val="32"/>
        </w:rPr>
      </w:pPr>
      <w:r>
        <w:rPr>
          <w:rFonts w:hint="eastAsia" w:ascii="宋体" w:hAnsi="宋体"/>
          <w:b/>
          <w:sz w:val="32"/>
          <w:szCs w:val="32"/>
          <w:lang w:val="zh-CN"/>
        </w:rPr>
        <w:t>九、技术响应表</w:t>
      </w:r>
    </w:p>
    <w:p>
      <w:pPr>
        <w:autoSpaceDE w:val="0"/>
        <w:autoSpaceDN w:val="0"/>
        <w:spacing w:line="360" w:lineRule="auto"/>
        <w:jc w:val="left"/>
        <w:rPr>
          <w:rFonts w:ascii="宋体" w:hAnsi="宋体"/>
          <w:b/>
          <w:sz w:val="22"/>
          <w:szCs w:val="18"/>
          <w:lang w:val="zh-CN"/>
        </w:rPr>
      </w:pPr>
      <w:r>
        <w:rPr>
          <w:rFonts w:hint="eastAsia" w:ascii="宋体" w:hAnsi="宋体"/>
          <w:sz w:val="22"/>
          <w:szCs w:val="22"/>
        </w:rPr>
        <w:t>标项：</w:t>
      </w:r>
    </w:p>
    <w:tbl>
      <w:tblPr>
        <w:tblStyle w:val="50"/>
        <w:tblW w:w="94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67"/>
        <w:gridCol w:w="6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2" w:hRule="atLeast"/>
        </w:trPr>
        <w:tc>
          <w:tcPr>
            <w:tcW w:w="2867" w:type="dxa"/>
            <w:vAlign w:val="center"/>
          </w:tcPr>
          <w:p>
            <w:pPr>
              <w:jc w:val="center"/>
              <w:rPr>
                <w:rFonts w:ascii="宋体" w:hAnsi="宋体"/>
                <w:sz w:val="22"/>
                <w:szCs w:val="22"/>
              </w:rPr>
            </w:pPr>
          </w:p>
        </w:tc>
        <w:tc>
          <w:tcPr>
            <w:tcW w:w="6533" w:type="dxa"/>
            <w:vAlign w:val="center"/>
          </w:tcPr>
          <w:p>
            <w:pPr>
              <w:jc w:val="center"/>
              <w:rPr>
                <w:rFonts w:ascii="宋体" w:hAnsi="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2867" w:type="dxa"/>
            <w:vAlign w:val="center"/>
          </w:tcPr>
          <w:p>
            <w:pPr>
              <w:jc w:val="center"/>
              <w:rPr>
                <w:rFonts w:ascii="宋体" w:hAnsi="宋体"/>
                <w:sz w:val="22"/>
                <w:szCs w:val="22"/>
              </w:rPr>
            </w:pPr>
          </w:p>
        </w:tc>
        <w:tc>
          <w:tcPr>
            <w:tcW w:w="6533" w:type="dxa"/>
            <w:vAlign w:val="center"/>
          </w:tcPr>
          <w:p>
            <w:pPr>
              <w:jc w:val="center"/>
              <w:rPr>
                <w:rFonts w:ascii="宋体" w:hAnsi="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2867" w:type="dxa"/>
            <w:vAlign w:val="center"/>
          </w:tcPr>
          <w:p>
            <w:pPr>
              <w:jc w:val="center"/>
              <w:rPr>
                <w:rFonts w:ascii="宋体" w:hAnsi="宋体"/>
                <w:sz w:val="22"/>
                <w:szCs w:val="22"/>
              </w:rPr>
            </w:pPr>
          </w:p>
        </w:tc>
        <w:tc>
          <w:tcPr>
            <w:tcW w:w="6533" w:type="dxa"/>
            <w:vAlign w:val="center"/>
          </w:tcPr>
          <w:p>
            <w:pPr>
              <w:jc w:val="center"/>
              <w:rPr>
                <w:rFonts w:ascii="宋体" w:hAnsi="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2867" w:type="dxa"/>
            <w:vAlign w:val="center"/>
          </w:tcPr>
          <w:p>
            <w:pPr>
              <w:jc w:val="center"/>
              <w:rPr>
                <w:rFonts w:ascii="宋体" w:hAnsi="宋体"/>
                <w:sz w:val="22"/>
                <w:szCs w:val="22"/>
              </w:rPr>
            </w:pPr>
          </w:p>
        </w:tc>
        <w:tc>
          <w:tcPr>
            <w:tcW w:w="6533" w:type="dxa"/>
            <w:vAlign w:val="center"/>
          </w:tcPr>
          <w:p>
            <w:pPr>
              <w:jc w:val="center"/>
              <w:rPr>
                <w:rFonts w:ascii="宋体" w:hAnsi="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2867" w:type="dxa"/>
            <w:vAlign w:val="center"/>
          </w:tcPr>
          <w:p>
            <w:pPr>
              <w:jc w:val="center"/>
              <w:rPr>
                <w:rFonts w:ascii="宋体" w:hAnsi="宋体"/>
                <w:sz w:val="22"/>
                <w:szCs w:val="22"/>
              </w:rPr>
            </w:pPr>
          </w:p>
        </w:tc>
        <w:tc>
          <w:tcPr>
            <w:tcW w:w="6533" w:type="dxa"/>
            <w:vAlign w:val="center"/>
          </w:tcPr>
          <w:p>
            <w:pPr>
              <w:jc w:val="center"/>
              <w:rPr>
                <w:rFonts w:ascii="宋体" w:hAnsi="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2867" w:type="dxa"/>
            <w:vAlign w:val="center"/>
          </w:tcPr>
          <w:p>
            <w:pPr>
              <w:jc w:val="center"/>
              <w:rPr>
                <w:rFonts w:ascii="宋体" w:hAnsi="宋体"/>
                <w:sz w:val="22"/>
                <w:szCs w:val="22"/>
              </w:rPr>
            </w:pPr>
          </w:p>
        </w:tc>
        <w:tc>
          <w:tcPr>
            <w:tcW w:w="6533" w:type="dxa"/>
            <w:vAlign w:val="center"/>
          </w:tcPr>
          <w:p>
            <w:pPr>
              <w:jc w:val="center"/>
              <w:rPr>
                <w:rFonts w:ascii="宋体" w:hAnsi="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2867" w:type="dxa"/>
            <w:vAlign w:val="center"/>
          </w:tcPr>
          <w:p>
            <w:pPr>
              <w:jc w:val="center"/>
              <w:rPr>
                <w:rFonts w:ascii="宋体" w:hAnsi="宋体"/>
                <w:sz w:val="22"/>
                <w:szCs w:val="22"/>
              </w:rPr>
            </w:pPr>
          </w:p>
        </w:tc>
        <w:tc>
          <w:tcPr>
            <w:tcW w:w="6533" w:type="dxa"/>
            <w:vAlign w:val="center"/>
          </w:tcPr>
          <w:p>
            <w:pPr>
              <w:jc w:val="center"/>
              <w:rPr>
                <w:rFonts w:ascii="宋体" w:hAnsi="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2867" w:type="dxa"/>
            <w:vAlign w:val="center"/>
          </w:tcPr>
          <w:p>
            <w:pPr>
              <w:jc w:val="center"/>
              <w:rPr>
                <w:rFonts w:ascii="宋体" w:hAnsi="宋体"/>
                <w:sz w:val="22"/>
                <w:szCs w:val="22"/>
              </w:rPr>
            </w:pPr>
          </w:p>
        </w:tc>
        <w:tc>
          <w:tcPr>
            <w:tcW w:w="6533" w:type="dxa"/>
            <w:vAlign w:val="center"/>
          </w:tcPr>
          <w:p>
            <w:pPr>
              <w:jc w:val="center"/>
              <w:rPr>
                <w:rFonts w:ascii="宋体" w:hAnsi="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2867" w:type="dxa"/>
            <w:vAlign w:val="center"/>
          </w:tcPr>
          <w:p>
            <w:pPr>
              <w:jc w:val="center"/>
              <w:rPr>
                <w:rFonts w:ascii="宋体" w:hAnsi="宋体"/>
                <w:sz w:val="22"/>
                <w:szCs w:val="22"/>
              </w:rPr>
            </w:pPr>
          </w:p>
        </w:tc>
        <w:tc>
          <w:tcPr>
            <w:tcW w:w="6533" w:type="dxa"/>
            <w:vAlign w:val="center"/>
          </w:tcPr>
          <w:p>
            <w:pPr>
              <w:jc w:val="center"/>
              <w:rPr>
                <w:rFonts w:ascii="宋体" w:hAnsi="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2867" w:type="dxa"/>
            <w:vAlign w:val="center"/>
          </w:tcPr>
          <w:p>
            <w:pPr>
              <w:jc w:val="center"/>
              <w:rPr>
                <w:rFonts w:ascii="宋体" w:hAnsi="宋体"/>
                <w:sz w:val="22"/>
                <w:szCs w:val="22"/>
              </w:rPr>
            </w:pPr>
          </w:p>
        </w:tc>
        <w:tc>
          <w:tcPr>
            <w:tcW w:w="6533" w:type="dxa"/>
            <w:vAlign w:val="center"/>
          </w:tcPr>
          <w:p>
            <w:pPr>
              <w:jc w:val="center"/>
              <w:rPr>
                <w:rFonts w:ascii="宋体" w:hAnsi="宋体"/>
                <w:sz w:val="22"/>
                <w:szCs w:val="22"/>
              </w:rPr>
            </w:pPr>
          </w:p>
        </w:tc>
      </w:tr>
    </w:tbl>
    <w:p>
      <w:pPr>
        <w:rPr>
          <w:sz w:val="20"/>
          <w:szCs w:val="18"/>
        </w:rPr>
      </w:pPr>
    </w:p>
    <w:p>
      <w:pPr>
        <w:rPr>
          <w:sz w:val="20"/>
          <w:szCs w:val="18"/>
        </w:rPr>
      </w:pPr>
    </w:p>
    <w:p>
      <w:pPr>
        <w:spacing w:line="360" w:lineRule="auto"/>
        <w:rPr>
          <w:rFonts w:hAnsi="宋体"/>
          <w:sz w:val="22"/>
          <w:szCs w:val="22"/>
        </w:rPr>
      </w:pPr>
      <w:r>
        <w:rPr>
          <w:rFonts w:hint="eastAsia" w:hAnsi="宋体"/>
          <w:sz w:val="22"/>
          <w:szCs w:val="22"/>
        </w:rPr>
        <w:t>投标人（盖章）：</w:t>
      </w:r>
    </w:p>
    <w:p>
      <w:pPr>
        <w:spacing w:line="360" w:lineRule="auto"/>
        <w:rPr>
          <w:rFonts w:hAnsi="宋体"/>
          <w:sz w:val="22"/>
          <w:szCs w:val="22"/>
        </w:rPr>
      </w:pPr>
      <w:r>
        <w:rPr>
          <w:rFonts w:hint="eastAsia" w:hAnsi="宋体"/>
          <w:sz w:val="22"/>
          <w:szCs w:val="22"/>
        </w:rPr>
        <w:t xml:space="preserve">法定代表人或授权代表（签字或盖章）： </w:t>
      </w:r>
    </w:p>
    <w:p>
      <w:pPr>
        <w:spacing w:line="360" w:lineRule="auto"/>
        <w:rPr>
          <w:rFonts w:hAnsi="宋体"/>
          <w:sz w:val="22"/>
          <w:szCs w:val="22"/>
        </w:rPr>
      </w:pPr>
      <w:r>
        <w:rPr>
          <w:rFonts w:hAnsi="宋体"/>
          <w:sz w:val="22"/>
          <w:szCs w:val="22"/>
        </w:rPr>
        <w:t>年月日</w:t>
      </w:r>
    </w:p>
    <w:p>
      <w:pPr>
        <w:snapToGrid w:val="0"/>
        <w:spacing w:line="330" w:lineRule="exact"/>
        <w:ind w:firstLine="630" w:firstLineChars="196"/>
        <w:jc w:val="center"/>
        <w:rPr>
          <w:rFonts w:ascii="宋体" w:hAnsi="宋体"/>
          <w:b/>
          <w:sz w:val="32"/>
          <w:szCs w:val="32"/>
        </w:rPr>
        <w:sectPr>
          <w:pgSz w:w="11906" w:h="16838"/>
          <w:pgMar w:top="1440" w:right="1588" w:bottom="1440" w:left="1588" w:header="851" w:footer="851" w:gutter="0"/>
          <w:pgNumType w:fmt="numberInDash"/>
          <w:cols w:space="720" w:num="1"/>
          <w:docGrid w:linePitch="312" w:charSpace="0"/>
        </w:sectPr>
      </w:pPr>
    </w:p>
    <w:p>
      <w:pPr>
        <w:snapToGrid w:val="0"/>
        <w:spacing w:line="330" w:lineRule="exact"/>
        <w:ind w:firstLine="630" w:firstLineChars="196"/>
        <w:jc w:val="center"/>
        <w:rPr>
          <w:rFonts w:ascii="宋体" w:hAnsi="宋体"/>
          <w:b/>
          <w:sz w:val="32"/>
          <w:szCs w:val="32"/>
        </w:rPr>
      </w:pPr>
      <w:r>
        <w:rPr>
          <w:rFonts w:hint="eastAsia" w:ascii="宋体" w:hAnsi="宋体"/>
          <w:b/>
          <w:sz w:val="32"/>
          <w:szCs w:val="32"/>
        </w:rPr>
        <w:t>十、商务响应表</w:t>
      </w:r>
    </w:p>
    <w:p>
      <w:pPr>
        <w:snapToGrid w:val="0"/>
        <w:spacing w:line="330" w:lineRule="exact"/>
        <w:ind w:firstLine="472" w:firstLineChars="196"/>
        <w:jc w:val="left"/>
        <w:rPr>
          <w:rFonts w:ascii="宋体" w:hAnsi="宋体"/>
          <w:b/>
          <w:sz w:val="24"/>
        </w:rPr>
      </w:pPr>
    </w:p>
    <w:p>
      <w:pPr>
        <w:snapToGrid w:val="0"/>
        <w:spacing w:line="320" w:lineRule="exact"/>
        <w:jc w:val="left"/>
        <w:rPr>
          <w:rFonts w:ascii="宋体" w:hAnsi="宋体"/>
          <w:sz w:val="24"/>
          <w:szCs w:val="20"/>
          <w:u w:val="single"/>
        </w:rPr>
      </w:pPr>
      <w:r>
        <w:rPr>
          <w:rFonts w:hint="eastAsia" w:ascii="宋体" w:hAnsi="宋体"/>
          <w:sz w:val="24"/>
        </w:rPr>
        <w:t>标项：</w:t>
      </w:r>
    </w:p>
    <w:tbl>
      <w:tblPr>
        <w:tblStyle w:val="50"/>
        <w:tblW w:w="900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48"/>
        <w:gridCol w:w="5040"/>
        <w:gridCol w:w="900"/>
        <w:gridCol w:w="151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42" w:hRule="atLeast"/>
        </w:trPr>
        <w:tc>
          <w:tcPr>
            <w:tcW w:w="1548" w:type="dxa"/>
            <w:tcBorders>
              <w:top w:val="single" w:color="auto" w:sz="4" w:space="0"/>
              <w:left w:val="single" w:color="auto" w:sz="4" w:space="0"/>
              <w:bottom w:val="single" w:color="auto" w:sz="4" w:space="0"/>
              <w:right w:val="single" w:color="auto" w:sz="4" w:space="0"/>
            </w:tcBorders>
          </w:tcPr>
          <w:p>
            <w:pPr>
              <w:snapToGrid w:val="0"/>
              <w:spacing w:line="320" w:lineRule="exact"/>
              <w:rPr>
                <w:rFonts w:ascii="宋体" w:hAnsi="宋体"/>
                <w:sz w:val="24"/>
                <w:szCs w:val="20"/>
              </w:rPr>
            </w:pPr>
            <w:r>
              <w:rPr>
                <w:rFonts w:hint="eastAsia" w:ascii="宋体" w:hAnsi="宋体"/>
                <w:sz w:val="24"/>
              </w:rPr>
              <w:t>项目</w:t>
            </w:r>
          </w:p>
        </w:tc>
        <w:tc>
          <w:tcPr>
            <w:tcW w:w="5040" w:type="dxa"/>
            <w:tcBorders>
              <w:top w:val="single" w:color="auto" w:sz="4" w:space="0"/>
              <w:left w:val="single" w:color="auto" w:sz="4" w:space="0"/>
              <w:bottom w:val="single" w:color="auto" w:sz="4" w:space="0"/>
              <w:right w:val="single" w:color="auto" w:sz="4" w:space="0"/>
            </w:tcBorders>
          </w:tcPr>
          <w:p>
            <w:pPr>
              <w:snapToGrid w:val="0"/>
              <w:spacing w:line="320" w:lineRule="exact"/>
              <w:rPr>
                <w:rFonts w:ascii="宋体" w:hAnsi="宋体"/>
                <w:sz w:val="24"/>
                <w:szCs w:val="20"/>
              </w:rPr>
            </w:pPr>
            <w:r>
              <w:rPr>
                <w:rFonts w:hint="eastAsia" w:ascii="宋体" w:hAnsi="宋体"/>
                <w:sz w:val="24"/>
              </w:rPr>
              <w:t>竞争性磋商文件要求</w:t>
            </w:r>
          </w:p>
        </w:tc>
        <w:tc>
          <w:tcPr>
            <w:tcW w:w="900" w:type="dxa"/>
            <w:tcBorders>
              <w:top w:val="single" w:color="auto" w:sz="4" w:space="0"/>
              <w:left w:val="single" w:color="auto" w:sz="4" w:space="0"/>
              <w:bottom w:val="single" w:color="auto" w:sz="4" w:space="0"/>
              <w:right w:val="single" w:color="auto" w:sz="4" w:space="0"/>
            </w:tcBorders>
          </w:tcPr>
          <w:p>
            <w:pPr>
              <w:snapToGrid w:val="0"/>
              <w:spacing w:line="320" w:lineRule="exact"/>
              <w:rPr>
                <w:rFonts w:ascii="宋体" w:hAnsi="宋体"/>
                <w:sz w:val="24"/>
                <w:szCs w:val="20"/>
              </w:rPr>
            </w:pPr>
            <w:r>
              <w:rPr>
                <w:rFonts w:hint="eastAsia" w:ascii="宋体" w:hAnsi="宋体"/>
                <w:sz w:val="24"/>
              </w:rPr>
              <w:t>是否响应</w:t>
            </w:r>
          </w:p>
        </w:tc>
        <w:tc>
          <w:tcPr>
            <w:tcW w:w="1512" w:type="dxa"/>
            <w:tcBorders>
              <w:top w:val="single" w:color="auto" w:sz="4" w:space="0"/>
              <w:left w:val="single" w:color="auto" w:sz="4" w:space="0"/>
              <w:bottom w:val="single" w:color="auto" w:sz="4" w:space="0"/>
              <w:right w:val="single" w:color="auto" w:sz="4" w:space="0"/>
            </w:tcBorders>
          </w:tcPr>
          <w:p>
            <w:pPr>
              <w:snapToGrid w:val="0"/>
              <w:spacing w:line="320" w:lineRule="exact"/>
              <w:rPr>
                <w:rFonts w:ascii="宋体" w:hAnsi="宋体"/>
                <w:sz w:val="24"/>
                <w:szCs w:val="20"/>
              </w:rPr>
            </w:pPr>
            <w:r>
              <w:rPr>
                <w:rFonts w:hint="eastAsia" w:ascii="宋体" w:hAnsi="宋体"/>
                <w:sz w:val="24"/>
              </w:rPr>
              <w:t>投标人的承诺或说明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30" w:hRule="atLeast"/>
        </w:trPr>
        <w:tc>
          <w:tcPr>
            <w:tcW w:w="1548" w:type="dxa"/>
            <w:tcBorders>
              <w:top w:val="single" w:color="auto" w:sz="4" w:space="0"/>
              <w:left w:val="single" w:color="auto" w:sz="4" w:space="0"/>
              <w:bottom w:val="single" w:color="auto" w:sz="4" w:space="0"/>
              <w:right w:val="single" w:color="auto" w:sz="4" w:space="0"/>
            </w:tcBorders>
          </w:tcPr>
          <w:p>
            <w:pPr>
              <w:snapToGrid w:val="0"/>
              <w:spacing w:line="320" w:lineRule="exact"/>
              <w:rPr>
                <w:rFonts w:ascii="宋体" w:hAnsi="宋体"/>
                <w:sz w:val="24"/>
                <w:szCs w:val="20"/>
              </w:rPr>
            </w:pPr>
          </w:p>
        </w:tc>
        <w:tc>
          <w:tcPr>
            <w:tcW w:w="5040" w:type="dxa"/>
            <w:tcBorders>
              <w:top w:val="single" w:color="auto" w:sz="4" w:space="0"/>
              <w:left w:val="single" w:color="auto" w:sz="4" w:space="0"/>
              <w:bottom w:val="single" w:color="auto" w:sz="4" w:space="0"/>
              <w:right w:val="single" w:color="auto" w:sz="4" w:space="0"/>
            </w:tcBorders>
          </w:tcPr>
          <w:p>
            <w:pPr>
              <w:snapToGrid w:val="0"/>
              <w:spacing w:line="320" w:lineRule="exact"/>
              <w:rPr>
                <w:rFonts w:ascii="宋体" w:hAnsi="宋体"/>
                <w:sz w:val="24"/>
                <w:szCs w:val="20"/>
              </w:rPr>
            </w:pPr>
          </w:p>
        </w:tc>
        <w:tc>
          <w:tcPr>
            <w:tcW w:w="900" w:type="dxa"/>
            <w:tcBorders>
              <w:top w:val="single" w:color="auto" w:sz="4" w:space="0"/>
              <w:left w:val="single" w:color="auto" w:sz="4" w:space="0"/>
              <w:bottom w:val="single" w:color="auto" w:sz="4" w:space="0"/>
              <w:right w:val="single" w:color="auto" w:sz="4" w:space="0"/>
            </w:tcBorders>
          </w:tcPr>
          <w:p>
            <w:pPr>
              <w:snapToGrid w:val="0"/>
              <w:spacing w:line="320" w:lineRule="exact"/>
              <w:rPr>
                <w:rFonts w:ascii="宋体" w:hAnsi="宋体"/>
                <w:sz w:val="24"/>
                <w:szCs w:val="20"/>
              </w:rPr>
            </w:pPr>
          </w:p>
        </w:tc>
        <w:tc>
          <w:tcPr>
            <w:tcW w:w="1512" w:type="dxa"/>
            <w:tcBorders>
              <w:top w:val="single" w:color="auto" w:sz="4" w:space="0"/>
              <w:left w:val="single" w:color="auto" w:sz="4" w:space="0"/>
              <w:bottom w:val="single" w:color="auto" w:sz="4" w:space="0"/>
              <w:right w:val="single" w:color="auto" w:sz="4" w:space="0"/>
            </w:tcBorders>
          </w:tcPr>
          <w:p>
            <w:pPr>
              <w:snapToGrid w:val="0"/>
              <w:spacing w:line="320" w:lineRule="exact"/>
              <w:rPr>
                <w:rFonts w:ascii="宋体" w:hAnsi="宋体"/>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30" w:hRule="atLeast"/>
        </w:trPr>
        <w:tc>
          <w:tcPr>
            <w:tcW w:w="1548" w:type="dxa"/>
            <w:tcBorders>
              <w:top w:val="single" w:color="auto" w:sz="4" w:space="0"/>
              <w:left w:val="single" w:color="auto" w:sz="4" w:space="0"/>
              <w:bottom w:val="single" w:color="auto" w:sz="4" w:space="0"/>
              <w:right w:val="single" w:color="auto" w:sz="4" w:space="0"/>
            </w:tcBorders>
          </w:tcPr>
          <w:p>
            <w:pPr>
              <w:snapToGrid w:val="0"/>
              <w:spacing w:line="320" w:lineRule="exact"/>
              <w:rPr>
                <w:rFonts w:ascii="宋体" w:hAnsi="宋体"/>
                <w:sz w:val="24"/>
                <w:szCs w:val="20"/>
              </w:rPr>
            </w:pPr>
          </w:p>
        </w:tc>
        <w:tc>
          <w:tcPr>
            <w:tcW w:w="5040" w:type="dxa"/>
            <w:tcBorders>
              <w:top w:val="single" w:color="auto" w:sz="4" w:space="0"/>
              <w:left w:val="single" w:color="auto" w:sz="4" w:space="0"/>
              <w:bottom w:val="single" w:color="auto" w:sz="4" w:space="0"/>
              <w:right w:val="single" w:color="auto" w:sz="4" w:space="0"/>
            </w:tcBorders>
          </w:tcPr>
          <w:p>
            <w:pPr>
              <w:snapToGrid w:val="0"/>
              <w:spacing w:line="320" w:lineRule="exact"/>
              <w:rPr>
                <w:rFonts w:ascii="宋体" w:hAnsi="宋体"/>
                <w:sz w:val="24"/>
                <w:szCs w:val="20"/>
              </w:rPr>
            </w:pPr>
          </w:p>
        </w:tc>
        <w:tc>
          <w:tcPr>
            <w:tcW w:w="900" w:type="dxa"/>
            <w:tcBorders>
              <w:top w:val="single" w:color="auto" w:sz="4" w:space="0"/>
              <w:left w:val="single" w:color="auto" w:sz="4" w:space="0"/>
              <w:bottom w:val="single" w:color="auto" w:sz="4" w:space="0"/>
              <w:right w:val="single" w:color="auto" w:sz="4" w:space="0"/>
            </w:tcBorders>
          </w:tcPr>
          <w:p>
            <w:pPr>
              <w:snapToGrid w:val="0"/>
              <w:spacing w:line="320" w:lineRule="exact"/>
              <w:rPr>
                <w:rFonts w:ascii="宋体" w:hAnsi="宋体"/>
                <w:sz w:val="24"/>
                <w:szCs w:val="20"/>
              </w:rPr>
            </w:pPr>
          </w:p>
        </w:tc>
        <w:tc>
          <w:tcPr>
            <w:tcW w:w="1512" w:type="dxa"/>
            <w:tcBorders>
              <w:top w:val="single" w:color="auto" w:sz="4" w:space="0"/>
              <w:left w:val="single" w:color="auto" w:sz="4" w:space="0"/>
              <w:bottom w:val="single" w:color="auto" w:sz="4" w:space="0"/>
              <w:right w:val="single" w:color="auto" w:sz="4" w:space="0"/>
            </w:tcBorders>
          </w:tcPr>
          <w:p>
            <w:pPr>
              <w:snapToGrid w:val="0"/>
              <w:spacing w:line="320" w:lineRule="exact"/>
              <w:rPr>
                <w:rFonts w:ascii="宋体" w:hAnsi="宋体"/>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30" w:hRule="atLeast"/>
        </w:trPr>
        <w:tc>
          <w:tcPr>
            <w:tcW w:w="1548" w:type="dxa"/>
            <w:tcBorders>
              <w:top w:val="single" w:color="auto" w:sz="4" w:space="0"/>
              <w:left w:val="single" w:color="auto" w:sz="4" w:space="0"/>
              <w:bottom w:val="single" w:color="auto" w:sz="4" w:space="0"/>
              <w:right w:val="single" w:color="auto" w:sz="4" w:space="0"/>
            </w:tcBorders>
          </w:tcPr>
          <w:p>
            <w:pPr>
              <w:snapToGrid w:val="0"/>
              <w:spacing w:line="320" w:lineRule="exact"/>
              <w:rPr>
                <w:rFonts w:ascii="宋体" w:hAnsi="宋体"/>
                <w:sz w:val="24"/>
                <w:szCs w:val="20"/>
              </w:rPr>
            </w:pPr>
          </w:p>
        </w:tc>
        <w:tc>
          <w:tcPr>
            <w:tcW w:w="5040" w:type="dxa"/>
            <w:tcBorders>
              <w:top w:val="single" w:color="auto" w:sz="4" w:space="0"/>
              <w:left w:val="single" w:color="auto" w:sz="4" w:space="0"/>
              <w:bottom w:val="single" w:color="auto" w:sz="4" w:space="0"/>
              <w:right w:val="single" w:color="auto" w:sz="4" w:space="0"/>
            </w:tcBorders>
          </w:tcPr>
          <w:p>
            <w:pPr>
              <w:spacing w:line="320" w:lineRule="exact"/>
              <w:ind w:firstLine="411" w:firstLineChars="196"/>
              <w:rPr>
                <w:rFonts w:ascii="宋体" w:hAnsi="宋体"/>
                <w:szCs w:val="21"/>
              </w:rPr>
            </w:pPr>
          </w:p>
        </w:tc>
        <w:tc>
          <w:tcPr>
            <w:tcW w:w="900" w:type="dxa"/>
            <w:tcBorders>
              <w:top w:val="single" w:color="auto" w:sz="4" w:space="0"/>
              <w:left w:val="single" w:color="auto" w:sz="4" w:space="0"/>
              <w:bottom w:val="single" w:color="auto" w:sz="4" w:space="0"/>
              <w:right w:val="single" w:color="auto" w:sz="4" w:space="0"/>
            </w:tcBorders>
          </w:tcPr>
          <w:p>
            <w:pPr>
              <w:snapToGrid w:val="0"/>
              <w:spacing w:line="320" w:lineRule="exact"/>
              <w:rPr>
                <w:rFonts w:ascii="宋体" w:hAnsi="宋体"/>
                <w:sz w:val="24"/>
                <w:szCs w:val="20"/>
              </w:rPr>
            </w:pPr>
          </w:p>
        </w:tc>
        <w:tc>
          <w:tcPr>
            <w:tcW w:w="1512" w:type="dxa"/>
            <w:tcBorders>
              <w:top w:val="single" w:color="auto" w:sz="4" w:space="0"/>
              <w:left w:val="single" w:color="auto" w:sz="4" w:space="0"/>
              <w:bottom w:val="single" w:color="auto" w:sz="4" w:space="0"/>
              <w:right w:val="single" w:color="auto" w:sz="4" w:space="0"/>
            </w:tcBorders>
          </w:tcPr>
          <w:p>
            <w:pPr>
              <w:snapToGrid w:val="0"/>
              <w:spacing w:line="320" w:lineRule="exact"/>
              <w:rPr>
                <w:rFonts w:ascii="宋体" w:hAnsi="宋体"/>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30" w:hRule="atLeast"/>
        </w:trPr>
        <w:tc>
          <w:tcPr>
            <w:tcW w:w="1548" w:type="dxa"/>
            <w:tcBorders>
              <w:top w:val="single" w:color="auto" w:sz="4" w:space="0"/>
              <w:left w:val="single" w:color="auto" w:sz="4" w:space="0"/>
              <w:bottom w:val="single" w:color="auto" w:sz="4" w:space="0"/>
              <w:right w:val="single" w:color="auto" w:sz="4" w:space="0"/>
            </w:tcBorders>
          </w:tcPr>
          <w:p>
            <w:pPr>
              <w:snapToGrid w:val="0"/>
              <w:spacing w:line="320" w:lineRule="exact"/>
              <w:rPr>
                <w:rFonts w:ascii="宋体" w:hAnsi="宋体"/>
                <w:sz w:val="24"/>
                <w:szCs w:val="20"/>
              </w:rPr>
            </w:pPr>
          </w:p>
        </w:tc>
        <w:tc>
          <w:tcPr>
            <w:tcW w:w="5040" w:type="dxa"/>
            <w:tcBorders>
              <w:top w:val="single" w:color="auto" w:sz="4" w:space="0"/>
              <w:left w:val="single" w:color="auto" w:sz="4" w:space="0"/>
              <w:bottom w:val="single" w:color="auto" w:sz="4" w:space="0"/>
              <w:right w:val="single" w:color="auto" w:sz="4" w:space="0"/>
            </w:tcBorders>
          </w:tcPr>
          <w:p>
            <w:pPr>
              <w:spacing w:line="320" w:lineRule="exact"/>
              <w:ind w:firstLine="411" w:firstLineChars="196"/>
              <w:rPr>
                <w:rFonts w:ascii="宋体" w:hAnsi="宋体"/>
                <w:szCs w:val="21"/>
              </w:rPr>
            </w:pPr>
          </w:p>
        </w:tc>
        <w:tc>
          <w:tcPr>
            <w:tcW w:w="900" w:type="dxa"/>
            <w:tcBorders>
              <w:top w:val="single" w:color="auto" w:sz="4" w:space="0"/>
              <w:left w:val="single" w:color="auto" w:sz="4" w:space="0"/>
              <w:bottom w:val="single" w:color="auto" w:sz="4" w:space="0"/>
              <w:right w:val="single" w:color="auto" w:sz="4" w:space="0"/>
            </w:tcBorders>
          </w:tcPr>
          <w:p>
            <w:pPr>
              <w:snapToGrid w:val="0"/>
              <w:spacing w:line="320" w:lineRule="exact"/>
              <w:rPr>
                <w:rFonts w:ascii="宋体" w:hAnsi="宋体"/>
                <w:sz w:val="24"/>
                <w:szCs w:val="20"/>
              </w:rPr>
            </w:pPr>
          </w:p>
        </w:tc>
        <w:tc>
          <w:tcPr>
            <w:tcW w:w="1512" w:type="dxa"/>
            <w:tcBorders>
              <w:top w:val="single" w:color="auto" w:sz="4" w:space="0"/>
              <w:left w:val="single" w:color="auto" w:sz="4" w:space="0"/>
              <w:bottom w:val="single" w:color="auto" w:sz="4" w:space="0"/>
              <w:right w:val="single" w:color="auto" w:sz="4" w:space="0"/>
            </w:tcBorders>
          </w:tcPr>
          <w:p>
            <w:pPr>
              <w:snapToGrid w:val="0"/>
              <w:spacing w:line="320" w:lineRule="exact"/>
              <w:rPr>
                <w:rFonts w:ascii="宋体" w:hAnsi="宋体"/>
                <w:sz w:val="24"/>
                <w:szCs w:val="20"/>
              </w:rPr>
            </w:pPr>
          </w:p>
        </w:tc>
      </w:tr>
    </w:tbl>
    <w:p>
      <w:pPr>
        <w:snapToGrid w:val="0"/>
        <w:spacing w:before="50" w:afterLines="50"/>
        <w:jc w:val="left"/>
        <w:rPr>
          <w:rFonts w:ascii="宋体" w:hAnsi="宋体"/>
          <w:sz w:val="24"/>
        </w:rPr>
      </w:pPr>
    </w:p>
    <w:p>
      <w:pPr>
        <w:snapToGrid w:val="0"/>
        <w:spacing w:line="330" w:lineRule="exact"/>
        <w:ind w:firstLine="472" w:firstLineChars="196"/>
        <w:jc w:val="left"/>
        <w:rPr>
          <w:rFonts w:ascii="宋体" w:hAnsi="宋体"/>
          <w:b/>
          <w:sz w:val="24"/>
        </w:rPr>
      </w:pPr>
    </w:p>
    <w:p>
      <w:pPr>
        <w:snapToGrid w:val="0"/>
        <w:spacing w:line="330" w:lineRule="exact"/>
        <w:ind w:firstLine="472" w:firstLineChars="196"/>
        <w:jc w:val="left"/>
        <w:rPr>
          <w:rFonts w:ascii="宋体" w:hAnsi="宋体"/>
          <w:b/>
          <w:sz w:val="24"/>
        </w:rPr>
      </w:pPr>
    </w:p>
    <w:p>
      <w:pPr>
        <w:snapToGrid w:val="0"/>
        <w:spacing w:line="330" w:lineRule="exact"/>
        <w:ind w:firstLine="472" w:firstLineChars="196"/>
        <w:jc w:val="left"/>
        <w:rPr>
          <w:rFonts w:ascii="宋体" w:hAnsi="宋体"/>
          <w:b/>
          <w:sz w:val="24"/>
        </w:rPr>
      </w:pPr>
    </w:p>
    <w:p>
      <w:pPr>
        <w:snapToGrid w:val="0"/>
        <w:spacing w:line="330" w:lineRule="exact"/>
        <w:ind w:firstLine="472" w:firstLineChars="196"/>
        <w:jc w:val="left"/>
        <w:rPr>
          <w:rFonts w:ascii="宋体" w:hAnsi="宋体"/>
          <w:b/>
          <w:sz w:val="24"/>
        </w:rPr>
      </w:pPr>
    </w:p>
    <w:p>
      <w:pPr>
        <w:snapToGrid w:val="0"/>
        <w:spacing w:line="330" w:lineRule="exact"/>
        <w:ind w:firstLine="472" w:firstLineChars="196"/>
        <w:jc w:val="left"/>
        <w:rPr>
          <w:rFonts w:ascii="宋体" w:hAnsi="宋体"/>
          <w:b/>
          <w:sz w:val="24"/>
        </w:rPr>
      </w:pPr>
    </w:p>
    <w:p>
      <w:pPr>
        <w:snapToGrid w:val="0"/>
        <w:spacing w:line="330" w:lineRule="exact"/>
        <w:ind w:firstLine="472" w:firstLineChars="196"/>
        <w:jc w:val="left"/>
        <w:rPr>
          <w:rFonts w:ascii="宋体" w:hAnsi="宋体"/>
          <w:b/>
          <w:sz w:val="24"/>
        </w:rPr>
      </w:pPr>
    </w:p>
    <w:p>
      <w:pPr>
        <w:snapToGrid w:val="0"/>
        <w:spacing w:line="330" w:lineRule="exact"/>
        <w:ind w:firstLine="472" w:firstLineChars="196"/>
        <w:jc w:val="left"/>
        <w:rPr>
          <w:rFonts w:ascii="宋体" w:hAnsi="宋体"/>
          <w:b/>
          <w:sz w:val="24"/>
        </w:rPr>
      </w:pPr>
    </w:p>
    <w:p>
      <w:pPr>
        <w:snapToGrid w:val="0"/>
        <w:spacing w:line="330" w:lineRule="exact"/>
        <w:ind w:firstLine="472" w:firstLineChars="196"/>
        <w:jc w:val="left"/>
        <w:rPr>
          <w:rFonts w:ascii="宋体" w:hAnsi="宋体"/>
          <w:b/>
          <w:sz w:val="24"/>
        </w:rPr>
      </w:pPr>
    </w:p>
    <w:p>
      <w:pPr>
        <w:snapToGrid w:val="0"/>
        <w:spacing w:line="330" w:lineRule="exact"/>
        <w:ind w:firstLine="472" w:firstLineChars="196"/>
        <w:jc w:val="left"/>
        <w:rPr>
          <w:rFonts w:ascii="宋体" w:hAnsi="宋体"/>
          <w:b/>
          <w:sz w:val="24"/>
        </w:rPr>
      </w:pPr>
    </w:p>
    <w:p>
      <w:pPr>
        <w:snapToGrid w:val="0"/>
        <w:spacing w:line="330" w:lineRule="exact"/>
        <w:ind w:firstLine="472" w:firstLineChars="196"/>
        <w:jc w:val="left"/>
        <w:rPr>
          <w:rFonts w:ascii="宋体" w:hAnsi="宋体"/>
          <w:b/>
          <w:sz w:val="24"/>
        </w:rPr>
      </w:pPr>
    </w:p>
    <w:p>
      <w:pPr>
        <w:snapToGrid w:val="0"/>
        <w:spacing w:line="330" w:lineRule="exact"/>
        <w:ind w:firstLine="472" w:firstLineChars="196"/>
        <w:jc w:val="left"/>
        <w:rPr>
          <w:rFonts w:ascii="宋体" w:hAnsi="宋体"/>
          <w:b/>
          <w:sz w:val="24"/>
        </w:rPr>
      </w:pPr>
    </w:p>
    <w:p>
      <w:pPr>
        <w:snapToGrid w:val="0"/>
        <w:spacing w:line="330" w:lineRule="exact"/>
        <w:ind w:firstLine="472" w:firstLineChars="196"/>
        <w:jc w:val="left"/>
        <w:rPr>
          <w:rFonts w:ascii="宋体" w:hAnsi="宋体"/>
          <w:b/>
          <w:sz w:val="24"/>
        </w:rPr>
      </w:pPr>
    </w:p>
    <w:p>
      <w:pPr>
        <w:snapToGrid w:val="0"/>
        <w:spacing w:line="330" w:lineRule="exact"/>
        <w:ind w:firstLine="472" w:firstLineChars="196"/>
        <w:jc w:val="left"/>
        <w:rPr>
          <w:rFonts w:ascii="宋体" w:hAnsi="宋体"/>
          <w:b/>
          <w:sz w:val="24"/>
        </w:rPr>
      </w:pPr>
    </w:p>
    <w:p>
      <w:pPr>
        <w:snapToGrid w:val="0"/>
        <w:spacing w:line="330" w:lineRule="exact"/>
        <w:ind w:firstLine="472" w:firstLineChars="196"/>
        <w:jc w:val="left"/>
        <w:rPr>
          <w:rFonts w:ascii="宋体" w:hAnsi="宋体"/>
          <w:b/>
          <w:sz w:val="24"/>
        </w:rPr>
      </w:pPr>
    </w:p>
    <w:p>
      <w:pPr>
        <w:snapToGrid w:val="0"/>
        <w:spacing w:line="330" w:lineRule="exact"/>
        <w:ind w:firstLine="472" w:firstLineChars="196"/>
        <w:jc w:val="left"/>
        <w:rPr>
          <w:rFonts w:ascii="宋体" w:hAnsi="宋体"/>
          <w:b/>
          <w:sz w:val="24"/>
        </w:rPr>
      </w:pPr>
    </w:p>
    <w:p>
      <w:pPr>
        <w:snapToGrid w:val="0"/>
        <w:spacing w:line="330" w:lineRule="exact"/>
        <w:ind w:firstLine="472" w:firstLineChars="196"/>
        <w:jc w:val="left"/>
        <w:rPr>
          <w:rFonts w:ascii="宋体" w:hAnsi="宋体"/>
          <w:b/>
          <w:sz w:val="24"/>
        </w:rPr>
      </w:pPr>
    </w:p>
    <w:p>
      <w:pPr>
        <w:snapToGrid w:val="0"/>
        <w:spacing w:line="330" w:lineRule="exact"/>
        <w:ind w:firstLine="472" w:firstLineChars="196"/>
        <w:jc w:val="left"/>
        <w:rPr>
          <w:rFonts w:ascii="宋体" w:hAnsi="宋体"/>
          <w:b/>
          <w:sz w:val="24"/>
        </w:rPr>
      </w:pPr>
    </w:p>
    <w:p>
      <w:pPr>
        <w:snapToGrid w:val="0"/>
        <w:spacing w:line="330" w:lineRule="exact"/>
        <w:ind w:firstLine="472" w:firstLineChars="196"/>
        <w:jc w:val="left"/>
        <w:rPr>
          <w:rFonts w:ascii="宋体" w:hAnsi="宋体"/>
          <w:b/>
          <w:sz w:val="24"/>
        </w:rPr>
      </w:pPr>
    </w:p>
    <w:p>
      <w:pPr>
        <w:snapToGrid w:val="0"/>
        <w:spacing w:line="330" w:lineRule="exact"/>
        <w:ind w:firstLine="472" w:firstLineChars="196"/>
        <w:jc w:val="left"/>
        <w:rPr>
          <w:rFonts w:ascii="宋体" w:hAnsi="宋体"/>
          <w:b/>
          <w:sz w:val="24"/>
        </w:rPr>
      </w:pPr>
    </w:p>
    <w:p>
      <w:pPr>
        <w:snapToGrid w:val="0"/>
        <w:spacing w:line="330" w:lineRule="exact"/>
        <w:ind w:firstLine="472" w:firstLineChars="196"/>
        <w:jc w:val="left"/>
        <w:rPr>
          <w:rFonts w:ascii="宋体" w:hAnsi="宋体"/>
          <w:b/>
          <w:sz w:val="24"/>
        </w:rPr>
      </w:pPr>
    </w:p>
    <w:p>
      <w:pPr>
        <w:snapToGrid w:val="0"/>
        <w:spacing w:line="330" w:lineRule="exact"/>
        <w:ind w:firstLine="472" w:firstLineChars="196"/>
        <w:jc w:val="left"/>
        <w:rPr>
          <w:rFonts w:ascii="宋体" w:hAnsi="宋体"/>
          <w:b/>
          <w:sz w:val="24"/>
        </w:rPr>
      </w:pPr>
    </w:p>
    <w:p>
      <w:pPr>
        <w:snapToGrid w:val="0"/>
        <w:spacing w:line="330" w:lineRule="exact"/>
        <w:ind w:firstLine="472" w:firstLineChars="196"/>
        <w:jc w:val="left"/>
        <w:rPr>
          <w:rFonts w:ascii="宋体" w:hAnsi="宋体"/>
          <w:b/>
          <w:sz w:val="24"/>
        </w:rPr>
      </w:pPr>
    </w:p>
    <w:p>
      <w:pPr>
        <w:snapToGrid w:val="0"/>
        <w:spacing w:line="330" w:lineRule="exact"/>
        <w:ind w:firstLine="472" w:firstLineChars="196"/>
        <w:jc w:val="left"/>
        <w:rPr>
          <w:rFonts w:ascii="宋体" w:hAnsi="宋体"/>
          <w:b/>
          <w:sz w:val="24"/>
        </w:rPr>
      </w:pPr>
    </w:p>
    <w:p>
      <w:pPr>
        <w:snapToGrid w:val="0"/>
        <w:spacing w:line="330" w:lineRule="exact"/>
        <w:ind w:firstLine="472" w:firstLineChars="196"/>
        <w:jc w:val="left"/>
        <w:rPr>
          <w:rFonts w:ascii="宋体" w:hAnsi="宋体"/>
          <w:b/>
          <w:sz w:val="24"/>
        </w:rPr>
      </w:pPr>
    </w:p>
    <w:p>
      <w:pPr>
        <w:snapToGrid w:val="0"/>
        <w:spacing w:line="330" w:lineRule="exact"/>
        <w:ind w:firstLine="472" w:firstLineChars="196"/>
        <w:jc w:val="left"/>
        <w:rPr>
          <w:rFonts w:ascii="宋体" w:hAnsi="宋体"/>
          <w:b/>
          <w:sz w:val="24"/>
        </w:rPr>
      </w:pPr>
    </w:p>
    <w:p>
      <w:pPr>
        <w:snapToGrid w:val="0"/>
        <w:spacing w:line="330" w:lineRule="exact"/>
        <w:ind w:firstLine="472" w:firstLineChars="196"/>
        <w:jc w:val="left"/>
        <w:rPr>
          <w:rFonts w:ascii="宋体" w:hAnsi="宋体"/>
          <w:b/>
          <w:sz w:val="24"/>
        </w:rPr>
      </w:pPr>
    </w:p>
    <w:p>
      <w:pPr>
        <w:snapToGrid w:val="0"/>
        <w:spacing w:line="330" w:lineRule="exact"/>
        <w:ind w:firstLine="630" w:firstLineChars="196"/>
        <w:jc w:val="center"/>
        <w:rPr>
          <w:rFonts w:ascii="宋体" w:hAnsi="宋体"/>
          <w:b/>
          <w:sz w:val="32"/>
          <w:szCs w:val="32"/>
        </w:rPr>
      </w:pPr>
    </w:p>
    <w:p>
      <w:pPr>
        <w:snapToGrid w:val="0"/>
        <w:spacing w:line="330" w:lineRule="exact"/>
        <w:ind w:firstLine="472" w:firstLineChars="196"/>
        <w:jc w:val="center"/>
        <w:rPr>
          <w:rFonts w:ascii="宋体" w:hAnsi="宋体"/>
          <w:b/>
          <w:sz w:val="24"/>
        </w:rPr>
      </w:pPr>
    </w:p>
    <w:p>
      <w:pPr>
        <w:snapToGrid w:val="0"/>
        <w:spacing w:line="330" w:lineRule="exact"/>
        <w:ind w:firstLine="551" w:firstLineChars="196"/>
        <w:jc w:val="center"/>
        <w:rPr>
          <w:rFonts w:ascii="宋体" w:hAnsi="宋体" w:cs="Arial"/>
          <w:b/>
          <w:sz w:val="28"/>
          <w:szCs w:val="28"/>
        </w:rPr>
      </w:pPr>
      <w:r>
        <w:rPr>
          <w:rFonts w:hint="eastAsia" w:ascii="宋体" w:hAnsi="宋体"/>
          <w:b/>
          <w:sz w:val="28"/>
          <w:szCs w:val="28"/>
        </w:rPr>
        <w:t>十一、</w:t>
      </w:r>
      <w:r>
        <w:rPr>
          <w:rFonts w:hint="eastAsia" w:ascii="宋体" w:hAnsi="宋体" w:cs="Arial"/>
          <w:b/>
          <w:sz w:val="28"/>
          <w:szCs w:val="28"/>
        </w:rPr>
        <w:t>同类项目实施情况一览表</w:t>
      </w:r>
    </w:p>
    <w:tbl>
      <w:tblPr>
        <w:tblStyle w:val="50"/>
        <w:tblW w:w="94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1157"/>
        <w:gridCol w:w="1183"/>
        <w:gridCol w:w="947"/>
        <w:gridCol w:w="1125"/>
        <w:gridCol w:w="1230"/>
        <w:gridCol w:w="1440"/>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46" w:type="dxa"/>
            <w:vMerge w:val="restart"/>
            <w:vAlign w:val="center"/>
          </w:tcPr>
          <w:p>
            <w:pPr>
              <w:snapToGrid w:val="0"/>
              <w:spacing w:before="50" w:afterLines="50"/>
              <w:jc w:val="center"/>
              <w:rPr>
                <w:rFonts w:ascii="宋体" w:hAnsi="宋体" w:cs="Arial"/>
                <w:szCs w:val="21"/>
              </w:rPr>
            </w:pPr>
            <w:r>
              <w:rPr>
                <w:rFonts w:hint="eastAsia" w:ascii="宋体" w:hAnsi="宋体" w:cs="Arial"/>
                <w:szCs w:val="21"/>
              </w:rPr>
              <w:t>采购单位名称</w:t>
            </w:r>
          </w:p>
        </w:tc>
        <w:tc>
          <w:tcPr>
            <w:tcW w:w="1157" w:type="dxa"/>
            <w:vMerge w:val="restart"/>
            <w:vAlign w:val="center"/>
          </w:tcPr>
          <w:p>
            <w:pPr>
              <w:snapToGrid w:val="0"/>
              <w:spacing w:before="50" w:afterLines="50"/>
              <w:jc w:val="center"/>
              <w:rPr>
                <w:rFonts w:ascii="宋体" w:hAnsi="宋体" w:cs="Arial"/>
                <w:szCs w:val="21"/>
              </w:rPr>
            </w:pPr>
            <w:r>
              <w:rPr>
                <w:rFonts w:hint="eastAsia" w:ascii="宋体" w:hAnsi="宋体" w:cs="Arial"/>
                <w:szCs w:val="21"/>
              </w:rPr>
              <w:t>项目名称</w:t>
            </w:r>
          </w:p>
        </w:tc>
        <w:tc>
          <w:tcPr>
            <w:tcW w:w="1183" w:type="dxa"/>
            <w:vMerge w:val="restart"/>
            <w:vAlign w:val="center"/>
          </w:tcPr>
          <w:p>
            <w:pPr>
              <w:snapToGrid w:val="0"/>
              <w:spacing w:before="50" w:afterLines="50"/>
              <w:jc w:val="center"/>
              <w:rPr>
                <w:rFonts w:ascii="宋体" w:hAnsi="宋体" w:cs="Arial"/>
                <w:szCs w:val="21"/>
              </w:rPr>
            </w:pPr>
            <w:r>
              <w:rPr>
                <w:rFonts w:hint="eastAsia" w:ascii="宋体" w:hAnsi="宋体" w:cs="Arial"/>
                <w:szCs w:val="21"/>
              </w:rPr>
              <w:t>采购数量</w:t>
            </w:r>
          </w:p>
        </w:tc>
        <w:tc>
          <w:tcPr>
            <w:tcW w:w="947" w:type="dxa"/>
            <w:vMerge w:val="restart"/>
            <w:vAlign w:val="center"/>
          </w:tcPr>
          <w:p>
            <w:pPr>
              <w:snapToGrid w:val="0"/>
              <w:spacing w:before="50" w:afterLines="50"/>
              <w:jc w:val="center"/>
              <w:rPr>
                <w:rFonts w:ascii="宋体" w:hAnsi="宋体" w:cs="Arial"/>
                <w:szCs w:val="21"/>
              </w:rPr>
            </w:pPr>
            <w:r>
              <w:rPr>
                <w:rFonts w:hint="eastAsia" w:ascii="宋体" w:hAnsi="宋体" w:cs="Arial"/>
                <w:szCs w:val="21"/>
              </w:rPr>
              <w:t>单价</w:t>
            </w:r>
          </w:p>
        </w:tc>
        <w:tc>
          <w:tcPr>
            <w:tcW w:w="1125" w:type="dxa"/>
            <w:vMerge w:val="restart"/>
            <w:vAlign w:val="center"/>
          </w:tcPr>
          <w:p>
            <w:pPr>
              <w:snapToGrid w:val="0"/>
              <w:spacing w:before="50" w:afterLines="50"/>
              <w:jc w:val="center"/>
              <w:rPr>
                <w:rFonts w:ascii="宋体" w:hAnsi="宋体" w:cs="Arial"/>
                <w:szCs w:val="21"/>
              </w:rPr>
            </w:pPr>
            <w:r>
              <w:rPr>
                <w:rFonts w:hint="eastAsia" w:ascii="宋体" w:hAnsi="宋体" w:cs="Arial"/>
                <w:szCs w:val="21"/>
              </w:rPr>
              <w:t>合同金额（万元）</w:t>
            </w:r>
          </w:p>
        </w:tc>
        <w:tc>
          <w:tcPr>
            <w:tcW w:w="2670" w:type="dxa"/>
            <w:gridSpan w:val="2"/>
            <w:vAlign w:val="center"/>
          </w:tcPr>
          <w:p>
            <w:pPr>
              <w:snapToGrid w:val="0"/>
              <w:spacing w:before="50" w:afterLines="50"/>
              <w:jc w:val="center"/>
              <w:rPr>
                <w:rFonts w:ascii="宋体" w:hAnsi="宋体" w:cs="Arial"/>
                <w:szCs w:val="21"/>
              </w:rPr>
            </w:pPr>
            <w:r>
              <w:rPr>
                <w:rFonts w:hint="eastAsia" w:ascii="宋体" w:hAnsi="宋体" w:cs="Arial"/>
                <w:szCs w:val="21"/>
              </w:rPr>
              <w:t>附件页码</w:t>
            </w:r>
          </w:p>
        </w:tc>
        <w:tc>
          <w:tcPr>
            <w:tcW w:w="1440" w:type="dxa"/>
            <w:vMerge w:val="restart"/>
            <w:vAlign w:val="center"/>
          </w:tcPr>
          <w:p>
            <w:pPr>
              <w:snapToGrid w:val="0"/>
              <w:spacing w:before="50" w:afterLines="50"/>
              <w:jc w:val="center"/>
              <w:rPr>
                <w:rFonts w:ascii="宋体" w:hAnsi="宋体" w:cs="Arial"/>
                <w:szCs w:val="21"/>
              </w:rPr>
            </w:pPr>
            <w:r>
              <w:rPr>
                <w:rFonts w:hint="eastAsia" w:ascii="宋体" w:hAnsi="宋体" w:cs="Arial"/>
                <w:szCs w:val="21"/>
              </w:rPr>
              <w:t>采购单位联系人及联系电话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46" w:type="dxa"/>
            <w:vMerge w:val="continue"/>
          </w:tcPr>
          <w:p>
            <w:pPr>
              <w:snapToGrid w:val="0"/>
              <w:spacing w:before="50" w:afterLines="50"/>
              <w:jc w:val="left"/>
              <w:rPr>
                <w:rFonts w:ascii="宋体" w:hAnsi="宋体" w:cs="Arial"/>
                <w:sz w:val="24"/>
              </w:rPr>
            </w:pPr>
          </w:p>
        </w:tc>
        <w:tc>
          <w:tcPr>
            <w:tcW w:w="1157" w:type="dxa"/>
            <w:vMerge w:val="continue"/>
          </w:tcPr>
          <w:p>
            <w:pPr>
              <w:snapToGrid w:val="0"/>
              <w:spacing w:before="50" w:afterLines="50"/>
              <w:jc w:val="left"/>
              <w:rPr>
                <w:rFonts w:ascii="宋体" w:hAnsi="宋体" w:cs="Arial"/>
                <w:sz w:val="24"/>
              </w:rPr>
            </w:pPr>
          </w:p>
        </w:tc>
        <w:tc>
          <w:tcPr>
            <w:tcW w:w="1183" w:type="dxa"/>
            <w:vMerge w:val="continue"/>
          </w:tcPr>
          <w:p>
            <w:pPr>
              <w:snapToGrid w:val="0"/>
              <w:spacing w:before="50" w:afterLines="50"/>
              <w:jc w:val="left"/>
              <w:rPr>
                <w:rFonts w:ascii="宋体" w:hAnsi="宋体" w:cs="Arial"/>
                <w:sz w:val="24"/>
              </w:rPr>
            </w:pPr>
          </w:p>
        </w:tc>
        <w:tc>
          <w:tcPr>
            <w:tcW w:w="947" w:type="dxa"/>
            <w:vMerge w:val="continue"/>
          </w:tcPr>
          <w:p>
            <w:pPr>
              <w:snapToGrid w:val="0"/>
              <w:spacing w:before="50" w:afterLines="50"/>
              <w:jc w:val="left"/>
              <w:rPr>
                <w:rFonts w:ascii="宋体" w:hAnsi="宋体" w:cs="Arial"/>
                <w:sz w:val="24"/>
              </w:rPr>
            </w:pPr>
          </w:p>
        </w:tc>
        <w:tc>
          <w:tcPr>
            <w:tcW w:w="1125" w:type="dxa"/>
            <w:vMerge w:val="continue"/>
          </w:tcPr>
          <w:p>
            <w:pPr>
              <w:snapToGrid w:val="0"/>
              <w:spacing w:before="50" w:afterLines="50"/>
              <w:jc w:val="left"/>
              <w:rPr>
                <w:rFonts w:ascii="宋体" w:hAnsi="宋体" w:cs="Arial"/>
                <w:sz w:val="24"/>
              </w:rPr>
            </w:pPr>
          </w:p>
        </w:tc>
        <w:tc>
          <w:tcPr>
            <w:tcW w:w="1230" w:type="dxa"/>
          </w:tcPr>
          <w:p>
            <w:pPr>
              <w:snapToGrid w:val="0"/>
              <w:spacing w:before="50" w:afterLines="50"/>
              <w:jc w:val="left"/>
              <w:rPr>
                <w:rFonts w:ascii="宋体" w:hAnsi="宋体" w:cs="Arial"/>
                <w:szCs w:val="21"/>
              </w:rPr>
            </w:pPr>
            <w:r>
              <w:rPr>
                <w:rFonts w:hint="eastAsia" w:ascii="宋体" w:hAnsi="宋体" w:cs="Arial"/>
                <w:szCs w:val="21"/>
              </w:rPr>
              <w:t>合同</w:t>
            </w:r>
          </w:p>
        </w:tc>
        <w:tc>
          <w:tcPr>
            <w:tcW w:w="1440" w:type="dxa"/>
          </w:tcPr>
          <w:p>
            <w:pPr>
              <w:snapToGrid w:val="0"/>
              <w:spacing w:before="50" w:afterLines="50"/>
              <w:jc w:val="left"/>
              <w:rPr>
                <w:rFonts w:ascii="宋体" w:hAnsi="宋体" w:cs="Arial"/>
                <w:szCs w:val="21"/>
              </w:rPr>
            </w:pPr>
            <w:r>
              <w:rPr>
                <w:rFonts w:hint="eastAsia" w:ascii="宋体" w:hAnsi="宋体" w:cs="Arial"/>
                <w:szCs w:val="21"/>
              </w:rPr>
              <w:t>验收报告</w:t>
            </w:r>
          </w:p>
        </w:tc>
        <w:tc>
          <w:tcPr>
            <w:tcW w:w="1440" w:type="dxa"/>
            <w:vMerge w:val="continue"/>
          </w:tcPr>
          <w:p>
            <w:pPr>
              <w:snapToGrid w:val="0"/>
              <w:spacing w:before="50" w:afterLines="50"/>
              <w:jc w:val="left"/>
              <w:rPr>
                <w:rFonts w:ascii="宋体" w:hAnsi="宋体" w:cs="Arial"/>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46" w:type="dxa"/>
          </w:tcPr>
          <w:p>
            <w:pPr>
              <w:snapToGrid w:val="0"/>
              <w:spacing w:before="50" w:afterLines="50"/>
              <w:jc w:val="left"/>
              <w:rPr>
                <w:rFonts w:ascii="宋体" w:hAnsi="宋体" w:cs="Arial"/>
                <w:sz w:val="24"/>
              </w:rPr>
            </w:pPr>
          </w:p>
        </w:tc>
        <w:tc>
          <w:tcPr>
            <w:tcW w:w="1157" w:type="dxa"/>
          </w:tcPr>
          <w:p>
            <w:pPr>
              <w:snapToGrid w:val="0"/>
              <w:spacing w:before="50" w:afterLines="50"/>
              <w:jc w:val="left"/>
              <w:rPr>
                <w:rFonts w:ascii="宋体" w:hAnsi="宋体" w:cs="Arial"/>
                <w:sz w:val="24"/>
              </w:rPr>
            </w:pPr>
          </w:p>
        </w:tc>
        <w:tc>
          <w:tcPr>
            <w:tcW w:w="1183" w:type="dxa"/>
          </w:tcPr>
          <w:p>
            <w:pPr>
              <w:snapToGrid w:val="0"/>
              <w:spacing w:before="50" w:afterLines="50"/>
              <w:jc w:val="left"/>
              <w:rPr>
                <w:rFonts w:ascii="宋体" w:hAnsi="宋体" w:cs="Arial"/>
                <w:sz w:val="24"/>
              </w:rPr>
            </w:pPr>
          </w:p>
        </w:tc>
        <w:tc>
          <w:tcPr>
            <w:tcW w:w="947" w:type="dxa"/>
          </w:tcPr>
          <w:p>
            <w:pPr>
              <w:snapToGrid w:val="0"/>
              <w:spacing w:before="50" w:afterLines="50"/>
              <w:jc w:val="left"/>
              <w:rPr>
                <w:rFonts w:ascii="宋体" w:hAnsi="宋体" w:cs="Arial"/>
                <w:sz w:val="24"/>
              </w:rPr>
            </w:pPr>
          </w:p>
        </w:tc>
        <w:tc>
          <w:tcPr>
            <w:tcW w:w="1125" w:type="dxa"/>
          </w:tcPr>
          <w:p>
            <w:pPr>
              <w:snapToGrid w:val="0"/>
              <w:spacing w:before="50" w:afterLines="50"/>
              <w:jc w:val="left"/>
              <w:rPr>
                <w:rFonts w:ascii="宋体" w:hAnsi="宋体" w:cs="Arial"/>
                <w:sz w:val="24"/>
              </w:rPr>
            </w:pPr>
          </w:p>
        </w:tc>
        <w:tc>
          <w:tcPr>
            <w:tcW w:w="1230" w:type="dxa"/>
          </w:tcPr>
          <w:p>
            <w:pPr>
              <w:snapToGrid w:val="0"/>
              <w:spacing w:before="50" w:afterLines="50"/>
              <w:jc w:val="left"/>
              <w:rPr>
                <w:rFonts w:ascii="宋体" w:hAnsi="宋体" w:cs="Arial"/>
                <w:sz w:val="24"/>
              </w:rPr>
            </w:pPr>
          </w:p>
        </w:tc>
        <w:tc>
          <w:tcPr>
            <w:tcW w:w="1440" w:type="dxa"/>
          </w:tcPr>
          <w:p>
            <w:pPr>
              <w:snapToGrid w:val="0"/>
              <w:spacing w:before="50" w:afterLines="50"/>
              <w:jc w:val="left"/>
              <w:rPr>
                <w:rFonts w:ascii="宋体" w:hAnsi="宋体" w:cs="Arial"/>
                <w:sz w:val="24"/>
              </w:rPr>
            </w:pPr>
          </w:p>
        </w:tc>
        <w:tc>
          <w:tcPr>
            <w:tcW w:w="1440" w:type="dxa"/>
          </w:tcPr>
          <w:p>
            <w:pPr>
              <w:snapToGrid w:val="0"/>
              <w:spacing w:before="50" w:afterLines="50"/>
              <w:jc w:val="left"/>
              <w:rPr>
                <w:rFonts w:ascii="宋体" w:hAnsi="宋体" w:cs="Arial"/>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46" w:type="dxa"/>
          </w:tcPr>
          <w:p>
            <w:pPr>
              <w:snapToGrid w:val="0"/>
              <w:spacing w:before="50" w:afterLines="50"/>
              <w:jc w:val="left"/>
              <w:rPr>
                <w:rFonts w:ascii="宋体" w:hAnsi="宋体" w:cs="Arial"/>
                <w:sz w:val="24"/>
              </w:rPr>
            </w:pPr>
          </w:p>
        </w:tc>
        <w:tc>
          <w:tcPr>
            <w:tcW w:w="1157" w:type="dxa"/>
          </w:tcPr>
          <w:p>
            <w:pPr>
              <w:snapToGrid w:val="0"/>
              <w:spacing w:before="50" w:afterLines="50"/>
              <w:jc w:val="left"/>
              <w:rPr>
                <w:rFonts w:ascii="宋体" w:hAnsi="宋体" w:cs="Arial"/>
                <w:sz w:val="24"/>
              </w:rPr>
            </w:pPr>
          </w:p>
        </w:tc>
        <w:tc>
          <w:tcPr>
            <w:tcW w:w="1183" w:type="dxa"/>
          </w:tcPr>
          <w:p>
            <w:pPr>
              <w:snapToGrid w:val="0"/>
              <w:spacing w:before="50" w:afterLines="50"/>
              <w:jc w:val="left"/>
              <w:rPr>
                <w:rFonts w:ascii="宋体" w:hAnsi="宋体" w:cs="Arial"/>
                <w:sz w:val="24"/>
              </w:rPr>
            </w:pPr>
          </w:p>
        </w:tc>
        <w:tc>
          <w:tcPr>
            <w:tcW w:w="947" w:type="dxa"/>
          </w:tcPr>
          <w:p>
            <w:pPr>
              <w:snapToGrid w:val="0"/>
              <w:spacing w:before="50" w:afterLines="50"/>
              <w:jc w:val="left"/>
              <w:rPr>
                <w:rFonts w:ascii="宋体" w:hAnsi="宋体" w:cs="Arial"/>
                <w:sz w:val="24"/>
              </w:rPr>
            </w:pPr>
          </w:p>
        </w:tc>
        <w:tc>
          <w:tcPr>
            <w:tcW w:w="1125" w:type="dxa"/>
          </w:tcPr>
          <w:p>
            <w:pPr>
              <w:snapToGrid w:val="0"/>
              <w:spacing w:before="50" w:afterLines="50"/>
              <w:jc w:val="left"/>
              <w:rPr>
                <w:rFonts w:ascii="宋体" w:hAnsi="宋体" w:cs="Arial"/>
                <w:sz w:val="24"/>
              </w:rPr>
            </w:pPr>
          </w:p>
        </w:tc>
        <w:tc>
          <w:tcPr>
            <w:tcW w:w="1230" w:type="dxa"/>
          </w:tcPr>
          <w:p>
            <w:pPr>
              <w:snapToGrid w:val="0"/>
              <w:spacing w:before="50" w:afterLines="50"/>
              <w:jc w:val="left"/>
              <w:rPr>
                <w:rFonts w:ascii="宋体" w:hAnsi="宋体" w:cs="Arial"/>
                <w:sz w:val="24"/>
              </w:rPr>
            </w:pPr>
          </w:p>
        </w:tc>
        <w:tc>
          <w:tcPr>
            <w:tcW w:w="1440" w:type="dxa"/>
          </w:tcPr>
          <w:p>
            <w:pPr>
              <w:snapToGrid w:val="0"/>
              <w:spacing w:before="50" w:afterLines="50"/>
              <w:jc w:val="left"/>
              <w:rPr>
                <w:rFonts w:ascii="宋体" w:hAnsi="宋体" w:cs="Arial"/>
                <w:sz w:val="24"/>
              </w:rPr>
            </w:pPr>
          </w:p>
        </w:tc>
        <w:tc>
          <w:tcPr>
            <w:tcW w:w="1440" w:type="dxa"/>
          </w:tcPr>
          <w:p>
            <w:pPr>
              <w:snapToGrid w:val="0"/>
              <w:spacing w:before="50" w:afterLines="50"/>
              <w:jc w:val="left"/>
              <w:rPr>
                <w:rFonts w:ascii="宋体" w:hAnsi="宋体" w:cs="Arial"/>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46" w:type="dxa"/>
          </w:tcPr>
          <w:p>
            <w:pPr>
              <w:snapToGrid w:val="0"/>
              <w:spacing w:before="50" w:afterLines="50"/>
              <w:jc w:val="left"/>
              <w:rPr>
                <w:rFonts w:ascii="宋体" w:hAnsi="宋体" w:cs="Arial"/>
                <w:sz w:val="24"/>
              </w:rPr>
            </w:pPr>
          </w:p>
        </w:tc>
        <w:tc>
          <w:tcPr>
            <w:tcW w:w="1157" w:type="dxa"/>
          </w:tcPr>
          <w:p>
            <w:pPr>
              <w:snapToGrid w:val="0"/>
              <w:spacing w:before="50" w:afterLines="50"/>
              <w:jc w:val="left"/>
              <w:rPr>
                <w:rFonts w:ascii="宋体" w:hAnsi="宋体" w:cs="Arial"/>
                <w:sz w:val="24"/>
              </w:rPr>
            </w:pPr>
          </w:p>
        </w:tc>
        <w:tc>
          <w:tcPr>
            <w:tcW w:w="1183" w:type="dxa"/>
          </w:tcPr>
          <w:p>
            <w:pPr>
              <w:snapToGrid w:val="0"/>
              <w:spacing w:before="50" w:afterLines="50"/>
              <w:jc w:val="left"/>
              <w:rPr>
                <w:rFonts w:ascii="宋体" w:hAnsi="宋体" w:cs="Arial"/>
                <w:sz w:val="24"/>
              </w:rPr>
            </w:pPr>
          </w:p>
        </w:tc>
        <w:tc>
          <w:tcPr>
            <w:tcW w:w="947" w:type="dxa"/>
          </w:tcPr>
          <w:p>
            <w:pPr>
              <w:snapToGrid w:val="0"/>
              <w:spacing w:before="50" w:afterLines="50"/>
              <w:jc w:val="left"/>
              <w:rPr>
                <w:rFonts w:ascii="宋体" w:hAnsi="宋体" w:cs="Arial"/>
                <w:sz w:val="24"/>
              </w:rPr>
            </w:pPr>
          </w:p>
        </w:tc>
        <w:tc>
          <w:tcPr>
            <w:tcW w:w="1125" w:type="dxa"/>
          </w:tcPr>
          <w:p>
            <w:pPr>
              <w:snapToGrid w:val="0"/>
              <w:spacing w:before="50" w:afterLines="50"/>
              <w:jc w:val="left"/>
              <w:rPr>
                <w:rFonts w:ascii="宋体" w:hAnsi="宋体" w:cs="Arial"/>
                <w:sz w:val="24"/>
              </w:rPr>
            </w:pPr>
          </w:p>
        </w:tc>
        <w:tc>
          <w:tcPr>
            <w:tcW w:w="1230" w:type="dxa"/>
          </w:tcPr>
          <w:p>
            <w:pPr>
              <w:snapToGrid w:val="0"/>
              <w:spacing w:before="50" w:afterLines="50"/>
              <w:jc w:val="left"/>
              <w:rPr>
                <w:rFonts w:ascii="宋体" w:hAnsi="宋体" w:cs="Arial"/>
                <w:sz w:val="24"/>
              </w:rPr>
            </w:pPr>
          </w:p>
        </w:tc>
        <w:tc>
          <w:tcPr>
            <w:tcW w:w="1440" w:type="dxa"/>
          </w:tcPr>
          <w:p>
            <w:pPr>
              <w:snapToGrid w:val="0"/>
              <w:spacing w:before="50" w:afterLines="50"/>
              <w:jc w:val="left"/>
              <w:rPr>
                <w:rFonts w:ascii="宋体" w:hAnsi="宋体" w:cs="Arial"/>
                <w:sz w:val="24"/>
              </w:rPr>
            </w:pPr>
          </w:p>
        </w:tc>
        <w:tc>
          <w:tcPr>
            <w:tcW w:w="1440" w:type="dxa"/>
          </w:tcPr>
          <w:p>
            <w:pPr>
              <w:snapToGrid w:val="0"/>
              <w:spacing w:before="50" w:afterLines="50"/>
              <w:jc w:val="left"/>
              <w:rPr>
                <w:rFonts w:ascii="宋体" w:hAnsi="宋体" w:cs="Arial"/>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46" w:type="dxa"/>
          </w:tcPr>
          <w:p>
            <w:pPr>
              <w:snapToGrid w:val="0"/>
              <w:spacing w:before="50" w:afterLines="50"/>
              <w:jc w:val="left"/>
              <w:rPr>
                <w:rFonts w:ascii="宋体" w:hAnsi="宋体" w:cs="Arial"/>
                <w:sz w:val="24"/>
              </w:rPr>
            </w:pPr>
          </w:p>
        </w:tc>
        <w:tc>
          <w:tcPr>
            <w:tcW w:w="1157" w:type="dxa"/>
          </w:tcPr>
          <w:p>
            <w:pPr>
              <w:snapToGrid w:val="0"/>
              <w:spacing w:before="50" w:afterLines="50"/>
              <w:jc w:val="left"/>
              <w:rPr>
                <w:rFonts w:ascii="宋体" w:hAnsi="宋体" w:cs="Arial"/>
                <w:sz w:val="24"/>
              </w:rPr>
            </w:pPr>
          </w:p>
        </w:tc>
        <w:tc>
          <w:tcPr>
            <w:tcW w:w="1183" w:type="dxa"/>
          </w:tcPr>
          <w:p>
            <w:pPr>
              <w:snapToGrid w:val="0"/>
              <w:spacing w:before="50" w:afterLines="50"/>
              <w:jc w:val="left"/>
              <w:rPr>
                <w:rFonts w:ascii="宋体" w:hAnsi="宋体" w:cs="Arial"/>
                <w:sz w:val="24"/>
              </w:rPr>
            </w:pPr>
          </w:p>
        </w:tc>
        <w:tc>
          <w:tcPr>
            <w:tcW w:w="947" w:type="dxa"/>
          </w:tcPr>
          <w:p>
            <w:pPr>
              <w:snapToGrid w:val="0"/>
              <w:spacing w:before="50" w:afterLines="50"/>
              <w:jc w:val="left"/>
              <w:rPr>
                <w:rFonts w:ascii="宋体" w:hAnsi="宋体" w:cs="Arial"/>
                <w:sz w:val="24"/>
              </w:rPr>
            </w:pPr>
          </w:p>
        </w:tc>
        <w:tc>
          <w:tcPr>
            <w:tcW w:w="1125" w:type="dxa"/>
          </w:tcPr>
          <w:p>
            <w:pPr>
              <w:snapToGrid w:val="0"/>
              <w:spacing w:before="50" w:afterLines="50"/>
              <w:jc w:val="left"/>
              <w:rPr>
                <w:rFonts w:ascii="宋体" w:hAnsi="宋体" w:cs="Arial"/>
                <w:sz w:val="24"/>
              </w:rPr>
            </w:pPr>
          </w:p>
        </w:tc>
        <w:tc>
          <w:tcPr>
            <w:tcW w:w="1230" w:type="dxa"/>
          </w:tcPr>
          <w:p>
            <w:pPr>
              <w:snapToGrid w:val="0"/>
              <w:spacing w:before="50" w:afterLines="50"/>
              <w:jc w:val="left"/>
              <w:rPr>
                <w:rFonts w:ascii="宋体" w:hAnsi="宋体" w:cs="Arial"/>
                <w:sz w:val="24"/>
              </w:rPr>
            </w:pPr>
          </w:p>
        </w:tc>
        <w:tc>
          <w:tcPr>
            <w:tcW w:w="1440" w:type="dxa"/>
          </w:tcPr>
          <w:p>
            <w:pPr>
              <w:snapToGrid w:val="0"/>
              <w:spacing w:before="50" w:afterLines="50"/>
              <w:jc w:val="left"/>
              <w:rPr>
                <w:rFonts w:ascii="宋体" w:hAnsi="宋体" w:cs="Arial"/>
                <w:sz w:val="24"/>
              </w:rPr>
            </w:pPr>
          </w:p>
        </w:tc>
        <w:tc>
          <w:tcPr>
            <w:tcW w:w="1440" w:type="dxa"/>
          </w:tcPr>
          <w:p>
            <w:pPr>
              <w:snapToGrid w:val="0"/>
              <w:spacing w:before="50" w:afterLines="50"/>
              <w:jc w:val="left"/>
              <w:rPr>
                <w:rFonts w:ascii="宋体" w:hAnsi="宋体" w:cs="Arial"/>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46" w:type="dxa"/>
          </w:tcPr>
          <w:p>
            <w:pPr>
              <w:snapToGrid w:val="0"/>
              <w:spacing w:before="50" w:afterLines="50"/>
              <w:jc w:val="left"/>
              <w:rPr>
                <w:rFonts w:ascii="宋体" w:hAnsi="宋体" w:cs="Arial"/>
                <w:sz w:val="24"/>
              </w:rPr>
            </w:pPr>
          </w:p>
        </w:tc>
        <w:tc>
          <w:tcPr>
            <w:tcW w:w="1157" w:type="dxa"/>
          </w:tcPr>
          <w:p>
            <w:pPr>
              <w:snapToGrid w:val="0"/>
              <w:spacing w:before="50" w:afterLines="50"/>
              <w:jc w:val="left"/>
              <w:rPr>
                <w:rFonts w:ascii="宋体" w:hAnsi="宋体" w:cs="Arial"/>
                <w:sz w:val="24"/>
              </w:rPr>
            </w:pPr>
          </w:p>
        </w:tc>
        <w:tc>
          <w:tcPr>
            <w:tcW w:w="1183" w:type="dxa"/>
          </w:tcPr>
          <w:p>
            <w:pPr>
              <w:snapToGrid w:val="0"/>
              <w:spacing w:before="50" w:afterLines="50"/>
              <w:jc w:val="left"/>
              <w:rPr>
                <w:rFonts w:ascii="宋体" w:hAnsi="宋体" w:cs="Arial"/>
                <w:sz w:val="24"/>
              </w:rPr>
            </w:pPr>
          </w:p>
        </w:tc>
        <w:tc>
          <w:tcPr>
            <w:tcW w:w="947" w:type="dxa"/>
          </w:tcPr>
          <w:p>
            <w:pPr>
              <w:snapToGrid w:val="0"/>
              <w:spacing w:before="50" w:afterLines="50"/>
              <w:jc w:val="left"/>
              <w:rPr>
                <w:rFonts w:ascii="宋体" w:hAnsi="宋体" w:cs="Arial"/>
                <w:sz w:val="24"/>
              </w:rPr>
            </w:pPr>
          </w:p>
        </w:tc>
        <w:tc>
          <w:tcPr>
            <w:tcW w:w="1125" w:type="dxa"/>
          </w:tcPr>
          <w:p>
            <w:pPr>
              <w:snapToGrid w:val="0"/>
              <w:spacing w:before="50" w:afterLines="50"/>
              <w:jc w:val="left"/>
              <w:rPr>
                <w:rFonts w:ascii="宋体" w:hAnsi="宋体" w:cs="Arial"/>
                <w:sz w:val="24"/>
              </w:rPr>
            </w:pPr>
          </w:p>
        </w:tc>
        <w:tc>
          <w:tcPr>
            <w:tcW w:w="1230" w:type="dxa"/>
          </w:tcPr>
          <w:p>
            <w:pPr>
              <w:snapToGrid w:val="0"/>
              <w:spacing w:before="50" w:afterLines="50"/>
              <w:jc w:val="left"/>
              <w:rPr>
                <w:rFonts w:ascii="宋体" w:hAnsi="宋体" w:cs="Arial"/>
                <w:sz w:val="24"/>
              </w:rPr>
            </w:pPr>
          </w:p>
        </w:tc>
        <w:tc>
          <w:tcPr>
            <w:tcW w:w="1440" w:type="dxa"/>
          </w:tcPr>
          <w:p>
            <w:pPr>
              <w:snapToGrid w:val="0"/>
              <w:spacing w:before="50" w:afterLines="50"/>
              <w:jc w:val="left"/>
              <w:rPr>
                <w:rFonts w:ascii="宋体" w:hAnsi="宋体" w:cs="Arial"/>
                <w:sz w:val="24"/>
              </w:rPr>
            </w:pPr>
          </w:p>
        </w:tc>
        <w:tc>
          <w:tcPr>
            <w:tcW w:w="1440" w:type="dxa"/>
          </w:tcPr>
          <w:p>
            <w:pPr>
              <w:snapToGrid w:val="0"/>
              <w:spacing w:before="50" w:afterLines="50"/>
              <w:jc w:val="left"/>
              <w:rPr>
                <w:rFonts w:ascii="宋体" w:hAnsi="宋体" w:cs="Arial"/>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46" w:type="dxa"/>
          </w:tcPr>
          <w:p>
            <w:pPr>
              <w:snapToGrid w:val="0"/>
              <w:spacing w:before="50" w:afterLines="50"/>
              <w:jc w:val="left"/>
              <w:rPr>
                <w:rFonts w:ascii="宋体" w:hAnsi="宋体" w:cs="Arial"/>
                <w:sz w:val="24"/>
              </w:rPr>
            </w:pPr>
          </w:p>
        </w:tc>
        <w:tc>
          <w:tcPr>
            <w:tcW w:w="1157" w:type="dxa"/>
          </w:tcPr>
          <w:p>
            <w:pPr>
              <w:snapToGrid w:val="0"/>
              <w:spacing w:before="50" w:afterLines="50"/>
              <w:jc w:val="left"/>
              <w:rPr>
                <w:rFonts w:ascii="宋体" w:hAnsi="宋体" w:cs="Arial"/>
                <w:sz w:val="24"/>
              </w:rPr>
            </w:pPr>
          </w:p>
        </w:tc>
        <w:tc>
          <w:tcPr>
            <w:tcW w:w="1183" w:type="dxa"/>
          </w:tcPr>
          <w:p>
            <w:pPr>
              <w:snapToGrid w:val="0"/>
              <w:spacing w:before="50" w:afterLines="50"/>
              <w:jc w:val="left"/>
              <w:rPr>
                <w:rFonts w:ascii="宋体" w:hAnsi="宋体" w:cs="Arial"/>
                <w:sz w:val="24"/>
              </w:rPr>
            </w:pPr>
          </w:p>
        </w:tc>
        <w:tc>
          <w:tcPr>
            <w:tcW w:w="947" w:type="dxa"/>
          </w:tcPr>
          <w:p>
            <w:pPr>
              <w:snapToGrid w:val="0"/>
              <w:spacing w:before="50" w:afterLines="50"/>
              <w:jc w:val="left"/>
              <w:rPr>
                <w:rFonts w:ascii="宋体" w:hAnsi="宋体" w:cs="Arial"/>
                <w:sz w:val="24"/>
              </w:rPr>
            </w:pPr>
          </w:p>
        </w:tc>
        <w:tc>
          <w:tcPr>
            <w:tcW w:w="1125" w:type="dxa"/>
          </w:tcPr>
          <w:p>
            <w:pPr>
              <w:snapToGrid w:val="0"/>
              <w:spacing w:before="50" w:afterLines="50"/>
              <w:jc w:val="left"/>
              <w:rPr>
                <w:rFonts w:ascii="宋体" w:hAnsi="宋体" w:cs="Arial"/>
                <w:sz w:val="24"/>
              </w:rPr>
            </w:pPr>
          </w:p>
        </w:tc>
        <w:tc>
          <w:tcPr>
            <w:tcW w:w="1230" w:type="dxa"/>
          </w:tcPr>
          <w:p>
            <w:pPr>
              <w:snapToGrid w:val="0"/>
              <w:spacing w:before="50" w:afterLines="50"/>
              <w:jc w:val="left"/>
              <w:rPr>
                <w:rFonts w:ascii="宋体" w:hAnsi="宋体" w:cs="Arial"/>
                <w:sz w:val="24"/>
              </w:rPr>
            </w:pPr>
          </w:p>
        </w:tc>
        <w:tc>
          <w:tcPr>
            <w:tcW w:w="1440" w:type="dxa"/>
          </w:tcPr>
          <w:p>
            <w:pPr>
              <w:snapToGrid w:val="0"/>
              <w:spacing w:before="50" w:afterLines="50"/>
              <w:jc w:val="left"/>
              <w:rPr>
                <w:rFonts w:ascii="宋体" w:hAnsi="宋体" w:cs="Arial"/>
                <w:sz w:val="24"/>
              </w:rPr>
            </w:pPr>
          </w:p>
        </w:tc>
        <w:tc>
          <w:tcPr>
            <w:tcW w:w="1440" w:type="dxa"/>
          </w:tcPr>
          <w:p>
            <w:pPr>
              <w:snapToGrid w:val="0"/>
              <w:spacing w:before="50" w:afterLines="50"/>
              <w:jc w:val="left"/>
              <w:rPr>
                <w:rFonts w:ascii="宋体" w:hAnsi="宋体" w:cs="Arial"/>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46" w:type="dxa"/>
          </w:tcPr>
          <w:p>
            <w:pPr>
              <w:snapToGrid w:val="0"/>
              <w:spacing w:before="50" w:afterLines="50"/>
              <w:jc w:val="left"/>
              <w:rPr>
                <w:rFonts w:ascii="宋体" w:hAnsi="宋体" w:cs="Arial"/>
                <w:sz w:val="24"/>
              </w:rPr>
            </w:pPr>
          </w:p>
        </w:tc>
        <w:tc>
          <w:tcPr>
            <w:tcW w:w="1157" w:type="dxa"/>
          </w:tcPr>
          <w:p>
            <w:pPr>
              <w:snapToGrid w:val="0"/>
              <w:spacing w:before="50" w:afterLines="50"/>
              <w:jc w:val="left"/>
              <w:rPr>
                <w:rFonts w:ascii="宋体" w:hAnsi="宋体" w:cs="Arial"/>
                <w:sz w:val="24"/>
              </w:rPr>
            </w:pPr>
          </w:p>
        </w:tc>
        <w:tc>
          <w:tcPr>
            <w:tcW w:w="1183" w:type="dxa"/>
          </w:tcPr>
          <w:p>
            <w:pPr>
              <w:snapToGrid w:val="0"/>
              <w:spacing w:before="50" w:afterLines="50"/>
              <w:jc w:val="left"/>
              <w:rPr>
                <w:rFonts w:ascii="宋体" w:hAnsi="宋体" w:cs="Arial"/>
                <w:sz w:val="24"/>
              </w:rPr>
            </w:pPr>
          </w:p>
        </w:tc>
        <w:tc>
          <w:tcPr>
            <w:tcW w:w="947" w:type="dxa"/>
          </w:tcPr>
          <w:p>
            <w:pPr>
              <w:snapToGrid w:val="0"/>
              <w:spacing w:before="50" w:afterLines="50"/>
              <w:jc w:val="left"/>
              <w:rPr>
                <w:rFonts w:ascii="宋体" w:hAnsi="宋体" w:cs="Arial"/>
                <w:sz w:val="24"/>
              </w:rPr>
            </w:pPr>
          </w:p>
        </w:tc>
        <w:tc>
          <w:tcPr>
            <w:tcW w:w="1125" w:type="dxa"/>
          </w:tcPr>
          <w:p>
            <w:pPr>
              <w:snapToGrid w:val="0"/>
              <w:spacing w:before="50" w:afterLines="50"/>
              <w:jc w:val="left"/>
              <w:rPr>
                <w:rFonts w:ascii="宋体" w:hAnsi="宋体" w:cs="Arial"/>
                <w:sz w:val="24"/>
              </w:rPr>
            </w:pPr>
          </w:p>
        </w:tc>
        <w:tc>
          <w:tcPr>
            <w:tcW w:w="1230" w:type="dxa"/>
          </w:tcPr>
          <w:p>
            <w:pPr>
              <w:snapToGrid w:val="0"/>
              <w:spacing w:before="50" w:afterLines="50"/>
              <w:jc w:val="left"/>
              <w:rPr>
                <w:rFonts w:ascii="宋体" w:hAnsi="宋体" w:cs="Arial"/>
                <w:sz w:val="24"/>
              </w:rPr>
            </w:pPr>
          </w:p>
        </w:tc>
        <w:tc>
          <w:tcPr>
            <w:tcW w:w="1440" w:type="dxa"/>
          </w:tcPr>
          <w:p>
            <w:pPr>
              <w:snapToGrid w:val="0"/>
              <w:spacing w:before="50" w:afterLines="50"/>
              <w:jc w:val="left"/>
              <w:rPr>
                <w:rFonts w:ascii="宋体" w:hAnsi="宋体" w:cs="Arial"/>
                <w:sz w:val="24"/>
              </w:rPr>
            </w:pPr>
          </w:p>
        </w:tc>
        <w:tc>
          <w:tcPr>
            <w:tcW w:w="1440" w:type="dxa"/>
          </w:tcPr>
          <w:p>
            <w:pPr>
              <w:snapToGrid w:val="0"/>
              <w:spacing w:before="50" w:afterLines="50"/>
              <w:jc w:val="left"/>
              <w:rPr>
                <w:rFonts w:ascii="宋体" w:hAnsi="宋体" w:cs="Arial"/>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46" w:type="dxa"/>
          </w:tcPr>
          <w:p>
            <w:pPr>
              <w:snapToGrid w:val="0"/>
              <w:spacing w:before="50" w:afterLines="50"/>
              <w:jc w:val="left"/>
              <w:rPr>
                <w:rFonts w:ascii="宋体" w:hAnsi="宋体" w:cs="Arial"/>
                <w:sz w:val="24"/>
              </w:rPr>
            </w:pPr>
          </w:p>
        </w:tc>
        <w:tc>
          <w:tcPr>
            <w:tcW w:w="1157" w:type="dxa"/>
          </w:tcPr>
          <w:p>
            <w:pPr>
              <w:snapToGrid w:val="0"/>
              <w:spacing w:before="50" w:afterLines="50"/>
              <w:jc w:val="left"/>
              <w:rPr>
                <w:rFonts w:ascii="宋体" w:hAnsi="宋体" w:cs="Arial"/>
                <w:sz w:val="24"/>
              </w:rPr>
            </w:pPr>
          </w:p>
        </w:tc>
        <w:tc>
          <w:tcPr>
            <w:tcW w:w="1183" w:type="dxa"/>
          </w:tcPr>
          <w:p>
            <w:pPr>
              <w:snapToGrid w:val="0"/>
              <w:spacing w:before="50" w:afterLines="50"/>
              <w:jc w:val="left"/>
              <w:rPr>
                <w:rFonts w:ascii="宋体" w:hAnsi="宋体" w:cs="Arial"/>
                <w:sz w:val="24"/>
              </w:rPr>
            </w:pPr>
          </w:p>
        </w:tc>
        <w:tc>
          <w:tcPr>
            <w:tcW w:w="947" w:type="dxa"/>
          </w:tcPr>
          <w:p>
            <w:pPr>
              <w:snapToGrid w:val="0"/>
              <w:spacing w:before="50" w:afterLines="50"/>
              <w:jc w:val="left"/>
              <w:rPr>
                <w:rFonts w:ascii="宋体" w:hAnsi="宋体" w:cs="Arial"/>
                <w:sz w:val="24"/>
              </w:rPr>
            </w:pPr>
          </w:p>
        </w:tc>
        <w:tc>
          <w:tcPr>
            <w:tcW w:w="1125" w:type="dxa"/>
          </w:tcPr>
          <w:p>
            <w:pPr>
              <w:snapToGrid w:val="0"/>
              <w:spacing w:before="50" w:afterLines="50"/>
              <w:jc w:val="left"/>
              <w:rPr>
                <w:rFonts w:ascii="宋体" w:hAnsi="宋体" w:cs="Arial"/>
                <w:sz w:val="24"/>
              </w:rPr>
            </w:pPr>
          </w:p>
        </w:tc>
        <w:tc>
          <w:tcPr>
            <w:tcW w:w="1230" w:type="dxa"/>
          </w:tcPr>
          <w:p>
            <w:pPr>
              <w:snapToGrid w:val="0"/>
              <w:spacing w:before="50" w:afterLines="50"/>
              <w:jc w:val="left"/>
              <w:rPr>
                <w:rFonts w:ascii="宋体" w:hAnsi="宋体" w:cs="Arial"/>
                <w:sz w:val="24"/>
              </w:rPr>
            </w:pPr>
          </w:p>
        </w:tc>
        <w:tc>
          <w:tcPr>
            <w:tcW w:w="1440" w:type="dxa"/>
          </w:tcPr>
          <w:p>
            <w:pPr>
              <w:snapToGrid w:val="0"/>
              <w:spacing w:before="50" w:afterLines="50"/>
              <w:jc w:val="left"/>
              <w:rPr>
                <w:rFonts w:ascii="宋体" w:hAnsi="宋体" w:cs="Arial"/>
                <w:sz w:val="24"/>
              </w:rPr>
            </w:pPr>
          </w:p>
        </w:tc>
        <w:tc>
          <w:tcPr>
            <w:tcW w:w="1440" w:type="dxa"/>
          </w:tcPr>
          <w:p>
            <w:pPr>
              <w:snapToGrid w:val="0"/>
              <w:spacing w:before="50" w:afterLines="50"/>
              <w:jc w:val="left"/>
              <w:rPr>
                <w:rFonts w:ascii="宋体" w:hAnsi="宋体" w:cs="Arial"/>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46" w:type="dxa"/>
          </w:tcPr>
          <w:p>
            <w:pPr>
              <w:snapToGrid w:val="0"/>
              <w:spacing w:before="50" w:afterLines="50"/>
              <w:jc w:val="left"/>
              <w:rPr>
                <w:rFonts w:ascii="宋体" w:hAnsi="宋体" w:cs="Arial"/>
                <w:sz w:val="24"/>
              </w:rPr>
            </w:pPr>
          </w:p>
        </w:tc>
        <w:tc>
          <w:tcPr>
            <w:tcW w:w="1157" w:type="dxa"/>
          </w:tcPr>
          <w:p>
            <w:pPr>
              <w:snapToGrid w:val="0"/>
              <w:spacing w:before="50" w:afterLines="50"/>
              <w:jc w:val="left"/>
              <w:rPr>
                <w:rFonts w:ascii="宋体" w:hAnsi="宋体" w:cs="Arial"/>
                <w:sz w:val="24"/>
              </w:rPr>
            </w:pPr>
          </w:p>
        </w:tc>
        <w:tc>
          <w:tcPr>
            <w:tcW w:w="1183" w:type="dxa"/>
          </w:tcPr>
          <w:p>
            <w:pPr>
              <w:snapToGrid w:val="0"/>
              <w:spacing w:before="50" w:afterLines="50"/>
              <w:jc w:val="left"/>
              <w:rPr>
                <w:rFonts w:ascii="宋体" w:hAnsi="宋体" w:cs="Arial"/>
                <w:sz w:val="24"/>
              </w:rPr>
            </w:pPr>
          </w:p>
        </w:tc>
        <w:tc>
          <w:tcPr>
            <w:tcW w:w="947" w:type="dxa"/>
          </w:tcPr>
          <w:p>
            <w:pPr>
              <w:snapToGrid w:val="0"/>
              <w:spacing w:before="50" w:afterLines="50"/>
              <w:jc w:val="left"/>
              <w:rPr>
                <w:rFonts w:ascii="宋体" w:hAnsi="宋体" w:cs="Arial"/>
                <w:sz w:val="24"/>
              </w:rPr>
            </w:pPr>
          </w:p>
        </w:tc>
        <w:tc>
          <w:tcPr>
            <w:tcW w:w="1125" w:type="dxa"/>
          </w:tcPr>
          <w:p>
            <w:pPr>
              <w:snapToGrid w:val="0"/>
              <w:spacing w:before="50" w:afterLines="50"/>
              <w:jc w:val="left"/>
              <w:rPr>
                <w:rFonts w:ascii="宋体" w:hAnsi="宋体" w:cs="Arial"/>
                <w:sz w:val="24"/>
              </w:rPr>
            </w:pPr>
          </w:p>
        </w:tc>
        <w:tc>
          <w:tcPr>
            <w:tcW w:w="1230" w:type="dxa"/>
          </w:tcPr>
          <w:p>
            <w:pPr>
              <w:snapToGrid w:val="0"/>
              <w:spacing w:before="50" w:afterLines="50"/>
              <w:jc w:val="left"/>
              <w:rPr>
                <w:rFonts w:ascii="宋体" w:hAnsi="宋体" w:cs="Arial"/>
                <w:sz w:val="24"/>
              </w:rPr>
            </w:pPr>
          </w:p>
        </w:tc>
        <w:tc>
          <w:tcPr>
            <w:tcW w:w="1440" w:type="dxa"/>
          </w:tcPr>
          <w:p>
            <w:pPr>
              <w:snapToGrid w:val="0"/>
              <w:spacing w:before="50" w:afterLines="50"/>
              <w:jc w:val="left"/>
              <w:rPr>
                <w:rFonts w:ascii="宋体" w:hAnsi="宋体" w:cs="Arial"/>
                <w:sz w:val="24"/>
              </w:rPr>
            </w:pPr>
          </w:p>
        </w:tc>
        <w:tc>
          <w:tcPr>
            <w:tcW w:w="1440" w:type="dxa"/>
          </w:tcPr>
          <w:p>
            <w:pPr>
              <w:snapToGrid w:val="0"/>
              <w:spacing w:before="50" w:afterLines="50"/>
              <w:jc w:val="left"/>
              <w:rPr>
                <w:rFonts w:ascii="宋体" w:hAnsi="宋体" w:cs="Arial"/>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46" w:type="dxa"/>
          </w:tcPr>
          <w:p>
            <w:pPr>
              <w:snapToGrid w:val="0"/>
              <w:spacing w:before="50" w:afterLines="50"/>
              <w:jc w:val="left"/>
              <w:rPr>
                <w:rFonts w:ascii="宋体" w:hAnsi="宋体" w:cs="Arial"/>
                <w:sz w:val="24"/>
              </w:rPr>
            </w:pPr>
          </w:p>
        </w:tc>
        <w:tc>
          <w:tcPr>
            <w:tcW w:w="1157" w:type="dxa"/>
          </w:tcPr>
          <w:p>
            <w:pPr>
              <w:snapToGrid w:val="0"/>
              <w:spacing w:before="50" w:afterLines="50"/>
              <w:jc w:val="left"/>
              <w:rPr>
                <w:rFonts w:ascii="宋体" w:hAnsi="宋体" w:cs="Arial"/>
                <w:sz w:val="24"/>
              </w:rPr>
            </w:pPr>
          </w:p>
        </w:tc>
        <w:tc>
          <w:tcPr>
            <w:tcW w:w="1183" w:type="dxa"/>
          </w:tcPr>
          <w:p>
            <w:pPr>
              <w:snapToGrid w:val="0"/>
              <w:spacing w:before="50" w:afterLines="50"/>
              <w:jc w:val="left"/>
              <w:rPr>
                <w:rFonts w:ascii="宋体" w:hAnsi="宋体" w:cs="Arial"/>
                <w:sz w:val="24"/>
              </w:rPr>
            </w:pPr>
          </w:p>
        </w:tc>
        <w:tc>
          <w:tcPr>
            <w:tcW w:w="947" w:type="dxa"/>
          </w:tcPr>
          <w:p>
            <w:pPr>
              <w:snapToGrid w:val="0"/>
              <w:spacing w:before="50" w:afterLines="50"/>
              <w:jc w:val="left"/>
              <w:rPr>
                <w:rFonts w:ascii="宋体" w:hAnsi="宋体" w:cs="Arial"/>
                <w:sz w:val="24"/>
              </w:rPr>
            </w:pPr>
          </w:p>
        </w:tc>
        <w:tc>
          <w:tcPr>
            <w:tcW w:w="1125" w:type="dxa"/>
          </w:tcPr>
          <w:p>
            <w:pPr>
              <w:snapToGrid w:val="0"/>
              <w:spacing w:before="50" w:afterLines="50"/>
              <w:jc w:val="left"/>
              <w:rPr>
                <w:rFonts w:ascii="宋体" w:hAnsi="宋体" w:cs="Arial"/>
                <w:sz w:val="24"/>
              </w:rPr>
            </w:pPr>
          </w:p>
        </w:tc>
        <w:tc>
          <w:tcPr>
            <w:tcW w:w="1230" w:type="dxa"/>
          </w:tcPr>
          <w:p>
            <w:pPr>
              <w:snapToGrid w:val="0"/>
              <w:spacing w:before="50" w:afterLines="50"/>
              <w:jc w:val="left"/>
              <w:rPr>
                <w:rFonts w:ascii="宋体" w:hAnsi="宋体" w:cs="Arial"/>
                <w:sz w:val="24"/>
              </w:rPr>
            </w:pPr>
          </w:p>
        </w:tc>
        <w:tc>
          <w:tcPr>
            <w:tcW w:w="1440" w:type="dxa"/>
          </w:tcPr>
          <w:p>
            <w:pPr>
              <w:snapToGrid w:val="0"/>
              <w:spacing w:before="50" w:afterLines="50"/>
              <w:jc w:val="left"/>
              <w:rPr>
                <w:rFonts w:ascii="宋体" w:hAnsi="宋体" w:cs="Arial"/>
                <w:sz w:val="24"/>
              </w:rPr>
            </w:pPr>
          </w:p>
        </w:tc>
        <w:tc>
          <w:tcPr>
            <w:tcW w:w="1440" w:type="dxa"/>
          </w:tcPr>
          <w:p>
            <w:pPr>
              <w:snapToGrid w:val="0"/>
              <w:spacing w:before="50" w:afterLines="50"/>
              <w:jc w:val="left"/>
              <w:rPr>
                <w:rFonts w:ascii="宋体" w:hAnsi="宋体" w:cs="Arial"/>
                <w:sz w:val="24"/>
              </w:rPr>
            </w:pPr>
          </w:p>
        </w:tc>
      </w:tr>
    </w:tbl>
    <w:p>
      <w:pPr>
        <w:snapToGrid w:val="0"/>
        <w:spacing w:line="330" w:lineRule="exact"/>
        <w:ind w:firstLine="470" w:firstLineChars="196"/>
        <w:rPr>
          <w:rFonts w:ascii="宋体" w:hAnsi="宋体"/>
          <w:b/>
          <w:sz w:val="24"/>
        </w:rPr>
      </w:pPr>
      <w:r>
        <w:rPr>
          <w:rFonts w:hint="eastAsia" w:ascii="宋体" w:hAnsi="宋体"/>
          <w:sz w:val="24"/>
        </w:rPr>
        <w:t>注：</w:t>
      </w:r>
      <w:r>
        <w:rPr>
          <w:rFonts w:hint="eastAsia" w:ascii="宋体" w:hAnsi="宋体"/>
          <w:b/>
          <w:sz w:val="24"/>
        </w:rPr>
        <w:t>1、合同复印件加盖公章为准，原件备查；</w:t>
      </w:r>
    </w:p>
    <w:p>
      <w:pPr>
        <w:snapToGrid w:val="0"/>
        <w:spacing w:beforeLines="50"/>
        <w:ind w:firstLine="319" w:firstLineChars="133"/>
        <w:rPr>
          <w:rFonts w:ascii="宋体" w:hAnsi="宋体"/>
          <w:sz w:val="24"/>
        </w:rPr>
      </w:pPr>
    </w:p>
    <w:p>
      <w:pPr>
        <w:snapToGrid w:val="0"/>
        <w:spacing w:beforeLines="50"/>
        <w:rPr>
          <w:rFonts w:ascii="宋体" w:hAnsi="宋体"/>
          <w:sz w:val="24"/>
        </w:rPr>
      </w:pPr>
    </w:p>
    <w:p>
      <w:pPr>
        <w:snapToGrid w:val="0"/>
        <w:spacing w:beforeLines="50"/>
        <w:rPr>
          <w:rFonts w:ascii="宋体" w:hAnsi="宋体"/>
          <w:sz w:val="24"/>
          <w:szCs w:val="20"/>
          <w:u w:val="single"/>
        </w:rPr>
      </w:pPr>
      <w:r>
        <w:rPr>
          <w:rFonts w:hint="eastAsia" w:ascii="宋体" w:hAnsi="宋体"/>
          <w:sz w:val="24"/>
        </w:rPr>
        <w:t>法定代表人或授权代表签字：</w:t>
      </w:r>
    </w:p>
    <w:p>
      <w:pPr>
        <w:snapToGrid w:val="0"/>
        <w:spacing w:beforeLines="50" w:after="50"/>
        <w:rPr>
          <w:rFonts w:ascii="宋体" w:hAnsi="宋体"/>
          <w:sz w:val="24"/>
        </w:rPr>
      </w:pPr>
      <w:r>
        <w:rPr>
          <w:rFonts w:hint="eastAsia" w:ascii="宋体" w:hAnsi="宋体"/>
          <w:sz w:val="24"/>
          <w:lang w:val="zh-CN"/>
        </w:rPr>
        <w:t>供应商</w:t>
      </w:r>
      <w:r>
        <w:rPr>
          <w:rFonts w:hint="eastAsia" w:ascii="宋体" w:hAnsi="宋体"/>
          <w:sz w:val="24"/>
        </w:rPr>
        <w:t>公章：</w:t>
      </w:r>
    </w:p>
    <w:p>
      <w:pPr>
        <w:snapToGrid w:val="0"/>
        <w:spacing w:line="330" w:lineRule="exact"/>
        <w:ind w:firstLine="470" w:firstLineChars="196"/>
        <w:jc w:val="left"/>
        <w:rPr>
          <w:rFonts w:ascii="宋体" w:hAnsi="宋体" w:cs="Arial"/>
          <w:b/>
          <w:sz w:val="24"/>
        </w:rPr>
      </w:pPr>
      <w:r>
        <w:rPr>
          <w:rFonts w:ascii="宋体" w:hAnsi="宋体"/>
          <w:sz w:val="24"/>
        </w:rPr>
        <w:t xml:space="preserve">年    月   </w:t>
      </w:r>
      <w:r>
        <w:rPr>
          <w:rFonts w:hint="eastAsia" w:ascii="宋体" w:hAnsi="宋体"/>
          <w:sz w:val="24"/>
        </w:rPr>
        <w:t>日</w:t>
      </w:r>
    </w:p>
    <w:p>
      <w:pPr>
        <w:tabs>
          <w:tab w:val="left" w:pos="3870"/>
          <w:tab w:val="left" w:pos="4085"/>
        </w:tabs>
        <w:snapToGrid w:val="0"/>
        <w:spacing w:line="360" w:lineRule="exact"/>
        <w:ind w:firstLine="482" w:firstLineChars="200"/>
        <w:jc w:val="left"/>
        <w:rPr>
          <w:rFonts w:ascii="宋体" w:hAnsi="宋体"/>
          <w:b/>
          <w:sz w:val="24"/>
        </w:rPr>
      </w:pPr>
    </w:p>
    <w:p>
      <w:pPr>
        <w:tabs>
          <w:tab w:val="left" w:pos="3870"/>
          <w:tab w:val="left" w:pos="4085"/>
        </w:tabs>
        <w:snapToGrid w:val="0"/>
        <w:spacing w:line="360" w:lineRule="exact"/>
        <w:ind w:firstLine="482" w:firstLineChars="200"/>
        <w:jc w:val="left"/>
        <w:rPr>
          <w:rFonts w:ascii="宋体" w:hAnsi="宋体"/>
          <w:b/>
          <w:sz w:val="24"/>
        </w:rPr>
      </w:pPr>
    </w:p>
    <w:p>
      <w:pPr>
        <w:tabs>
          <w:tab w:val="left" w:pos="3870"/>
          <w:tab w:val="left" w:pos="4085"/>
        </w:tabs>
        <w:snapToGrid w:val="0"/>
        <w:spacing w:line="360" w:lineRule="exact"/>
        <w:ind w:firstLine="482" w:firstLineChars="200"/>
        <w:jc w:val="left"/>
        <w:rPr>
          <w:rFonts w:ascii="宋体" w:hAnsi="宋体"/>
          <w:b/>
          <w:sz w:val="24"/>
        </w:rPr>
      </w:pPr>
    </w:p>
    <w:p>
      <w:pPr>
        <w:tabs>
          <w:tab w:val="left" w:pos="3870"/>
          <w:tab w:val="left" w:pos="4085"/>
        </w:tabs>
        <w:snapToGrid w:val="0"/>
        <w:spacing w:line="360" w:lineRule="exact"/>
        <w:ind w:firstLine="482" w:firstLineChars="200"/>
        <w:jc w:val="left"/>
        <w:rPr>
          <w:rFonts w:ascii="宋体" w:hAnsi="宋体"/>
          <w:b/>
          <w:sz w:val="24"/>
        </w:rPr>
      </w:pPr>
    </w:p>
    <w:p>
      <w:pPr>
        <w:tabs>
          <w:tab w:val="left" w:pos="3870"/>
          <w:tab w:val="left" w:pos="4085"/>
        </w:tabs>
        <w:snapToGrid w:val="0"/>
        <w:spacing w:line="360" w:lineRule="exact"/>
        <w:ind w:firstLine="482" w:firstLineChars="200"/>
        <w:jc w:val="left"/>
        <w:rPr>
          <w:rFonts w:ascii="宋体" w:hAnsi="宋体"/>
          <w:b/>
          <w:sz w:val="24"/>
        </w:rPr>
      </w:pPr>
    </w:p>
    <w:p>
      <w:pPr>
        <w:tabs>
          <w:tab w:val="left" w:pos="3870"/>
          <w:tab w:val="left" w:pos="4085"/>
        </w:tabs>
        <w:snapToGrid w:val="0"/>
        <w:spacing w:line="360" w:lineRule="exact"/>
        <w:ind w:firstLine="482" w:firstLineChars="200"/>
        <w:jc w:val="left"/>
        <w:rPr>
          <w:rFonts w:ascii="宋体" w:hAnsi="宋体"/>
          <w:b/>
          <w:sz w:val="24"/>
        </w:rPr>
      </w:pPr>
    </w:p>
    <w:p>
      <w:pPr>
        <w:tabs>
          <w:tab w:val="left" w:pos="3870"/>
          <w:tab w:val="left" w:pos="4085"/>
        </w:tabs>
        <w:snapToGrid w:val="0"/>
        <w:spacing w:line="360" w:lineRule="exact"/>
        <w:ind w:firstLine="482" w:firstLineChars="200"/>
        <w:jc w:val="left"/>
        <w:rPr>
          <w:rFonts w:ascii="宋体" w:hAnsi="宋体"/>
          <w:b/>
          <w:sz w:val="24"/>
        </w:rPr>
      </w:pPr>
    </w:p>
    <w:p>
      <w:pPr>
        <w:tabs>
          <w:tab w:val="left" w:pos="3870"/>
          <w:tab w:val="left" w:pos="4085"/>
        </w:tabs>
        <w:snapToGrid w:val="0"/>
        <w:spacing w:line="360" w:lineRule="exact"/>
        <w:jc w:val="left"/>
        <w:rPr>
          <w:rFonts w:ascii="宋体" w:hAnsi="宋体"/>
          <w:b/>
          <w:sz w:val="24"/>
        </w:rPr>
      </w:pPr>
    </w:p>
    <w:p>
      <w:pPr>
        <w:tabs>
          <w:tab w:val="left" w:pos="3870"/>
          <w:tab w:val="left" w:pos="4085"/>
        </w:tabs>
        <w:snapToGrid w:val="0"/>
        <w:spacing w:line="360" w:lineRule="exact"/>
        <w:ind w:firstLine="482" w:firstLineChars="200"/>
        <w:jc w:val="left"/>
        <w:rPr>
          <w:rFonts w:ascii="宋体" w:hAnsi="宋体"/>
          <w:b/>
          <w:sz w:val="24"/>
        </w:rPr>
      </w:pPr>
    </w:p>
    <w:p>
      <w:pPr>
        <w:tabs>
          <w:tab w:val="left" w:pos="3870"/>
          <w:tab w:val="left" w:pos="4085"/>
        </w:tabs>
        <w:snapToGrid w:val="0"/>
        <w:spacing w:line="360" w:lineRule="exact"/>
        <w:ind w:firstLine="482" w:firstLineChars="200"/>
        <w:jc w:val="left"/>
        <w:rPr>
          <w:rFonts w:ascii="宋体" w:hAnsi="宋体"/>
          <w:b/>
          <w:sz w:val="24"/>
        </w:rPr>
      </w:pPr>
    </w:p>
    <w:p>
      <w:pPr>
        <w:tabs>
          <w:tab w:val="left" w:pos="3870"/>
          <w:tab w:val="left" w:pos="4085"/>
        </w:tabs>
        <w:snapToGrid w:val="0"/>
        <w:spacing w:line="360" w:lineRule="exact"/>
        <w:ind w:firstLine="482" w:firstLineChars="200"/>
        <w:jc w:val="left"/>
        <w:rPr>
          <w:rFonts w:ascii="宋体" w:hAnsi="宋体"/>
          <w:b/>
          <w:sz w:val="24"/>
        </w:rPr>
      </w:pPr>
    </w:p>
    <w:p>
      <w:pPr>
        <w:tabs>
          <w:tab w:val="left" w:pos="3870"/>
          <w:tab w:val="left" w:pos="4085"/>
        </w:tabs>
        <w:snapToGrid w:val="0"/>
        <w:spacing w:line="360" w:lineRule="exact"/>
        <w:ind w:firstLine="482" w:firstLineChars="200"/>
        <w:jc w:val="left"/>
        <w:rPr>
          <w:rFonts w:ascii="宋体" w:hAnsi="宋体"/>
          <w:b/>
          <w:sz w:val="24"/>
        </w:rPr>
      </w:pPr>
    </w:p>
    <w:p>
      <w:pPr>
        <w:tabs>
          <w:tab w:val="left" w:pos="3870"/>
          <w:tab w:val="left" w:pos="4085"/>
        </w:tabs>
        <w:snapToGrid w:val="0"/>
        <w:spacing w:line="360" w:lineRule="exact"/>
        <w:ind w:firstLine="482" w:firstLineChars="200"/>
        <w:jc w:val="left"/>
        <w:rPr>
          <w:rFonts w:ascii="宋体" w:hAnsi="宋体"/>
          <w:b/>
          <w:sz w:val="24"/>
        </w:rPr>
      </w:pPr>
    </w:p>
    <w:p>
      <w:pPr>
        <w:snapToGrid w:val="0"/>
        <w:spacing w:line="360" w:lineRule="auto"/>
        <w:ind w:firstLine="411" w:firstLineChars="196"/>
        <w:jc w:val="left"/>
        <w:rPr>
          <w:rFonts w:ascii="宋体" w:hAnsi="宋体"/>
          <w:szCs w:val="21"/>
        </w:rPr>
      </w:pPr>
    </w:p>
    <w:p>
      <w:pPr>
        <w:snapToGrid w:val="0"/>
        <w:spacing w:line="360" w:lineRule="auto"/>
        <w:ind w:firstLine="551" w:firstLineChars="196"/>
        <w:jc w:val="left"/>
        <w:rPr>
          <w:rFonts w:ascii="宋体" w:hAnsi="宋体"/>
          <w:b/>
          <w:sz w:val="28"/>
          <w:szCs w:val="28"/>
        </w:rPr>
      </w:pPr>
      <w:r>
        <w:rPr>
          <w:rFonts w:hint="eastAsia" w:ascii="宋体" w:hAnsi="宋体"/>
          <w:b/>
          <w:sz w:val="28"/>
          <w:szCs w:val="28"/>
        </w:rPr>
        <w:t>十二、投标人的荣誉、</w:t>
      </w:r>
      <w:r>
        <w:rPr>
          <w:rFonts w:hint="eastAsia" w:ascii="宋体" w:hAnsi="宋体"/>
          <w:b/>
          <w:bCs/>
          <w:sz w:val="28"/>
          <w:szCs w:val="28"/>
        </w:rPr>
        <w:t>信誉</w:t>
      </w:r>
      <w:r>
        <w:rPr>
          <w:rFonts w:hint="eastAsia" w:ascii="宋体" w:hAnsi="宋体"/>
          <w:b/>
          <w:sz w:val="28"/>
          <w:szCs w:val="28"/>
        </w:rPr>
        <w:t>证书或文件</w:t>
      </w:r>
      <w:r>
        <w:rPr>
          <w:rFonts w:hint="eastAsia" w:ascii="宋体" w:hAnsi="宋体"/>
          <w:b/>
          <w:bCs/>
          <w:sz w:val="28"/>
          <w:szCs w:val="28"/>
        </w:rPr>
        <w:t>（如有）；</w:t>
      </w:r>
    </w:p>
    <w:p>
      <w:pPr>
        <w:spacing w:line="360" w:lineRule="auto"/>
        <w:ind w:firstLine="562" w:firstLineChars="200"/>
        <w:rPr>
          <w:rFonts w:ascii="宋体" w:hAnsi="宋体"/>
          <w:b/>
          <w:sz w:val="28"/>
          <w:szCs w:val="28"/>
        </w:rPr>
      </w:pPr>
    </w:p>
    <w:p>
      <w:pPr>
        <w:spacing w:line="360" w:lineRule="auto"/>
        <w:ind w:firstLine="562" w:firstLineChars="200"/>
        <w:rPr>
          <w:rFonts w:ascii="宋体" w:hAnsi="宋体" w:cs="Arial"/>
          <w:b/>
          <w:sz w:val="28"/>
          <w:szCs w:val="28"/>
        </w:rPr>
      </w:pPr>
      <w:r>
        <w:rPr>
          <w:rFonts w:hint="eastAsia" w:ascii="宋体" w:hAnsi="宋体"/>
          <w:b/>
          <w:sz w:val="28"/>
          <w:szCs w:val="28"/>
        </w:rPr>
        <w:t>十三、投标人认为可以证明其能力或业绩的其他材料</w:t>
      </w:r>
      <w:r>
        <w:rPr>
          <w:rFonts w:hint="eastAsia" w:ascii="宋体" w:hAnsi="宋体" w:cs="Arial"/>
          <w:b/>
          <w:sz w:val="28"/>
          <w:szCs w:val="28"/>
        </w:rPr>
        <w:t>；</w:t>
      </w:r>
    </w:p>
    <w:p>
      <w:pPr>
        <w:tabs>
          <w:tab w:val="left" w:pos="3870"/>
          <w:tab w:val="left" w:pos="4085"/>
        </w:tabs>
        <w:snapToGrid w:val="0"/>
        <w:spacing w:line="360" w:lineRule="exact"/>
        <w:ind w:firstLine="562" w:firstLineChars="200"/>
        <w:jc w:val="left"/>
        <w:rPr>
          <w:rFonts w:ascii="宋体" w:hAnsi="宋体"/>
          <w:b/>
          <w:sz w:val="28"/>
          <w:szCs w:val="28"/>
        </w:rPr>
      </w:pPr>
    </w:p>
    <w:p>
      <w:pPr>
        <w:tabs>
          <w:tab w:val="left" w:pos="3870"/>
          <w:tab w:val="left" w:pos="4085"/>
        </w:tabs>
        <w:snapToGrid w:val="0"/>
        <w:spacing w:line="360" w:lineRule="exact"/>
        <w:ind w:firstLine="562" w:firstLineChars="200"/>
        <w:jc w:val="left"/>
        <w:rPr>
          <w:rFonts w:ascii="宋体" w:hAnsi="宋体"/>
          <w:b/>
          <w:sz w:val="28"/>
          <w:szCs w:val="28"/>
        </w:rPr>
      </w:pPr>
    </w:p>
    <w:p>
      <w:pPr>
        <w:snapToGrid w:val="0"/>
        <w:spacing w:line="360" w:lineRule="auto"/>
        <w:ind w:firstLine="551" w:firstLineChars="196"/>
        <w:jc w:val="left"/>
        <w:rPr>
          <w:rFonts w:ascii="宋体" w:hAnsi="宋体"/>
          <w:b/>
          <w:sz w:val="28"/>
          <w:szCs w:val="28"/>
        </w:rPr>
      </w:pPr>
      <w:r>
        <w:rPr>
          <w:rFonts w:hint="eastAsia" w:ascii="宋体" w:hAnsi="宋体"/>
          <w:b/>
          <w:sz w:val="28"/>
          <w:szCs w:val="28"/>
        </w:rPr>
        <w:t>十四、本项目技术及组织实施方案；</w:t>
      </w:r>
    </w:p>
    <w:p>
      <w:pPr>
        <w:snapToGrid w:val="0"/>
        <w:spacing w:line="360" w:lineRule="auto"/>
        <w:ind w:firstLine="551" w:firstLineChars="196"/>
        <w:jc w:val="left"/>
        <w:rPr>
          <w:rFonts w:ascii="宋体" w:hAnsi="宋体"/>
          <w:b/>
          <w:sz w:val="28"/>
          <w:szCs w:val="28"/>
        </w:rPr>
      </w:pPr>
    </w:p>
    <w:p>
      <w:pPr>
        <w:snapToGrid w:val="0"/>
        <w:spacing w:line="360" w:lineRule="auto"/>
        <w:ind w:firstLine="551" w:firstLineChars="196"/>
        <w:jc w:val="left"/>
        <w:rPr>
          <w:rFonts w:ascii="宋体" w:hAnsi="宋体"/>
          <w:b/>
          <w:sz w:val="28"/>
          <w:szCs w:val="28"/>
        </w:rPr>
      </w:pPr>
      <w:r>
        <w:rPr>
          <w:rFonts w:hint="eastAsia" w:ascii="宋体" w:hAnsi="宋体"/>
          <w:b/>
          <w:sz w:val="28"/>
          <w:szCs w:val="28"/>
        </w:rPr>
        <w:t>十五、针对本项目实施提出的合理化建议</w:t>
      </w:r>
    </w:p>
    <w:p>
      <w:pPr>
        <w:snapToGrid w:val="0"/>
        <w:spacing w:line="360" w:lineRule="auto"/>
        <w:ind w:firstLine="411" w:firstLineChars="196"/>
        <w:jc w:val="left"/>
        <w:rPr>
          <w:rFonts w:ascii="宋体" w:hAnsi="宋体"/>
          <w:szCs w:val="21"/>
        </w:rPr>
      </w:pPr>
    </w:p>
    <w:p>
      <w:pPr>
        <w:snapToGrid w:val="0"/>
        <w:spacing w:line="360" w:lineRule="auto"/>
        <w:ind w:firstLine="551" w:firstLineChars="196"/>
        <w:jc w:val="left"/>
        <w:rPr>
          <w:rFonts w:ascii="宋体" w:hAnsi="宋体"/>
          <w:b/>
          <w:sz w:val="28"/>
          <w:szCs w:val="28"/>
        </w:rPr>
      </w:pPr>
      <w:r>
        <w:rPr>
          <w:rFonts w:hint="eastAsia" w:ascii="宋体" w:hAnsi="宋体"/>
          <w:b/>
          <w:sz w:val="28"/>
          <w:szCs w:val="28"/>
        </w:rPr>
        <w:t>十六、项目质量控制措施和服务承诺；</w:t>
      </w:r>
    </w:p>
    <w:p>
      <w:pPr>
        <w:snapToGrid w:val="0"/>
        <w:spacing w:line="360" w:lineRule="auto"/>
        <w:ind w:firstLine="551" w:firstLineChars="196"/>
        <w:jc w:val="left"/>
        <w:rPr>
          <w:rFonts w:ascii="宋体" w:hAnsi="宋体"/>
          <w:b/>
          <w:sz w:val="28"/>
          <w:szCs w:val="28"/>
        </w:rPr>
      </w:pPr>
    </w:p>
    <w:p>
      <w:pPr>
        <w:snapToGrid w:val="0"/>
        <w:spacing w:line="360" w:lineRule="auto"/>
        <w:ind w:firstLine="551" w:firstLineChars="196"/>
        <w:jc w:val="left"/>
        <w:rPr>
          <w:rFonts w:ascii="宋体" w:hAnsi="宋体"/>
          <w:b/>
          <w:sz w:val="28"/>
          <w:szCs w:val="28"/>
        </w:rPr>
      </w:pPr>
      <w:r>
        <w:rPr>
          <w:rFonts w:hint="eastAsia" w:ascii="宋体" w:hAnsi="宋体"/>
          <w:b/>
          <w:sz w:val="28"/>
          <w:szCs w:val="28"/>
        </w:rPr>
        <w:t>十七、竞争性磋商文件有规定而无格式的资料和文件</w:t>
      </w:r>
    </w:p>
    <w:p>
      <w:pPr>
        <w:snapToGrid w:val="0"/>
        <w:spacing w:line="360" w:lineRule="auto"/>
        <w:ind w:firstLine="551" w:firstLineChars="196"/>
        <w:jc w:val="left"/>
        <w:rPr>
          <w:rFonts w:ascii="宋体" w:hAnsi="宋体"/>
          <w:b/>
          <w:sz w:val="28"/>
          <w:szCs w:val="28"/>
        </w:rPr>
      </w:pPr>
    </w:p>
    <w:p>
      <w:pPr>
        <w:snapToGrid w:val="0"/>
        <w:spacing w:line="360" w:lineRule="auto"/>
        <w:ind w:firstLine="551" w:firstLineChars="196"/>
        <w:jc w:val="left"/>
        <w:rPr>
          <w:rFonts w:ascii="宋体" w:hAnsi="宋体"/>
          <w:b/>
          <w:sz w:val="28"/>
          <w:szCs w:val="28"/>
        </w:rPr>
      </w:pPr>
      <w:r>
        <w:rPr>
          <w:rFonts w:hint="eastAsia" w:ascii="宋体" w:hAnsi="宋体"/>
          <w:b/>
          <w:sz w:val="28"/>
          <w:szCs w:val="28"/>
        </w:rPr>
        <w:t>十八、供应商认为需要提供的其他资料和文件</w:t>
      </w:r>
    </w:p>
    <w:p>
      <w:pPr>
        <w:tabs>
          <w:tab w:val="left" w:pos="3870"/>
          <w:tab w:val="left" w:pos="4085"/>
        </w:tabs>
        <w:snapToGrid w:val="0"/>
        <w:spacing w:line="360" w:lineRule="exact"/>
        <w:ind w:firstLine="482" w:firstLineChars="200"/>
        <w:jc w:val="left"/>
        <w:rPr>
          <w:rFonts w:ascii="宋体" w:hAnsi="宋体"/>
          <w:b/>
          <w:sz w:val="24"/>
        </w:rPr>
      </w:pPr>
    </w:p>
    <w:p>
      <w:pPr>
        <w:tabs>
          <w:tab w:val="left" w:pos="3870"/>
          <w:tab w:val="left" w:pos="4085"/>
        </w:tabs>
        <w:snapToGrid w:val="0"/>
        <w:spacing w:line="360" w:lineRule="exact"/>
        <w:ind w:firstLine="482" w:firstLineChars="200"/>
        <w:jc w:val="left"/>
        <w:rPr>
          <w:rFonts w:ascii="宋体" w:hAnsi="宋体"/>
          <w:b/>
          <w:sz w:val="24"/>
        </w:rPr>
      </w:pPr>
    </w:p>
    <w:p>
      <w:pPr>
        <w:tabs>
          <w:tab w:val="left" w:pos="3870"/>
          <w:tab w:val="left" w:pos="4085"/>
        </w:tabs>
        <w:snapToGrid w:val="0"/>
        <w:spacing w:line="360" w:lineRule="exact"/>
        <w:ind w:firstLine="643" w:firstLineChars="200"/>
        <w:jc w:val="center"/>
        <w:rPr>
          <w:rFonts w:ascii="宋体" w:hAnsi="宋体"/>
          <w:b/>
          <w:sz w:val="32"/>
          <w:szCs w:val="32"/>
        </w:rPr>
      </w:pPr>
    </w:p>
    <w:p>
      <w:pPr>
        <w:tabs>
          <w:tab w:val="left" w:pos="3870"/>
          <w:tab w:val="left" w:pos="4085"/>
        </w:tabs>
        <w:snapToGrid w:val="0"/>
        <w:spacing w:line="360" w:lineRule="exact"/>
        <w:ind w:firstLine="643" w:firstLineChars="200"/>
        <w:jc w:val="center"/>
        <w:rPr>
          <w:rFonts w:ascii="宋体" w:hAnsi="宋体"/>
          <w:b/>
          <w:sz w:val="32"/>
          <w:szCs w:val="32"/>
        </w:rPr>
      </w:pPr>
    </w:p>
    <w:p>
      <w:pPr>
        <w:tabs>
          <w:tab w:val="left" w:pos="3870"/>
          <w:tab w:val="left" w:pos="4085"/>
        </w:tabs>
        <w:snapToGrid w:val="0"/>
        <w:spacing w:line="360" w:lineRule="exact"/>
        <w:ind w:firstLine="643" w:firstLineChars="200"/>
        <w:jc w:val="center"/>
        <w:rPr>
          <w:rFonts w:ascii="宋体" w:hAnsi="宋体"/>
          <w:b/>
          <w:sz w:val="32"/>
          <w:szCs w:val="32"/>
        </w:rPr>
      </w:pPr>
    </w:p>
    <w:p>
      <w:pPr>
        <w:tabs>
          <w:tab w:val="left" w:pos="3870"/>
          <w:tab w:val="left" w:pos="4085"/>
        </w:tabs>
        <w:snapToGrid w:val="0"/>
        <w:spacing w:line="360" w:lineRule="exact"/>
        <w:ind w:firstLine="643" w:firstLineChars="200"/>
        <w:jc w:val="center"/>
        <w:rPr>
          <w:rFonts w:ascii="宋体" w:hAnsi="宋体"/>
          <w:b/>
          <w:sz w:val="32"/>
          <w:szCs w:val="32"/>
        </w:rPr>
      </w:pPr>
    </w:p>
    <w:p>
      <w:pPr>
        <w:tabs>
          <w:tab w:val="left" w:pos="3870"/>
          <w:tab w:val="left" w:pos="4085"/>
        </w:tabs>
        <w:snapToGrid w:val="0"/>
        <w:spacing w:line="360" w:lineRule="exact"/>
        <w:ind w:firstLine="643" w:firstLineChars="200"/>
        <w:jc w:val="center"/>
        <w:rPr>
          <w:rFonts w:ascii="宋体" w:hAnsi="宋体"/>
          <w:b/>
          <w:sz w:val="32"/>
          <w:szCs w:val="32"/>
        </w:rPr>
      </w:pPr>
    </w:p>
    <w:p>
      <w:pPr>
        <w:tabs>
          <w:tab w:val="left" w:pos="3870"/>
          <w:tab w:val="left" w:pos="4085"/>
        </w:tabs>
        <w:snapToGrid w:val="0"/>
        <w:spacing w:line="360" w:lineRule="exact"/>
        <w:ind w:firstLine="643" w:firstLineChars="200"/>
        <w:jc w:val="center"/>
        <w:rPr>
          <w:rFonts w:ascii="宋体" w:hAnsi="宋体"/>
          <w:b/>
          <w:sz w:val="32"/>
          <w:szCs w:val="32"/>
        </w:rPr>
      </w:pPr>
    </w:p>
    <w:p>
      <w:pPr>
        <w:tabs>
          <w:tab w:val="left" w:pos="3870"/>
          <w:tab w:val="left" w:pos="4085"/>
        </w:tabs>
        <w:snapToGrid w:val="0"/>
        <w:spacing w:line="360" w:lineRule="exact"/>
        <w:ind w:firstLine="643" w:firstLineChars="200"/>
        <w:jc w:val="center"/>
        <w:rPr>
          <w:rFonts w:ascii="宋体" w:hAnsi="宋体"/>
          <w:b/>
          <w:sz w:val="32"/>
          <w:szCs w:val="32"/>
        </w:rPr>
      </w:pPr>
    </w:p>
    <w:p>
      <w:pPr>
        <w:tabs>
          <w:tab w:val="left" w:pos="3870"/>
          <w:tab w:val="left" w:pos="4085"/>
        </w:tabs>
        <w:snapToGrid w:val="0"/>
        <w:spacing w:line="360" w:lineRule="exact"/>
        <w:ind w:firstLine="643" w:firstLineChars="200"/>
        <w:jc w:val="center"/>
        <w:rPr>
          <w:rFonts w:ascii="宋体" w:hAnsi="宋体"/>
          <w:b/>
          <w:sz w:val="32"/>
          <w:szCs w:val="32"/>
        </w:rPr>
      </w:pPr>
    </w:p>
    <w:p>
      <w:pPr>
        <w:tabs>
          <w:tab w:val="left" w:pos="3870"/>
          <w:tab w:val="left" w:pos="4085"/>
        </w:tabs>
        <w:snapToGrid w:val="0"/>
        <w:spacing w:line="360" w:lineRule="exact"/>
        <w:ind w:firstLine="643" w:firstLineChars="200"/>
        <w:jc w:val="center"/>
        <w:rPr>
          <w:rFonts w:ascii="宋体" w:hAnsi="宋体"/>
          <w:b/>
          <w:sz w:val="32"/>
          <w:szCs w:val="32"/>
        </w:rPr>
      </w:pPr>
    </w:p>
    <w:p>
      <w:pPr>
        <w:tabs>
          <w:tab w:val="left" w:pos="3870"/>
          <w:tab w:val="left" w:pos="4085"/>
        </w:tabs>
        <w:snapToGrid w:val="0"/>
        <w:spacing w:line="360" w:lineRule="exact"/>
        <w:ind w:firstLine="643" w:firstLineChars="200"/>
        <w:jc w:val="center"/>
        <w:rPr>
          <w:rFonts w:ascii="宋体" w:hAnsi="宋体"/>
          <w:b/>
          <w:sz w:val="32"/>
          <w:szCs w:val="32"/>
        </w:rPr>
      </w:pPr>
    </w:p>
    <w:p>
      <w:pPr>
        <w:tabs>
          <w:tab w:val="left" w:pos="3870"/>
          <w:tab w:val="left" w:pos="4085"/>
        </w:tabs>
        <w:snapToGrid w:val="0"/>
        <w:spacing w:line="360" w:lineRule="exact"/>
        <w:ind w:firstLine="643" w:firstLineChars="200"/>
        <w:jc w:val="center"/>
        <w:rPr>
          <w:rFonts w:ascii="宋体" w:hAnsi="宋体"/>
          <w:b/>
          <w:sz w:val="32"/>
          <w:szCs w:val="32"/>
        </w:rPr>
      </w:pPr>
    </w:p>
    <w:p>
      <w:pPr>
        <w:tabs>
          <w:tab w:val="left" w:pos="3870"/>
          <w:tab w:val="left" w:pos="4085"/>
        </w:tabs>
        <w:snapToGrid w:val="0"/>
        <w:spacing w:line="360" w:lineRule="exact"/>
        <w:ind w:firstLine="643" w:firstLineChars="200"/>
        <w:jc w:val="center"/>
        <w:rPr>
          <w:rFonts w:ascii="宋体" w:hAnsi="宋体"/>
          <w:b/>
          <w:sz w:val="32"/>
          <w:szCs w:val="32"/>
        </w:rPr>
      </w:pPr>
    </w:p>
    <w:sectPr>
      <w:pgSz w:w="11906" w:h="16838"/>
      <w:pgMar w:top="1440" w:right="1588" w:bottom="1440" w:left="1588" w:header="851" w:footer="851"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center" w:y="1"/>
      <w:rPr>
        <w:rStyle w:val="38"/>
      </w:rPr>
    </w:pPr>
    <w:r>
      <w:fldChar w:fldCharType="begin"/>
    </w:r>
    <w:r>
      <w:rPr>
        <w:rStyle w:val="38"/>
      </w:rPr>
      <w:instrText xml:space="preserve">PAGE  </w:instrText>
    </w:r>
    <w:r>
      <w:fldChar w:fldCharType="separate"/>
    </w:r>
    <w:r>
      <w:rPr>
        <w:rStyle w:val="38"/>
      </w:rPr>
      <w:t>- 29 -</w:t>
    </w:r>
    <w:r>
      <w:fldChar w:fldCharType="end"/>
    </w:r>
  </w:p>
  <w:p>
    <w:pPr>
      <w:pStyle w:val="23"/>
      <w:framePr w:wrap="around" w:vAnchor="text" w:hAnchor="page" w:x="5560" w:y="261"/>
      <w:ind w:firstLine="360" w:firstLineChars="200"/>
      <w:jc w:val="center"/>
      <w:rPr>
        <w:rStyle w:val="38"/>
      </w:rPr>
    </w:pPr>
  </w:p>
  <w:p>
    <w:pPr>
      <w:pStyle w:val="23"/>
      <w:ind w:left="-199" w:leftChars="-95" w:right="-220" w:rightChars="-105"/>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center" w:y="1"/>
      <w:rPr>
        <w:rStyle w:val="38"/>
      </w:rPr>
    </w:pPr>
    <w:r>
      <w:fldChar w:fldCharType="begin"/>
    </w:r>
    <w:r>
      <w:rPr>
        <w:rStyle w:val="38"/>
      </w:rPr>
      <w:instrText xml:space="preserve">PAGE  </w:instrText>
    </w:r>
    <w:r>
      <w:fldChar w:fldCharType="end"/>
    </w:r>
  </w:p>
  <w:p>
    <w:pPr>
      <w:pStyle w:val="23"/>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tabs>
        <w:tab w:val="right" w:pos="8400"/>
        <w:tab w:val="clear" w:pos="8306"/>
      </w:tabs>
      <w:rPr>
        <w:sz w:val="16"/>
        <w:szCs w:val="16"/>
        <w:u w:val="single"/>
      </w:rPr>
    </w:pPr>
    <w:r>
      <w:rPr>
        <w:rFonts w:hint="eastAsia" w:ascii="宋体" w:hAnsi="宋体"/>
        <w:b/>
        <w:sz w:val="24"/>
        <w:szCs w:val="24"/>
        <w:u w:val="single"/>
      </w:rPr>
      <w:t>长兴县太湖高级中学综合管理平台系统采购项目</w:t>
    </w:r>
    <w:r>
      <w:rPr>
        <w:rStyle w:val="38"/>
        <w:rFonts w:hint="eastAsia"/>
        <w:b/>
        <w:sz w:val="24"/>
        <w:szCs w:val="22"/>
        <w:u w:val="single"/>
      </w:rPr>
      <w:t>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71D3F78"/>
    <w:multiLevelType w:val="singleLevel"/>
    <w:tmpl w:val="971D3F78"/>
    <w:lvl w:ilvl="0" w:tentative="0">
      <w:start w:val="7"/>
      <w:numFmt w:val="decimal"/>
      <w:lvlText w:val="%1."/>
      <w:lvlJc w:val="left"/>
      <w:pPr>
        <w:tabs>
          <w:tab w:val="left" w:pos="312"/>
        </w:tabs>
      </w:pPr>
    </w:lvl>
  </w:abstractNum>
  <w:abstractNum w:abstractNumId="1">
    <w:nsid w:val="A119FE62"/>
    <w:multiLevelType w:val="singleLevel"/>
    <w:tmpl w:val="A119FE62"/>
    <w:lvl w:ilvl="0" w:tentative="0">
      <w:start w:val="15"/>
      <w:numFmt w:val="decimal"/>
      <w:lvlText w:val="%1."/>
      <w:lvlJc w:val="left"/>
      <w:pPr>
        <w:tabs>
          <w:tab w:val="left" w:pos="312"/>
        </w:tabs>
      </w:pPr>
    </w:lvl>
  </w:abstractNum>
  <w:abstractNum w:abstractNumId="2">
    <w:nsid w:val="A5F0A76D"/>
    <w:multiLevelType w:val="singleLevel"/>
    <w:tmpl w:val="A5F0A76D"/>
    <w:lvl w:ilvl="0" w:tentative="0">
      <w:start w:val="1"/>
      <w:numFmt w:val="decimal"/>
      <w:lvlText w:val="%1."/>
      <w:lvlJc w:val="left"/>
      <w:pPr>
        <w:tabs>
          <w:tab w:val="left" w:pos="312"/>
        </w:tabs>
      </w:pPr>
    </w:lvl>
  </w:abstractNum>
  <w:abstractNum w:abstractNumId="3">
    <w:nsid w:val="CA7AD4F2"/>
    <w:multiLevelType w:val="singleLevel"/>
    <w:tmpl w:val="CA7AD4F2"/>
    <w:lvl w:ilvl="0" w:tentative="0">
      <w:start w:val="1"/>
      <w:numFmt w:val="decimal"/>
      <w:lvlText w:val="%1."/>
      <w:lvlJc w:val="left"/>
      <w:pPr>
        <w:tabs>
          <w:tab w:val="left" w:pos="312"/>
        </w:tabs>
      </w:pPr>
    </w:lvl>
  </w:abstractNum>
  <w:abstractNum w:abstractNumId="4">
    <w:nsid w:val="FF4ADF47"/>
    <w:multiLevelType w:val="multilevel"/>
    <w:tmpl w:val="FF4ADF47"/>
    <w:lvl w:ilvl="0" w:tentative="0">
      <w:start w:val="1"/>
      <w:numFmt w:val="decimal"/>
      <w:lvlText w:val="%1."/>
      <w:lvlJc w:val="left"/>
      <w:pPr>
        <w:tabs>
          <w:tab w:val="left" w:pos="312"/>
        </w:tabs>
      </w:pPr>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5">
    <w:nsid w:val="0000000C"/>
    <w:multiLevelType w:val="singleLevel"/>
    <w:tmpl w:val="0000000C"/>
    <w:lvl w:ilvl="0" w:tentative="0">
      <w:start w:val="1"/>
      <w:numFmt w:val="decimal"/>
      <w:lvlText w:val="%1)"/>
      <w:lvlJc w:val="left"/>
      <w:pPr>
        <w:tabs>
          <w:tab w:val="left" w:pos="425"/>
        </w:tabs>
        <w:ind w:left="425" w:hanging="425"/>
      </w:pPr>
      <w:rPr>
        <w:rFonts w:hint="default"/>
      </w:rPr>
    </w:lvl>
  </w:abstractNum>
  <w:abstractNum w:abstractNumId="6">
    <w:nsid w:val="2BF68132"/>
    <w:multiLevelType w:val="singleLevel"/>
    <w:tmpl w:val="2BF68132"/>
    <w:lvl w:ilvl="0" w:tentative="0">
      <w:start w:val="1"/>
      <w:numFmt w:val="decimal"/>
      <w:suff w:val="nothing"/>
      <w:lvlText w:val="%1、"/>
      <w:lvlJc w:val="left"/>
    </w:lvl>
  </w:abstractNum>
  <w:abstractNum w:abstractNumId="7">
    <w:nsid w:val="2EB7E664"/>
    <w:multiLevelType w:val="singleLevel"/>
    <w:tmpl w:val="2EB7E664"/>
    <w:lvl w:ilvl="0" w:tentative="0">
      <w:start w:val="1"/>
      <w:numFmt w:val="decimal"/>
      <w:lvlText w:val="%1."/>
      <w:lvlJc w:val="left"/>
      <w:pPr>
        <w:tabs>
          <w:tab w:val="left" w:pos="312"/>
        </w:tabs>
      </w:pPr>
    </w:lvl>
  </w:abstractNum>
  <w:abstractNum w:abstractNumId="8">
    <w:nsid w:val="36B2497F"/>
    <w:multiLevelType w:val="singleLevel"/>
    <w:tmpl w:val="36B2497F"/>
    <w:lvl w:ilvl="0" w:tentative="0">
      <w:start w:val="2"/>
      <w:numFmt w:val="decimal"/>
      <w:lvlText w:val="%1."/>
      <w:lvlJc w:val="left"/>
      <w:pPr>
        <w:tabs>
          <w:tab w:val="left" w:pos="312"/>
        </w:tabs>
      </w:pPr>
    </w:lvl>
  </w:abstractNum>
  <w:abstractNum w:abstractNumId="9">
    <w:nsid w:val="550A87E4"/>
    <w:multiLevelType w:val="singleLevel"/>
    <w:tmpl w:val="550A87E4"/>
    <w:lvl w:ilvl="0" w:tentative="0">
      <w:start w:val="2"/>
      <w:numFmt w:val="decimal"/>
      <w:suff w:val="nothing"/>
      <w:lvlText w:val="（%1）"/>
      <w:lvlJc w:val="left"/>
    </w:lvl>
  </w:abstractNum>
  <w:abstractNum w:abstractNumId="10">
    <w:nsid w:val="550A89AC"/>
    <w:multiLevelType w:val="singleLevel"/>
    <w:tmpl w:val="550A89AC"/>
    <w:lvl w:ilvl="0" w:tentative="0">
      <w:start w:val="2"/>
      <w:numFmt w:val="chineseCounting"/>
      <w:suff w:val="nothing"/>
      <w:lvlText w:val="%1、"/>
      <w:lvlJc w:val="left"/>
    </w:lvl>
  </w:abstractNum>
  <w:abstractNum w:abstractNumId="11">
    <w:nsid w:val="68E765E0"/>
    <w:multiLevelType w:val="singleLevel"/>
    <w:tmpl w:val="68E765E0"/>
    <w:lvl w:ilvl="0" w:tentative="0">
      <w:start w:val="1"/>
      <w:numFmt w:val="chineseCounting"/>
      <w:suff w:val="nothing"/>
      <w:lvlText w:val="%1、"/>
      <w:lvlJc w:val="left"/>
      <w:rPr>
        <w:rFonts w:hint="eastAsia"/>
      </w:rPr>
    </w:lvl>
  </w:abstractNum>
  <w:num w:numId="1">
    <w:abstractNumId w:val="5"/>
  </w:num>
  <w:num w:numId="2">
    <w:abstractNumId w:val="11"/>
  </w:num>
  <w:num w:numId="3">
    <w:abstractNumId w:val="7"/>
  </w:num>
  <w:num w:numId="4">
    <w:abstractNumId w:val="2"/>
  </w:num>
  <w:num w:numId="5">
    <w:abstractNumId w:val="0"/>
  </w:num>
  <w:num w:numId="6">
    <w:abstractNumId w:val="3"/>
  </w:num>
  <w:num w:numId="7">
    <w:abstractNumId w:val="1"/>
  </w:num>
  <w:num w:numId="8">
    <w:abstractNumId w:val="9"/>
  </w:num>
  <w:num w:numId="9">
    <w:abstractNumId w:val="6"/>
  </w:num>
  <w:num w:numId="10">
    <w:abstractNumId w:val="4"/>
  </w:num>
  <w:num w:numId="11">
    <w:abstractNumId w:val="8"/>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749C"/>
    <w:rsid w:val="00007EFA"/>
    <w:rsid w:val="000115A3"/>
    <w:rsid w:val="00011749"/>
    <w:rsid w:val="000233B7"/>
    <w:rsid w:val="00031E08"/>
    <w:rsid w:val="0003357E"/>
    <w:rsid w:val="00037BEA"/>
    <w:rsid w:val="000406A1"/>
    <w:rsid w:val="00040DF9"/>
    <w:rsid w:val="00045825"/>
    <w:rsid w:val="000522BA"/>
    <w:rsid w:val="0005286D"/>
    <w:rsid w:val="000542B0"/>
    <w:rsid w:val="00064AD4"/>
    <w:rsid w:val="00065C5A"/>
    <w:rsid w:val="000721B4"/>
    <w:rsid w:val="00076A5C"/>
    <w:rsid w:val="00081D33"/>
    <w:rsid w:val="00083290"/>
    <w:rsid w:val="00084A5D"/>
    <w:rsid w:val="00084BF7"/>
    <w:rsid w:val="00086335"/>
    <w:rsid w:val="000907D8"/>
    <w:rsid w:val="00095118"/>
    <w:rsid w:val="000974D3"/>
    <w:rsid w:val="00097E1C"/>
    <w:rsid w:val="000A2B2A"/>
    <w:rsid w:val="000A4B94"/>
    <w:rsid w:val="000B212A"/>
    <w:rsid w:val="000B6CAC"/>
    <w:rsid w:val="000C06C6"/>
    <w:rsid w:val="000C0718"/>
    <w:rsid w:val="000C56C9"/>
    <w:rsid w:val="000C5DFD"/>
    <w:rsid w:val="000C6A73"/>
    <w:rsid w:val="000D2ED1"/>
    <w:rsid w:val="000F1310"/>
    <w:rsid w:val="000F3341"/>
    <w:rsid w:val="00100418"/>
    <w:rsid w:val="00101022"/>
    <w:rsid w:val="00101B56"/>
    <w:rsid w:val="001023B4"/>
    <w:rsid w:val="00103226"/>
    <w:rsid w:val="00111ADB"/>
    <w:rsid w:val="00112BD3"/>
    <w:rsid w:val="00117D14"/>
    <w:rsid w:val="00117F15"/>
    <w:rsid w:val="001231BA"/>
    <w:rsid w:val="001467FB"/>
    <w:rsid w:val="00150CA7"/>
    <w:rsid w:val="00151ECC"/>
    <w:rsid w:val="00157A25"/>
    <w:rsid w:val="00172A27"/>
    <w:rsid w:val="00173E89"/>
    <w:rsid w:val="001830D4"/>
    <w:rsid w:val="00183435"/>
    <w:rsid w:val="00191D1A"/>
    <w:rsid w:val="00197960"/>
    <w:rsid w:val="001A2F57"/>
    <w:rsid w:val="001A4B11"/>
    <w:rsid w:val="001A5954"/>
    <w:rsid w:val="001B05C6"/>
    <w:rsid w:val="001B2B95"/>
    <w:rsid w:val="001B4825"/>
    <w:rsid w:val="001C2675"/>
    <w:rsid w:val="001C3812"/>
    <w:rsid w:val="001D36E7"/>
    <w:rsid w:val="001D42B7"/>
    <w:rsid w:val="001E2B42"/>
    <w:rsid w:val="001F0729"/>
    <w:rsid w:val="001F4BCC"/>
    <w:rsid w:val="002021A7"/>
    <w:rsid w:val="00202EE2"/>
    <w:rsid w:val="00207ECD"/>
    <w:rsid w:val="0021330B"/>
    <w:rsid w:val="00213EDD"/>
    <w:rsid w:val="00214AE1"/>
    <w:rsid w:val="00215B2C"/>
    <w:rsid w:val="00220017"/>
    <w:rsid w:val="00223472"/>
    <w:rsid w:val="00234E67"/>
    <w:rsid w:val="002420E4"/>
    <w:rsid w:val="00254AC1"/>
    <w:rsid w:val="00263A30"/>
    <w:rsid w:val="00263A71"/>
    <w:rsid w:val="002813C2"/>
    <w:rsid w:val="00281CCF"/>
    <w:rsid w:val="00281D8D"/>
    <w:rsid w:val="0028545C"/>
    <w:rsid w:val="00285D36"/>
    <w:rsid w:val="002920F5"/>
    <w:rsid w:val="002A0DAB"/>
    <w:rsid w:val="002A2DAC"/>
    <w:rsid w:val="002B2CDC"/>
    <w:rsid w:val="002C3E2C"/>
    <w:rsid w:val="002C705D"/>
    <w:rsid w:val="002D2B21"/>
    <w:rsid w:val="002D7D17"/>
    <w:rsid w:val="002F30D3"/>
    <w:rsid w:val="00326621"/>
    <w:rsid w:val="00326CA1"/>
    <w:rsid w:val="00332414"/>
    <w:rsid w:val="0034566B"/>
    <w:rsid w:val="0034709E"/>
    <w:rsid w:val="00351520"/>
    <w:rsid w:val="00353A1D"/>
    <w:rsid w:val="00357C2C"/>
    <w:rsid w:val="00360EAA"/>
    <w:rsid w:val="003709F4"/>
    <w:rsid w:val="003711DF"/>
    <w:rsid w:val="0037340C"/>
    <w:rsid w:val="0037764A"/>
    <w:rsid w:val="00385179"/>
    <w:rsid w:val="0038753F"/>
    <w:rsid w:val="003876B8"/>
    <w:rsid w:val="003914A6"/>
    <w:rsid w:val="00395D7C"/>
    <w:rsid w:val="003976BD"/>
    <w:rsid w:val="003A2E40"/>
    <w:rsid w:val="003A7B21"/>
    <w:rsid w:val="003B10E3"/>
    <w:rsid w:val="003B6C12"/>
    <w:rsid w:val="003B6DBB"/>
    <w:rsid w:val="003C3E9A"/>
    <w:rsid w:val="003C6EE8"/>
    <w:rsid w:val="003D199F"/>
    <w:rsid w:val="003D3C59"/>
    <w:rsid w:val="003D722E"/>
    <w:rsid w:val="003E3638"/>
    <w:rsid w:val="003E45F6"/>
    <w:rsid w:val="003E7398"/>
    <w:rsid w:val="003E75BD"/>
    <w:rsid w:val="003E7636"/>
    <w:rsid w:val="003F68D8"/>
    <w:rsid w:val="003F6D02"/>
    <w:rsid w:val="00402684"/>
    <w:rsid w:val="004069BA"/>
    <w:rsid w:val="00417D1D"/>
    <w:rsid w:val="00422592"/>
    <w:rsid w:val="00425C83"/>
    <w:rsid w:val="00427FD2"/>
    <w:rsid w:val="004325C3"/>
    <w:rsid w:val="00432B8D"/>
    <w:rsid w:val="00434900"/>
    <w:rsid w:val="00437D76"/>
    <w:rsid w:val="00440803"/>
    <w:rsid w:val="0046643A"/>
    <w:rsid w:val="00474BB5"/>
    <w:rsid w:val="00476023"/>
    <w:rsid w:val="0047625E"/>
    <w:rsid w:val="004871DA"/>
    <w:rsid w:val="00487BEA"/>
    <w:rsid w:val="0049330D"/>
    <w:rsid w:val="00494AA7"/>
    <w:rsid w:val="00496AF9"/>
    <w:rsid w:val="004A2953"/>
    <w:rsid w:val="004B3AEA"/>
    <w:rsid w:val="004B79FD"/>
    <w:rsid w:val="004B7C26"/>
    <w:rsid w:val="004C1880"/>
    <w:rsid w:val="004C6EF1"/>
    <w:rsid w:val="004F198A"/>
    <w:rsid w:val="004F69E2"/>
    <w:rsid w:val="00500886"/>
    <w:rsid w:val="00500E05"/>
    <w:rsid w:val="00521C8E"/>
    <w:rsid w:val="00521FEE"/>
    <w:rsid w:val="005249CA"/>
    <w:rsid w:val="00524FAC"/>
    <w:rsid w:val="00530732"/>
    <w:rsid w:val="00533AA9"/>
    <w:rsid w:val="00534DB4"/>
    <w:rsid w:val="00536BCF"/>
    <w:rsid w:val="005636D4"/>
    <w:rsid w:val="005714D8"/>
    <w:rsid w:val="0057220D"/>
    <w:rsid w:val="00572367"/>
    <w:rsid w:val="00583B98"/>
    <w:rsid w:val="00594108"/>
    <w:rsid w:val="005945F8"/>
    <w:rsid w:val="0059533B"/>
    <w:rsid w:val="005970C9"/>
    <w:rsid w:val="005A6567"/>
    <w:rsid w:val="005A71FC"/>
    <w:rsid w:val="005C5C9F"/>
    <w:rsid w:val="005D3857"/>
    <w:rsid w:val="005E0378"/>
    <w:rsid w:val="005E5015"/>
    <w:rsid w:val="005F3262"/>
    <w:rsid w:val="005F659F"/>
    <w:rsid w:val="00602410"/>
    <w:rsid w:val="00603CEE"/>
    <w:rsid w:val="00606F2D"/>
    <w:rsid w:val="006115F5"/>
    <w:rsid w:val="00617197"/>
    <w:rsid w:val="00620E8D"/>
    <w:rsid w:val="0062192B"/>
    <w:rsid w:val="00622755"/>
    <w:rsid w:val="00622D06"/>
    <w:rsid w:val="00624D40"/>
    <w:rsid w:val="006253F8"/>
    <w:rsid w:val="00625651"/>
    <w:rsid w:val="0064117E"/>
    <w:rsid w:val="00643F1A"/>
    <w:rsid w:val="00655C8E"/>
    <w:rsid w:val="006606C6"/>
    <w:rsid w:val="0067486B"/>
    <w:rsid w:val="00677AA7"/>
    <w:rsid w:val="006842E7"/>
    <w:rsid w:val="0068691F"/>
    <w:rsid w:val="00687F61"/>
    <w:rsid w:val="00692424"/>
    <w:rsid w:val="006940B6"/>
    <w:rsid w:val="006A4498"/>
    <w:rsid w:val="006A5082"/>
    <w:rsid w:val="006A5127"/>
    <w:rsid w:val="006B0580"/>
    <w:rsid w:val="006B1D25"/>
    <w:rsid w:val="006B4FDC"/>
    <w:rsid w:val="006B5C83"/>
    <w:rsid w:val="006B6A2C"/>
    <w:rsid w:val="006C45EF"/>
    <w:rsid w:val="006D6E33"/>
    <w:rsid w:val="006E5483"/>
    <w:rsid w:val="006F4604"/>
    <w:rsid w:val="006F4A75"/>
    <w:rsid w:val="00702D21"/>
    <w:rsid w:val="00702F80"/>
    <w:rsid w:val="00704FAF"/>
    <w:rsid w:val="0071177D"/>
    <w:rsid w:val="00720B56"/>
    <w:rsid w:val="0072246F"/>
    <w:rsid w:val="0072374B"/>
    <w:rsid w:val="00731B5E"/>
    <w:rsid w:val="00735252"/>
    <w:rsid w:val="007358B9"/>
    <w:rsid w:val="0073594B"/>
    <w:rsid w:val="007362C4"/>
    <w:rsid w:val="007404D1"/>
    <w:rsid w:val="00743932"/>
    <w:rsid w:val="007439B3"/>
    <w:rsid w:val="00744192"/>
    <w:rsid w:val="00750745"/>
    <w:rsid w:val="00751002"/>
    <w:rsid w:val="0075412F"/>
    <w:rsid w:val="00756EAC"/>
    <w:rsid w:val="00762E4B"/>
    <w:rsid w:val="00762FD1"/>
    <w:rsid w:val="00771CDF"/>
    <w:rsid w:val="00776A87"/>
    <w:rsid w:val="00777417"/>
    <w:rsid w:val="00780A3A"/>
    <w:rsid w:val="00792AC9"/>
    <w:rsid w:val="00793F6F"/>
    <w:rsid w:val="007954F4"/>
    <w:rsid w:val="007A1980"/>
    <w:rsid w:val="007A658F"/>
    <w:rsid w:val="007B0177"/>
    <w:rsid w:val="007B3111"/>
    <w:rsid w:val="007C11BD"/>
    <w:rsid w:val="007D14A2"/>
    <w:rsid w:val="007E2F2F"/>
    <w:rsid w:val="007E49B8"/>
    <w:rsid w:val="007F1653"/>
    <w:rsid w:val="007F2238"/>
    <w:rsid w:val="008009FA"/>
    <w:rsid w:val="00801EC8"/>
    <w:rsid w:val="00804968"/>
    <w:rsid w:val="00804BB3"/>
    <w:rsid w:val="00806905"/>
    <w:rsid w:val="0080732F"/>
    <w:rsid w:val="00825BAC"/>
    <w:rsid w:val="008270AD"/>
    <w:rsid w:val="00837127"/>
    <w:rsid w:val="008445B1"/>
    <w:rsid w:val="00846A07"/>
    <w:rsid w:val="008521C1"/>
    <w:rsid w:val="008533AF"/>
    <w:rsid w:val="00855438"/>
    <w:rsid w:val="00855D34"/>
    <w:rsid w:val="0086039D"/>
    <w:rsid w:val="0088057A"/>
    <w:rsid w:val="00880EF1"/>
    <w:rsid w:val="008861CF"/>
    <w:rsid w:val="008912C2"/>
    <w:rsid w:val="008922F6"/>
    <w:rsid w:val="00895740"/>
    <w:rsid w:val="00896FC2"/>
    <w:rsid w:val="008B5EBE"/>
    <w:rsid w:val="008B629B"/>
    <w:rsid w:val="008C1AFD"/>
    <w:rsid w:val="008C1D3F"/>
    <w:rsid w:val="008C26C1"/>
    <w:rsid w:val="008C7E69"/>
    <w:rsid w:val="008D0A0B"/>
    <w:rsid w:val="008D6108"/>
    <w:rsid w:val="008D7EB1"/>
    <w:rsid w:val="008E48A2"/>
    <w:rsid w:val="008F1A41"/>
    <w:rsid w:val="008F21D3"/>
    <w:rsid w:val="008F252D"/>
    <w:rsid w:val="008F5B85"/>
    <w:rsid w:val="00904FE2"/>
    <w:rsid w:val="00905EE7"/>
    <w:rsid w:val="009106C4"/>
    <w:rsid w:val="00911003"/>
    <w:rsid w:val="00914DFE"/>
    <w:rsid w:val="00916EA1"/>
    <w:rsid w:val="00936491"/>
    <w:rsid w:val="0094134F"/>
    <w:rsid w:val="0094220D"/>
    <w:rsid w:val="009432BF"/>
    <w:rsid w:val="00943A2F"/>
    <w:rsid w:val="00952F4E"/>
    <w:rsid w:val="009545E7"/>
    <w:rsid w:val="009571EC"/>
    <w:rsid w:val="00961371"/>
    <w:rsid w:val="00964152"/>
    <w:rsid w:val="00964EBA"/>
    <w:rsid w:val="00966EA1"/>
    <w:rsid w:val="0097341E"/>
    <w:rsid w:val="00974592"/>
    <w:rsid w:val="00975709"/>
    <w:rsid w:val="009808E9"/>
    <w:rsid w:val="0098369D"/>
    <w:rsid w:val="00983BDC"/>
    <w:rsid w:val="009843B5"/>
    <w:rsid w:val="009854A8"/>
    <w:rsid w:val="00986D57"/>
    <w:rsid w:val="00987C03"/>
    <w:rsid w:val="0099047D"/>
    <w:rsid w:val="009A0741"/>
    <w:rsid w:val="009A1BCA"/>
    <w:rsid w:val="009A3A52"/>
    <w:rsid w:val="009A401C"/>
    <w:rsid w:val="009A52CF"/>
    <w:rsid w:val="009B61B9"/>
    <w:rsid w:val="009D1660"/>
    <w:rsid w:val="009D1AAA"/>
    <w:rsid w:val="009E634D"/>
    <w:rsid w:val="009E7AD9"/>
    <w:rsid w:val="009F1987"/>
    <w:rsid w:val="009F31FD"/>
    <w:rsid w:val="009F3269"/>
    <w:rsid w:val="009F71C0"/>
    <w:rsid w:val="009F7B75"/>
    <w:rsid w:val="00A04A20"/>
    <w:rsid w:val="00A06D00"/>
    <w:rsid w:val="00A148D2"/>
    <w:rsid w:val="00A15605"/>
    <w:rsid w:val="00A23713"/>
    <w:rsid w:val="00A266FD"/>
    <w:rsid w:val="00A3171B"/>
    <w:rsid w:val="00A323DE"/>
    <w:rsid w:val="00A32948"/>
    <w:rsid w:val="00A34F65"/>
    <w:rsid w:val="00A37D49"/>
    <w:rsid w:val="00A436C1"/>
    <w:rsid w:val="00A45C72"/>
    <w:rsid w:val="00A573B1"/>
    <w:rsid w:val="00A67239"/>
    <w:rsid w:val="00A75D27"/>
    <w:rsid w:val="00A7720E"/>
    <w:rsid w:val="00A8218C"/>
    <w:rsid w:val="00A82DC9"/>
    <w:rsid w:val="00A853D3"/>
    <w:rsid w:val="00A930FC"/>
    <w:rsid w:val="00AB6993"/>
    <w:rsid w:val="00AC02B5"/>
    <w:rsid w:val="00AD086C"/>
    <w:rsid w:val="00AD44FB"/>
    <w:rsid w:val="00AD6733"/>
    <w:rsid w:val="00AD7A10"/>
    <w:rsid w:val="00AE14A8"/>
    <w:rsid w:val="00AE18F2"/>
    <w:rsid w:val="00AE1E8B"/>
    <w:rsid w:val="00AF0959"/>
    <w:rsid w:val="00AF3706"/>
    <w:rsid w:val="00AF57C6"/>
    <w:rsid w:val="00AF72DB"/>
    <w:rsid w:val="00AF7D22"/>
    <w:rsid w:val="00B03913"/>
    <w:rsid w:val="00B15EA7"/>
    <w:rsid w:val="00B20684"/>
    <w:rsid w:val="00B23F85"/>
    <w:rsid w:val="00B3475D"/>
    <w:rsid w:val="00B4030F"/>
    <w:rsid w:val="00B40E29"/>
    <w:rsid w:val="00B501AC"/>
    <w:rsid w:val="00B5690C"/>
    <w:rsid w:val="00B61BCB"/>
    <w:rsid w:val="00B63145"/>
    <w:rsid w:val="00B66292"/>
    <w:rsid w:val="00B67A15"/>
    <w:rsid w:val="00B80119"/>
    <w:rsid w:val="00BA6483"/>
    <w:rsid w:val="00BC1EEC"/>
    <w:rsid w:val="00BC22AF"/>
    <w:rsid w:val="00BE2FD7"/>
    <w:rsid w:val="00BE7158"/>
    <w:rsid w:val="00BE7E7D"/>
    <w:rsid w:val="00BF552C"/>
    <w:rsid w:val="00C019FD"/>
    <w:rsid w:val="00C033F8"/>
    <w:rsid w:val="00C03BFC"/>
    <w:rsid w:val="00C13E69"/>
    <w:rsid w:val="00C211CD"/>
    <w:rsid w:val="00C26055"/>
    <w:rsid w:val="00C330F0"/>
    <w:rsid w:val="00C3697A"/>
    <w:rsid w:val="00C45518"/>
    <w:rsid w:val="00C5539F"/>
    <w:rsid w:val="00C654C2"/>
    <w:rsid w:val="00C70C3F"/>
    <w:rsid w:val="00C72888"/>
    <w:rsid w:val="00C72A93"/>
    <w:rsid w:val="00C73B23"/>
    <w:rsid w:val="00C74B2C"/>
    <w:rsid w:val="00C873A8"/>
    <w:rsid w:val="00C927FC"/>
    <w:rsid w:val="00C93D8A"/>
    <w:rsid w:val="00C96583"/>
    <w:rsid w:val="00CA13C4"/>
    <w:rsid w:val="00CA1817"/>
    <w:rsid w:val="00CA57F8"/>
    <w:rsid w:val="00CB14C1"/>
    <w:rsid w:val="00CB38F8"/>
    <w:rsid w:val="00CB4B78"/>
    <w:rsid w:val="00CB5F89"/>
    <w:rsid w:val="00CC2F64"/>
    <w:rsid w:val="00CC4AD7"/>
    <w:rsid w:val="00CC6F74"/>
    <w:rsid w:val="00CD2943"/>
    <w:rsid w:val="00CD37A0"/>
    <w:rsid w:val="00CD44DF"/>
    <w:rsid w:val="00CD67D1"/>
    <w:rsid w:val="00CE02F7"/>
    <w:rsid w:val="00CE2E38"/>
    <w:rsid w:val="00CE5633"/>
    <w:rsid w:val="00CF0066"/>
    <w:rsid w:val="00CF37CC"/>
    <w:rsid w:val="00D010A1"/>
    <w:rsid w:val="00D010AD"/>
    <w:rsid w:val="00D03CF4"/>
    <w:rsid w:val="00D0714E"/>
    <w:rsid w:val="00D07567"/>
    <w:rsid w:val="00D12D17"/>
    <w:rsid w:val="00D136DA"/>
    <w:rsid w:val="00D22B5E"/>
    <w:rsid w:val="00D27565"/>
    <w:rsid w:val="00D27A64"/>
    <w:rsid w:val="00D30209"/>
    <w:rsid w:val="00D31948"/>
    <w:rsid w:val="00D32525"/>
    <w:rsid w:val="00D32A8C"/>
    <w:rsid w:val="00D43692"/>
    <w:rsid w:val="00D44B21"/>
    <w:rsid w:val="00D44E92"/>
    <w:rsid w:val="00D526BD"/>
    <w:rsid w:val="00D55026"/>
    <w:rsid w:val="00D5562B"/>
    <w:rsid w:val="00D569AB"/>
    <w:rsid w:val="00D56B74"/>
    <w:rsid w:val="00D71654"/>
    <w:rsid w:val="00D76054"/>
    <w:rsid w:val="00D85114"/>
    <w:rsid w:val="00D8711C"/>
    <w:rsid w:val="00D90F44"/>
    <w:rsid w:val="00D91582"/>
    <w:rsid w:val="00D9228E"/>
    <w:rsid w:val="00D954E8"/>
    <w:rsid w:val="00DA2ACF"/>
    <w:rsid w:val="00DB472C"/>
    <w:rsid w:val="00DD2C99"/>
    <w:rsid w:val="00DD4944"/>
    <w:rsid w:val="00DF40E6"/>
    <w:rsid w:val="00DF4FEE"/>
    <w:rsid w:val="00DF699D"/>
    <w:rsid w:val="00E038AD"/>
    <w:rsid w:val="00E10B32"/>
    <w:rsid w:val="00E1194A"/>
    <w:rsid w:val="00E12696"/>
    <w:rsid w:val="00E13EA3"/>
    <w:rsid w:val="00E149C4"/>
    <w:rsid w:val="00E15C76"/>
    <w:rsid w:val="00E17862"/>
    <w:rsid w:val="00E2259F"/>
    <w:rsid w:val="00E23BEF"/>
    <w:rsid w:val="00E24DC8"/>
    <w:rsid w:val="00E24FA6"/>
    <w:rsid w:val="00E302DA"/>
    <w:rsid w:val="00E31030"/>
    <w:rsid w:val="00E34CB7"/>
    <w:rsid w:val="00E43918"/>
    <w:rsid w:val="00E440C2"/>
    <w:rsid w:val="00E46F6C"/>
    <w:rsid w:val="00E56472"/>
    <w:rsid w:val="00E63E88"/>
    <w:rsid w:val="00E841C3"/>
    <w:rsid w:val="00E9242A"/>
    <w:rsid w:val="00E953BC"/>
    <w:rsid w:val="00E95D0B"/>
    <w:rsid w:val="00E962D4"/>
    <w:rsid w:val="00EB4212"/>
    <w:rsid w:val="00ED370E"/>
    <w:rsid w:val="00ED3C66"/>
    <w:rsid w:val="00ED5D61"/>
    <w:rsid w:val="00ED5DBE"/>
    <w:rsid w:val="00EF6A64"/>
    <w:rsid w:val="00F00B32"/>
    <w:rsid w:val="00F0168D"/>
    <w:rsid w:val="00F038D5"/>
    <w:rsid w:val="00F0453A"/>
    <w:rsid w:val="00F22149"/>
    <w:rsid w:val="00F255D6"/>
    <w:rsid w:val="00F25992"/>
    <w:rsid w:val="00F27D8E"/>
    <w:rsid w:val="00F31B88"/>
    <w:rsid w:val="00F34784"/>
    <w:rsid w:val="00F37C52"/>
    <w:rsid w:val="00F479E1"/>
    <w:rsid w:val="00F47CA6"/>
    <w:rsid w:val="00F51492"/>
    <w:rsid w:val="00F51526"/>
    <w:rsid w:val="00F55403"/>
    <w:rsid w:val="00F55DD3"/>
    <w:rsid w:val="00F563C3"/>
    <w:rsid w:val="00F627FF"/>
    <w:rsid w:val="00F64B87"/>
    <w:rsid w:val="00F71237"/>
    <w:rsid w:val="00F73C84"/>
    <w:rsid w:val="00F776FD"/>
    <w:rsid w:val="00F8121A"/>
    <w:rsid w:val="00F9098B"/>
    <w:rsid w:val="00F95739"/>
    <w:rsid w:val="00F9665C"/>
    <w:rsid w:val="00F9773F"/>
    <w:rsid w:val="00FA4E50"/>
    <w:rsid w:val="00FB2504"/>
    <w:rsid w:val="00FB45C5"/>
    <w:rsid w:val="00FB4E8A"/>
    <w:rsid w:val="00FB587D"/>
    <w:rsid w:val="00FB5E1E"/>
    <w:rsid w:val="00FB7E23"/>
    <w:rsid w:val="00FC1DF6"/>
    <w:rsid w:val="00FD3AA3"/>
    <w:rsid w:val="00FD6D86"/>
    <w:rsid w:val="00FE547E"/>
    <w:rsid w:val="00FF126E"/>
    <w:rsid w:val="00FF7530"/>
    <w:rsid w:val="01420C94"/>
    <w:rsid w:val="0183728A"/>
    <w:rsid w:val="01DD0BBC"/>
    <w:rsid w:val="028E6EED"/>
    <w:rsid w:val="029C5C45"/>
    <w:rsid w:val="02DB4929"/>
    <w:rsid w:val="03362153"/>
    <w:rsid w:val="03A9106F"/>
    <w:rsid w:val="03FD7589"/>
    <w:rsid w:val="043974FE"/>
    <w:rsid w:val="04997312"/>
    <w:rsid w:val="04C854CA"/>
    <w:rsid w:val="061005D1"/>
    <w:rsid w:val="066F6C2D"/>
    <w:rsid w:val="06921416"/>
    <w:rsid w:val="06A92916"/>
    <w:rsid w:val="06F75767"/>
    <w:rsid w:val="07DB6FA5"/>
    <w:rsid w:val="084D10A4"/>
    <w:rsid w:val="09054827"/>
    <w:rsid w:val="0918239C"/>
    <w:rsid w:val="09654E76"/>
    <w:rsid w:val="0AF45CB4"/>
    <w:rsid w:val="0D7C082F"/>
    <w:rsid w:val="0DC444A6"/>
    <w:rsid w:val="0E3A43E2"/>
    <w:rsid w:val="0E591116"/>
    <w:rsid w:val="0E7655FF"/>
    <w:rsid w:val="0E874E0E"/>
    <w:rsid w:val="0EB566A0"/>
    <w:rsid w:val="0FDF0019"/>
    <w:rsid w:val="103600FC"/>
    <w:rsid w:val="10F117F5"/>
    <w:rsid w:val="11153770"/>
    <w:rsid w:val="11960117"/>
    <w:rsid w:val="11F279DC"/>
    <w:rsid w:val="126F15CC"/>
    <w:rsid w:val="134B563E"/>
    <w:rsid w:val="14711DAD"/>
    <w:rsid w:val="16B16BD3"/>
    <w:rsid w:val="174F6E9E"/>
    <w:rsid w:val="176E1D50"/>
    <w:rsid w:val="17E75E45"/>
    <w:rsid w:val="18202750"/>
    <w:rsid w:val="184A3B7E"/>
    <w:rsid w:val="188C1E56"/>
    <w:rsid w:val="18D20D76"/>
    <w:rsid w:val="197006BE"/>
    <w:rsid w:val="1998580B"/>
    <w:rsid w:val="19E86DB7"/>
    <w:rsid w:val="19FC4C3B"/>
    <w:rsid w:val="1A7A20B6"/>
    <w:rsid w:val="1AF315F0"/>
    <w:rsid w:val="1AFB7651"/>
    <w:rsid w:val="1B843D49"/>
    <w:rsid w:val="1C5C5CD7"/>
    <w:rsid w:val="1C7B4DB3"/>
    <w:rsid w:val="1CC80EC6"/>
    <w:rsid w:val="1DBE04D0"/>
    <w:rsid w:val="1E106B49"/>
    <w:rsid w:val="1EFE7E4E"/>
    <w:rsid w:val="1F135548"/>
    <w:rsid w:val="1F7929AE"/>
    <w:rsid w:val="20206990"/>
    <w:rsid w:val="203F7329"/>
    <w:rsid w:val="2108045B"/>
    <w:rsid w:val="215001A1"/>
    <w:rsid w:val="21525151"/>
    <w:rsid w:val="217B46FD"/>
    <w:rsid w:val="223F7660"/>
    <w:rsid w:val="22A90FAB"/>
    <w:rsid w:val="23344F4A"/>
    <w:rsid w:val="23516D47"/>
    <w:rsid w:val="23F65014"/>
    <w:rsid w:val="24E40AA1"/>
    <w:rsid w:val="24F4213A"/>
    <w:rsid w:val="25F16C3F"/>
    <w:rsid w:val="26732431"/>
    <w:rsid w:val="271C194A"/>
    <w:rsid w:val="280849BF"/>
    <w:rsid w:val="2857143D"/>
    <w:rsid w:val="28E9062A"/>
    <w:rsid w:val="294B1CF9"/>
    <w:rsid w:val="29525AC2"/>
    <w:rsid w:val="29DA784F"/>
    <w:rsid w:val="2A1E06A6"/>
    <w:rsid w:val="2C83428C"/>
    <w:rsid w:val="2CCC54D9"/>
    <w:rsid w:val="2CD63495"/>
    <w:rsid w:val="2D433748"/>
    <w:rsid w:val="2DBC3E98"/>
    <w:rsid w:val="2DD809C7"/>
    <w:rsid w:val="2DDC1B7A"/>
    <w:rsid w:val="2DF95D6F"/>
    <w:rsid w:val="2E60046C"/>
    <w:rsid w:val="2E611ABA"/>
    <w:rsid w:val="2EAB3786"/>
    <w:rsid w:val="2EAC5EEC"/>
    <w:rsid w:val="2FBA7A51"/>
    <w:rsid w:val="307038D8"/>
    <w:rsid w:val="309573B7"/>
    <w:rsid w:val="31B26D61"/>
    <w:rsid w:val="32496CAC"/>
    <w:rsid w:val="32500631"/>
    <w:rsid w:val="32A91744"/>
    <w:rsid w:val="33281B0B"/>
    <w:rsid w:val="34004574"/>
    <w:rsid w:val="344D19CB"/>
    <w:rsid w:val="34613598"/>
    <w:rsid w:val="34650FBD"/>
    <w:rsid w:val="347A6D71"/>
    <w:rsid w:val="348873BD"/>
    <w:rsid w:val="34F528F0"/>
    <w:rsid w:val="35324949"/>
    <w:rsid w:val="357E28B3"/>
    <w:rsid w:val="359E4B19"/>
    <w:rsid w:val="360F6CC3"/>
    <w:rsid w:val="36973DA1"/>
    <w:rsid w:val="36F80999"/>
    <w:rsid w:val="37150754"/>
    <w:rsid w:val="372757AC"/>
    <w:rsid w:val="37C44028"/>
    <w:rsid w:val="3820103F"/>
    <w:rsid w:val="384F0F68"/>
    <w:rsid w:val="38924C76"/>
    <w:rsid w:val="38F01BD1"/>
    <w:rsid w:val="39A865B1"/>
    <w:rsid w:val="3A97496C"/>
    <w:rsid w:val="3C1D068D"/>
    <w:rsid w:val="3C8327BE"/>
    <w:rsid w:val="3CAA620D"/>
    <w:rsid w:val="3D6F020F"/>
    <w:rsid w:val="3DA618B2"/>
    <w:rsid w:val="3DD676B8"/>
    <w:rsid w:val="3E191DEE"/>
    <w:rsid w:val="3E263682"/>
    <w:rsid w:val="3F2007DE"/>
    <w:rsid w:val="3FF47065"/>
    <w:rsid w:val="4187734D"/>
    <w:rsid w:val="41E542F9"/>
    <w:rsid w:val="424F50AC"/>
    <w:rsid w:val="428E5FAE"/>
    <w:rsid w:val="42934A52"/>
    <w:rsid w:val="430D0292"/>
    <w:rsid w:val="432719BD"/>
    <w:rsid w:val="433C6F5D"/>
    <w:rsid w:val="43CB7FA1"/>
    <w:rsid w:val="43FD2950"/>
    <w:rsid w:val="44A77F85"/>
    <w:rsid w:val="44C835F0"/>
    <w:rsid w:val="469205B9"/>
    <w:rsid w:val="46CA0E9E"/>
    <w:rsid w:val="46E377D1"/>
    <w:rsid w:val="46F45639"/>
    <w:rsid w:val="46FF3D2B"/>
    <w:rsid w:val="47E6666F"/>
    <w:rsid w:val="480311C6"/>
    <w:rsid w:val="48FD1243"/>
    <w:rsid w:val="494F5294"/>
    <w:rsid w:val="4997184B"/>
    <w:rsid w:val="4B31442E"/>
    <w:rsid w:val="4B4F78D2"/>
    <w:rsid w:val="4B666B1B"/>
    <w:rsid w:val="4BAD6CBE"/>
    <w:rsid w:val="4BBE4EC4"/>
    <w:rsid w:val="4CD17A13"/>
    <w:rsid w:val="4D540674"/>
    <w:rsid w:val="4DD07898"/>
    <w:rsid w:val="4DF439B6"/>
    <w:rsid w:val="4E2D30D7"/>
    <w:rsid w:val="4E6F0B40"/>
    <w:rsid w:val="4EBF55FB"/>
    <w:rsid w:val="4ED02AE0"/>
    <w:rsid w:val="4ED96C89"/>
    <w:rsid w:val="4FC00B06"/>
    <w:rsid w:val="4FC4123D"/>
    <w:rsid w:val="4FD26DBB"/>
    <w:rsid w:val="50195A51"/>
    <w:rsid w:val="50255C03"/>
    <w:rsid w:val="51DE54E6"/>
    <w:rsid w:val="521D4FEA"/>
    <w:rsid w:val="5220114B"/>
    <w:rsid w:val="52960D56"/>
    <w:rsid w:val="530C27A3"/>
    <w:rsid w:val="535F1655"/>
    <w:rsid w:val="53BC4EDD"/>
    <w:rsid w:val="53D25CB7"/>
    <w:rsid w:val="53D97868"/>
    <w:rsid w:val="55961F50"/>
    <w:rsid w:val="56440114"/>
    <w:rsid w:val="5663150F"/>
    <w:rsid w:val="56B410B4"/>
    <w:rsid w:val="577F481A"/>
    <w:rsid w:val="57CF73A2"/>
    <w:rsid w:val="5882063F"/>
    <w:rsid w:val="59B11D5E"/>
    <w:rsid w:val="5A453F8A"/>
    <w:rsid w:val="5ADD02FD"/>
    <w:rsid w:val="5D7C22A8"/>
    <w:rsid w:val="5E534E52"/>
    <w:rsid w:val="5E8251DC"/>
    <w:rsid w:val="5E8F68D4"/>
    <w:rsid w:val="5FA93E58"/>
    <w:rsid w:val="5FB9411A"/>
    <w:rsid w:val="608A61D1"/>
    <w:rsid w:val="60F86B73"/>
    <w:rsid w:val="615455CC"/>
    <w:rsid w:val="62CF785F"/>
    <w:rsid w:val="63103707"/>
    <w:rsid w:val="63532F9D"/>
    <w:rsid w:val="636448CC"/>
    <w:rsid w:val="647911E5"/>
    <w:rsid w:val="64904C40"/>
    <w:rsid w:val="64B010B8"/>
    <w:rsid w:val="65B31E66"/>
    <w:rsid w:val="65DC28C6"/>
    <w:rsid w:val="660B3242"/>
    <w:rsid w:val="6648419A"/>
    <w:rsid w:val="66785AC7"/>
    <w:rsid w:val="66876B1C"/>
    <w:rsid w:val="672E4534"/>
    <w:rsid w:val="675514FF"/>
    <w:rsid w:val="677C20BC"/>
    <w:rsid w:val="67EE2F35"/>
    <w:rsid w:val="6804198F"/>
    <w:rsid w:val="6830678F"/>
    <w:rsid w:val="68C53BAA"/>
    <w:rsid w:val="69824580"/>
    <w:rsid w:val="69BB561D"/>
    <w:rsid w:val="6A626BAC"/>
    <w:rsid w:val="6B8B1F7C"/>
    <w:rsid w:val="6BD026FA"/>
    <w:rsid w:val="6CE73CFE"/>
    <w:rsid w:val="6D5F0E7D"/>
    <w:rsid w:val="6DF255A1"/>
    <w:rsid w:val="707F3347"/>
    <w:rsid w:val="712C0B04"/>
    <w:rsid w:val="713E2F27"/>
    <w:rsid w:val="721143DD"/>
    <w:rsid w:val="727B73F7"/>
    <w:rsid w:val="72AC0DAF"/>
    <w:rsid w:val="72B84BC2"/>
    <w:rsid w:val="731B763B"/>
    <w:rsid w:val="73362DEF"/>
    <w:rsid w:val="74323585"/>
    <w:rsid w:val="74BE2A2C"/>
    <w:rsid w:val="754B0823"/>
    <w:rsid w:val="755B2C17"/>
    <w:rsid w:val="76782FDB"/>
    <w:rsid w:val="770D6586"/>
    <w:rsid w:val="77D1756D"/>
    <w:rsid w:val="78462041"/>
    <w:rsid w:val="78943257"/>
    <w:rsid w:val="78C93948"/>
    <w:rsid w:val="797C0036"/>
    <w:rsid w:val="798A7181"/>
    <w:rsid w:val="7B2E4D12"/>
    <w:rsid w:val="7B4B3E83"/>
    <w:rsid w:val="7BAB0258"/>
    <w:rsid w:val="7C5F1571"/>
    <w:rsid w:val="7D183BED"/>
    <w:rsid w:val="7D2266B1"/>
    <w:rsid w:val="7DD6347A"/>
    <w:rsid w:val="7E0D45FF"/>
    <w:rsid w:val="7E1572EA"/>
    <w:rsid w:val="7E2571A3"/>
    <w:rsid w:val="7F272DE5"/>
    <w:rsid w:val="7F647861"/>
    <w:rsid w:val="7F8C611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qFormat="1"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qFormat="1"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iPriority="99" w:semiHidden="0"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line="360" w:lineRule="auto"/>
      <w:ind w:firstLine="354" w:firstLineChars="147"/>
      <w:outlineLvl w:val="1"/>
    </w:pPr>
    <w:rPr>
      <w:rFonts w:ascii="宋体" w:hAnsi="宋体"/>
      <w:b/>
      <w:bCs/>
      <w:color w:val="000000"/>
      <w:kern w:val="0"/>
      <w:sz w:val="24"/>
      <w:lang w:val="zh-CN"/>
    </w:rPr>
  </w:style>
  <w:style w:type="paragraph" w:styleId="5">
    <w:name w:val="heading 3"/>
    <w:basedOn w:val="1"/>
    <w:next w:val="1"/>
    <w:qFormat/>
    <w:uiPriority w:val="0"/>
    <w:pPr>
      <w:keepNext/>
      <w:keepLines/>
      <w:spacing w:before="260" w:after="260" w:line="416" w:lineRule="auto"/>
      <w:outlineLvl w:val="2"/>
    </w:pPr>
    <w:rPr>
      <w:b/>
      <w:bCs/>
      <w:sz w:val="32"/>
      <w:szCs w:val="32"/>
    </w:rPr>
  </w:style>
  <w:style w:type="paragraph" w:styleId="6">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1"/>
    <w:qFormat/>
    <w:uiPriority w:val="0"/>
    <w:pPr>
      <w:keepNext/>
      <w:keepLines/>
      <w:tabs>
        <w:tab w:val="left" w:pos="1008"/>
      </w:tabs>
      <w:spacing w:before="280" w:after="290" w:line="372" w:lineRule="auto"/>
      <w:outlineLvl w:val="4"/>
    </w:pPr>
    <w:rPr>
      <w:bCs/>
      <w:color w:val="000000"/>
      <w:sz w:val="32"/>
      <w:szCs w:val="28"/>
    </w:rPr>
  </w:style>
  <w:style w:type="character" w:default="1" w:styleId="36">
    <w:name w:val="Default Paragraph Font"/>
    <w:unhideWhenUsed/>
    <w:qFormat/>
    <w:uiPriority w:val="1"/>
  </w:style>
  <w:style w:type="table" w:default="1" w:styleId="50">
    <w:name w:val="Normal Table"/>
    <w:unhideWhenUsed/>
    <w:qFormat/>
    <w:uiPriority w:val="99"/>
    <w:tblPr>
      <w:tblLayout w:type="fixed"/>
      <w:tblCellMar>
        <w:top w:w="0" w:type="dxa"/>
        <w:left w:w="108" w:type="dxa"/>
        <w:bottom w:w="0" w:type="dxa"/>
        <w:right w:w="108" w:type="dxa"/>
      </w:tblCellMar>
    </w:tblPr>
  </w:style>
  <w:style w:type="paragraph" w:styleId="2">
    <w:name w:val="Body Text"/>
    <w:basedOn w:val="1"/>
    <w:link w:val="79"/>
    <w:qFormat/>
    <w:uiPriority w:val="99"/>
    <w:pPr>
      <w:spacing w:after="120"/>
    </w:pPr>
  </w:style>
  <w:style w:type="paragraph" w:styleId="8">
    <w:name w:val="annotation subject"/>
    <w:basedOn w:val="9"/>
    <w:next w:val="9"/>
    <w:semiHidden/>
    <w:qFormat/>
    <w:uiPriority w:val="0"/>
    <w:rPr>
      <w:b/>
      <w:bCs/>
    </w:rPr>
  </w:style>
  <w:style w:type="paragraph" w:styleId="9">
    <w:name w:val="annotation text"/>
    <w:basedOn w:val="1"/>
    <w:semiHidden/>
    <w:qFormat/>
    <w:uiPriority w:val="0"/>
    <w:pPr>
      <w:jc w:val="left"/>
    </w:pPr>
  </w:style>
  <w:style w:type="paragraph" w:styleId="10">
    <w:name w:val="toc 7"/>
    <w:basedOn w:val="1"/>
    <w:next w:val="1"/>
    <w:semiHidden/>
    <w:qFormat/>
    <w:uiPriority w:val="0"/>
    <w:pPr>
      <w:ind w:left="1260"/>
      <w:jc w:val="left"/>
    </w:pPr>
    <w:rPr>
      <w:sz w:val="18"/>
      <w:szCs w:val="18"/>
    </w:rPr>
  </w:style>
  <w:style w:type="paragraph" w:styleId="11">
    <w:name w:val="Body Text First Indent"/>
    <w:basedOn w:val="2"/>
    <w:qFormat/>
    <w:uiPriority w:val="0"/>
    <w:pPr>
      <w:ind w:firstLine="420" w:firstLineChars="100"/>
    </w:pPr>
  </w:style>
  <w:style w:type="paragraph" w:styleId="12">
    <w:name w:val="Normal Indent"/>
    <w:basedOn w:val="1"/>
    <w:link w:val="80"/>
    <w:qFormat/>
    <w:uiPriority w:val="0"/>
    <w:pPr>
      <w:ind w:firstLine="420"/>
    </w:pPr>
    <w:rPr>
      <w:szCs w:val="20"/>
    </w:rPr>
  </w:style>
  <w:style w:type="paragraph" w:styleId="13">
    <w:name w:val="Document Map"/>
    <w:basedOn w:val="1"/>
    <w:qFormat/>
    <w:uiPriority w:val="0"/>
    <w:pPr>
      <w:shd w:val="clear" w:color="auto" w:fill="000080"/>
    </w:pPr>
    <w:rPr>
      <w:rFonts w:ascii="宋体" w:hAnsi="宋体"/>
    </w:rPr>
  </w:style>
  <w:style w:type="paragraph" w:styleId="14">
    <w:name w:val="Body Text Indent"/>
    <w:basedOn w:val="1"/>
    <w:qFormat/>
    <w:uiPriority w:val="0"/>
    <w:pPr>
      <w:spacing w:after="120"/>
      <w:ind w:left="420" w:leftChars="200"/>
    </w:pPr>
  </w:style>
  <w:style w:type="paragraph" w:styleId="15">
    <w:name w:val="List 2"/>
    <w:basedOn w:val="1"/>
    <w:qFormat/>
    <w:uiPriority w:val="0"/>
    <w:pPr>
      <w:ind w:left="100" w:leftChars="200" w:hanging="200" w:hangingChars="200"/>
    </w:pPr>
    <w:rPr>
      <w:sz w:val="28"/>
    </w:rPr>
  </w:style>
  <w:style w:type="paragraph" w:styleId="16">
    <w:name w:val="toc 5"/>
    <w:basedOn w:val="1"/>
    <w:next w:val="1"/>
    <w:semiHidden/>
    <w:qFormat/>
    <w:uiPriority w:val="0"/>
    <w:pPr>
      <w:ind w:left="840"/>
      <w:jc w:val="left"/>
    </w:pPr>
    <w:rPr>
      <w:sz w:val="18"/>
      <w:szCs w:val="18"/>
    </w:rPr>
  </w:style>
  <w:style w:type="paragraph" w:styleId="17">
    <w:name w:val="toc 3"/>
    <w:basedOn w:val="1"/>
    <w:next w:val="1"/>
    <w:semiHidden/>
    <w:qFormat/>
    <w:uiPriority w:val="0"/>
    <w:pPr>
      <w:ind w:left="420"/>
      <w:jc w:val="left"/>
    </w:pPr>
    <w:rPr>
      <w:i/>
      <w:iCs/>
      <w:sz w:val="20"/>
      <w:szCs w:val="20"/>
    </w:rPr>
  </w:style>
  <w:style w:type="paragraph" w:styleId="18">
    <w:name w:val="Plain Text"/>
    <w:basedOn w:val="1"/>
    <w:link w:val="81"/>
    <w:qFormat/>
    <w:uiPriority w:val="0"/>
    <w:rPr>
      <w:rFonts w:ascii="宋体" w:hAnsi="Courier New"/>
      <w:szCs w:val="20"/>
    </w:rPr>
  </w:style>
  <w:style w:type="paragraph" w:styleId="19">
    <w:name w:val="toc 8"/>
    <w:basedOn w:val="1"/>
    <w:next w:val="1"/>
    <w:semiHidden/>
    <w:qFormat/>
    <w:uiPriority w:val="0"/>
    <w:pPr>
      <w:ind w:left="1470"/>
      <w:jc w:val="left"/>
    </w:pPr>
    <w:rPr>
      <w:sz w:val="18"/>
      <w:szCs w:val="18"/>
    </w:rPr>
  </w:style>
  <w:style w:type="paragraph" w:styleId="20">
    <w:name w:val="Date"/>
    <w:basedOn w:val="1"/>
    <w:next w:val="1"/>
    <w:qFormat/>
    <w:uiPriority w:val="0"/>
    <w:pPr>
      <w:ind w:left="100" w:leftChars="2500"/>
    </w:pPr>
  </w:style>
  <w:style w:type="paragraph" w:styleId="21">
    <w:name w:val="Body Text Indent 2"/>
    <w:basedOn w:val="1"/>
    <w:qFormat/>
    <w:uiPriority w:val="0"/>
    <w:pPr>
      <w:spacing w:line="500" w:lineRule="atLeast"/>
      <w:ind w:firstLine="480"/>
    </w:pPr>
    <w:rPr>
      <w:rFonts w:ascii="楷体_GB2312" w:eastAsia="楷体_GB2312"/>
      <w:color w:val="FF0000"/>
      <w:sz w:val="24"/>
    </w:rPr>
  </w:style>
  <w:style w:type="paragraph" w:styleId="22">
    <w:name w:val="Balloon Text"/>
    <w:basedOn w:val="1"/>
    <w:semiHidden/>
    <w:qFormat/>
    <w:uiPriority w:val="0"/>
    <w:rPr>
      <w:sz w:val="18"/>
      <w:szCs w:val="18"/>
    </w:rPr>
  </w:style>
  <w:style w:type="paragraph" w:styleId="23">
    <w:name w:val="footer"/>
    <w:basedOn w:val="1"/>
    <w:link w:val="53"/>
    <w:qFormat/>
    <w:uiPriority w:val="0"/>
    <w:pPr>
      <w:tabs>
        <w:tab w:val="center" w:pos="4153"/>
        <w:tab w:val="right" w:pos="8306"/>
      </w:tabs>
      <w:snapToGrid w:val="0"/>
      <w:jc w:val="left"/>
    </w:pPr>
    <w:rPr>
      <w:sz w:val="18"/>
      <w:szCs w:val="18"/>
    </w:rPr>
  </w:style>
  <w:style w:type="paragraph" w:styleId="24">
    <w:name w:val="header"/>
    <w:basedOn w:val="1"/>
    <w:link w:val="71"/>
    <w:qFormat/>
    <w:uiPriority w:val="0"/>
    <w:pPr>
      <w:pBdr>
        <w:bottom w:val="single" w:color="auto" w:sz="6" w:space="1"/>
      </w:pBdr>
      <w:tabs>
        <w:tab w:val="center" w:pos="4153"/>
        <w:tab w:val="right" w:pos="8306"/>
      </w:tabs>
      <w:snapToGrid w:val="0"/>
      <w:jc w:val="center"/>
    </w:pPr>
    <w:rPr>
      <w:sz w:val="18"/>
      <w:szCs w:val="18"/>
    </w:rPr>
  </w:style>
  <w:style w:type="paragraph" w:styleId="25">
    <w:name w:val="toc 1"/>
    <w:basedOn w:val="1"/>
    <w:next w:val="1"/>
    <w:qFormat/>
    <w:uiPriority w:val="39"/>
    <w:pPr>
      <w:tabs>
        <w:tab w:val="right" w:leader="dot" w:pos="9628"/>
      </w:tabs>
      <w:spacing w:before="120" w:after="120" w:line="480" w:lineRule="auto"/>
      <w:jc w:val="left"/>
    </w:pPr>
    <w:rPr>
      <w:rFonts w:cs="宋体"/>
      <w:b/>
      <w:bCs/>
      <w:caps/>
      <w:kern w:val="0"/>
      <w:sz w:val="28"/>
      <w:szCs w:val="28"/>
    </w:rPr>
  </w:style>
  <w:style w:type="paragraph" w:styleId="26">
    <w:name w:val="toc 4"/>
    <w:basedOn w:val="1"/>
    <w:next w:val="1"/>
    <w:semiHidden/>
    <w:qFormat/>
    <w:uiPriority w:val="0"/>
    <w:pPr>
      <w:ind w:left="630"/>
      <w:jc w:val="left"/>
    </w:pPr>
    <w:rPr>
      <w:sz w:val="18"/>
      <w:szCs w:val="18"/>
    </w:rPr>
  </w:style>
  <w:style w:type="paragraph" w:styleId="27">
    <w:name w:val="index heading"/>
    <w:basedOn w:val="1"/>
    <w:next w:val="28"/>
    <w:unhideWhenUsed/>
    <w:qFormat/>
    <w:uiPriority w:val="0"/>
    <w:rPr>
      <w:rFonts w:ascii="Arial" w:hAnsi="Arial" w:cs="Arial"/>
      <w:b/>
      <w:bCs/>
      <w:szCs w:val="20"/>
    </w:rPr>
  </w:style>
  <w:style w:type="paragraph" w:styleId="28">
    <w:name w:val="index 1"/>
    <w:basedOn w:val="1"/>
    <w:next w:val="1"/>
    <w:unhideWhenUsed/>
    <w:qFormat/>
    <w:uiPriority w:val="0"/>
    <w:rPr>
      <w:szCs w:val="20"/>
    </w:rPr>
  </w:style>
  <w:style w:type="paragraph" w:styleId="29">
    <w:name w:val="toc 6"/>
    <w:basedOn w:val="1"/>
    <w:next w:val="1"/>
    <w:semiHidden/>
    <w:qFormat/>
    <w:uiPriority w:val="0"/>
    <w:pPr>
      <w:ind w:left="1050"/>
      <w:jc w:val="left"/>
    </w:pPr>
    <w:rPr>
      <w:sz w:val="18"/>
      <w:szCs w:val="18"/>
    </w:rPr>
  </w:style>
  <w:style w:type="paragraph" w:styleId="30">
    <w:name w:val="Body Text Indent 3"/>
    <w:basedOn w:val="1"/>
    <w:qFormat/>
    <w:uiPriority w:val="0"/>
    <w:pPr>
      <w:spacing w:after="120"/>
      <w:ind w:left="420" w:leftChars="200"/>
    </w:pPr>
    <w:rPr>
      <w:sz w:val="16"/>
      <w:szCs w:val="16"/>
    </w:rPr>
  </w:style>
  <w:style w:type="paragraph" w:styleId="31">
    <w:name w:val="toc 2"/>
    <w:basedOn w:val="1"/>
    <w:next w:val="1"/>
    <w:qFormat/>
    <w:uiPriority w:val="39"/>
    <w:pPr>
      <w:tabs>
        <w:tab w:val="right" w:leader="dot" w:pos="9639"/>
      </w:tabs>
      <w:spacing w:line="360" w:lineRule="auto"/>
      <w:ind w:left="210" w:leftChars="100" w:firstLine="360" w:firstLineChars="150"/>
      <w:jc w:val="left"/>
    </w:pPr>
    <w:rPr>
      <w:rFonts w:ascii="宋体" w:hAnsi="宋体"/>
      <w:smallCaps/>
      <w:color w:val="FF0000"/>
      <w:sz w:val="24"/>
    </w:rPr>
  </w:style>
  <w:style w:type="paragraph" w:styleId="32">
    <w:name w:val="toc 9"/>
    <w:basedOn w:val="1"/>
    <w:next w:val="1"/>
    <w:semiHidden/>
    <w:qFormat/>
    <w:uiPriority w:val="0"/>
    <w:pPr>
      <w:ind w:left="1680"/>
      <w:jc w:val="left"/>
    </w:pPr>
    <w:rPr>
      <w:sz w:val="18"/>
      <w:szCs w:val="18"/>
    </w:rPr>
  </w:style>
  <w:style w:type="paragraph" w:styleId="33">
    <w:name w:val="Body Text 2"/>
    <w:basedOn w:val="1"/>
    <w:qFormat/>
    <w:uiPriority w:val="0"/>
    <w:pPr>
      <w:widowControl/>
      <w:snapToGrid w:val="0"/>
      <w:spacing w:before="50" w:afterLines="50" w:line="400" w:lineRule="exact"/>
      <w:jc w:val="left"/>
    </w:pPr>
    <w:rPr>
      <w:rFonts w:ascii="宋体" w:hAnsi="宋体"/>
      <w:color w:val="000000"/>
      <w:sz w:val="24"/>
    </w:rPr>
  </w:style>
  <w:style w:type="paragraph" w:styleId="34">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szCs w:val="20"/>
    </w:rPr>
  </w:style>
  <w:style w:type="paragraph" w:styleId="35">
    <w:name w:val="Normal (Web)"/>
    <w:basedOn w:val="1"/>
    <w:qFormat/>
    <w:uiPriority w:val="0"/>
    <w:pPr>
      <w:widowControl/>
      <w:spacing w:before="100" w:beforeAutospacing="1" w:after="100" w:afterAutospacing="1"/>
      <w:jc w:val="left"/>
    </w:pPr>
    <w:rPr>
      <w:rFonts w:hint="eastAsia" w:ascii="宋体" w:hAnsi="宋体"/>
      <w:kern w:val="0"/>
      <w:sz w:val="24"/>
    </w:rPr>
  </w:style>
  <w:style w:type="character" w:styleId="37">
    <w:name w:val="Strong"/>
    <w:qFormat/>
    <w:uiPriority w:val="0"/>
    <w:rPr>
      <w:b/>
      <w:bCs/>
      <w:sz w:val="21"/>
    </w:rPr>
  </w:style>
  <w:style w:type="character" w:styleId="38">
    <w:name w:val="page number"/>
    <w:basedOn w:val="36"/>
    <w:qFormat/>
    <w:uiPriority w:val="0"/>
  </w:style>
  <w:style w:type="character" w:styleId="39">
    <w:name w:val="FollowedHyperlink"/>
    <w:unhideWhenUsed/>
    <w:qFormat/>
    <w:uiPriority w:val="0"/>
    <w:rPr>
      <w:color w:val="000000"/>
      <w:sz w:val="28"/>
      <w:szCs w:val="20"/>
      <w:u w:val="none"/>
    </w:rPr>
  </w:style>
  <w:style w:type="character" w:styleId="40">
    <w:name w:val="Emphasis"/>
    <w:qFormat/>
    <w:uiPriority w:val="0"/>
    <w:rPr>
      <w:color w:val="D55111"/>
      <w:sz w:val="18"/>
      <w:szCs w:val="18"/>
    </w:rPr>
  </w:style>
  <w:style w:type="character" w:styleId="41">
    <w:name w:val="HTML Definition"/>
    <w:qFormat/>
    <w:uiPriority w:val="0"/>
    <w:rPr>
      <w:sz w:val="21"/>
    </w:rPr>
  </w:style>
  <w:style w:type="character" w:styleId="42">
    <w:name w:val="HTML Acronym"/>
    <w:basedOn w:val="36"/>
    <w:qFormat/>
    <w:uiPriority w:val="0"/>
  </w:style>
  <w:style w:type="character" w:styleId="43">
    <w:name w:val="HTML Variable"/>
    <w:qFormat/>
    <w:uiPriority w:val="0"/>
    <w:rPr>
      <w:sz w:val="21"/>
    </w:rPr>
  </w:style>
  <w:style w:type="character" w:styleId="44">
    <w:name w:val="Hyperlink"/>
    <w:qFormat/>
    <w:uiPriority w:val="99"/>
    <w:rPr>
      <w:color w:val="0000FF"/>
      <w:sz w:val="21"/>
      <w:u w:val="single"/>
    </w:rPr>
  </w:style>
  <w:style w:type="character" w:styleId="45">
    <w:name w:val="HTML Code"/>
    <w:qFormat/>
    <w:uiPriority w:val="0"/>
    <w:rPr>
      <w:rFonts w:hint="eastAsia" w:ascii="Arial" w:hAnsi="Arial" w:cs="Arial"/>
      <w:sz w:val="20"/>
    </w:rPr>
  </w:style>
  <w:style w:type="character" w:styleId="46">
    <w:name w:val="annotation reference"/>
    <w:semiHidden/>
    <w:qFormat/>
    <w:uiPriority w:val="0"/>
    <w:rPr>
      <w:sz w:val="21"/>
      <w:szCs w:val="21"/>
    </w:rPr>
  </w:style>
  <w:style w:type="character" w:styleId="47">
    <w:name w:val="HTML Cite"/>
    <w:qFormat/>
    <w:uiPriority w:val="0"/>
    <w:rPr>
      <w:sz w:val="21"/>
    </w:rPr>
  </w:style>
  <w:style w:type="character" w:styleId="48">
    <w:name w:val="HTML Keyboard"/>
    <w:qFormat/>
    <w:uiPriority w:val="0"/>
    <w:rPr>
      <w:rFonts w:hint="default" w:ascii="Arial" w:hAnsi="Arial" w:cs="Arial"/>
      <w:sz w:val="20"/>
    </w:rPr>
  </w:style>
  <w:style w:type="character" w:styleId="49">
    <w:name w:val="HTML Sample"/>
    <w:qFormat/>
    <w:uiPriority w:val="0"/>
    <w:rPr>
      <w:rFonts w:hint="default" w:ascii="Arial" w:hAnsi="Arial" w:cs="Arial"/>
      <w:sz w:val="21"/>
    </w:rPr>
  </w:style>
  <w:style w:type="table" w:styleId="51">
    <w:name w:val="Table Grid"/>
    <w:basedOn w:val="5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52">
    <w:name w:val="my-notice1"/>
    <w:basedOn w:val="36"/>
    <w:qFormat/>
    <w:uiPriority w:val="0"/>
  </w:style>
  <w:style w:type="character" w:customStyle="1" w:styleId="53">
    <w:name w:val="页脚 Char"/>
    <w:link w:val="23"/>
    <w:qFormat/>
    <w:uiPriority w:val="0"/>
    <w:rPr>
      <w:rFonts w:eastAsia="宋体"/>
      <w:kern w:val="2"/>
      <w:sz w:val="18"/>
      <w:szCs w:val="18"/>
      <w:lang w:val="en-US" w:eastAsia="zh-CN" w:bidi="ar-SA"/>
    </w:rPr>
  </w:style>
  <w:style w:type="character" w:customStyle="1" w:styleId="54">
    <w:name w:val="纯文本 Char Char Char1"/>
    <w:qFormat/>
    <w:uiPriority w:val="0"/>
    <w:rPr>
      <w:rFonts w:ascii="宋体" w:hAnsi="Courier New" w:eastAsia="宋体"/>
      <w:kern w:val="2"/>
      <w:sz w:val="21"/>
      <w:lang w:val="en-US" w:eastAsia="zh-CN" w:bidi="ar-SA"/>
    </w:rPr>
  </w:style>
  <w:style w:type="character" w:customStyle="1" w:styleId="55">
    <w:name w:val="no72"/>
    <w:basedOn w:val="36"/>
    <w:qFormat/>
    <w:uiPriority w:val="0"/>
  </w:style>
  <w:style w:type="character" w:customStyle="1" w:styleId="56">
    <w:name w:val="p1481"/>
    <w:basedOn w:val="36"/>
    <w:qFormat/>
    <w:uiPriority w:val="0"/>
  </w:style>
  <w:style w:type="character" w:customStyle="1" w:styleId="57">
    <w:name w:val="num"/>
    <w:qFormat/>
    <w:uiPriority w:val="0"/>
    <w:rPr>
      <w:b/>
      <w:color w:val="FF7800"/>
      <w:sz w:val="21"/>
    </w:rPr>
  </w:style>
  <w:style w:type="character" w:customStyle="1" w:styleId="58">
    <w:name w:val="top-icon"/>
    <w:basedOn w:val="36"/>
    <w:qFormat/>
    <w:uiPriority w:val="0"/>
  </w:style>
  <w:style w:type="character" w:customStyle="1" w:styleId="59">
    <w:name w:val="no4"/>
    <w:basedOn w:val="36"/>
    <w:qFormat/>
    <w:uiPriority w:val="0"/>
  </w:style>
  <w:style w:type="character" w:customStyle="1" w:styleId="60">
    <w:name w:val="newsitemtext1"/>
    <w:qFormat/>
    <w:uiPriority w:val="0"/>
    <w:rPr>
      <w:color w:val="000000"/>
      <w:sz w:val="21"/>
      <w:szCs w:val="21"/>
    </w:rPr>
  </w:style>
  <w:style w:type="character" w:customStyle="1" w:styleId="61">
    <w:name w:val="t-tag"/>
    <w:qFormat/>
    <w:uiPriority w:val="0"/>
    <w:rPr>
      <w:color w:val="FFFFFF"/>
      <w:sz w:val="18"/>
      <w:szCs w:val="18"/>
      <w:shd w:val="clear" w:color="auto" w:fill="FE8833"/>
    </w:rPr>
  </w:style>
  <w:style w:type="character" w:customStyle="1" w:styleId="62">
    <w:name w:val="release-day"/>
    <w:qFormat/>
    <w:uiPriority w:val="0"/>
    <w:rPr>
      <w:sz w:val="21"/>
      <w:bdr w:val="single" w:color="BDEBB0" w:sz="6" w:space="0"/>
      <w:shd w:val="clear" w:color="auto" w:fill="F5FFF1"/>
    </w:rPr>
  </w:style>
  <w:style w:type="character" w:customStyle="1" w:styleId="63">
    <w:name w:val="bds_nopic1"/>
    <w:basedOn w:val="36"/>
    <w:qFormat/>
    <w:uiPriority w:val="0"/>
  </w:style>
  <w:style w:type="character" w:customStyle="1" w:styleId="64">
    <w:name w:val="orange"/>
    <w:qFormat/>
    <w:uiPriority w:val="0"/>
    <w:rPr>
      <w:color w:val="3FB58F"/>
      <w:sz w:val="21"/>
    </w:rPr>
  </w:style>
  <w:style w:type="character" w:customStyle="1" w:styleId="65">
    <w:name w:val="普通文字 Char"/>
    <w:qFormat/>
    <w:uiPriority w:val="0"/>
    <w:rPr>
      <w:rFonts w:ascii="宋体" w:hAnsi="Courier New" w:eastAsia="宋体"/>
      <w:kern w:val="2"/>
      <w:sz w:val="21"/>
      <w:lang w:val="en-US" w:eastAsia="zh-CN" w:bidi="ar-SA"/>
    </w:rPr>
  </w:style>
  <w:style w:type="character" w:customStyle="1" w:styleId="66">
    <w:name w:val="ico-jiang3"/>
    <w:basedOn w:val="36"/>
    <w:qFormat/>
    <w:uiPriority w:val="0"/>
  </w:style>
  <w:style w:type="character" w:customStyle="1" w:styleId="67">
    <w:name w:val="bds_more"/>
    <w:basedOn w:val="36"/>
    <w:qFormat/>
    <w:uiPriority w:val="0"/>
  </w:style>
  <w:style w:type="character" w:customStyle="1" w:styleId="68">
    <w:name w:val="org_name"/>
    <w:basedOn w:val="36"/>
    <w:qFormat/>
    <w:uiPriority w:val="0"/>
  </w:style>
  <w:style w:type="character" w:customStyle="1" w:styleId="69">
    <w:name w:val="f-star"/>
    <w:qFormat/>
    <w:uiPriority w:val="0"/>
    <w:rPr>
      <w:color w:val="999999"/>
      <w:sz w:val="21"/>
      <w:szCs w:val="21"/>
    </w:rPr>
  </w:style>
  <w:style w:type="character" w:customStyle="1" w:styleId="70">
    <w:name w:val="纯文本 Char"/>
    <w:qFormat/>
    <w:uiPriority w:val="0"/>
    <w:rPr>
      <w:rFonts w:ascii="宋体" w:hAnsi="Courier New" w:eastAsia="宋体"/>
      <w:kern w:val="2"/>
      <w:sz w:val="21"/>
      <w:lang w:val="en-US" w:eastAsia="zh-CN" w:bidi="ar-SA"/>
    </w:rPr>
  </w:style>
  <w:style w:type="character" w:customStyle="1" w:styleId="71">
    <w:name w:val="页眉 Char"/>
    <w:link w:val="24"/>
    <w:qFormat/>
    <w:uiPriority w:val="0"/>
    <w:rPr>
      <w:rFonts w:eastAsia="宋体"/>
      <w:kern w:val="2"/>
      <w:sz w:val="18"/>
      <w:szCs w:val="18"/>
      <w:lang w:val="en-US" w:eastAsia="zh-CN" w:bidi="ar-SA"/>
    </w:rPr>
  </w:style>
  <w:style w:type="character" w:customStyle="1" w:styleId="72">
    <w:name w:val="shouchang1"/>
    <w:qFormat/>
    <w:uiPriority w:val="0"/>
    <w:rPr>
      <w:color w:val="000000"/>
      <w:sz w:val="12"/>
      <w:szCs w:val="12"/>
      <w:u w:val="none"/>
    </w:rPr>
  </w:style>
  <w:style w:type="character" w:customStyle="1" w:styleId="73">
    <w:name w:val="textcontents"/>
    <w:basedOn w:val="36"/>
    <w:qFormat/>
    <w:uiPriority w:val="0"/>
  </w:style>
  <w:style w:type="character" w:customStyle="1" w:styleId="74">
    <w:name w:val="no62"/>
    <w:basedOn w:val="36"/>
    <w:qFormat/>
    <w:uiPriority w:val="0"/>
  </w:style>
  <w:style w:type="character" w:customStyle="1" w:styleId="75">
    <w:name w:val="my-class2"/>
    <w:basedOn w:val="36"/>
    <w:qFormat/>
    <w:uiPriority w:val="0"/>
  </w:style>
  <w:style w:type="character" w:customStyle="1" w:styleId="76">
    <w:name w:val="bds_nopic2"/>
    <w:basedOn w:val="36"/>
    <w:qFormat/>
    <w:uiPriority w:val="0"/>
  </w:style>
  <w:style w:type="character" w:customStyle="1" w:styleId="77">
    <w:name w:val="no52"/>
    <w:basedOn w:val="36"/>
    <w:qFormat/>
    <w:uiPriority w:val="0"/>
  </w:style>
  <w:style w:type="character" w:customStyle="1" w:styleId="78">
    <w:name w:val="ui-bz-bg-hover1"/>
    <w:basedOn w:val="36"/>
    <w:qFormat/>
    <w:uiPriority w:val="0"/>
  </w:style>
  <w:style w:type="character" w:customStyle="1" w:styleId="79">
    <w:name w:val="正文文本 Char"/>
    <w:link w:val="2"/>
    <w:qFormat/>
    <w:uiPriority w:val="99"/>
    <w:rPr>
      <w:rFonts w:eastAsia="宋体"/>
      <w:kern w:val="2"/>
      <w:sz w:val="21"/>
      <w:szCs w:val="24"/>
      <w:lang w:val="en-US" w:eastAsia="zh-CN" w:bidi="ar-SA"/>
    </w:rPr>
  </w:style>
  <w:style w:type="character" w:customStyle="1" w:styleId="80">
    <w:name w:val="正文缩进 Char"/>
    <w:link w:val="12"/>
    <w:qFormat/>
    <w:uiPriority w:val="0"/>
    <w:rPr>
      <w:rFonts w:eastAsia="宋体"/>
      <w:kern w:val="2"/>
      <w:sz w:val="21"/>
      <w:lang w:val="en-US" w:eastAsia="zh-CN" w:bidi="ar-SA"/>
    </w:rPr>
  </w:style>
  <w:style w:type="character" w:customStyle="1" w:styleId="81">
    <w:name w:val="纯文本 Char2"/>
    <w:link w:val="18"/>
    <w:qFormat/>
    <w:uiPriority w:val="0"/>
    <w:rPr>
      <w:rFonts w:ascii="宋体" w:hAnsi="Courier New" w:eastAsia="宋体"/>
      <w:kern w:val="2"/>
      <w:sz w:val="21"/>
      <w:lang w:val="en-US" w:eastAsia="zh-CN" w:bidi="ar-SA"/>
    </w:rPr>
  </w:style>
  <w:style w:type="character" w:customStyle="1" w:styleId="82">
    <w:name w:val="正文对齐 Char"/>
    <w:qFormat/>
    <w:uiPriority w:val="0"/>
    <w:rPr>
      <w:rFonts w:eastAsia="宋体"/>
      <w:kern w:val="2"/>
      <w:sz w:val="21"/>
      <w:lang w:val="en-US" w:eastAsia="zh-CN" w:bidi="ar-SA"/>
    </w:rPr>
  </w:style>
  <w:style w:type="character" w:customStyle="1" w:styleId="83">
    <w:name w:val="ico-jiang2"/>
    <w:basedOn w:val="36"/>
    <w:qFormat/>
    <w:uiPriority w:val="0"/>
  </w:style>
  <w:style w:type="character" w:customStyle="1" w:styleId="84">
    <w:name w:val="纯文本 Char1"/>
    <w:qFormat/>
    <w:uiPriority w:val="0"/>
    <w:rPr>
      <w:rFonts w:ascii="宋体" w:hAnsi="Courier New" w:cs="Arial"/>
      <w:b/>
      <w:kern w:val="2"/>
      <w:sz w:val="24"/>
      <w:szCs w:val="24"/>
    </w:rPr>
  </w:style>
  <w:style w:type="character" w:customStyle="1" w:styleId="85">
    <w:name w:val="legend"/>
    <w:qFormat/>
    <w:uiPriority w:val="0"/>
    <w:rPr>
      <w:rFonts w:hint="default" w:ascii="Arial" w:hAnsi="Arial" w:cs="Arial"/>
      <w:b/>
      <w:color w:val="73B304"/>
      <w:sz w:val="21"/>
      <w:szCs w:val="21"/>
      <w:shd w:val="clear" w:color="auto" w:fill="FFFFFF"/>
    </w:rPr>
  </w:style>
  <w:style w:type="character" w:customStyle="1" w:styleId="86">
    <w:name w:val="tip10"/>
    <w:qFormat/>
    <w:uiPriority w:val="0"/>
    <w:rPr>
      <w:vanish/>
      <w:color w:val="FF0000"/>
      <w:sz w:val="18"/>
      <w:szCs w:val="18"/>
    </w:rPr>
  </w:style>
  <w:style w:type="character" w:customStyle="1" w:styleId="87">
    <w:name w:val="bds_more1"/>
    <w:qFormat/>
    <w:uiPriority w:val="0"/>
    <w:rPr>
      <w:rFonts w:hint="eastAsia" w:ascii="宋体" w:hAnsi="宋体" w:eastAsia="宋体" w:cs="宋体"/>
      <w:sz w:val="21"/>
    </w:rPr>
  </w:style>
  <w:style w:type="character" w:customStyle="1" w:styleId="88">
    <w:name w:val="bds_more2"/>
    <w:basedOn w:val="36"/>
    <w:qFormat/>
    <w:uiPriority w:val="0"/>
  </w:style>
  <w:style w:type="character" w:customStyle="1" w:styleId="89">
    <w:name w:val="ui-bz-bg-hover"/>
    <w:qFormat/>
    <w:uiPriority w:val="0"/>
    <w:rPr>
      <w:sz w:val="21"/>
      <w:shd w:val="clear" w:color="auto" w:fill="000000"/>
    </w:rPr>
  </w:style>
  <w:style w:type="character" w:customStyle="1" w:styleId="90">
    <w:name w:val="bds_nopic"/>
    <w:basedOn w:val="36"/>
    <w:qFormat/>
    <w:uiPriority w:val="0"/>
  </w:style>
  <w:style w:type="paragraph" w:customStyle="1" w:styleId="91">
    <w:name w:val="xl26"/>
    <w:basedOn w:val="1"/>
    <w:qFormat/>
    <w:uiPriority w:val="0"/>
    <w:pPr>
      <w:widowControl/>
      <w:spacing w:before="100" w:beforeAutospacing="1" w:after="100" w:afterAutospacing="1"/>
      <w:jc w:val="center"/>
    </w:pPr>
    <w:rPr>
      <w:rFonts w:ascii="仿宋_GB2312" w:hAnsi="宋体" w:eastAsia="仿宋_GB2312"/>
      <w:b/>
      <w:bCs/>
      <w:kern w:val="0"/>
      <w:sz w:val="24"/>
    </w:rPr>
  </w:style>
  <w:style w:type="paragraph" w:customStyle="1" w:styleId="92">
    <w:name w:val="_Style 75"/>
    <w:basedOn w:val="1"/>
    <w:qFormat/>
    <w:uiPriority w:val="0"/>
    <w:pPr>
      <w:tabs>
        <w:tab w:val="left" w:pos="1200"/>
      </w:tabs>
      <w:ind w:left="1200" w:hanging="720"/>
    </w:pPr>
    <w:rPr>
      <w:szCs w:val="20"/>
    </w:rPr>
  </w:style>
  <w:style w:type="paragraph" w:customStyle="1" w:styleId="93">
    <w:name w:val="*正文"/>
    <w:basedOn w:val="1"/>
    <w:qFormat/>
    <w:uiPriority w:val="0"/>
    <w:pPr>
      <w:spacing w:line="360" w:lineRule="auto"/>
      <w:ind w:firstLine="200" w:firstLineChars="200"/>
    </w:pPr>
    <w:rPr>
      <w:rFonts w:ascii="宋体" w:hAnsi="宋体"/>
      <w:sz w:val="22"/>
    </w:rPr>
  </w:style>
  <w:style w:type="paragraph" w:customStyle="1" w:styleId="94">
    <w:name w:val="reader-word-layer reader-word-s3-4"/>
    <w:basedOn w:val="1"/>
    <w:qFormat/>
    <w:uiPriority w:val="0"/>
    <w:pPr>
      <w:widowControl/>
      <w:spacing w:before="100" w:beforeAutospacing="1" w:after="100" w:afterAutospacing="1"/>
      <w:jc w:val="left"/>
    </w:pPr>
    <w:rPr>
      <w:rFonts w:ascii="宋体" w:hAnsi="宋体" w:cs="宋体"/>
      <w:kern w:val="0"/>
      <w:sz w:val="24"/>
    </w:rPr>
  </w:style>
  <w:style w:type="paragraph" w:customStyle="1" w:styleId="95">
    <w:name w:val="目录1"/>
    <w:basedOn w:val="1"/>
    <w:qFormat/>
    <w:uiPriority w:val="0"/>
    <w:pPr>
      <w:widowControl/>
      <w:tabs>
        <w:tab w:val="left" w:leader="dot" w:pos="8503"/>
      </w:tabs>
      <w:spacing w:after="136" w:line="289" w:lineRule="atLeast"/>
      <w:jc w:val="left"/>
      <w:textAlignment w:val="baseline"/>
    </w:pPr>
    <w:rPr>
      <w:rFonts w:ascii="Arial" w:eastAsia="黑体"/>
      <w:color w:val="000000"/>
      <w:kern w:val="0"/>
      <w:sz w:val="28"/>
      <w:szCs w:val="20"/>
      <w:u w:color="000000"/>
    </w:rPr>
  </w:style>
  <w:style w:type="paragraph" w:customStyle="1" w:styleId="96">
    <w:name w:val="p17"/>
    <w:basedOn w:val="1"/>
    <w:qFormat/>
    <w:uiPriority w:val="0"/>
    <w:pPr>
      <w:widowControl/>
    </w:pPr>
    <w:rPr>
      <w:rFonts w:ascii="宋体" w:hAnsi="宋体" w:cs="宋体"/>
      <w:kern w:val="0"/>
      <w:szCs w:val="21"/>
    </w:rPr>
  </w:style>
  <w:style w:type="paragraph" w:customStyle="1" w:styleId="97">
    <w:name w:val="Char Char20"/>
    <w:basedOn w:val="1"/>
    <w:qFormat/>
    <w:uiPriority w:val="0"/>
    <w:pPr>
      <w:snapToGrid w:val="0"/>
      <w:spacing w:afterLines="30" w:line="360" w:lineRule="auto"/>
      <w:ind w:firstLine="200" w:firstLineChars="200"/>
    </w:pPr>
  </w:style>
  <w:style w:type="paragraph" w:customStyle="1" w:styleId="98">
    <w:name w:val="Char2"/>
    <w:basedOn w:val="13"/>
    <w:next w:val="1"/>
    <w:qFormat/>
    <w:uiPriority w:val="0"/>
  </w:style>
  <w:style w:type="paragraph" w:customStyle="1" w:styleId="99">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100">
    <w:name w:val="Char1"/>
    <w:basedOn w:val="1"/>
    <w:qFormat/>
    <w:uiPriority w:val="0"/>
    <w:rPr>
      <w:rFonts w:ascii="仿宋_GB2312" w:eastAsia="仿宋_GB2312"/>
      <w:b/>
      <w:sz w:val="32"/>
      <w:szCs w:val="32"/>
    </w:rPr>
  </w:style>
  <w:style w:type="paragraph" w:customStyle="1" w:styleId="101">
    <w:name w:val="Char Char Char Char Char Char Char Char Char Char"/>
    <w:basedOn w:val="1"/>
    <w:qFormat/>
    <w:uiPriority w:val="0"/>
    <w:pPr>
      <w:widowControl/>
      <w:spacing w:after="160" w:line="240" w:lineRule="exact"/>
      <w:jc w:val="left"/>
    </w:pPr>
    <w:rPr>
      <w:sz w:val="28"/>
      <w:szCs w:val="20"/>
    </w:rPr>
  </w:style>
  <w:style w:type="paragraph" w:customStyle="1" w:styleId="102">
    <w:name w:val="表格标题"/>
    <w:basedOn w:val="1"/>
    <w:qFormat/>
    <w:uiPriority w:val="0"/>
    <w:pPr>
      <w:jc w:val="center"/>
    </w:pPr>
    <w:rPr>
      <w:rFonts w:eastAsia="仿宋_GB2312"/>
      <w:b/>
      <w:sz w:val="24"/>
    </w:rPr>
  </w:style>
  <w:style w:type="paragraph" w:customStyle="1" w:styleId="103">
    <w:name w:val="默认段落字体 Para Char Char Char Char Char Char Char Char Char1 Char Char Char Char"/>
    <w:basedOn w:val="1"/>
    <w:qFormat/>
    <w:uiPriority w:val="0"/>
    <w:rPr>
      <w:rFonts w:ascii="Tahoma" w:hAnsi="Tahoma"/>
      <w:sz w:val="24"/>
      <w:szCs w:val="20"/>
    </w:rPr>
  </w:style>
  <w:style w:type="paragraph" w:customStyle="1" w:styleId="104">
    <w:name w:val="Char Char7 Char"/>
    <w:basedOn w:val="1"/>
    <w:qFormat/>
    <w:uiPriority w:val="0"/>
    <w:pPr>
      <w:tabs>
        <w:tab w:val="left" w:pos="425"/>
      </w:tabs>
      <w:ind w:left="420" w:leftChars="200" w:firstLine="270" w:firstLineChars="150"/>
    </w:pPr>
  </w:style>
  <w:style w:type="paragraph" w:styleId="105">
    <w:name w:val="No Spacing"/>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06">
    <w:name w:val="Char Char Char1 Char Char Char1 Char Char Char Char Char Char Char Char Char Char"/>
    <w:basedOn w:val="1"/>
    <w:qFormat/>
    <w:uiPriority w:val="0"/>
    <w:pPr>
      <w:tabs>
        <w:tab w:val="left" w:pos="1200"/>
      </w:tabs>
      <w:ind w:left="1200" w:hanging="720"/>
    </w:pPr>
  </w:style>
  <w:style w:type="paragraph" w:customStyle="1" w:styleId="107">
    <w:name w:val="纯文本1"/>
    <w:basedOn w:val="1"/>
    <w:qFormat/>
    <w:uiPriority w:val="0"/>
    <w:pPr>
      <w:adjustRightInd w:val="0"/>
      <w:textAlignment w:val="baseline"/>
    </w:pPr>
    <w:rPr>
      <w:rFonts w:ascii="宋体" w:hAnsi="Courier New" w:eastAsia="楷体_GB2312"/>
      <w:sz w:val="28"/>
      <w:szCs w:val="20"/>
    </w:rPr>
  </w:style>
  <w:style w:type="paragraph" w:customStyle="1" w:styleId="108">
    <w:name w:val="正文2"/>
    <w:basedOn w:val="1"/>
    <w:qFormat/>
    <w:uiPriority w:val="0"/>
    <w:pPr>
      <w:spacing w:before="156" w:line="360" w:lineRule="auto"/>
      <w:ind w:firstLine="510" w:firstLineChars="200"/>
    </w:pPr>
    <w:rPr>
      <w:sz w:val="24"/>
      <w:szCs w:val="20"/>
    </w:rPr>
  </w:style>
  <w:style w:type="paragraph" w:customStyle="1" w:styleId="109">
    <w:name w:val="Char Char Char1 Char Char Char1 Char Char Char Char Char Char Char Char Char Char1"/>
    <w:basedOn w:val="1"/>
    <w:qFormat/>
    <w:uiPriority w:val="0"/>
    <w:pPr>
      <w:tabs>
        <w:tab w:val="left" w:pos="1200"/>
      </w:tabs>
      <w:ind w:left="1200" w:hanging="720"/>
    </w:pPr>
    <w:rPr>
      <w:szCs w:val="20"/>
    </w:rPr>
  </w:style>
  <w:style w:type="paragraph" w:customStyle="1" w:styleId="110">
    <w:name w:val="Char Char1"/>
    <w:basedOn w:val="1"/>
    <w:semiHidden/>
    <w:qFormat/>
    <w:uiPriority w:val="0"/>
    <w:pPr>
      <w:adjustRightInd w:val="0"/>
      <w:snapToGrid w:val="0"/>
      <w:spacing w:beforeLines="50" w:afterLines="50" w:line="480" w:lineRule="exact"/>
      <w:ind w:firstLine="200" w:firstLineChars="200"/>
    </w:pPr>
    <w:rPr>
      <w:rFonts w:ascii="Tahoma" w:hAnsi="Tahoma"/>
      <w:sz w:val="24"/>
    </w:rPr>
  </w:style>
  <w:style w:type="paragraph" w:customStyle="1" w:styleId="111">
    <w:name w:val="List Paragraph1"/>
    <w:basedOn w:val="1"/>
    <w:qFormat/>
    <w:uiPriority w:val="0"/>
    <w:pPr>
      <w:ind w:firstLine="420" w:firstLineChars="200"/>
    </w:pPr>
    <w:rPr>
      <w:rFonts w:ascii="Calibri" w:hAnsi="Calibri" w:cs="Calibri"/>
      <w:szCs w:val="21"/>
    </w:rPr>
  </w:style>
  <w:style w:type="paragraph" w:customStyle="1" w:styleId="112">
    <w:name w:val="xl31"/>
    <w:basedOn w:val="1"/>
    <w:qFormat/>
    <w:uiPriority w:val="0"/>
    <w:pPr>
      <w:widowControl/>
      <w:spacing w:before="100" w:beforeAutospacing="1" w:after="100" w:afterAutospacing="1"/>
      <w:jc w:val="center"/>
      <w:textAlignment w:val="center"/>
    </w:pPr>
    <w:rPr>
      <w:rFonts w:ascii="宋体" w:hAnsi="宋体"/>
      <w:b/>
      <w:bCs/>
      <w:kern w:val="0"/>
      <w:sz w:val="32"/>
      <w:szCs w:val="32"/>
    </w:rPr>
  </w:style>
  <w:style w:type="paragraph" w:customStyle="1" w:styleId="113">
    <w:name w:val="Char Char Char Char Char Char Char"/>
    <w:basedOn w:val="1"/>
    <w:qFormat/>
    <w:uiPriority w:val="0"/>
  </w:style>
  <w:style w:type="paragraph" w:customStyle="1" w:styleId="114">
    <w:name w:val="Char"/>
    <w:basedOn w:val="1"/>
    <w:qFormat/>
    <w:uiPriority w:val="0"/>
    <w:rPr>
      <w:rFonts w:ascii="仿宋_GB2312" w:eastAsia="仿宋_GB2312"/>
      <w:b/>
      <w:sz w:val="32"/>
      <w:szCs w:val="32"/>
    </w:rPr>
  </w:style>
  <w:style w:type="paragraph" w:customStyle="1" w:styleId="115">
    <w:name w:val="列表编号 3 New"/>
    <w:basedOn w:val="1"/>
    <w:qFormat/>
    <w:uiPriority w:val="0"/>
    <w:pPr>
      <w:widowControl/>
      <w:tabs>
        <w:tab w:val="left" w:pos="482"/>
      </w:tabs>
      <w:spacing w:afterLines="50"/>
      <w:jc w:val="left"/>
    </w:pPr>
    <w:rPr>
      <w:kern w:val="0"/>
      <w:sz w:val="24"/>
      <w:szCs w:val="20"/>
    </w:rPr>
  </w:style>
  <w:style w:type="paragraph" w:customStyle="1" w:styleId="116">
    <w:name w:val="正文段"/>
    <w:basedOn w:val="1"/>
    <w:qFormat/>
    <w:uiPriority w:val="0"/>
    <w:pPr>
      <w:widowControl/>
      <w:snapToGrid w:val="0"/>
      <w:spacing w:afterLines="50"/>
      <w:ind w:firstLine="200" w:firstLineChars="200"/>
    </w:pPr>
    <w:rPr>
      <w:kern w:val="0"/>
      <w:sz w:val="24"/>
      <w:szCs w:val="20"/>
    </w:rPr>
  </w:style>
  <w:style w:type="paragraph" w:customStyle="1" w:styleId="117">
    <w:name w:val="正文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8">
    <w:name w:val="Char Char1 Char"/>
    <w:basedOn w:val="1"/>
    <w:qFormat/>
    <w:uiPriority w:val="0"/>
    <w:pPr>
      <w:widowControl/>
      <w:spacing w:after="160" w:line="240" w:lineRule="exact"/>
      <w:jc w:val="left"/>
    </w:pPr>
    <w:rPr>
      <w:rFonts w:ascii="Verdana" w:hAnsi="Verdana" w:eastAsia="Times New Roman"/>
      <w:kern w:val="0"/>
      <w:sz w:val="24"/>
      <w:szCs w:val="20"/>
      <w:lang w:eastAsia="en-US"/>
    </w:rPr>
  </w:style>
  <w:style w:type="paragraph" w:customStyle="1" w:styleId="119">
    <w:name w:val="无间隔1"/>
    <w:qFormat/>
    <w:uiPriority w:val="1"/>
    <w:pPr>
      <w:widowControl w:val="0"/>
      <w:jc w:val="both"/>
    </w:pPr>
    <w:rPr>
      <w:rFonts w:ascii="Times New Roman" w:hAnsi="Times New Roman" w:eastAsia="宋体" w:cs="Times New Roman"/>
      <w:kern w:val="2"/>
      <w:sz w:val="24"/>
      <w:lang w:val="en-US" w:eastAsia="zh-CN" w:bidi="ar-SA"/>
    </w:rPr>
  </w:style>
  <w:style w:type="paragraph" w:customStyle="1" w:styleId="120">
    <w:name w:val="No Spacing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21">
    <w:name w:val="保留正文"/>
    <w:basedOn w:val="2"/>
    <w:qFormat/>
    <w:uiPriority w:val="0"/>
    <w:pPr>
      <w:keepNext/>
      <w:spacing w:after="160" w:line="480" w:lineRule="auto"/>
    </w:pPr>
    <w:rPr>
      <w:rFonts w:ascii="宋体"/>
    </w:rPr>
  </w:style>
  <w:style w:type="paragraph" w:customStyle="1" w:styleId="122">
    <w:name w:val="目录"/>
    <w:basedOn w:val="25"/>
    <w:qFormat/>
    <w:uiPriority w:val="0"/>
    <w:pPr>
      <w:tabs>
        <w:tab w:val="right" w:leader="dot" w:pos="7937"/>
        <w:tab w:val="clear" w:pos="9628"/>
      </w:tabs>
      <w:spacing w:line="360" w:lineRule="auto"/>
      <w:ind w:left="718" w:hanging="718" w:hangingChars="342"/>
      <w:jc w:val="center"/>
    </w:pPr>
    <w:rPr>
      <w:rFonts w:ascii="宋体" w:hAnsi="Arial" w:eastAsia="黑体" w:cs="Arial"/>
      <w:bCs w:val="0"/>
      <w:kern w:val="2"/>
      <w:sz w:val="30"/>
      <w:szCs w:val="24"/>
    </w:rPr>
  </w:style>
  <w:style w:type="paragraph" w:customStyle="1" w:styleId="123">
    <w:name w:val="Char3"/>
    <w:basedOn w:val="1"/>
    <w:qFormat/>
    <w:uiPriority w:val="0"/>
    <w:rPr>
      <w:rFonts w:ascii="仿宋_GB2312" w:eastAsia="仿宋_GB2312"/>
      <w:b/>
      <w:sz w:val="32"/>
      <w:szCs w:val="32"/>
    </w:rPr>
  </w:style>
  <w:style w:type="paragraph" w:styleId="124">
    <w:name w:val="List Paragraph"/>
    <w:basedOn w:val="1"/>
    <w:qFormat/>
    <w:uiPriority w:val="34"/>
    <w:pPr>
      <w:ind w:firstLine="420" w:firstLineChars="200"/>
    </w:pPr>
  </w:style>
  <w:style w:type="paragraph" w:customStyle="1" w:styleId="125">
    <w:name w:val="单位"/>
    <w:basedOn w:val="1"/>
    <w:qFormat/>
    <w:uiPriority w:val="0"/>
    <w:pPr>
      <w:jc w:val="center"/>
    </w:pPr>
    <w:rPr>
      <w:rFonts w:ascii="宋体"/>
      <w:b/>
      <w:sz w:val="32"/>
      <w:szCs w:val="20"/>
    </w:rPr>
  </w:style>
  <w:style w:type="paragraph" w:customStyle="1" w:styleId="126">
    <w:name w:val="Char Char1 Char1"/>
    <w:basedOn w:val="1"/>
    <w:qFormat/>
    <w:uiPriority w:val="0"/>
    <w:pPr>
      <w:widowControl/>
      <w:spacing w:after="160" w:line="240" w:lineRule="exact"/>
      <w:jc w:val="left"/>
    </w:pPr>
    <w:rPr>
      <w:rFonts w:ascii="Verdana" w:hAnsi="Verdana" w:eastAsia="Times New Roman"/>
      <w:kern w:val="0"/>
      <w:sz w:val="24"/>
      <w:szCs w:val="20"/>
      <w:lang w:eastAsia="en-US"/>
    </w:rPr>
  </w:style>
  <w:style w:type="paragraph" w:customStyle="1" w:styleId="127">
    <w:name w:val="HTTP代码"/>
    <w:basedOn w:val="1"/>
    <w:next w:val="1"/>
    <w:qFormat/>
    <w:uiPriority w:val="0"/>
    <w:pPr>
      <w:pBdr>
        <w:top w:val="dashSmallGap" w:color="auto" w:sz="4" w:space="8"/>
        <w:left w:val="dashSmallGap" w:color="auto" w:sz="4" w:space="4"/>
        <w:bottom w:val="dashSmallGap" w:color="auto" w:sz="4" w:space="8"/>
        <w:right w:val="dashSmallGap" w:color="auto" w:sz="4" w:space="4"/>
      </w:pBdr>
    </w:pPr>
    <w:rPr>
      <w:rFonts w:eastAsia="仿宋_GB2312"/>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87A0E13-5C5B-42B5-8B80-816D368BA839}">
  <ds:schemaRefs/>
</ds:datastoreItem>
</file>

<file path=docProps/app.xml><?xml version="1.0" encoding="utf-8"?>
<Properties xmlns="http://schemas.openxmlformats.org/officeDocument/2006/extended-properties" xmlns:vt="http://schemas.openxmlformats.org/officeDocument/2006/docPropsVTypes">
  <Template>Normal</Template>
  <Company>办事大厅</Company>
  <Pages>49</Pages>
  <Words>5321</Words>
  <Characters>30335</Characters>
  <Lines>252</Lines>
  <Paragraphs>71</Paragraphs>
  <ScaleCrop>false</ScaleCrop>
  <LinksUpToDate>false</LinksUpToDate>
  <CharactersWithSpaces>35585</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2019-01-16T09:45:00Z</dcterms:created>
  <dc:creator>kw</dc:creator>
  <cp:lastModifiedBy>Administrator</cp:lastModifiedBy>
  <cp:lastPrinted>2018-08-30T01:01:00Z</cp:lastPrinted>
  <dcterms:modified xsi:type="dcterms:W3CDTF">2019-02-26T01:21:11Z</dcterms:modified>
  <dc:title>浙江恒盛工程咨询有限公司</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