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lang w:eastAsia="zh-CN"/>
        </w:rPr>
        <w:t>宁波市奉化区民政局困难老年人家庭适老化改造采购项目</w:t>
      </w:r>
      <w:r>
        <w:rPr>
          <w:rFonts w:hint="eastAsia"/>
          <w:sz w:val="32"/>
          <w:szCs w:val="32"/>
        </w:rPr>
        <w:t>采购需求</w:t>
      </w:r>
    </w:p>
    <w:p>
      <w:pPr>
        <w:pStyle w:val="9"/>
        <w:keepNext w:val="0"/>
        <w:keepLines w:val="0"/>
        <w:pageBreakBefore w:val="0"/>
        <w:widowControl w:val="0"/>
        <w:kinsoku/>
        <w:wordWrap/>
        <w:overflowPunct/>
        <w:topLinePunct w:val="0"/>
        <w:autoSpaceDE/>
        <w:autoSpaceDN/>
        <w:bidi w:val="0"/>
        <w:adjustRightInd/>
        <w:snapToGrid/>
        <w:spacing w:before="0" w:after="0" w:line="360" w:lineRule="auto"/>
        <w:ind w:firstLine="413"/>
        <w:jc w:val="both"/>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一、采购内容及技术要求</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1"/>
          <w:lang w:eastAsia="en-US"/>
        </w:rPr>
      </w:pPr>
      <w:r>
        <w:rPr>
          <w:rFonts w:hint="eastAsia" w:ascii="宋体" w:hAnsi="宋体" w:eastAsia="宋体" w:cs="宋体"/>
          <w:kern w:val="1"/>
          <w:lang w:eastAsia="en-US"/>
        </w:rPr>
        <w:t>1、本项目所指的适老化改造，是指通过施工改造、设施配备、辅具适配等方式，改善老年人的居家生活环境，缓解老年人因生理机能变化导致的生活不适应，增强老年人居家生活的安全性和便利性，从而提升居家生活品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1"/>
          <w:lang w:eastAsia="en-US"/>
        </w:rPr>
      </w:pPr>
      <w:r>
        <w:rPr>
          <w:rFonts w:hint="eastAsia" w:ascii="宋体" w:hAnsi="宋体" w:eastAsia="宋体" w:cs="宋体"/>
          <w:kern w:val="1"/>
          <w:lang w:val="en-US" w:eastAsia="zh-CN"/>
        </w:rPr>
        <w:t>1.1</w:t>
      </w:r>
      <w:r>
        <w:rPr>
          <w:rFonts w:hint="eastAsia" w:ascii="宋体" w:hAnsi="宋体" w:eastAsia="宋体" w:cs="宋体"/>
          <w:kern w:val="1"/>
          <w:lang w:eastAsia="en-US"/>
        </w:rPr>
        <w:t>改造范围：</w:t>
      </w:r>
      <w:r>
        <w:rPr>
          <w:rFonts w:hint="eastAsia" w:ascii="宋体" w:hAnsi="宋体" w:eastAsia="宋体" w:cs="宋体"/>
          <w:kern w:val="1"/>
          <w:lang w:val="en-US" w:eastAsia="zh-CN"/>
        </w:rPr>
        <w:t>奉化区行政区域范围</w:t>
      </w:r>
      <w:r>
        <w:rPr>
          <w:rFonts w:hint="eastAsia" w:ascii="宋体" w:hAnsi="宋体" w:eastAsia="宋体" w:cs="宋体"/>
          <w:kern w:val="1"/>
          <w:lang w:eastAsia="en-US"/>
        </w:rPr>
        <w:t>，约</w:t>
      </w:r>
      <w:r>
        <w:rPr>
          <w:rFonts w:hint="eastAsia" w:ascii="宋体" w:hAnsi="宋体" w:eastAsia="宋体" w:cs="宋体"/>
          <w:kern w:val="1"/>
          <w:lang w:val="en-US" w:eastAsia="zh-CN"/>
        </w:rPr>
        <w:t>81</w:t>
      </w:r>
      <w:r>
        <w:rPr>
          <w:rFonts w:hint="eastAsia" w:ascii="宋体" w:hAnsi="宋体" w:eastAsia="宋体" w:cs="宋体"/>
          <w:kern w:val="1"/>
          <w:lang w:eastAsia="en-US"/>
        </w:rPr>
        <w:t>户，具体清单由采购人中标后提供。</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微软雅黑" w:hAnsi="微软雅黑" w:eastAsia="微软雅黑" w:cs="微软雅黑"/>
          <w:color w:val="auto"/>
          <w:sz w:val="24"/>
          <w:szCs w:val="24"/>
        </w:rPr>
      </w:pPr>
      <w:r>
        <w:rPr>
          <w:rFonts w:hint="eastAsia" w:ascii="宋体" w:hAnsi="宋体" w:eastAsia="宋体" w:cs="宋体"/>
          <w:kern w:val="1"/>
          <w:lang w:val="en-US" w:eastAsia="zh-CN"/>
        </w:rPr>
        <w:t>1.2改造费用</w:t>
      </w:r>
      <w:r>
        <w:rPr>
          <w:rFonts w:hint="eastAsia" w:ascii="宋体" w:hAnsi="宋体" w:eastAsia="宋体" w:cs="宋体"/>
          <w:kern w:val="1"/>
          <w:lang w:eastAsia="en-US"/>
        </w:rPr>
        <w:t>：本项目每户改造费用</w:t>
      </w:r>
      <w:r>
        <w:rPr>
          <w:rFonts w:hint="eastAsia" w:ascii="宋体" w:hAnsi="宋体" w:eastAsia="宋体" w:cs="宋体"/>
          <w:kern w:val="1"/>
          <w:lang w:val="en-US" w:eastAsia="zh-CN"/>
        </w:rPr>
        <w:t>不得超过10</w:t>
      </w:r>
      <w:r>
        <w:rPr>
          <w:rFonts w:hint="eastAsia" w:ascii="宋体" w:hAnsi="宋体" w:eastAsia="宋体" w:cs="宋体"/>
          <w:kern w:val="1"/>
          <w:lang w:eastAsia="en-US"/>
        </w:rPr>
        <w:t>000元</w:t>
      </w:r>
      <w:r>
        <w:rPr>
          <w:rFonts w:hint="eastAsia" w:ascii="宋体" w:hAnsi="宋体" w:eastAsia="宋体" w:cs="宋体"/>
          <w:kern w:val="1"/>
          <w:lang w:eastAsia="zh-CN"/>
        </w:rPr>
        <w:t>，</w:t>
      </w:r>
      <w:r>
        <w:rPr>
          <w:rFonts w:hint="eastAsia" w:ascii="宋体" w:hAnsi="宋体" w:eastAsia="宋体" w:cs="宋体"/>
          <w:kern w:val="1"/>
          <w:lang w:eastAsia="en-US"/>
        </w:rPr>
        <w:t>供应商在履约中应注意，未经采购人确认的超额工程量不计。</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1"/>
          <w:lang w:val="en-US" w:eastAsia="en-US"/>
        </w:rPr>
      </w:pPr>
      <w:r>
        <w:rPr>
          <w:rFonts w:hint="eastAsia" w:ascii="宋体" w:hAnsi="宋体" w:eastAsia="宋体" w:cs="宋体"/>
          <w:kern w:val="1"/>
          <w:lang w:val="en-US" w:eastAsia="en-US"/>
        </w:rPr>
        <w:t>2</w:t>
      </w:r>
      <w:r>
        <w:rPr>
          <w:rFonts w:hint="eastAsia" w:ascii="宋体" w:hAnsi="宋体" w:eastAsia="宋体" w:cs="宋体"/>
          <w:kern w:val="1"/>
          <w:lang w:val="en-US" w:eastAsia="zh-CN"/>
        </w:rPr>
        <w:t>.</w:t>
      </w:r>
      <w:r>
        <w:rPr>
          <w:rFonts w:hint="eastAsia" w:ascii="宋体" w:hAnsi="宋体" w:eastAsia="宋体" w:cs="宋体"/>
          <w:kern w:val="1"/>
          <w:lang w:val="en-US" w:eastAsia="en-US"/>
        </w:rPr>
        <w:t>工作原则：</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1"/>
          <w:lang w:val="en-US" w:eastAsia="en-US"/>
        </w:rPr>
      </w:pPr>
      <w:r>
        <w:rPr>
          <w:rFonts w:hint="eastAsia" w:ascii="宋体" w:hAnsi="宋体" w:eastAsia="宋体" w:cs="宋体"/>
          <w:kern w:val="1"/>
          <w:lang w:val="en-US" w:eastAsia="en-US"/>
        </w:rPr>
        <w:t>（一）以人为本。适老化改造遵循“安全、灵活、舒适、适用、经济”五大基本原则，并根据老年人家庭情况和老年人的特点，在有限的预算内选择最适合、最迫切的需求进行改造。</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1"/>
          <w:lang w:val="en-US" w:eastAsia="en-US"/>
        </w:rPr>
      </w:pPr>
      <w:r>
        <w:rPr>
          <w:rFonts w:hint="eastAsia" w:ascii="宋体" w:hAnsi="宋体" w:eastAsia="宋体" w:cs="宋体"/>
          <w:kern w:val="1"/>
          <w:lang w:val="en-US" w:eastAsia="en-US"/>
        </w:rPr>
        <w:t>（二）自愿选择。必须由老年人本人或其代理人自愿申请改造，与改造施工单位签署有关的协议并承担相应的义务。</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1"/>
          <w:lang w:val="en-US" w:eastAsia="en-US"/>
        </w:rPr>
      </w:pPr>
      <w:r>
        <w:rPr>
          <w:rFonts w:hint="eastAsia" w:ascii="宋体" w:hAnsi="宋体" w:eastAsia="宋体" w:cs="宋体"/>
          <w:kern w:val="1"/>
          <w:lang w:val="en-US" w:eastAsia="en-US"/>
        </w:rPr>
        <w:t>（三）不及其他。改造不能影响其他居民的公共利益，不能占用公用部位或对他人造成其他不</w:t>
      </w:r>
      <w:r>
        <w:rPr>
          <w:rFonts w:hint="eastAsia" w:ascii="宋体" w:hAnsi="宋体" w:eastAsia="宋体" w:cs="宋体"/>
          <w:color w:val="auto"/>
          <w:kern w:val="1"/>
          <w:lang w:val="en-US" w:eastAsia="en-US"/>
        </w:rPr>
        <w:t>良影响。</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1"/>
          <w:lang w:val="en-US" w:eastAsia="en-US"/>
        </w:rPr>
      </w:pPr>
      <w:r>
        <w:rPr>
          <w:rFonts w:hint="eastAsia" w:ascii="宋体" w:hAnsi="宋体" w:eastAsia="宋体" w:cs="宋体"/>
          <w:color w:val="auto"/>
          <w:kern w:val="1"/>
          <w:lang w:val="en-US" w:eastAsia="en-US"/>
        </w:rPr>
        <w:t>3</w:t>
      </w:r>
      <w:r>
        <w:rPr>
          <w:rFonts w:hint="eastAsia" w:ascii="宋体" w:hAnsi="宋体" w:eastAsia="宋体" w:cs="宋体"/>
          <w:color w:val="auto"/>
          <w:kern w:val="1"/>
          <w:lang w:val="en-US" w:eastAsia="zh-CN"/>
        </w:rPr>
        <w:t>.</w:t>
      </w:r>
      <w:r>
        <w:rPr>
          <w:rFonts w:hint="eastAsia" w:ascii="宋体" w:hAnsi="宋体" w:eastAsia="宋体" w:cs="宋体"/>
          <w:color w:val="auto"/>
          <w:kern w:val="1"/>
          <w:lang w:val="en-US" w:eastAsia="en-US"/>
        </w:rPr>
        <w:t>实施对象：年满60周岁且符合下列条件之一的在本</w:t>
      </w:r>
      <w:r>
        <w:rPr>
          <w:rFonts w:hint="eastAsia" w:ascii="宋体" w:hAnsi="宋体" w:eastAsia="宋体" w:cs="宋体"/>
          <w:color w:val="auto"/>
          <w:kern w:val="1"/>
          <w:lang w:val="en-US" w:eastAsia="zh-CN"/>
        </w:rPr>
        <w:t>区</w:t>
      </w:r>
      <w:r>
        <w:rPr>
          <w:rFonts w:hint="eastAsia" w:ascii="宋体" w:hAnsi="宋体" w:eastAsia="宋体" w:cs="宋体"/>
          <w:color w:val="auto"/>
          <w:kern w:val="1"/>
          <w:lang w:val="en-US" w:eastAsia="en-US"/>
        </w:rPr>
        <w:t>生活的特殊困难老年人（以下简称“特殊困难老年人”）。</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default" w:ascii="宋体" w:hAnsi="宋体" w:eastAsia="宋体" w:cs="宋体"/>
          <w:color w:val="auto"/>
          <w:kern w:val="1"/>
          <w:shd w:val="clear" w:color="auto" w:fill="auto"/>
          <w:lang w:val="en-US" w:eastAsia="zh-CN"/>
        </w:rPr>
      </w:pPr>
      <w:r>
        <w:rPr>
          <w:rFonts w:hint="eastAsia" w:ascii="宋体" w:hAnsi="宋体" w:eastAsia="宋体" w:cs="宋体"/>
          <w:color w:val="auto"/>
          <w:kern w:val="1"/>
          <w:shd w:val="clear" w:color="auto" w:fill="auto"/>
          <w:lang w:val="en-US" w:eastAsia="zh-CN"/>
        </w:rPr>
        <w:t>生活困难按是指最低生活保障和最低生活保障边缘对象，改造对象应为具备奉化户籍的60周年及以上老年人。优先满足：</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1"/>
          <w:shd w:val="clear" w:color="auto" w:fill="auto"/>
          <w:lang w:val="en-US" w:eastAsia="zh-CN"/>
        </w:rPr>
      </w:pPr>
      <w:r>
        <w:rPr>
          <w:rFonts w:hint="eastAsia" w:ascii="宋体" w:hAnsi="宋体" w:eastAsia="宋体" w:cs="宋体"/>
          <w:color w:val="auto"/>
          <w:kern w:val="1"/>
          <w:shd w:val="clear" w:color="auto" w:fill="auto"/>
          <w:lang w:val="en-US" w:eastAsia="zh-CN"/>
        </w:rPr>
        <w:t>最低生活保障对象中享受定期抚恤补助的老年优抚对象家庭；</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1"/>
          <w:shd w:val="clear" w:color="auto" w:fill="auto"/>
          <w:lang w:val="en-US" w:eastAsia="en-US"/>
        </w:rPr>
      </w:pPr>
      <w:r>
        <w:rPr>
          <w:rFonts w:hint="eastAsia" w:ascii="宋体" w:hAnsi="宋体" w:eastAsia="宋体" w:cs="宋体"/>
          <w:color w:val="auto"/>
          <w:kern w:val="1"/>
          <w:shd w:val="clear" w:color="auto" w:fill="auto"/>
          <w:lang w:val="en-US" w:eastAsia="zh-CN"/>
        </w:rPr>
        <w:t>最低生活保障对象中失能老年人家庭</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1"/>
          <w:shd w:val="clear" w:color="auto" w:fill="auto"/>
          <w:lang w:val="en-US" w:eastAsia="en-US"/>
        </w:rPr>
      </w:pPr>
      <w:r>
        <w:rPr>
          <w:rFonts w:hint="eastAsia" w:ascii="宋体" w:hAnsi="宋体" w:eastAsia="宋体" w:cs="宋体"/>
          <w:color w:val="auto"/>
          <w:kern w:val="1"/>
          <w:shd w:val="clear" w:color="auto" w:fill="auto"/>
          <w:lang w:val="en-US" w:eastAsia="zh-CN"/>
        </w:rPr>
        <w:t>在满足上述两类对象的基础上，再按照上级文件要求的为低边等其他对象实施适老化改造服务。其中房屋2年内需拆迁的、房屋确实不具备改造条件的，</w:t>
      </w:r>
      <w:r>
        <w:rPr>
          <w:rFonts w:hint="eastAsia" w:ascii="宋体" w:hAnsi="宋体" w:eastAsia="宋体" w:cs="宋体"/>
          <w:color w:val="auto"/>
          <w:kern w:val="1"/>
          <w:shd w:val="clear" w:color="auto" w:fill="auto"/>
          <w:lang w:val="en-US" w:eastAsia="en-US"/>
        </w:rPr>
        <w:t>已享受过残联“无障碍设施进家庭工程”的</w:t>
      </w:r>
      <w:r>
        <w:rPr>
          <w:rFonts w:hint="eastAsia" w:ascii="宋体" w:hAnsi="宋体" w:eastAsia="宋体" w:cs="宋体"/>
          <w:color w:val="auto"/>
          <w:kern w:val="1"/>
          <w:shd w:val="clear" w:color="auto" w:fill="auto"/>
          <w:lang w:val="en-US" w:eastAsia="zh-CN"/>
        </w:rPr>
        <w:t>老年人</w:t>
      </w:r>
      <w:r>
        <w:rPr>
          <w:rFonts w:hint="eastAsia" w:ascii="宋体" w:hAnsi="宋体" w:eastAsia="宋体" w:cs="宋体"/>
          <w:color w:val="auto"/>
          <w:kern w:val="1"/>
          <w:shd w:val="clear" w:color="auto" w:fill="auto"/>
          <w:lang w:val="en-US" w:eastAsia="en-US"/>
        </w:rPr>
        <w:t>家庭不适用本方案。接受适老化改造的家庭如需老年人迁出改造的，还应有自行在他处临时过渡的条件和能力。</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1"/>
          <w:lang w:val="en-US" w:eastAsia="en-US"/>
        </w:rPr>
      </w:pPr>
      <w:r>
        <w:rPr>
          <w:rFonts w:hint="eastAsia" w:ascii="宋体" w:hAnsi="宋体" w:eastAsia="宋体" w:cs="宋体"/>
          <w:kern w:val="1"/>
          <w:lang w:val="en-US" w:eastAsia="en-US"/>
        </w:rPr>
        <w:t xml:space="preserve"> 4</w:t>
      </w:r>
      <w:r>
        <w:rPr>
          <w:rFonts w:hint="eastAsia" w:ascii="宋体" w:hAnsi="宋体" w:eastAsia="宋体" w:cs="宋体"/>
          <w:kern w:val="1"/>
          <w:lang w:val="en-US" w:eastAsia="zh-CN"/>
        </w:rPr>
        <w:t>.</w:t>
      </w:r>
      <w:r>
        <w:rPr>
          <w:rFonts w:hint="eastAsia" w:ascii="宋体" w:hAnsi="宋体" w:eastAsia="宋体" w:cs="宋体"/>
          <w:kern w:val="1"/>
          <w:lang w:val="en-US" w:eastAsia="en-US"/>
        </w:rPr>
        <w:t>评估和改造内容</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1"/>
          <w:lang w:val="en-US" w:eastAsia="en-US"/>
        </w:rPr>
      </w:pPr>
      <w:r>
        <w:rPr>
          <w:rFonts w:hint="eastAsia" w:ascii="宋体" w:hAnsi="宋体" w:eastAsia="宋体" w:cs="宋体"/>
          <w:kern w:val="1"/>
          <w:lang w:val="en-US" w:eastAsia="en-US"/>
        </w:rPr>
        <w:t>居家适老化改造聚焦老年人安全、健康等功能性需求，选择适配性产品，组成不同场景居家环境的产品服务包，包括地面、墙体、居室、厨房间、卫生间等施工改造服务，围绕“如厕洗澡安全，室内行走便利，居家环境改善，智能监测跟进，辅助器具适配”五个方面功能，提升老年人生活自理能力和居家生活品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1"/>
          <w:lang w:val="en-US" w:eastAsia="en-US"/>
        </w:rPr>
      </w:pPr>
      <w:r>
        <w:rPr>
          <w:rFonts w:hint="eastAsia" w:ascii="宋体" w:hAnsi="宋体" w:eastAsia="宋体" w:cs="宋体"/>
          <w:kern w:val="1"/>
          <w:lang w:val="en-US" w:eastAsia="en-US"/>
        </w:rPr>
        <w:t>（一）适老化改造需求评估主要包括以下四项内容：（采用评估软件归档）</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1"/>
          <w:lang w:val="en-US" w:eastAsia="en-US"/>
        </w:rPr>
      </w:pPr>
      <w:r>
        <w:rPr>
          <w:rFonts w:hint="eastAsia" w:ascii="宋体" w:hAnsi="宋体" w:eastAsia="宋体" w:cs="宋体"/>
          <w:kern w:val="1"/>
          <w:lang w:val="en-US" w:eastAsia="en-US"/>
        </w:rPr>
        <w:t xml:space="preserve"> 1.身体状况评估</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1"/>
          <w:lang w:val="en-US" w:eastAsia="en-US"/>
        </w:rPr>
      </w:pPr>
      <w:r>
        <w:rPr>
          <w:rFonts w:hint="eastAsia" w:ascii="宋体" w:hAnsi="宋体" w:eastAsia="宋体" w:cs="宋体"/>
          <w:kern w:val="1"/>
          <w:lang w:val="en-US" w:eastAsia="zh-CN"/>
        </w:rPr>
        <w:t>（1）</w:t>
      </w:r>
      <w:r>
        <w:rPr>
          <w:rFonts w:hint="eastAsia" w:ascii="宋体" w:hAnsi="宋体" w:eastAsia="宋体" w:cs="宋体"/>
          <w:kern w:val="1"/>
          <w:lang w:val="en-US" w:eastAsia="en-US"/>
        </w:rPr>
        <w:t>日常生活能力评估：包括进食、修饰、穿衣、洗浴、如厕、机体活动能力评估等内容；</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1"/>
          <w:lang w:val="en-US" w:eastAsia="en-US"/>
        </w:rPr>
      </w:pPr>
      <w:r>
        <w:rPr>
          <w:rFonts w:hint="eastAsia" w:ascii="宋体" w:hAnsi="宋体" w:eastAsia="宋体" w:cs="宋体"/>
          <w:kern w:val="1"/>
          <w:lang w:val="en-US" w:eastAsia="zh-CN"/>
        </w:rPr>
        <w:t>（2）</w:t>
      </w:r>
      <w:r>
        <w:rPr>
          <w:rFonts w:hint="eastAsia" w:ascii="宋体" w:hAnsi="宋体" w:eastAsia="宋体" w:cs="宋体"/>
          <w:kern w:val="1"/>
          <w:lang w:val="en-US" w:eastAsia="en-US"/>
        </w:rPr>
        <w:t>感知觉评估：包括视力、听力方面评估等内容；</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1"/>
          <w:lang w:val="en-US" w:eastAsia="en-US"/>
        </w:rPr>
      </w:pPr>
      <w:r>
        <w:rPr>
          <w:rFonts w:hint="eastAsia" w:ascii="宋体" w:hAnsi="宋体" w:eastAsia="宋体" w:cs="宋体"/>
          <w:kern w:val="1"/>
          <w:lang w:val="en-US" w:eastAsia="zh-CN"/>
        </w:rPr>
        <w:t>（3）</w:t>
      </w:r>
      <w:r>
        <w:rPr>
          <w:rFonts w:hint="eastAsia" w:ascii="宋体" w:hAnsi="宋体" w:eastAsia="宋体" w:cs="宋体"/>
          <w:kern w:val="1"/>
          <w:lang w:val="en-US" w:eastAsia="en-US"/>
        </w:rPr>
        <w:t>精神状态评估：包括认知能力、攻击行为、抑郁症状评估等内容；</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1"/>
          <w:lang w:val="en-US" w:eastAsia="en-US"/>
        </w:rPr>
      </w:pPr>
      <w:r>
        <w:rPr>
          <w:rFonts w:hint="eastAsia" w:ascii="宋体" w:hAnsi="宋体" w:eastAsia="宋体" w:cs="宋体"/>
          <w:kern w:val="1"/>
          <w:lang w:val="en-US" w:eastAsia="zh-CN"/>
        </w:rPr>
        <w:t>（4）</w:t>
      </w:r>
      <w:r>
        <w:rPr>
          <w:rFonts w:hint="eastAsia" w:ascii="宋体" w:hAnsi="宋体" w:eastAsia="宋体" w:cs="宋体"/>
          <w:kern w:val="1"/>
          <w:lang w:val="en-US" w:eastAsia="en-US"/>
        </w:rPr>
        <w:t>已确诊疾病及意外事件评估：包括现病史（含皮肤状况）、既往病史、跌倒、噎食评估等内容；</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1"/>
          <w:lang w:val="en-US" w:eastAsia="en-US"/>
        </w:rPr>
      </w:pPr>
      <w:r>
        <w:rPr>
          <w:rFonts w:hint="eastAsia" w:ascii="宋体" w:hAnsi="宋体" w:eastAsia="宋体" w:cs="宋体"/>
          <w:kern w:val="1"/>
          <w:lang w:val="en-US" w:eastAsia="zh-CN"/>
        </w:rPr>
        <w:t>（5）</w:t>
      </w:r>
      <w:r>
        <w:rPr>
          <w:rFonts w:hint="eastAsia" w:ascii="宋体" w:hAnsi="宋体" w:eastAsia="宋体" w:cs="宋体"/>
          <w:kern w:val="1"/>
          <w:lang w:val="en-US" w:eastAsia="en-US"/>
        </w:rPr>
        <w:t>行为习惯：包括兴趣爱好、锻炼活动、社会交往意愿及能力评估等内容； 老年人近期内做过的身体状况评估结果，可供参考。</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1"/>
          <w:lang w:val="en-US" w:eastAsia="en-US"/>
        </w:rPr>
      </w:pPr>
      <w:r>
        <w:rPr>
          <w:rFonts w:hint="eastAsia" w:ascii="宋体" w:hAnsi="宋体" w:eastAsia="宋体" w:cs="宋体"/>
          <w:kern w:val="1"/>
          <w:lang w:val="en-US" w:eastAsia="zh-CN"/>
        </w:rPr>
        <w:t>2.</w:t>
      </w:r>
      <w:r>
        <w:rPr>
          <w:rFonts w:hint="eastAsia" w:ascii="宋体" w:hAnsi="宋体" w:eastAsia="宋体" w:cs="宋体"/>
          <w:kern w:val="1"/>
          <w:lang w:val="en-US" w:eastAsia="en-US"/>
        </w:rPr>
        <w:t>康复辅助器具需求评估</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1"/>
          <w:lang w:val="en-US" w:eastAsia="en-US"/>
        </w:rPr>
      </w:pPr>
      <w:r>
        <w:rPr>
          <w:rFonts w:hint="eastAsia" w:ascii="宋体" w:hAnsi="宋体" w:eastAsia="宋体" w:cs="宋体"/>
          <w:kern w:val="1"/>
          <w:lang w:val="en-US" w:eastAsia="en-US"/>
        </w:rPr>
        <w:t>包括助餐辅助、助行辅助、如厕辅助、洗浴辅助、感知辅助、康复辅助、照护辅助等辅具需求情况评估等内容。</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1"/>
          <w:lang w:val="en-US" w:eastAsia="en-US"/>
        </w:rPr>
      </w:pPr>
      <w:r>
        <w:rPr>
          <w:rFonts w:hint="eastAsia" w:ascii="宋体" w:hAnsi="宋体" w:eastAsia="宋体" w:cs="宋体"/>
          <w:kern w:val="1"/>
          <w:lang w:val="en-US" w:eastAsia="zh-CN"/>
        </w:rPr>
        <w:t>3.</w:t>
      </w:r>
      <w:r>
        <w:rPr>
          <w:rFonts w:hint="eastAsia" w:ascii="宋体" w:hAnsi="宋体" w:eastAsia="宋体" w:cs="宋体"/>
          <w:kern w:val="1"/>
          <w:lang w:val="en-US" w:eastAsia="en-US"/>
        </w:rPr>
        <w:t>居室环境评估</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1"/>
          <w:lang w:val="en-US" w:eastAsia="en-US"/>
        </w:rPr>
      </w:pPr>
      <w:r>
        <w:rPr>
          <w:rFonts w:hint="eastAsia" w:ascii="宋体" w:hAnsi="宋体" w:eastAsia="宋体" w:cs="宋体"/>
          <w:kern w:val="1"/>
          <w:lang w:val="en-US" w:eastAsia="en-US"/>
        </w:rPr>
        <w:t>包括玄关、客厅、卧室、厨房、卫生间、书房、阳台区域评估等内容，确定居室环境是否具备改造施工条件。</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1"/>
          <w:lang w:val="en-US" w:eastAsia="en-US"/>
        </w:rPr>
      </w:pPr>
      <w:r>
        <w:rPr>
          <w:rFonts w:hint="eastAsia" w:ascii="宋体" w:hAnsi="宋体" w:eastAsia="宋体" w:cs="宋体"/>
          <w:kern w:val="1"/>
          <w:lang w:val="en-US" w:eastAsia="zh-CN"/>
        </w:rPr>
        <w:t>4.</w:t>
      </w:r>
      <w:r>
        <w:rPr>
          <w:rFonts w:hint="eastAsia" w:ascii="宋体" w:hAnsi="宋体" w:eastAsia="宋体" w:cs="宋体"/>
          <w:kern w:val="1"/>
          <w:lang w:val="en-US" w:eastAsia="en-US"/>
        </w:rPr>
        <w:t>家庭成员评估</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1"/>
          <w:lang w:val="en-US" w:eastAsia="en-US"/>
        </w:rPr>
      </w:pPr>
      <w:r>
        <w:rPr>
          <w:rFonts w:hint="eastAsia" w:ascii="宋体" w:hAnsi="宋体" w:eastAsia="宋体" w:cs="宋体"/>
          <w:kern w:val="1"/>
          <w:lang w:val="en-US" w:eastAsia="en-US"/>
        </w:rPr>
        <w:t>包括家庭成员状态评估、有无照护者、照护内容、照护时间等内容，确定相关改造项目是否适宜于家庭使用。同时还要征求家庭意愿，包括老年人本人及其家庭成员的主观意愿、客观意愿等内容，确定是否选择相关改造项目。</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1"/>
          <w:lang w:val="en-US" w:eastAsia="en-US"/>
        </w:rPr>
      </w:pPr>
      <w:r>
        <w:rPr>
          <w:rFonts w:hint="eastAsia" w:ascii="宋体" w:hAnsi="宋体" w:eastAsia="宋体" w:cs="宋体"/>
          <w:kern w:val="1"/>
          <w:lang w:val="en-US" w:eastAsia="zh-CN"/>
        </w:rPr>
        <w:t>（</w:t>
      </w:r>
      <w:r>
        <w:rPr>
          <w:rFonts w:hint="eastAsia" w:ascii="宋体" w:hAnsi="宋体" w:eastAsia="宋体" w:cs="宋体"/>
          <w:kern w:val="1"/>
          <w:lang w:val="en-US" w:eastAsia="en-US"/>
        </w:rPr>
        <w:t>二）改造内容主要包括以下内容：</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1"/>
          <w:lang w:val="en-US" w:eastAsia="en-US"/>
        </w:rPr>
      </w:pPr>
      <w:r>
        <w:rPr>
          <w:rFonts w:hint="eastAsia" w:ascii="宋体" w:hAnsi="宋体" w:eastAsia="宋体" w:cs="宋体"/>
          <w:kern w:val="1"/>
          <w:lang w:val="en-US" w:eastAsia="en-US"/>
        </w:rPr>
        <w:t>1.如厕洗澡安全。卫生间、浴室地面防滑处理，配备坐便器、洗澡椅，安装扶手等，降低意外风险。</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1"/>
          <w:lang w:val="en-US" w:eastAsia="en-US"/>
        </w:rPr>
      </w:pPr>
      <w:r>
        <w:rPr>
          <w:rFonts w:hint="eastAsia" w:ascii="宋体" w:hAnsi="宋体" w:eastAsia="宋体" w:cs="宋体"/>
          <w:kern w:val="1"/>
          <w:lang w:val="en-US" w:eastAsia="zh-CN"/>
        </w:rPr>
        <w:t>2.</w:t>
      </w:r>
      <w:r>
        <w:rPr>
          <w:rFonts w:hint="eastAsia" w:ascii="宋体" w:hAnsi="宋体" w:eastAsia="宋体" w:cs="宋体"/>
          <w:kern w:val="1"/>
          <w:lang w:val="en-US" w:eastAsia="en-US"/>
        </w:rPr>
        <w:t>室内行走便利。出入通道无障碍改造、室内墙体安装扶手（抓杆）、加装夜间照明装置等，便于老人行走。</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1"/>
          <w:lang w:val="en-US" w:eastAsia="en-US"/>
        </w:rPr>
      </w:pPr>
      <w:r>
        <w:rPr>
          <w:rFonts w:hint="eastAsia" w:ascii="宋体" w:hAnsi="宋体" w:eastAsia="宋体" w:cs="宋体"/>
          <w:kern w:val="1"/>
          <w:lang w:val="en-US" w:eastAsia="en-US"/>
        </w:rPr>
        <w:t>3.居家环境改善。对锈蚀水管、老化裸露用电线路改造等，改善居住环境。</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宋体" w:hAnsi="宋体" w:eastAsia="宋体" w:cs="宋体"/>
          <w:kern w:val="1"/>
          <w:lang w:val="en-US" w:eastAsia="zh-CN"/>
        </w:rPr>
      </w:pPr>
      <w:r>
        <w:rPr>
          <w:rFonts w:hint="eastAsia" w:ascii="宋体" w:hAnsi="宋体" w:eastAsia="宋体" w:cs="宋体"/>
          <w:kern w:val="1"/>
          <w:lang w:val="en-US" w:eastAsia="zh-CN"/>
        </w:rPr>
        <w:t>4.</w:t>
      </w:r>
      <w:r>
        <w:rPr>
          <w:rFonts w:hint="eastAsia" w:ascii="宋体" w:hAnsi="宋体" w:eastAsia="宋体" w:cs="宋体"/>
          <w:kern w:val="1"/>
          <w:lang w:val="en-US" w:eastAsia="en-US"/>
        </w:rPr>
        <w:t>智能监测跟进。安装物联网门磁监测系统、紧急呼叫系统、燃气监测报警器等，做好老年人安全监护。</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1"/>
          <w:lang w:val="en-US" w:eastAsia="en-US"/>
        </w:rPr>
      </w:pPr>
      <w:r>
        <w:rPr>
          <w:rFonts w:hint="eastAsia" w:ascii="宋体" w:hAnsi="宋体" w:eastAsia="宋体" w:cs="宋体"/>
          <w:kern w:val="1"/>
          <w:lang w:val="en-US" w:eastAsia="zh-CN"/>
        </w:rPr>
        <w:t>5</w:t>
      </w:r>
      <w:r>
        <w:rPr>
          <w:rFonts w:hint="eastAsia" w:ascii="宋体" w:hAnsi="宋体" w:eastAsia="宋体" w:cs="宋体"/>
          <w:kern w:val="1"/>
          <w:lang w:val="en-US" w:eastAsia="en-US"/>
        </w:rPr>
        <w:t>.辅助器具适配。适配康复辅助器具等，补偿缺失的生理功能，适应居家生活。</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1"/>
          <w:lang w:val="en-US" w:eastAsia="en-US"/>
        </w:rPr>
      </w:pPr>
      <w:r>
        <w:rPr>
          <w:rFonts w:hint="eastAsia" w:ascii="宋体" w:hAnsi="宋体" w:eastAsia="宋体" w:cs="宋体"/>
          <w:kern w:val="1"/>
          <w:lang w:val="en-US" w:eastAsia="en-US"/>
        </w:rPr>
        <w:t>实施对象可根据实际需求选择基础改造服务包和拓展改造服务包的部分项目，</w:t>
      </w:r>
      <w:r>
        <w:rPr>
          <w:rFonts w:hint="eastAsia" w:ascii="宋体" w:hAnsi="宋体" w:eastAsia="宋体" w:cs="宋体"/>
          <w:kern w:val="1"/>
          <w:lang w:val="en-US" w:eastAsia="zh-CN"/>
        </w:rPr>
        <w:t>按照“一户一档”</w:t>
      </w:r>
      <w:r>
        <w:rPr>
          <w:rFonts w:hint="eastAsia" w:ascii="宋体" w:hAnsi="宋体" w:eastAsia="宋体" w:cs="宋体"/>
          <w:kern w:val="1"/>
          <w:lang w:val="en-US" w:eastAsia="en-US"/>
        </w:rPr>
        <w:t>建立居家适老化改造项目档案。为满足不同老年人、不同居住环境要求，有条件的地方根据改造对象的意愿，也可开展局部或全屋适老化施工改造服务，超出补助标准的费用由个人承担</w:t>
      </w:r>
      <w:r>
        <w:rPr>
          <w:rFonts w:hint="eastAsia" w:ascii="宋体" w:hAnsi="宋体" w:eastAsia="宋体" w:cs="宋体"/>
          <w:kern w:val="1"/>
          <w:lang w:val="en-US" w:eastAsia="zh-CN"/>
        </w:rPr>
        <w:t>。</w:t>
      </w:r>
      <w:r>
        <w:rPr>
          <w:rFonts w:hint="eastAsia" w:ascii="宋体" w:hAnsi="宋体" w:eastAsia="宋体" w:cs="宋体"/>
          <w:kern w:val="1"/>
          <w:lang w:val="en-US" w:eastAsia="en-US"/>
        </w:rPr>
        <w:t>如老年人身体状况不适应迁出改造的，应当实施局部改造，以安装扶手、更换老化管道、平整（整平）易绊脚的地面为主。在改造过程中，应结合老年人行为习惯、身体状况、心理特点等设计服务及活动。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微软雅黑" w:hAnsi="微软雅黑" w:eastAsia="微软雅黑" w:cs="微软雅黑"/>
          <w:b/>
          <w:bCs/>
          <w:color w:val="auto"/>
          <w:sz w:val="24"/>
          <w:szCs w:val="24"/>
          <w:lang w:val="en-US" w:eastAsia="zh-CN"/>
        </w:rPr>
      </w:pPr>
      <w:r>
        <w:rPr>
          <w:rFonts w:hint="eastAsia" w:ascii="宋体" w:hAnsi="宋体" w:eastAsia="宋体" w:cs="宋体"/>
          <w:kern w:val="1"/>
          <w:lang w:val="en-US" w:eastAsia="en-US"/>
        </w:rPr>
        <w:t>在</w:t>
      </w:r>
      <w:r>
        <w:rPr>
          <w:rFonts w:hint="eastAsia" w:ascii="宋体" w:hAnsi="宋体" w:eastAsia="宋体" w:cs="宋体"/>
          <w:kern w:val="1"/>
          <w:lang w:val="en-US" w:eastAsia="zh-CN"/>
        </w:rPr>
        <w:t>区</w:t>
      </w:r>
      <w:r>
        <w:rPr>
          <w:rFonts w:hint="eastAsia" w:ascii="宋体" w:hAnsi="宋体" w:eastAsia="宋体" w:cs="宋体"/>
          <w:kern w:val="1"/>
          <w:lang w:val="en-US" w:eastAsia="en-US"/>
        </w:rPr>
        <w:t>民政部门提供实施对象名单后，中标单位入户对老年人身体状况、康复辅助器具需求、居室环境、家庭成员进行综合评估</w:t>
      </w:r>
      <w:r>
        <w:rPr>
          <w:rFonts w:hint="eastAsia" w:ascii="宋体" w:hAnsi="宋体" w:eastAsia="宋体" w:cs="宋体"/>
          <w:kern w:val="1"/>
          <w:lang w:val="en-US" w:eastAsia="zh-CN"/>
        </w:rPr>
        <w:t>，并完成</w:t>
      </w:r>
      <w:r>
        <w:rPr>
          <w:rFonts w:hint="eastAsia" w:ascii="宋体" w:hAnsi="宋体" w:eastAsia="宋体" w:cs="宋体"/>
          <w:kern w:val="1"/>
          <w:lang w:val="en-US" w:eastAsia="en-US"/>
        </w:rPr>
        <w:t>居家适老化改造需求评估表</w:t>
      </w:r>
      <w:r>
        <w:rPr>
          <w:rFonts w:hint="eastAsia" w:ascii="宋体" w:hAnsi="宋体" w:eastAsia="宋体" w:cs="宋体"/>
          <w:kern w:val="1"/>
          <w:lang w:val="en-US" w:eastAsia="zh-CN"/>
        </w:rPr>
        <w:t>填报</w:t>
      </w:r>
      <w:r>
        <w:rPr>
          <w:rFonts w:hint="eastAsia" w:ascii="宋体" w:hAnsi="宋体" w:eastAsia="宋体" w:cs="宋体"/>
          <w:kern w:val="1"/>
          <w:lang w:val="en-US" w:eastAsia="en-US"/>
        </w:rPr>
        <w:t>；填写</w:t>
      </w:r>
      <w:r>
        <w:rPr>
          <w:rFonts w:hint="eastAsia" w:ascii="宋体" w:hAnsi="宋体" w:eastAsia="宋体" w:cs="宋体"/>
          <w:kern w:val="1"/>
          <w:lang w:val="en-US" w:eastAsia="zh-CN"/>
        </w:rPr>
        <w:t>（</w:t>
      </w:r>
      <w:r>
        <w:rPr>
          <w:rFonts w:hint="eastAsia" w:ascii="宋体" w:hAnsi="宋体" w:eastAsia="宋体" w:cs="宋体"/>
          <w:kern w:val="1"/>
          <w:lang w:val="en-US" w:eastAsia="en-US"/>
        </w:rPr>
        <w:t>居家适老化改造方案确认表</w:t>
      </w:r>
      <w:r>
        <w:rPr>
          <w:rFonts w:hint="eastAsia" w:ascii="宋体" w:hAnsi="宋体" w:eastAsia="宋体" w:cs="宋体"/>
          <w:kern w:val="1"/>
          <w:lang w:val="en-US" w:eastAsia="zh-CN"/>
        </w:rPr>
        <w:t>）；</w:t>
      </w:r>
      <w:r>
        <w:rPr>
          <w:rFonts w:hint="eastAsia" w:ascii="宋体" w:hAnsi="宋体" w:eastAsia="宋体" w:cs="宋体"/>
          <w:kern w:val="1"/>
          <w:lang w:val="en-US" w:eastAsia="en-US"/>
        </w:rPr>
        <w:t>中标单位在入户评估后出具改造建议方案</w:t>
      </w:r>
      <w:r>
        <w:rPr>
          <w:rFonts w:hint="eastAsia" w:ascii="宋体" w:hAnsi="宋体" w:eastAsia="宋体" w:cs="宋体"/>
          <w:kern w:val="1"/>
          <w:lang w:val="en-US" w:eastAsia="zh-CN"/>
        </w:rPr>
        <w:t>及改造设计图纸，改造建议方案按照“一户一方案”落实，</w:t>
      </w:r>
      <w:r>
        <w:rPr>
          <w:rFonts w:hint="eastAsia" w:ascii="宋体" w:hAnsi="宋体" w:eastAsia="宋体" w:cs="宋体"/>
          <w:kern w:val="1"/>
          <w:lang w:val="en-US" w:eastAsia="en-US"/>
        </w:rPr>
        <w:t>改造建议方案经老年人家庭确认签字后，由镇（街道）审核后上报</w:t>
      </w:r>
      <w:r>
        <w:rPr>
          <w:rFonts w:hint="eastAsia" w:ascii="宋体" w:hAnsi="宋体" w:eastAsia="宋体" w:cs="宋体"/>
          <w:kern w:val="1"/>
          <w:lang w:val="en-US" w:eastAsia="zh-CN"/>
        </w:rPr>
        <w:t>区</w:t>
      </w:r>
      <w:r>
        <w:rPr>
          <w:rFonts w:hint="eastAsia" w:ascii="宋体" w:hAnsi="宋体" w:eastAsia="宋体" w:cs="宋体"/>
          <w:kern w:val="1"/>
          <w:lang w:val="en-US" w:eastAsia="en-US"/>
        </w:rPr>
        <w:t>民政局审批核定后方可实施。改造完成后，改造服务机构要建立完整的改造档案，填写</w:t>
      </w:r>
      <w:r>
        <w:rPr>
          <w:rFonts w:hint="eastAsia" w:ascii="宋体" w:hAnsi="宋体" w:eastAsia="宋体" w:cs="宋体"/>
          <w:kern w:val="1"/>
          <w:lang w:val="en-US" w:eastAsia="zh-CN"/>
        </w:rPr>
        <w:t>（</w:t>
      </w:r>
      <w:r>
        <w:rPr>
          <w:rFonts w:hint="eastAsia" w:ascii="宋体" w:hAnsi="宋体" w:eastAsia="宋体" w:cs="宋体"/>
          <w:kern w:val="1"/>
          <w:lang w:val="en-US" w:eastAsia="en-US"/>
        </w:rPr>
        <w:t>居家适老化改造前后比对档案</w:t>
      </w:r>
      <w:r>
        <w:rPr>
          <w:rFonts w:hint="eastAsia" w:ascii="宋体" w:hAnsi="宋体" w:eastAsia="宋体" w:cs="宋体"/>
          <w:kern w:val="1"/>
          <w:lang w:val="en-US" w:eastAsia="zh-CN"/>
        </w:rPr>
        <w:t>）</w:t>
      </w:r>
      <w:r>
        <w:rPr>
          <w:rFonts w:hint="eastAsia" w:ascii="宋体" w:hAnsi="宋体" w:eastAsia="宋体" w:cs="宋体"/>
          <w:kern w:val="1"/>
          <w:lang w:val="en-US" w:eastAsia="en-US"/>
        </w:rPr>
        <w:t>，保留完整的改造信息，包括竣工图、安装成果说明、完整清晰的改造前后图片等资料录入信息管理系统。</w:t>
      </w:r>
    </w:p>
    <w:p>
      <w:pPr>
        <w:keepNext w:val="0"/>
        <w:keepLines w:val="0"/>
        <w:pageBreakBefore w:val="0"/>
        <w:numPr>
          <w:ilvl w:val="0"/>
          <w:numId w:val="0"/>
        </w:numPr>
        <w:kinsoku/>
        <w:wordWrap/>
        <w:overflowPunct/>
        <w:topLinePunct w:val="0"/>
        <w:autoSpaceDE/>
        <w:autoSpaceDN/>
        <w:bidi w:val="0"/>
        <w:adjustRightInd/>
        <w:snapToGrid w:val="0"/>
        <w:spacing w:line="360" w:lineRule="exact"/>
        <w:ind w:firstLine="210" w:firstLineChars="1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lang w:val="en-US" w:eastAsia="en-US"/>
        </w:rPr>
        <w:t>改造需求</w:t>
      </w:r>
      <w:r>
        <w:rPr>
          <w:rFonts w:hint="eastAsia" w:ascii="宋体" w:hAnsi="宋体" w:eastAsia="宋体" w:cs="宋体"/>
          <w:b/>
          <w:bCs/>
          <w:color w:val="auto"/>
          <w:sz w:val="21"/>
          <w:szCs w:val="21"/>
          <w:lang w:val="en-US" w:eastAsia="zh-CN"/>
        </w:rPr>
        <w:t>及货物清单：</w:t>
      </w:r>
    </w:p>
    <w:p>
      <w:pPr>
        <w:keepNext w:val="0"/>
        <w:keepLines w:val="0"/>
        <w:pageBreakBefore w:val="0"/>
        <w:kinsoku/>
        <w:wordWrap/>
        <w:overflowPunct/>
        <w:topLinePunct w:val="0"/>
        <w:autoSpaceDE/>
        <w:autoSpaceDN/>
        <w:bidi w:val="0"/>
        <w:adjustRightInd/>
        <w:snapToGrid w:val="0"/>
        <w:spacing w:line="360" w:lineRule="exact"/>
        <w:ind w:firstLine="516" w:firstLineChars="246"/>
        <w:textAlignment w:val="auto"/>
        <w:rPr>
          <w:rFonts w:hint="eastAsia" w:ascii="宋体" w:hAnsi="宋体" w:eastAsia="宋体" w:cs="宋体"/>
          <w:b/>
          <w:bCs/>
          <w:color w:val="auto"/>
          <w:sz w:val="21"/>
          <w:szCs w:val="21"/>
          <w:lang w:val="en-US" w:eastAsia="en-US"/>
        </w:rPr>
      </w:pP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lang w:val="en-US" w:eastAsia="en-US"/>
        </w:rPr>
        <w:t>居家适老化改造需求表</w:t>
      </w:r>
    </w:p>
    <w:tbl>
      <w:tblPr>
        <w:tblStyle w:val="12"/>
        <w:tblW w:w="48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7"/>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noWrap w:val="0"/>
            <w:vAlign w:val="center"/>
          </w:tcPr>
          <w:p>
            <w:pPr>
              <w:keepNext w:val="0"/>
              <w:keepLines w:val="0"/>
              <w:pageBreakBefore w:val="0"/>
              <w:kinsoku/>
              <w:wordWrap/>
              <w:overflowPunct/>
              <w:topLinePunct w:val="0"/>
              <w:autoSpaceDE/>
              <w:autoSpaceDN/>
              <w:bidi w:val="0"/>
              <w:adjustRightInd/>
              <w:spacing w:line="360" w:lineRule="exact"/>
              <w:ind w:left="140"/>
              <w:rPr>
                <w:rFonts w:hint="eastAsia" w:ascii="宋体" w:hAnsi="宋体" w:eastAsia="宋体" w:cs="宋体"/>
                <w:color w:val="auto"/>
                <w:sz w:val="21"/>
                <w:szCs w:val="21"/>
              </w:rPr>
            </w:pPr>
            <w:r>
              <w:rPr>
                <w:rFonts w:hint="eastAsia" w:ascii="宋体" w:hAnsi="宋体" w:eastAsia="宋体" w:cs="宋体"/>
                <w:b/>
                <w:bCs/>
                <w:color w:val="auto"/>
                <w:sz w:val="21"/>
                <w:szCs w:val="21"/>
              </w:rPr>
              <w:t>基础改造服务包（共 8 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018" w:type="pct"/>
            <w:vMerge w:val="restart"/>
            <w:noWrap w:val="0"/>
            <w:vAlign w:val="center"/>
          </w:tcPr>
          <w:p>
            <w:pPr>
              <w:keepNext w:val="0"/>
              <w:keepLines w:val="0"/>
              <w:pageBreakBefore w:val="0"/>
              <w:widowControl/>
              <w:kinsoku/>
              <w:wordWrap/>
              <w:overflowPunct/>
              <w:topLinePunct w:val="0"/>
              <w:autoSpaceDE/>
              <w:autoSpaceDN/>
              <w:bidi w:val="0"/>
              <w:adjustRightInd/>
              <w:snapToGrid w:val="0"/>
              <w:spacing w:after="120" w:afterLines="50" w:line="36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如厕洗澡安全</w:t>
            </w:r>
          </w:p>
        </w:tc>
        <w:tc>
          <w:tcPr>
            <w:tcW w:w="3981" w:type="pct"/>
            <w:noWrap w:val="0"/>
            <w:vAlign w:val="center"/>
          </w:tcPr>
          <w:p>
            <w:pPr>
              <w:keepNext w:val="0"/>
              <w:keepLines w:val="0"/>
              <w:pageBreakBefore w:val="0"/>
              <w:widowControl/>
              <w:kinsoku/>
              <w:wordWrap/>
              <w:overflowPunct/>
              <w:topLinePunct w:val="0"/>
              <w:autoSpaceDE/>
              <w:autoSpaceDN/>
              <w:bidi w:val="0"/>
              <w:adjustRightInd/>
              <w:snapToGrid w:val="0"/>
              <w:spacing w:after="120" w:afterLines="50" w:line="36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1.地面（地板）防滑处理</w:t>
            </w:r>
          </w:p>
          <w:p>
            <w:pPr>
              <w:keepNext w:val="0"/>
              <w:keepLines w:val="0"/>
              <w:pageBreakBefore w:val="0"/>
              <w:widowControl/>
              <w:kinsoku/>
              <w:wordWrap/>
              <w:overflowPunct/>
              <w:topLinePunct w:val="0"/>
              <w:autoSpaceDE/>
              <w:autoSpaceDN/>
              <w:bidi w:val="0"/>
              <w:adjustRightInd/>
              <w:snapToGrid w:val="0"/>
              <w:spacing w:after="120" w:afterLines="50" w:line="36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地面（地板）防潮处理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 w:type="pct"/>
            <w:vMerge w:val="continue"/>
            <w:noWrap w:val="0"/>
            <w:vAlign w:val="center"/>
          </w:tcPr>
          <w:p>
            <w:pPr>
              <w:keepNext w:val="0"/>
              <w:keepLines w:val="0"/>
              <w:pageBreakBefore w:val="0"/>
              <w:widowControl/>
              <w:kinsoku/>
              <w:wordWrap/>
              <w:overflowPunct/>
              <w:topLinePunct w:val="0"/>
              <w:autoSpaceDE/>
              <w:autoSpaceDN/>
              <w:bidi w:val="0"/>
              <w:adjustRightInd/>
              <w:snapToGrid w:val="0"/>
              <w:spacing w:after="120" w:afterLines="50" w:line="360" w:lineRule="exact"/>
              <w:ind w:firstLine="420" w:firstLineChars="200"/>
              <w:rPr>
                <w:rFonts w:hint="eastAsia" w:ascii="宋体" w:hAnsi="宋体" w:eastAsia="宋体" w:cs="宋体"/>
                <w:color w:val="auto"/>
                <w:kern w:val="0"/>
                <w:sz w:val="21"/>
                <w:szCs w:val="21"/>
              </w:rPr>
            </w:pPr>
          </w:p>
        </w:tc>
        <w:tc>
          <w:tcPr>
            <w:tcW w:w="3981" w:type="pct"/>
            <w:noWrap w:val="0"/>
            <w:vAlign w:val="center"/>
          </w:tcPr>
          <w:p>
            <w:pPr>
              <w:keepNext w:val="0"/>
              <w:keepLines w:val="0"/>
              <w:pageBreakBefore w:val="0"/>
              <w:widowControl/>
              <w:kinsoku/>
              <w:wordWrap/>
              <w:overflowPunct/>
              <w:topLinePunct w:val="0"/>
              <w:autoSpaceDE/>
              <w:autoSpaceDN/>
              <w:bidi w:val="0"/>
              <w:adjustRightInd/>
              <w:snapToGrid w:val="0"/>
              <w:spacing w:after="120" w:afterLines="50" w:line="36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2.蹲坑加装坐便器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 w:type="pct"/>
            <w:vMerge w:val="continue"/>
            <w:noWrap w:val="0"/>
            <w:vAlign w:val="center"/>
          </w:tcPr>
          <w:p>
            <w:pPr>
              <w:keepNext w:val="0"/>
              <w:keepLines w:val="0"/>
              <w:pageBreakBefore w:val="0"/>
              <w:widowControl/>
              <w:kinsoku/>
              <w:wordWrap/>
              <w:overflowPunct/>
              <w:topLinePunct w:val="0"/>
              <w:autoSpaceDE/>
              <w:autoSpaceDN/>
              <w:bidi w:val="0"/>
              <w:adjustRightInd/>
              <w:snapToGrid w:val="0"/>
              <w:spacing w:after="120" w:afterLines="50" w:line="360" w:lineRule="exact"/>
              <w:ind w:firstLine="420" w:firstLineChars="200"/>
              <w:rPr>
                <w:rFonts w:hint="eastAsia" w:ascii="宋体" w:hAnsi="宋体" w:eastAsia="宋体" w:cs="宋体"/>
                <w:color w:val="auto"/>
                <w:kern w:val="0"/>
                <w:sz w:val="21"/>
                <w:szCs w:val="21"/>
              </w:rPr>
            </w:pPr>
          </w:p>
        </w:tc>
        <w:tc>
          <w:tcPr>
            <w:tcW w:w="3981" w:type="pct"/>
            <w:noWrap w:val="0"/>
            <w:vAlign w:val="center"/>
          </w:tcPr>
          <w:p>
            <w:pPr>
              <w:keepNext w:val="0"/>
              <w:keepLines w:val="0"/>
              <w:pageBreakBefore w:val="0"/>
              <w:widowControl/>
              <w:kinsoku/>
              <w:wordWrap/>
              <w:overflowPunct/>
              <w:topLinePunct w:val="0"/>
              <w:autoSpaceDE/>
              <w:autoSpaceDN/>
              <w:bidi w:val="0"/>
              <w:adjustRightInd/>
              <w:snapToGrid w:val="0"/>
              <w:spacing w:after="120" w:afterLines="50" w:line="36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3.浴室使用洗澡椅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 w:type="pct"/>
            <w:vMerge w:val="restart"/>
            <w:noWrap w:val="0"/>
            <w:vAlign w:val="center"/>
          </w:tcPr>
          <w:p>
            <w:pPr>
              <w:keepNext w:val="0"/>
              <w:keepLines w:val="0"/>
              <w:pageBreakBefore w:val="0"/>
              <w:widowControl/>
              <w:kinsoku/>
              <w:wordWrap/>
              <w:overflowPunct/>
              <w:topLinePunct w:val="0"/>
              <w:autoSpaceDE/>
              <w:autoSpaceDN/>
              <w:bidi w:val="0"/>
              <w:adjustRightInd/>
              <w:snapToGrid w:val="0"/>
              <w:spacing w:after="120" w:afterLines="50" w:line="36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室内行走便利</w:t>
            </w:r>
          </w:p>
        </w:tc>
        <w:tc>
          <w:tcPr>
            <w:tcW w:w="3981" w:type="pct"/>
            <w:noWrap w:val="0"/>
            <w:vAlign w:val="center"/>
          </w:tcPr>
          <w:p>
            <w:pPr>
              <w:keepNext w:val="0"/>
              <w:keepLines w:val="0"/>
              <w:pageBreakBefore w:val="0"/>
              <w:widowControl/>
              <w:kinsoku/>
              <w:wordWrap/>
              <w:overflowPunct/>
              <w:topLinePunct w:val="0"/>
              <w:autoSpaceDE/>
              <w:autoSpaceDN/>
              <w:bidi w:val="0"/>
              <w:adjustRightInd/>
              <w:snapToGrid w:val="0"/>
              <w:spacing w:after="120" w:afterLines="50" w:line="36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4.室内通道、楼梯安装扶手</w:t>
            </w:r>
          </w:p>
          <w:p>
            <w:pPr>
              <w:keepNext w:val="0"/>
              <w:keepLines w:val="0"/>
              <w:pageBreakBefore w:val="0"/>
              <w:widowControl/>
              <w:kinsoku/>
              <w:wordWrap/>
              <w:overflowPunct/>
              <w:topLinePunct w:val="0"/>
              <w:autoSpaceDE/>
              <w:autoSpaceDN/>
              <w:bidi w:val="0"/>
              <w:adjustRightInd/>
              <w:snapToGrid w:val="0"/>
              <w:spacing w:after="120" w:afterLines="50" w:line="36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卫生间、浴室安装扶手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 w:type="pct"/>
            <w:vMerge w:val="continue"/>
            <w:noWrap w:val="0"/>
            <w:vAlign w:val="center"/>
          </w:tcPr>
          <w:p>
            <w:pPr>
              <w:keepNext w:val="0"/>
              <w:keepLines w:val="0"/>
              <w:pageBreakBefore w:val="0"/>
              <w:widowControl/>
              <w:kinsoku/>
              <w:wordWrap/>
              <w:overflowPunct/>
              <w:topLinePunct w:val="0"/>
              <w:autoSpaceDE/>
              <w:autoSpaceDN/>
              <w:bidi w:val="0"/>
              <w:adjustRightInd/>
              <w:snapToGrid w:val="0"/>
              <w:spacing w:after="120" w:afterLines="50" w:line="360" w:lineRule="exact"/>
              <w:ind w:firstLine="420" w:firstLineChars="200"/>
              <w:rPr>
                <w:rFonts w:hint="eastAsia" w:ascii="宋体" w:hAnsi="宋体" w:eastAsia="宋体" w:cs="宋体"/>
                <w:color w:val="auto"/>
                <w:kern w:val="0"/>
                <w:sz w:val="21"/>
                <w:szCs w:val="21"/>
              </w:rPr>
            </w:pPr>
          </w:p>
        </w:tc>
        <w:tc>
          <w:tcPr>
            <w:tcW w:w="3981" w:type="pct"/>
            <w:noWrap w:val="0"/>
            <w:vAlign w:val="center"/>
          </w:tcPr>
          <w:p>
            <w:pPr>
              <w:keepNext w:val="0"/>
              <w:keepLines w:val="0"/>
              <w:pageBreakBefore w:val="0"/>
              <w:widowControl/>
              <w:kinsoku/>
              <w:wordWrap/>
              <w:overflowPunct/>
              <w:topLinePunct w:val="0"/>
              <w:autoSpaceDE/>
              <w:autoSpaceDN/>
              <w:bidi w:val="0"/>
              <w:adjustRightInd/>
              <w:snapToGrid w:val="0"/>
              <w:spacing w:after="120" w:afterLines="50" w:line="36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5.地面、门槛消除高低差无障碍改造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 w:type="pct"/>
            <w:vMerge w:val="restart"/>
            <w:noWrap w:val="0"/>
            <w:vAlign w:val="center"/>
          </w:tcPr>
          <w:p>
            <w:pPr>
              <w:keepNext w:val="0"/>
              <w:keepLines w:val="0"/>
              <w:pageBreakBefore w:val="0"/>
              <w:widowControl/>
              <w:kinsoku/>
              <w:wordWrap/>
              <w:overflowPunct/>
              <w:topLinePunct w:val="0"/>
              <w:autoSpaceDE/>
              <w:autoSpaceDN/>
              <w:bidi w:val="0"/>
              <w:adjustRightInd/>
              <w:snapToGrid w:val="0"/>
              <w:spacing w:after="120" w:afterLines="50" w:line="36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居家环境改善</w:t>
            </w:r>
          </w:p>
        </w:tc>
        <w:tc>
          <w:tcPr>
            <w:tcW w:w="3981" w:type="pct"/>
            <w:noWrap w:val="0"/>
            <w:vAlign w:val="center"/>
          </w:tcPr>
          <w:p>
            <w:pPr>
              <w:keepNext w:val="0"/>
              <w:keepLines w:val="0"/>
              <w:pageBreakBefore w:val="0"/>
              <w:widowControl/>
              <w:kinsoku/>
              <w:wordWrap/>
              <w:overflowPunct/>
              <w:topLinePunct w:val="0"/>
              <w:autoSpaceDE/>
              <w:autoSpaceDN/>
              <w:bidi w:val="0"/>
              <w:adjustRightInd/>
              <w:snapToGrid w:val="0"/>
              <w:spacing w:after="120" w:afterLines="50" w:line="36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6.室内老化裸露用电线路改造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 w:type="pct"/>
            <w:vMerge w:val="continue"/>
            <w:noWrap w:val="0"/>
            <w:vAlign w:val="center"/>
          </w:tcPr>
          <w:p>
            <w:pPr>
              <w:keepNext w:val="0"/>
              <w:keepLines w:val="0"/>
              <w:pageBreakBefore w:val="0"/>
              <w:widowControl/>
              <w:kinsoku/>
              <w:wordWrap/>
              <w:overflowPunct/>
              <w:topLinePunct w:val="0"/>
              <w:autoSpaceDE/>
              <w:autoSpaceDN/>
              <w:bidi w:val="0"/>
              <w:adjustRightInd/>
              <w:snapToGrid w:val="0"/>
              <w:spacing w:after="120" w:afterLines="50" w:line="360" w:lineRule="exact"/>
              <w:ind w:firstLine="420" w:firstLineChars="200"/>
              <w:rPr>
                <w:rFonts w:hint="eastAsia" w:ascii="宋体" w:hAnsi="宋体" w:eastAsia="宋体" w:cs="宋体"/>
                <w:color w:val="auto"/>
                <w:kern w:val="0"/>
                <w:sz w:val="21"/>
                <w:szCs w:val="21"/>
              </w:rPr>
            </w:pPr>
          </w:p>
        </w:tc>
        <w:tc>
          <w:tcPr>
            <w:tcW w:w="3981" w:type="pct"/>
            <w:noWrap w:val="0"/>
            <w:vAlign w:val="center"/>
          </w:tcPr>
          <w:p>
            <w:pPr>
              <w:keepNext w:val="0"/>
              <w:keepLines w:val="0"/>
              <w:pageBreakBefore w:val="0"/>
              <w:widowControl/>
              <w:kinsoku/>
              <w:wordWrap/>
              <w:overflowPunct/>
              <w:topLinePunct w:val="0"/>
              <w:autoSpaceDE/>
              <w:autoSpaceDN/>
              <w:bidi w:val="0"/>
              <w:adjustRightInd/>
              <w:snapToGrid w:val="0"/>
              <w:spacing w:after="120" w:afterLines="50" w:line="36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7.加装夜间照明装置，提供夜晚行动（如：感应式或触控式小灯）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 w:type="pct"/>
            <w:vMerge w:val="continue"/>
            <w:noWrap w:val="0"/>
            <w:vAlign w:val="center"/>
          </w:tcPr>
          <w:p>
            <w:pPr>
              <w:keepNext w:val="0"/>
              <w:keepLines w:val="0"/>
              <w:pageBreakBefore w:val="0"/>
              <w:widowControl/>
              <w:kinsoku/>
              <w:wordWrap/>
              <w:overflowPunct/>
              <w:topLinePunct w:val="0"/>
              <w:autoSpaceDE/>
              <w:autoSpaceDN/>
              <w:bidi w:val="0"/>
              <w:adjustRightInd/>
              <w:snapToGrid w:val="0"/>
              <w:spacing w:after="120" w:afterLines="50" w:line="360" w:lineRule="exact"/>
              <w:ind w:firstLine="420" w:firstLineChars="200"/>
              <w:rPr>
                <w:rFonts w:hint="eastAsia" w:ascii="宋体" w:hAnsi="宋体" w:eastAsia="宋体" w:cs="宋体"/>
                <w:color w:val="auto"/>
                <w:kern w:val="0"/>
                <w:sz w:val="21"/>
                <w:szCs w:val="21"/>
              </w:rPr>
            </w:pPr>
          </w:p>
        </w:tc>
        <w:tc>
          <w:tcPr>
            <w:tcW w:w="3981" w:type="pct"/>
            <w:noWrap w:val="0"/>
            <w:vAlign w:val="center"/>
          </w:tcPr>
          <w:p>
            <w:pPr>
              <w:keepNext w:val="0"/>
              <w:keepLines w:val="0"/>
              <w:pageBreakBefore w:val="0"/>
              <w:widowControl/>
              <w:kinsoku/>
              <w:wordWrap/>
              <w:overflowPunct/>
              <w:topLinePunct w:val="0"/>
              <w:autoSpaceDE/>
              <w:autoSpaceDN/>
              <w:bidi w:val="0"/>
              <w:adjustRightInd/>
              <w:snapToGrid w:val="0"/>
              <w:spacing w:after="120" w:afterLines="50" w:line="36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8.更换锈蚀的水管更换适老化水龙头（加长或抽拉式龙头把手）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noWrap w:val="0"/>
            <w:vAlign w:val="center"/>
          </w:tcPr>
          <w:p>
            <w:pPr>
              <w:keepNext w:val="0"/>
              <w:keepLines w:val="0"/>
              <w:pageBreakBefore w:val="0"/>
              <w:widowControl/>
              <w:kinsoku/>
              <w:wordWrap/>
              <w:overflowPunct/>
              <w:topLinePunct w:val="0"/>
              <w:autoSpaceDE/>
              <w:autoSpaceDN/>
              <w:bidi w:val="0"/>
              <w:adjustRightInd/>
              <w:snapToGrid w:val="0"/>
              <w:spacing w:after="120" w:afterLines="50" w:line="360" w:lineRule="exact"/>
              <w:textAlignment w:val="auto"/>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拓展改造服务包（共 12 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 w:type="pct"/>
            <w:vMerge w:val="restart"/>
            <w:noWrap w:val="0"/>
            <w:vAlign w:val="center"/>
          </w:tcPr>
          <w:p>
            <w:pPr>
              <w:keepNext w:val="0"/>
              <w:keepLines w:val="0"/>
              <w:pageBreakBefore w:val="0"/>
              <w:widowControl/>
              <w:kinsoku/>
              <w:wordWrap/>
              <w:overflowPunct/>
              <w:topLinePunct w:val="0"/>
              <w:autoSpaceDE/>
              <w:autoSpaceDN/>
              <w:bidi w:val="0"/>
              <w:adjustRightInd/>
              <w:snapToGrid w:val="0"/>
              <w:spacing w:after="120" w:afterLines="50" w:line="36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智能监测跟进</w:t>
            </w:r>
          </w:p>
        </w:tc>
        <w:tc>
          <w:tcPr>
            <w:tcW w:w="3981" w:type="pct"/>
            <w:noWrap w:val="0"/>
            <w:vAlign w:val="center"/>
          </w:tcPr>
          <w:p>
            <w:pPr>
              <w:keepNext w:val="0"/>
              <w:keepLines w:val="0"/>
              <w:pageBreakBefore w:val="0"/>
              <w:widowControl/>
              <w:kinsoku/>
              <w:wordWrap/>
              <w:overflowPunct/>
              <w:topLinePunct w:val="0"/>
              <w:autoSpaceDE/>
              <w:autoSpaceDN/>
              <w:bidi w:val="0"/>
              <w:adjustRightInd/>
              <w:snapToGrid w:val="0"/>
              <w:spacing w:after="120" w:afterLines="50" w:line="36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9.安装物联网门磁监测系统</w:t>
            </w:r>
          </w:p>
          <w:p>
            <w:pPr>
              <w:keepNext w:val="0"/>
              <w:keepLines w:val="0"/>
              <w:pageBreakBefore w:val="0"/>
              <w:widowControl/>
              <w:kinsoku/>
              <w:wordWrap/>
              <w:overflowPunct/>
              <w:topLinePunct w:val="0"/>
              <w:autoSpaceDE/>
              <w:autoSpaceDN/>
              <w:bidi w:val="0"/>
              <w:adjustRightInd/>
              <w:snapToGrid w:val="0"/>
              <w:spacing w:after="120" w:afterLines="50" w:line="36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安装紧急呼叫系统</w:t>
            </w:r>
          </w:p>
          <w:p>
            <w:pPr>
              <w:keepNext w:val="0"/>
              <w:keepLines w:val="0"/>
              <w:pageBreakBefore w:val="0"/>
              <w:widowControl/>
              <w:kinsoku/>
              <w:wordWrap/>
              <w:overflowPunct/>
              <w:topLinePunct w:val="0"/>
              <w:autoSpaceDE/>
              <w:autoSpaceDN/>
              <w:bidi w:val="0"/>
              <w:adjustRightInd/>
              <w:snapToGrid w:val="0"/>
              <w:spacing w:after="120" w:afterLines="50" w:line="36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安装燃气监测报警系统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 w:type="pct"/>
            <w:vMerge w:val="continue"/>
            <w:noWrap w:val="0"/>
            <w:vAlign w:val="center"/>
          </w:tcPr>
          <w:p>
            <w:pPr>
              <w:keepNext w:val="0"/>
              <w:keepLines w:val="0"/>
              <w:pageBreakBefore w:val="0"/>
              <w:widowControl/>
              <w:kinsoku/>
              <w:wordWrap/>
              <w:overflowPunct/>
              <w:topLinePunct w:val="0"/>
              <w:autoSpaceDE/>
              <w:autoSpaceDN/>
              <w:bidi w:val="0"/>
              <w:adjustRightInd/>
              <w:snapToGrid w:val="0"/>
              <w:spacing w:after="120" w:afterLines="50" w:line="360" w:lineRule="exact"/>
              <w:ind w:firstLine="420" w:firstLineChars="200"/>
              <w:rPr>
                <w:rFonts w:hint="eastAsia" w:ascii="宋体" w:hAnsi="宋体" w:eastAsia="宋体" w:cs="宋体"/>
                <w:color w:val="auto"/>
                <w:kern w:val="0"/>
                <w:sz w:val="21"/>
                <w:szCs w:val="21"/>
              </w:rPr>
            </w:pPr>
          </w:p>
        </w:tc>
        <w:tc>
          <w:tcPr>
            <w:tcW w:w="3981" w:type="pct"/>
            <w:noWrap w:val="0"/>
            <w:vAlign w:val="center"/>
          </w:tcPr>
          <w:p>
            <w:pPr>
              <w:keepNext w:val="0"/>
              <w:keepLines w:val="0"/>
              <w:pageBreakBefore w:val="0"/>
              <w:widowControl/>
              <w:kinsoku/>
              <w:wordWrap/>
              <w:overflowPunct/>
              <w:topLinePunct w:val="0"/>
              <w:autoSpaceDE/>
              <w:autoSpaceDN/>
              <w:bidi w:val="0"/>
              <w:adjustRightInd/>
              <w:snapToGrid w:val="0"/>
              <w:spacing w:after="120" w:afterLines="50" w:line="36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10.防走失手环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keepNext w:val="0"/>
              <w:keepLines w:val="0"/>
              <w:pageBreakBefore w:val="0"/>
              <w:widowControl/>
              <w:kinsoku/>
              <w:wordWrap/>
              <w:overflowPunct/>
              <w:topLinePunct w:val="0"/>
              <w:autoSpaceDE/>
              <w:autoSpaceDN/>
              <w:bidi w:val="0"/>
              <w:adjustRightInd/>
              <w:snapToGrid w:val="0"/>
              <w:spacing w:after="120" w:afterLines="50" w:line="36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如厕洗澡安全</w:t>
            </w:r>
          </w:p>
        </w:tc>
        <w:tc>
          <w:tcPr>
            <w:tcW w:w="3981" w:type="pct"/>
            <w:noWrap w:val="0"/>
            <w:vAlign w:val="center"/>
          </w:tcPr>
          <w:p>
            <w:pPr>
              <w:keepNext w:val="0"/>
              <w:keepLines w:val="0"/>
              <w:pageBreakBefore w:val="0"/>
              <w:widowControl/>
              <w:kinsoku/>
              <w:wordWrap/>
              <w:overflowPunct/>
              <w:topLinePunct w:val="0"/>
              <w:autoSpaceDE/>
              <w:autoSpaceDN/>
              <w:bidi w:val="0"/>
              <w:adjustRightInd/>
              <w:snapToGrid w:val="0"/>
              <w:spacing w:after="120" w:afterLines="50" w:line="36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11.老年人在床附近放置移动马桶或者便携式接尿器、插入式便器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 w:type="pct"/>
            <w:vMerge w:val="restart"/>
            <w:noWrap w:val="0"/>
            <w:vAlign w:val="center"/>
          </w:tcPr>
          <w:p>
            <w:pPr>
              <w:keepNext w:val="0"/>
              <w:keepLines w:val="0"/>
              <w:pageBreakBefore w:val="0"/>
              <w:widowControl/>
              <w:kinsoku/>
              <w:wordWrap/>
              <w:overflowPunct/>
              <w:topLinePunct w:val="0"/>
              <w:autoSpaceDE/>
              <w:autoSpaceDN/>
              <w:bidi w:val="0"/>
              <w:adjustRightInd/>
              <w:snapToGrid w:val="0"/>
              <w:spacing w:after="120" w:afterLines="50" w:line="36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室内行走便利</w:t>
            </w:r>
          </w:p>
        </w:tc>
        <w:tc>
          <w:tcPr>
            <w:tcW w:w="3981" w:type="pct"/>
            <w:noWrap w:val="0"/>
            <w:vAlign w:val="center"/>
          </w:tcPr>
          <w:p>
            <w:pPr>
              <w:keepNext w:val="0"/>
              <w:keepLines w:val="0"/>
              <w:pageBreakBefore w:val="0"/>
              <w:widowControl/>
              <w:kinsoku/>
              <w:wordWrap/>
              <w:overflowPunct/>
              <w:topLinePunct w:val="0"/>
              <w:autoSpaceDE/>
              <w:autoSpaceDN/>
              <w:bidi w:val="0"/>
              <w:adjustRightInd/>
              <w:snapToGrid w:val="0"/>
              <w:spacing w:after="120" w:afterLines="50" w:line="36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12.门距宽度满足让老年人轮椅进出（80cm）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 w:type="pct"/>
            <w:vMerge w:val="continue"/>
            <w:noWrap w:val="0"/>
            <w:vAlign w:val="center"/>
          </w:tcPr>
          <w:p>
            <w:pPr>
              <w:keepNext w:val="0"/>
              <w:keepLines w:val="0"/>
              <w:pageBreakBefore w:val="0"/>
              <w:widowControl/>
              <w:kinsoku/>
              <w:wordWrap/>
              <w:overflowPunct/>
              <w:topLinePunct w:val="0"/>
              <w:autoSpaceDE/>
              <w:autoSpaceDN/>
              <w:bidi w:val="0"/>
              <w:adjustRightInd/>
              <w:snapToGrid w:val="0"/>
              <w:spacing w:after="120" w:afterLines="50" w:line="360" w:lineRule="exact"/>
              <w:ind w:firstLine="420" w:firstLineChars="200"/>
              <w:rPr>
                <w:rFonts w:hint="eastAsia" w:ascii="宋体" w:hAnsi="宋体" w:eastAsia="宋体" w:cs="宋体"/>
                <w:color w:val="auto"/>
                <w:kern w:val="0"/>
                <w:sz w:val="21"/>
                <w:szCs w:val="21"/>
              </w:rPr>
            </w:pPr>
          </w:p>
        </w:tc>
        <w:tc>
          <w:tcPr>
            <w:tcW w:w="3981" w:type="pct"/>
            <w:noWrap w:val="0"/>
            <w:vAlign w:val="center"/>
          </w:tcPr>
          <w:p>
            <w:pPr>
              <w:keepNext w:val="0"/>
              <w:keepLines w:val="0"/>
              <w:pageBreakBefore w:val="0"/>
              <w:widowControl/>
              <w:kinsoku/>
              <w:wordWrap/>
              <w:overflowPunct/>
              <w:topLinePunct w:val="0"/>
              <w:autoSpaceDE/>
              <w:autoSpaceDN/>
              <w:bidi w:val="0"/>
              <w:adjustRightInd/>
              <w:snapToGrid w:val="0"/>
              <w:spacing w:after="120" w:afterLines="50" w:line="36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13.门把采用 T 形把手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 w:type="pct"/>
            <w:vMerge w:val="continue"/>
            <w:noWrap w:val="0"/>
            <w:vAlign w:val="center"/>
          </w:tcPr>
          <w:p>
            <w:pPr>
              <w:keepNext w:val="0"/>
              <w:keepLines w:val="0"/>
              <w:pageBreakBefore w:val="0"/>
              <w:widowControl/>
              <w:kinsoku/>
              <w:wordWrap/>
              <w:overflowPunct/>
              <w:topLinePunct w:val="0"/>
              <w:autoSpaceDE/>
              <w:autoSpaceDN/>
              <w:bidi w:val="0"/>
              <w:adjustRightInd/>
              <w:snapToGrid w:val="0"/>
              <w:spacing w:after="120" w:afterLines="50" w:line="360" w:lineRule="exact"/>
              <w:ind w:firstLine="420" w:firstLineChars="200"/>
              <w:rPr>
                <w:rFonts w:hint="eastAsia" w:ascii="宋体" w:hAnsi="宋体" w:eastAsia="宋体" w:cs="宋体"/>
                <w:color w:val="auto"/>
                <w:kern w:val="0"/>
                <w:sz w:val="21"/>
                <w:szCs w:val="21"/>
              </w:rPr>
            </w:pPr>
          </w:p>
        </w:tc>
        <w:tc>
          <w:tcPr>
            <w:tcW w:w="3981" w:type="pct"/>
            <w:noWrap w:val="0"/>
            <w:vAlign w:val="center"/>
          </w:tcPr>
          <w:p>
            <w:pPr>
              <w:keepNext w:val="0"/>
              <w:keepLines w:val="0"/>
              <w:pageBreakBefore w:val="0"/>
              <w:widowControl/>
              <w:kinsoku/>
              <w:wordWrap/>
              <w:overflowPunct/>
              <w:topLinePunct w:val="0"/>
              <w:autoSpaceDE/>
              <w:autoSpaceDN/>
              <w:bidi w:val="0"/>
              <w:adjustRightInd/>
              <w:snapToGrid w:val="0"/>
              <w:spacing w:after="120" w:afterLines="50" w:line="36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14.上下床能安全移动（安装床边起身扶手）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 w:type="pct"/>
            <w:vMerge w:val="continue"/>
            <w:noWrap w:val="0"/>
            <w:vAlign w:val="center"/>
          </w:tcPr>
          <w:p>
            <w:pPr>
              <w:keepNext w:val="0"/>
              <w:keepLines w:val="0"/>
              <w:pageBreakBefore w:val="0"/>
              <w:widowControl/>
              <w:kinsoku/>
              <w:wordWrap/>
              <w:overflowPunct/>
              <w:topLinePunct w:val="0"/>
              <w:autoSpaceDE/>
              <w:autoSpaceDN/>
              <w:bidi w:val="0"/>
              <w:adjustRightInd/>
              <w:snapToGrid w:val="0"/>
              <w:spacing w:after="120" w:afterLines="50" w:line="360" w:lineRule="exact"/>
              <w:ind w:firstLine="420" w:firstLineChars="200"/>
              <w:rPr>
                <w:rFonts w:hint="eastAsia" w:ascii="宋体" w:hAnsi="宋体" w:eastAsia="宋体" w:cs="宋体"/>
                <w:color w:val="auto"/>
                <w:kern w:val="0"/>
                <w:sz w:val="21"/>
                <w:szCs w:val="21"/>
              </w:rPr>
            </w:pPr>
          </w:p>
        </w:tc>
        <w:tc>
          <w:tcPr>
            <w:tcW w:w="3981" w:type="pct"/>
            <w:noWrap w:val="0"/>
            <w:vAlign w:val="center"/>
          </w:tcPr>
          <w:p>
            <w:pPr>
              <w:keepNext w:val="0"/>
              <w:keepLines w:val="0"/>
              <w:pageBreakBefore w:val="0"/>
              <w:widowControl/>
              <w:kinsoku/>
              <w:wordWrap/>
              <w:overflowPunct/>
              <w:topLinePunct w:val="0"/>
              <w:autoSpaceDE/>
              <w:autoSpaceDN/>
              <w:bidi w:val="0"/>
              <w:adjustRightInd/>
              <w:snapToGrid w:val="0"/>
              <w:spacing w:after="120" w:afterLines="50" w:line="36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5.将厨房操作台改造为升降橱柜，便于轮椅进出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 w:type="pct"/>
            <w:vMerge w:val="restart"/>
            <w:noWrap w:val="0"/>
            <w:vAlign w:val="center"/>
          </w:tcPr>
          <w:p>
            <w:pPr>
              <w:keepNext w:val="0"/>
              <w:keepLines w:val="0"/>
              <w:pageBreakBefore w:val="0"/>
              <w:widowControl/>
              <w:kinsoku/>
              <w:wordWrap/>
              <w:overflowPunct/>
              <w:topLinePunct w:val="0"/>
              <w:autoSpaceDE/>
              <w:autoSpaceDN/>
              <w:bidi w:val="0"/>
              <w:adjustRightInd/>
              <w:snapToGrid w:val="0"/>
              <w:spacing w:after="120" w:afterLines="50" w:line="36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居家环境改善</w:t>
            </w:r>
          </w:p>
        </w:tc>
        <w:tc>
          <w:tcPr>
            <w:tcW w:w="3981" w:type="pct"/>
            <w:noWrap w:val="0"/>
            <w:vAlign w:val="center"/>
          </w:tcPr>
          <w:p>
            <w:pPr>
              <w:keepNext w:val="0"/>
              <w:keepLines w:val="0"/>
              <w:pageBreakBefore w:val="0"/>
              <w:widowControl/>
              <w:kinsoku/>
              <w:wordWrap/>
              <w:overflowPunct/>
              <w:topLinePunct w:val="0"/>
              <w:autoSpaceDE/>
              <w:autoSpaceDN/>
              <w:bidi w:val="0"/>
              <w:adjustRightInd/>
              <w:snapToGrid w:val="0"/>
              <w:spacing w:after="120" w:afterLines="50" w:line="36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16.室内墙面（吊顶）严重脱落，灰暗需要粉刷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 w:type="pct"/>
            <w:vMerge w:val="continue"/>
            <w:noWrap w:val="0"/>
            <w:vAlign w:val="center"/>
          </w:tcPr>
          <w:p>
            <w:pPr>
              <w:keepNext w:val="0"/>
              <w:keepLines w:val="0"/>
              <w:pageBreakBefore w:val="0"/>
              <w:widowControl/>
              <w:kinsoku/>
              <w:wordWrap/>
              <w:overflowPunct/>
              <w:topLinePunct w:val="0"/>
              <w:autoSpaceDE/>
              <w:autoSpaceDN/>
              <w:bidi w:val="0"/>
              <w:adjustRightInd/>
              <w:snapToGrid w:val="0"/>
              <w:spacing w:after="120" w:afterLines="50" w:line="360" w:lineRule="exact"/>
              <w:ind w:firstLine="420" w:firstLineChars="200"/>
              <w:rPr>
                <w:rFonts w:hint="eastAsia" w:ascii="宋体" w:hAnsi="宋体" w:eastAsia="宋体" w:cs="宋体"/>
                <w:color w:val="auto"/>
                <w:kern w:val="0"/>
                <w:sz w:val="21"/>
                <w:szCs w:val="21"/>
              </w:rPr>
            </w:pPr>
          </w:p>
        </w:tc>
        <w:tc>
          <w:tcPr>
            <w:tcW w:w="3981" w:type="pct"/>
            <w:noWrap w:val="0"/>
            <w:vAlign w:val="center"/>
          </w:tcPr>
          <w:p>
            <w:pPr>
              <w:keepNext w:val="0"/>
              <w:keepLines w:val="0"/>
              <w:pageBreakBefore w:val="0"/>
              <w:widowControl/>
              <w:kinsoku/>
              <w:wordWrap/>
              <w:overflowPunct/>
              <w:topLinePunct w:val="0"/>
              <w:autoSpaceDE/>
              <w:autoSpaceDN/>
              <w:bidi w:val="0"/>
              <w:adjustRightInd/>
              <w:snapToGrid w:val="0"/>
              <w:spacing w:after="120" w:afterLines="50" w:line="36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17.双控电灯开关、插座位置安装合理，有明显的标识（如：开关外环有荧光贴条）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 w:type="pct"/>
            <w:vMerge w:val="continue"/>
            <w:noWrap w:val="0"/>
            <w:vAlign w:val="center"/>
          </w:tcPr>
          <w:p>
            <w:pPr>
              <w:keepNext w:val="0"/>
              <w:keepLines w:val="0"/>
              <w:pageBreakBefore w:val="0"/>
              <w:widowControl/>
              <w:kinsoku/>
              <w:wordWrap/>
              <w:overflowPunct/>
              <w:topLinePunct w:val="0"/>
              <w:autoSpaceDE/>
              <w:autoSpaceDN/>
              <w:bidi w:val="0"/>
              <w:adjustRightInd/>
              <w:snapToGrid w:val="0"/>
              <w:spacing w:after="120" w:afterLines="50" w:line="360" w:lineRule="exact"/>
              <w:ind w:firstLine="420" w:firstLineChars="200"/>
              <w:rPr>
                <w:rFonts w:hint="eastAsia" w:ascii="宋体" w:hAnsi="宋体" w:eastAsia="宋体" w:cs="宋体"/>
                <w:color w:val="auto"/>
                <w:kern w:val="0"/>
                <w:sz w:val="21"/>
                <w:szCs w:val="21"/>
              </w:rPr>
            </w:pPr>
          </w:p>
        </w:tc>
        <w:tc>
          <w:tcPr>
            <w:tcW w:w="3981" w:type="pct"/>
            <w:noWrap w:val="0"/>
            <w:vAlign w:val="center"/>
          </w:tcPr>
          <w:p>
            <w:pPr>
              <w:keepNext w:val="0"/>
              <w:keepLines w:val="0"/>
              <w:pageBreakBefore w:val="0"/>
              <w:widowControl/>
              <w:kinsoku/>
              <w:wordWrap/>
              <w:overflowPunct/>
              <w:topLinePunct w:val="0"/>
              <w:autoSpaceDE/>
              <w:autoSpaceDN/>
              <w:bidi w:val="0"/>
              <w:adjustRightInd/>
              <w:snapToGrid w:val="0"/>
              <w:spacing w:after="120" w:afterLines="50" w:line="36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18.</w:t>
            </w:r>
            <w:r>
              <w:rPr>
                <w:rFonts w:hint="eastAsia" w:ascii="宋体" w:hAnsi="宋体" w:eastAsia="宋体" w:cs="宋体"/>
                <w:color w:val="auto"/>
                <w:kern w:val="0"/>
                <w:sz w:val="21"/>
                <w:szCs w:val="21"/>
              </w:rPr>
              <w:t>适老化床头柜（放置手电）</w:t>
            </w: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适老化衣柜方便老年人储藏衣物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 w:type="pct"/>
            <w:vMerge w:val="continue"/>
            <w:noWrap w:val="0"/>
            <w:vAlign w:val="center"/>
          </w:tcPr>
          <w:p>
            <w:pPr>
              <w:keepNext w:val="0"/>
              <w:keepLines w:val="0"/>
              <w:pageBreakBefore w:val="0"/>
              <w:widowControl/>
              <w:kinsoku/>
              <w:wordWrap/>
              <w:overflowPunct/>
              <w:topLinePunct w:val="0"/>
              <w:autoSpaceDE/>
              <w:autoSpaceDN/>
              <w:bidi w:val="0"/>
              <w:adjustRightInd/>
              <w:snapToGrid w:val="0"/>
              <w:spacing w:after="120" w:afterLines="50" w:line="360" w:lineRule="exact"/>
              <w:ind w:firstLine="420" w:firstLineChars="200"/>
              <w:rPr>
                <w:rFonts w:hint="eastAsia" w:ascii="宋体" w:hAnsi="宋体" w:eastAsia="宋体" w:cs="宋体"/>
                <w:color w:val="auto"/>
                <w:kern w:val="0"/>
                <w:sz w:val="21"/>
                <w:szCs w:val="21"/>
              </w:rPr>
            </w:pPr>
          </w:p>
        </w:tc>
        <w:tc>
          <w:tcPr>
            <w:tcW w:w="3981" w:type="pct"/>
            <w:noWrap w:val="0"/>
            <w:vAlign w:val="center"/>
          </w:tcPr>
          <w:p>
            <w:pPr>
              <w:keepNext w:val="0"/>
              <w:keepLines w:val="0"/>
              <w:pageBreakBefore w:val="0"/>
              <w:widowControl/>
              <w:kinsoku/>
              <w:wordWrap/>
              <w:overflowPunct/>
              <w:topLinePunct w:val="0"/>
              <w:autoSpaceDE/>
              <w:autoSpaceDN/>
              <w:bidi w:val="0"/>
              <w:adjustRightInd/>
              <w:snapToGrid w:val="0"/>
              <w:spacing w:after="120" w:afterLines="50" w:line="36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19.家具及墙壁做特殊防护设计（如：铺设软布、转角处有装上保护装置）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 w:type="pct"/>
            <w:vMerge w:val="restart"/>
            <w:noWrap w:val="0"/>
            <w:vAlign w:val="center"/>
          </w:tcPr>
          <w:p>
            <w:pPr>
              <w:keepNext w:val="0"/>
              <w:keepLines w:val="0"/>
              <w:pageBreakBefore w:val="0"/>
              <w:widowControl/>
              <w:kinsoku/>
              <w:wordWrap/>
              <w:overflowPunct/>
              <w:topLinePunct w:val="0"/>
              <w:autoSpaceDE/>
              <w:autoSpaceDN/>
              <w:bidi w:val="0"/>
              <w:adjustRightInd/>
              <w:snapToGrid w:val="0"/>
              <w:spacing w:after="120" w:afterLines="50" w:line="36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辅助器具适配</w:t>
            </w:r>
          </w:p>
        </w:tc>
        <w:tc>
          <w:tcPr>
            <w:tcW w:w="3981" w:type="pct"/>
            <w:noWrap w:val="0"/>
            <w:vAlign w:val="center"/>
          </w:tcPr>
          <w:p>
            <w:pPr>
              <w:keepNext w:val="0"/>
              <w:keepLines w:val="0"/>
              <w:pageBreakBefore w:val="0"/>
              <w:widowControl/>
              <w:kinsoku/>
              <w:wordWrap/>
              <w:overflowPunct/>
              <w:topLinePunct w:val="0"/>
              <w:autoSpaceDE/>
              <w:autoSpaceDN/>
              <w:bidi w:val="0"/>
              <w:adjustRightInd/>
              <w:snapToGrid w:val="0"/>
              <w:spacing w:after="120" w:afterLines="50" w:line="36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20.康复辅助器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 w:type="pct"/>
            <w:vMerge w:val="continue"/>
            <w:noWrap w:val="0"/>
            <w:vAlign w:val="center"/>
          </w:tcPr>
          <w:p>
            <w:pPr>
              <w:keepNext w:val="0"/>
              <w:keepLines w:val="0"/>
              <w:pageBreakBefore w:val="0"/>
              <w:widowControl/>
              <w:kinsoku/>
              <w:wordWrap/>
              <w:overflowPunct/>
              <w:topLinePunct w:val="0"/>
              <w:autoSpaceDE/>
              <w:autoSpaceDN/>
              <w:bidi w:val="0"/>
              <w:adjustRightInd/>
              <w:snapToGrid w:val="0"/>
              <w:spacing w:after="120" w:afterLines="50" w:line="360" w:lineRule="exact"/>
              <w:rPr>
                <w:rFonts w:hint="eastAsia" w:ascii="宋体" w:hAnsi="宋体" w:eastAsia="宋体" w:cs="宋体"/>
                <w:color w:val="auto"/>
                <w:kern w:val="0"/>
                <w:sz w:val="21"/>
                <w:szCs w:val="21"/>
              </w:rPr>
            </w:pPr>
          </w:p>
        </w:tc>
        <w:tc>
          <w:tcPr>
            <w:tcW w:w="3981" w:type="pct"/>
            <w:noWrap w:val="0"/>
            <w:vAlign w:val="center"/>
          </w:tcPr>
          <w:p>
            <w:pPr>
              <w:keepNext w:val="0"/>
              <w:keepLines w:val="0"/>
              <w:pageBreakBefore w:val="0"/>
              <w:widowControl/>
              <w:kinsoku/>
              <w:wordWrap/>
              <w:overflowPunct/>
              <w:topLinePunct w:val="0"/>
              <w:autoSpaceDE/>
              <w:autoSpaceDN/>
              <w:bidi w:val="0"/>
              <w:adjustRightInd/>
              <w:snapToGrid w:val="0"/>
              <w:spacing w:after="120" w:afterLines="50" w:line="36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助行辅助①助行器②拐杖③轮椅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018" w:type="pct"/>
            <w:vMerge w:val="continue"/>
            <w:noWrap w:val="0"/>
            <w:vAlign w:val="center"/>
          </w:tcPr>
          <w:p>
            <w:pPr>
              <w:keepNext w:val="0"/>
              <w:keepLines w:val="0"/>
              <w:pageBreakBefore w:val="0"/>
              <w:widowControl/>
              <w:kinsoku/>
              <w:wordWrap/>
              <w:overflowPunct/>
              <w:topLinePunct w:val="0"/>
              <w:autoSpaceDE/>
              <w:autoSpaceDN/>
              <w:bidi w:val="0"/>
              <w:adjustRightInd/>
              <w:snapToGrid w:val="0"/>
              <w:spacing w:after="120" w:afterLines="50" w:line="360" w:lineRule="exact"/>
              <w:rPr>
                <w:rFonts w:hint="eastAsia" w:ascii="宋体" w:hAnsi="宋体" w:eastAsia="宋体" w:cs="宋体"/>
                <w:color w:val="auto"/>
                <w:kern w:val="0"/>
                <w:sz w:val="21"/>
                <w:szCs w:val="21"/>
              </w:rPr>
            </w:pPr>
          </w:p>
        </w:tc>
        <w:tc>
          <w:tcPr>
            <w:tcW w:w="3981" w:type="pct"/>
            <w:noWrap w:val="0"/>
            <w:vAlign w:val="center"/>
          </w:tcPr>
          <w:p>
            <w:pPr>
              <w:keepNext w:val="0"/>
              <w:keepLines w:val="0"/>
              <w:pageBreakBefore w:val="0"/>
              <w:widowControl/>
              <w:kinsoku/>
              <w:wordWrap/>
              <w:overflowPunct/>
              <w:topLinePunct w:val="0"/>
              <w:autoSpaceDE/>
              <w:autoSpaceDN/>
              <w:bidi w:val="0"/>
              <w:adjustRightInd/>
              <w:snapToGrid w:val="0"/>
              <w:spacing w:after="120" w:afterLines="50" w:line="36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如厕辅助①坐便器②扶手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 w:type="pct"/>
            <w:vMerge w:val="continue"/>
            <w:noWrap w:val="0"/>
            <w:vAlign w:val="center"/>
          </w:tcPr>
          <w:p>
            <w:pPr>
              <w:keepNext w:val="0"/>
              <w:keepLines w:val="0"/>
              <w:pageBreakBefore w:val="0"/>
              <w:widowControl/>
              <w:kinsoku/>
              <w:wordWrap/>
              <w:overflowPunct/>
              <w:topLinePunct w:val="0"/>
              <w:autoSpaceDE/>
              <w:autoSpaceDN/>
              <w:bidi w:val="0"/>
              <w:adjustRightInd/>
              <w:snapToGrid w:val="0"/>
              <w:spacing w:after="120" w:afterLines="50" w:line="360" w:lineRule="exact"/>
              <w:rPr>
                <w:rFonts w:hint="eastAsia" w:ascii="宋体" w:hAnsi="宋体" w:eastAsia="宋体" w:cs="宋体"/>
                <w:color w:val="auto"/>
                <w:kern w:val="0"/>
                <w:sz w:val="21"/>
                <w:szCs w:val="21"/>
              </w:rPr>
            </w:pPr>
          </w:p>
        </w:tc>
        <w:tc>
          <w:tcPr>
            <w:tcW w:w="3981" w:type="pct"/>
            <w:noWrap w:val="0"/>
            <w:vAlign w:val="center"/>
          </w:tcPr>
          <w:p>
            <w:pPr>
              <w:keepNext w:val="0"/>
              <w:keepLines w:val="0"/>
              <w:pageBreakBefore w:val="0"/>
              <w:widowControl/>
              <w:kinsoku/>
              <w:wordWrap/>
              <w:overflowPunct/>
              <w:topLinePunct w:val="0"/>
              <w:autoSpaceDE/>
              <w:autoSpaceDN/>
              <w:bidi w:val="0"/>
              <w:adjustRightInd/>
              <w:snapToGrid w:val="0"/>
              <w:spacing w:after="120" w:afterLines="50" w:line="36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洗浴辅助①洗澡床②扶手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 w:type="pct"/>
            <w:vMerge w:val="continue"/>
            <w:noWrap w:val="0"/>
            <w:vAlign w:val="center"/>
          </w:tcPr>
          <w:p>
            <w:pPr>
              <w:keepNext w:val="0"/>
              <w:keepLines w:val="0"/>
              <w:pageBreakBefore w:val="0"/>
              <w:widowControl/>
              <w:kinsoku/>
              <w:wordWrap/>
              <w:overflowPunct/>
              <w:topLinePunct w:val="0"/>
              <w:autoSpaceDE/>
              <w:autoSpaceDN/>
              <w:bidi w:val="0"/>
              <w:adjustRightInd/>
              <w:snapToGrid w:val="0"/>
              <w:spacing w:after="120" w:afterLines="50" w:line="360" w:lineRule="exact"/>
              <w:rPr>
                <w:rFonts w:hint="eastAsia" w:ascii="宋体" w:hAnsi="宋体" w:eastAsia="宋体" w:cs="宋体"/>
                <w:color w:val="auto"/>
                <w:kern w:val="0"/>
                <w:sz w:val="21"/>
                <w:szCs w:val="21"/>
              </w:rPr>
            </w:pPr>
          </w:p>
        </w:tc>
        <w:tc>
          <w:tcPr>
            <w:tcW w:w="3981" w:type="pct"/>
            <w:noWrap w:val="0"/>
            <w:vAlign w:val="center"/>
          </w:tcPr>
          <w:p>
            <w:pPr>
              <w:keepNext w:val="0"/>
              <w:keepLines w:val="0"/>
              <w:pageBreakBefore w:val="0"/>
              <w:widowControl/>
              <w:kinsoku/>
              <w:wordWrap/>
              <w:overflowPunct/>
              <w:topLinePunct w:val="0"/>
              <w:autoSpaceDE/>
              <w:autoSpaceDN/>
              <w:bidi w:val="0"/>
              <w:adjustRightInd/>
              <w:snapToGrid w:val="0"/>
              <w:spacing w:after="120" w:afterLines="50" w:line="36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照护辅助①护理床②被褥疮③床边桌④移位枕</w:t>
            </w:r>
          </w:p>
        </w:tc>
      </w:tr>
    </w:tbl>
    <w:p>
      <w:pPr>
        <w:pStyle w:val="31"/>
        <w:keepNext w:val="0"/>
        <w:keepLines w:val="0"/>
        <w:pageBreakBefore w:val="0"/>
        <w:numPr>
          <w:ilvl w:val="0"/>
          <w:numId w:val="0"/>
        </w:numPr>
        <w:kinsoku/>
        <w:wordWrap/>
        <w:overflowPunct/>
        <w:topLinePunct w:val="0"/>
        <w:autoSpaceDE/>
        <w:autoSpaceDN/>
        <w:bidi w:val="0"/>
        <w:adjustRightInd/>
        <w:spacing w:afterLines="0" w:line="360" w:lineRule="exact"/>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adjustRightInd/>
        <w:spacing w:line="360" w:lineRule="exact"/>
        <w:ind w:left="422"/>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2</w:t>
      </w:r>
      <w:r>
        <w:rPr>
          <w:rFonts w:hint="eastAsia" w:ascii="宋体" w:hAnsi="宋体" w:eastAsia="宋体" w:cs="宋体"/>
          <w:b/>
          <w:color w:val="auto"/>
          <w:sz w:val="21"/>
          <w:szCs w:val="21"/>
        </w:rPr>
        <w:t>、采购货物、服务清单</w:t>
      </w:r>
    </w:p>
    <w:tbl>
      <w:tblPr>
        <w:tblStyle w:val="12"/>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717"/>
        <w:gridCol w:w="3180"/>
        <w:gridCol w:w="816"/>
        <w:gridCol w:w="851"/>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825"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类别</w:t>
            </w: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序号</w:t>
            </w:r>
          </w:p>
        </w:tc>
        <w:tc>
          <w:tcPr>
            <w:tcW w:w="3180"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改造内容</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单位</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数量</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预算单价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5" w:type="dxa"/>
            <w:vMerge w:val="restart"/>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无障碍类</w:t>
            </w: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318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无障碍斜坡</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块</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5" w:type="dxa"/>
            <w:vMerge w:val="continue"/>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318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室外水泥坡道</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方</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260元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5" w:type="dxa"/>
            <w:vMerge w:val="continue"/>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318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室内外地面水泥浇筑</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方</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5" w:type="dxa"/>
            <w:vMerge w:val="restart"/>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防滑类</w:t>
            </w: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p>
        </w:tc>
        <w:tc>
          <w:tcPr>
            <w:tcW w:w="318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卫生间防滑地胶</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方</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5" w:type="dxa"/>
            <w:vMerge w:val="continue"/>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318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卫生间隔水防滑地垫</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5" w:type="dxa"/>
            <w:vMerge w:val="continue"/>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w:t>
            </w:r>
          </w:p>
        </w:tc>
        <w:tc>
          <w:tcPr>
            <w:tcW w:w="3180" w:type="dxa"/>
            <w:noWrap/>
            <w:vAlign w:val="center"/>
          </w:tcPr>
          <w:p>
            <w:pPr>
              <w:keepNext w:val="0"/>
              <w:keepLines w:val="0"/>
              <w:pageBreakBefore w:val="0"/>
              <w:widowControl/>
              <w:kinsoku/>
              <w:wordWrap/>
              <w:overflowPunct/>
              <w:topLinePunct w:val="0"/>
              <w:autoSpaceDE/>
              <w:autoSpaceDN/>
              <w:bidi w:val="0"/>
              <w:adjustRightInd/>
              <w:spacing w:before="120" w:beforeLines="50"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PVC防滑地胶板</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方</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5" w:type="dxa"/>
            <w:vMerge w:val="continue"/>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w:t>
            </w:r>
          </w:p>
        </w:tc>
        <w:tc>
          <w:tcPr>
            <w:tcW w:w="3180" w:type="dxa"/>
            <w:noWrap/>
            <w:vAlign w:val="center"/>
          </w:tcPr>
          <w:p>
            <w:pPr>
              <w:keepNext w:val="0"/>
              <w:keepLines w:val="0"/>
              <w:pageBreakBefore w:val="0"/>
              <w:widowControl/>
              <w:kinsoku/>
              <w:wordWrap/>
              <w:overflowPunct/>
              <w:topLinePunct w:val="0"/>
              <w:autoSpaceDE/>
              <w:autoSpaceDN/>
              <w:bidi w:val="0"/>
              <w:adjustRightInd/>
              <w:spacing w:before="120" w:beforeLines="50"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PVC普通地胶板</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方</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260元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5" w:type="dxa"/>
            <w:vMerge w:val="restart"/>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辅助类</w:t>
            </w: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w:t>
            </w:r>
          </w:p>
        </w:tc>
        <w:tc>
          <w:tcPr>
            <w:tcW w:w="318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卫生间一字型扶手</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5" w:type="dxa"/>
            <w:vMerge w:val="continue"/>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w:t>
            </w:r>
          </w:p>
        </w:tc>
        <w:tc>
          <w:tcPr>
            <w:tcW w:w="318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卫生间L型扶手</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5" w:type="dxa"/>
            <w:vMerge w:val="continue"/>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318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卫生间落地U型扶手</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5" w:type="dxa"/>
            <w:vMerge w:val="continue"/>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w:t>
            </w:r>
          </w:p>
        </w:tc>
        <w:tc>
          <w:tcPr>
            <w:tcW w:w="318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卫生间折叠洗浴椅</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张</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5" w:type="dxa"/>
            <w:vMerge w:val="continue"/>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w:t>
            </w:r>
          </w:p>
        </w:tc>
        <w:tc>
          <w:tcPr>
            <w:tcW w:w="318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马桶扶手</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5" w:type="dxa"/>
            <w:vMerge w:val="continue"/>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w:t>
            </w:r>
          </w:p>
        </w:tc>
        <w:tc>
          <w:tcPr>
            <w:tcW w:w="318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可拆卸马桶扶手</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5" w:type="dxa"/>
            <w:vMerge w:val="continue"/>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w:t>
            </w:r>
          </w:p>
        </w:tc>
        <w:tc>
          <w:tcPr>
            <w:tcW w:w="318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室外不锈钢通道扶手</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米</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5" w:type="dxa"/>
            <w:vMerge w:val="continue"/>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w:t>
            </w:r>
          </w:p>
        </w:tc>
        <w:tc>
          <w:tcPr>
            <w:tcW w:w="318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室内楼梯扶手</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米</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5" w:type="dxa"/>
            <w:vMerge w:val="continue"/>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w:t>
            </w:r>
          </w:p>
        </w:tc>
        <w:tc>
          <w:tcPr>
            <w:tcW w:w="318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室内走廊扶手</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米</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5" w:type="dxa"/>
            <w:vMerge w:val="restart"/>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居家环境改善</w:t>
            </w: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w:t>
            </w:r>
          </w:p>
        </w:tc>
        <w:tc>
          <w:tcPr>
            <w:tcW w:w="318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裸露或老旧电线路改造</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米</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5" w:type="dxa"/>
            <w:vMerge w:val="continue"/>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w:t>
            </w:r>
          </w:p>
        </w:tc>
        <w:tc>
          <w:tcPr>
            <w:tcW w:w="318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阻燃套管</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根</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6.3元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5" w:type="dxa"/>
            <w:vMerge w:val="continue"/>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19</w:t>
            </w:r>
          </w:p>
        </w:tc>
        <w:tc>
          <w:tcPr>
            <w:tcW w:w="318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双控开关</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5" w:type="dxa"/>
            <w:vMerge w:val="continue"/>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w:t>
            </w:r>
          </w:p>
        </w:tc>
        <w:tc>
          <w:tcPr>
            <w:tcW w:w="318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单控开关</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5" w:type="dxa"/>
            <w:vMerge w:val="continue"/>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w:t>
            </w:r>
          </w:p>
        </w:tc>
        <w:tc>
          <w:tcPr>
            <w:tcW w:w="318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二、三插座</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5" w:type="dxa"/>
            <w:vMerge w:val="continue"/>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w:t>
            </w:r>
          </w:p>
        </w:tc>
        <w:tc>
          <w:tcPr>
            <w:tcW w:w="318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更换或铺设水管</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米</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5" w:type="dxa"/>
            <w:vMerge w:val="continue"/>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w:t>
            </w:r>
          </w:p>
        </w:tc>
        <w:tc>
          <w:tcPr>
            <w:tcW w:w="318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更换加长水龙头</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5" w:type="dxa"/>
            <w:vMerge w:val="continue"/>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w:t>
            </w:r>
          </w:p>
        </w:tc>
        <w:tc>
          <w:tcPr>
            <w:tcW w:w="318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更换抽水马桶</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5" w:type="dxa"/>
            <w:vMerge w:val="continue"/>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w:t>
            </w:r>
          </w:p>
        </w:tc>
        <w:tc>
          <w:tcPr>
            <w:tcW w:w="318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蹲改厕拆除抺平</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5" w:type="dxa"/>
            <w:vMerge w:val="continue"/>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26</w:t>
            </w:r>
          </w:p>
        </w:tc>
        <w:tc>
          <w:tcPr>
            <w:tcW w:w="318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移动式不锈钢洗漱池</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5" w:type="dxa"/>
            <w:vMerge w:val="continue"/>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27</w:t>
            </w:r>
          </w:p>
        </w:tc>
        <w:tc>
          <w:tcPr>
            <w:tcW w:w="318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室内墙面粉刷</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方</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5" w:type="dxa"/>
            <w:vMerge w:val="continue"/>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28</w:t>
            </w:r>
          </w:p>
        </w:tc>
        <w:tc>
          <w:tcPr>
            <w:tcW w:w="318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室内PVC集成墙板</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方</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5" w:type="dxa"/>
            <w:vMerge w:val="continue"/>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29</w:t>
            </w:r>
          </w:p>
        </w:tc>
        <w:tc>
          <w:tcPr>
            <w:tcW w:w="318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室内吊顶</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方</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5" w:type="dxa"/>
            <w:vMerge w:val="continue"/>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w:t>
            </w:r>
          </w:p>
        </w:tc>
        <w:tc>
          <w:tcPr>
            <w:tcW w:w="318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适老化床头柜</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5" w:type="dxa"/>
            <w:vMerge w:val="continue"/>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w:t>
            </w:r>
          </w:p>
        </w:tc>
        <w:tc>
          <w:tcPr>
            <w:tcW w:w="318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厨房升降橱柜</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5" w:type="dxa"/>
            <w:vMerge w:val="continue"/>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w:t>
            </w:r>
          </w:p>
        </w:tc>
        <w:tc>
          <w:tcPr>
            <w:tcW w:w="318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厨房升降操作台</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5" w:type="dxa"/>
            <w:vMerge w:val="continue"/>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w:t>
            </w:r>
          </w:p>
        </w:tc>
        <w:tc>
          <w:tcPr>
            <w:tcW w:w="318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厨房燃气灶操作台</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5" w:type="dxa"/>
            <w:vMerge w:val="continue"/>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34</w:t>
            </w:r>
          </w:p>
        </w:tc>
        <w:tc>
          <w:tcPr>
            <w:tcW w:w="318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不锈钢厨房操作台</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5" w:type="dxa"/>
            <w:vMerge w:val="continue"/>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35</w:t>
            </w:r>
          </w:p>
        </w:tc>
        <w:tc>
          <w:tcPr>
            <w:tcW w:w="318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厨房橱柜</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米</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5" w:type="dxa"/>
            <w:vMerge w:val="restart"/>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助行类</w:t>
            </w: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36</w:t>
            </w:r>
          </w:p>
        </w:tc>
        <w:tc>
          <w:tcPr>
            <w:tcW w:w="318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智能拐杖</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付</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5" w:type="dxa"/>
            <w:vMerge w:val="continue"/>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37</w:t>
            </w:r>
          </w:p>
        </w:tc>
        <w:tc>
          <w:tcPr>
            <w:tcW w:w="318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腋杖</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付</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5" w:type="dxa"/>
            <w:vMerge w:val="continue"/>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38</w:t>
            </w:r>
          </w:p>
        </w:tc>
        <w:tc>
          <w:tcPr>
            <w:tcW w:w="318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四角拐</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5" w:type="dxa"/>
            <w:vMerge w:val="continue"/>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39</w:t>
            </w:r>
          </w:p>
        </w:tc>
        <w:tc>
          <w:tcPr>
            <w:tcW w:w="318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框式助行器</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5" w:type="dxa"/>
            <w:vMerge w:val="continue"/>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40</w:t>
            </w:r>
          </w:p>
        </w:tc>
        <w:tc>
          <w:tcPr>
            <w:tcW w:w="318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普通硬座铝合金轮椅</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台</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5" w:type="dxa"/>
            <w:vMerge w:val="continue"/>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w:t>
            </w:r>
          </w:p>
        </w:tc>
        <w:tc>
          <w:tcPr>
            <w:tcW w:w="318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折边轮椅</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台</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5" w:type="dxa"/>
            <w:vMerge w:val="continue"/>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w:t>
            </w:r>
          </w:p>
        </w:tc>
        <w:tc>
          <w:tcPr>
            <w:tcW w:w="318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高靠背轮椅</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台</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5" w:type="dxa"/>
            <w:vMerge w:val="continue"/>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w:t>
            </w:r>
          </w:p>
        </w:tc>
        <w:tc>
          <w:tcPr>
            <w:tcW w:w="318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电动轮椅</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台</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2800元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5" w:type="dxa"/>
            <w:vMerge w:val="restart"/>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感知类</w:t>
            </w: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w:t>
            </w:r>
          </w:p>
        </w:tc>
        <w:tc>
          <w:tcPr>
            <w:tcW w:w="318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老人起夜灯</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5" w:type="dxa"/>
            <w:vMerge w:val="continue"/>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45</w:t>
            </w:r>
          </w:p>
        </w:tc>
        <w:tc>
          <w:tcPr>
            <w:tcW w:w="318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燃气报警器</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5" w:type="dxa"/>
            <w:vMerge w:val="continue"/>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46</w:t>
            </w:r>
          </w:p>
        </w:tc>
        <w:tc>
          <w:tcPr>
            <w:tcW w:w="318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智能定位仪</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5" w:type="dxa"/>
            <w:vMerge w:val="continue"/>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47</w:t>
            </w:r>
          </w:p>
        </w:tc>
        <w:tc>
          <w:tcPr>
            <w:tcW w:w="318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闪光门铃及火灾报警一体机</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5" w:type="dxa"/>
            <w:vMerge w:val="continue"/>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48</w:t>
            </w:r>
          </w:p>
        </w:tc>
        <w:tc>
          <w:tcPr>
            <w:tcW w:w="318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bCs/>
                <w:color w:val="auto"/>
                <w:sz w:val="21"/>
                <w:szCs w:val="21"/>
              </w:rPr>
            </w:pPr>
            <w:r>
              <w:rPr>
                <w:rFonts w:hint="eastAsia" w:ascii="宋体" w:hAnsi="宋体" w:eastAsia="宋体" w:cs="宋体"/>
                <w:color w:val="auto"/>
                <w:sz w:val="21"/>
                <w:szCs w:val="21"/>
              </w:rPr>
              <w:t>紧急呼叫系统</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台</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5" w:type="dxa"/>
            <w:vMerge w:val="restart"/>
            <w:noWrap w:val="0"/>
            <w:vAlign w:val="center"/>
          </w:tcPr>
          <w:p>
            <w:pPr>
              <w:keepNext w:val="0"/>
              <w:keepLines w:val="0"/>
              <w:pageBreakBefore w:val="0"/>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照护类</w:t>
            </w: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49</w:t>
            </w:r>
          </w:p>
        </w:tc>
        <w:tc>
          <w:tcPr>
            <w:tcW w:w="318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订制三折双摇护理床</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张</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5" w:type="dxa"/>
            <w:vMerge w:val="continue"/>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w:t>
            </w:r>
          </w:p>
        </w:tc>
        <w:tc>
          <w:tcPr>
            <w:tcW w:w="318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高级电动居家护理床</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张</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5" w:type="dxa"/>
            <w:vMerge w:val="continue"/>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w:t>
            </w:r>
          </w:p>
        </w:tc>
        <w:tc>
          <w:tcPr>
            <w:tcW w:w="318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防褥疮充气床垫</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张</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5" w:type="dxa"/>
            <w:vMerge w:val="restart"/>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其他安全隐患类</w:t>
            </w: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w:t>
            </w:r>
          </w:p>
        </w:tc>
        <w:tc>
          <w:tcPr>
            <w:tcW w:w="318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室内LED灯具</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5" w:type="dxa"/>
            <w:vMerge w:val="continue"/>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w:t>
            </w:r>
          </w:p>
        </w:tc>
        <w:tc>
          <w:tcPr>
            <w:tcW w:w="318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整体卫浴间</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5" w:type="dxa"/>
            <w:vMerge w:val="continue"/>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w:t>
            </w:r>
          </w:p>
        </w:tc>
        <w:tc>
          <w:tcPr>
            <w:tcW w:w="318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卫生间浴霸</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5" w:type="dxa"/>
            <w:vMerge w:val="continue"/>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w:t>
            </w:r>
          </w:p>
        </w:tc>
        <w:tc>
          <w:tcPr>
            <w:tcW w:w="318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卫生间花洒套装</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付</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5" w:type="dxa"/>
            <w:vMerge w:val="continue"/>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w:t>
            </w:r>
          </w:p>
        </w:tc>
        <w:tc>
          <w:tcPr>
            <w:tcW w:w="318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电热水器</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台</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5" w:type="dxa"/>
            <w:vMerge w:val="continue"/>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w:t>
            </w:r>
          </w:p>
        </w:tc>
        <w:tc>
          <w:tcPr>
            <w:tcW w:w="318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卫生间立柱台盆</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5" w:type="dxa"/>
            <w:vMerge w:val="continue"/>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w:t>
            </w:r>
          </w:p>
        </w:tc>
        <w:tc>
          <w:tcPr>
            <w:tcW w:w="318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移动式马桶</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5" w:type="dxa"/>
            <w:vMerge w:val="continue"/>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59</w:t>
            </w:r>
          </w:p>
        </w:tc>
        <w:tc>
          <w:tcPr>
            <w:tcW w:w="318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床边扶手</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825" w:type="dxa"/>
            <w:noWrap w:val="0"/>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评估服务类</w:t>
            </w:r>
          </w:p>
        </w:tc>
        <w:tc>
          <w:tcPr>
            <w:tcW w:w="717"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60</w:t>
            </w:r>
          </w:p>
        </w:tc>
        <w:tc>
          <w:tcPr>
            <w:tcW w:w="3180"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入户评估</w:t>
            </w:r>
          </w:p>
        </w:tc>
        <w:tc>
          <w:tcPr>
            <w:tcW w:w="816"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户</w:t>
            </w:r>
          </w:p>
        </w:tc>
        <w:tc>
          <w:tcPr>
            <w:tcW w:w="851" w:type="dxa"/>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 1</w:t>
            </w:r>
          </w:p>
        </w:tc>
        <w:tc>
          <w:tcPr>
            <w:tcW w:w="2040" w:type="dxa"/>
            <w:noWrap/>
            <w:vAlign w:val="center"/>
          </w:tcPr>
          <w:p>
            <w:pPr>
              <w:keepNext w:val="0"/>
              <w:keepLines w:val="0"/>
              <w:pageBreakBefore w:val="0"/>
              <w:widowControl/>
              <w:kinsoku/>
              <w:wordWrap/>
              <w:overflowPunct/>
              <w:topLinePunct w:val="0"/>
              <w:autoSpaceDE/>
              <w:autoSpaceDN/>
              <w:bidi w:val="0"/>
              <w:adjustRightInd/>
              <w:spacing w:line="36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350</w:t>
            </w:r>
            <w:r>
              <w:rPr>
                <w:rFonts w:hint="eastAsia" w:ascii="宋体" w:hAnsi="宋体" w:eastAsia="宋体" w:cs="宋体"/>
                <w:color w:val="auto"/>
                <w:kern w:val="0"/>
                <w:sz w:val="21"/>
                <w:szCs w:val="21"/>
              </w:rPr>
              <w:t>元</w:t>
            </w:r>
          </w:p>
        </w:tc>
      </w:tr>
    </w:tbl>
    <w:p>
      <w:pPr>
        <w:keepNext w:val="0"/>
        <w:keepLines w:val="0"/>
        <w:pageBreakBefore w:val="0"/>
        <w:kinsoku/>
        <w:wordWrap/>
        <w:overflowPunct/>
        <w:topLinePunct w:val="0"/>
        <w:autoSpaceDE/>
        <w:autoSpaceDN/>
        <w:bidi w:val="0"/>
        <w:adjustRightInd/>
        <w:spacing w:before="120" w:beforeLines="50" w:line="360" w:lineRule="exact"/>
        <w:rPr>
          <w:rFonts w:hint="eastAsia" w:ascii="宋体" w:hAnsi="宋体" w:eastAsia="宋体" w:cs="宋体"/>
          <w:b/>
          <w:bCs/>
          <w:color w:val="auto"/>
          <w:spacing w:val="-6"/>
          <w:sz w:val="21"/>
          <w:szCs w:val="21"/>
          <w:lang w:val="en-US" w:eastAsia="zh-CN"/>
        </w:rPr>
      </w:pPr>
    </w:p>
    <w:p>
      <w:pPr>
        <w:keepNext w:val="0"/>
        <w:keepLines w:val="0"/>
        <w:pageBreakBefore w:val="0"/>
        <w:kinsoku/>
        <w:wordWrap/>
        <w:overflowPunct/>
        <w:topLinePunct w:val="0"/>
        <w:autoSpaceDE/>
        <w:autoSpaceDN/>
        <w:bidi w:val="0"/>
        <w:adjustRightInd/>
        <w:spacing w:before="120" w:beforeLines="50" w:line="360" w:lineRule="exact"/>
        <w:rPr>
          <w:rFonts w:hint="eastAsia" w:ascii="宋体" w:hAnsi="宋体" w:eastAsia="宋体" w:cs="宋体"/>
          <w:color w:val="auto"/>
          <w:kern w:val="0"/>
          <w:sz w:val="21"/>
          <w:szCs w:val="21"/>
        </w:rPr>
      </w:pPr>
      <w:r>
        <w:rPr>
          <w:rFonts w:hint="eastAsia" w:ascii="宋体" w:hAnsi="宋体" w:eastAsia="宋体" w:cs="宋体"/>
          <w:b/>
          <w:bCs/>
          <w:color w:val="auto"/>
          <w:spacing w:val="-6"/>
          <w:sz w:val="21"/>
          <w:szCs w:val="21"/>
          <w:lang w:val="en-US" w:eastAsia="zh-CN"/>
        </w:rPr>
        <w:t>3</w:t>
      </w:r>
      <w:r>
        <w:rPr>
          <w:rFonts w:hint="eastAsia" w:ascii="宋体" w:hAnsi="宋体" w:eastAsia="宋体" w:cs="宋体"/>
          <w:b/>
          <w:bCs/>
          <w:color w:val="auto"/>
          <w:spacing w:val="-6"/>
          <w:sz w:val="21"/>
          <w:szCs w:val="21"/>
        </w:rPr>
        <w:t>、采购货物技术指标</w:t>
      </w:r>
    </w:p>
    <w:tbl>
      <w:tblPr>
        <w:tblStyle w:val="12"/>
        <w:tblW w:w="9599" w:type="dxa"/>
        <w:tblInd w:w="21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4"/>
        <w:gridCol w:w="2200"/>
        <w:gridCol w:w="64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6" w:hRule="atLeast"/>
        </w:trPr>
        <w:tc>
          <w:tcPr>
            <w:tcW w:w="9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before="120" w:beforeLines="50" w:line="360" w:lineRule="exact"/>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序号</w:t>
            </w:r>
          </w:p>
        </w:tc>
        <w:tc>
          <w:tcPr>
            <w:tcW w:w="220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before="120" w:beforeLines="50" w:line="360" w:lineRule="exact"/>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名称</w:t>
            </w:r>
          </w:p>
        </w:tc>
        <w:tc>
          <w:tcPr>
            <w:tcW w:w="6485" w:type="dxa"/>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120" w:beforeLines="50" w:line="360" w:lineRule="exact"/>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参数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1" w:hRule="atLeast"/>
        </w:trPr>
        <w:tc>
          <w:tcPr>
            <w:tcW w:w="9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pacing w:before="120" w:beforeLines="50" w:line="360" w:lineRule="exact"/>
              <w:jc w:val="center"/>
              <w:rPr>
                <w:rFonts w:hint="eastAsia" w:ascii="宋体" w:hAnsi="宋体" w:eastAsia="宋体" w:cs="宋体"/>
                <w:color w:val="auto"/>
                <w:kern w:val="0"/>
                <w:sz w:val="21"/>
                <w:szCs w:val="21"/>
              </w:rPr>
            </w:pPr>
          </w:p>
        </w:tc>
        <w:tc>
          <w:tcPr>
            <w:tcW w:w="220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before="120" w:beforeLines="50"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无障碍斜坡</w:t>
            </w:r>
          </w:p>
        </w:tc>
        <w:tc>
          <w:tcPr>
            <w:tcW w:w="6485" w:type="dxa"/>
            <w:tcBorders>
              <w:top w:val="single" w:color="auto" w:sz="6" w:space="0"/>
              <w:left w:val="nil"/>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材质：PELD 及 PEHD 混合材料。性能：表面防滑设计，安全性强。规格：可根据实际情况灵活进行裁剪拼接，组装简单。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6" w:hRule="atLeast"/>
        </w:trPr>
        <w:tc>
          <w:tcPr>
            <w:tcW w:w="9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pacing w:before="120" w:beforeLines="50" w:line="360" w:lineRule="exact"/>
              <w:jc w:val="center"/>
              <w:rPr>
                <w:rFonts w:hint="eastAsia" w:ascii="宋体" w:hAnsi="宋体" w:eastAsia="宋体" w:cs="宋体"/>
                <w:color w:val="auto"/>
                <w:kern w:val="0"/>
                <w:sz w:val="21"/>
                <w:szCs w:val="21"/>
              </w:rPr>
            </w:pPr>
          </w:p>
        </w:tc>
        <w:tc>
          <w:tcPr>
            <w:tcW w:w="220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室外水泥坡道</w:t>
            </w:r>
          </w:p>
        </w:tc>
        <w:tc>
          <w:tcPr>
            <w:tcW w:w="6485" w:type="dxa"/>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120" w:beforeLines="50"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宽度1m，按无障碍标准的坡高比修建水泥坡道。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trPr>
        <w:tc>
          <w:tcPr>
            <w:tcW w:w="9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p>
        </w:tc>
        <w:tc>
          <w:tcPr>
            <w:tcW w:w="220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室内外地面水泥浇筑</w:t>
            </w:r>
          </w:p>
        </w:tc>
        <w:tc>
          <w:tcPr>
            <w:tcW w:w="6485" w:type="dxa"/>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120" w:beforeLines="50"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厚度10cm，并符合相应技术标准。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0" w:hRule="atLeast"/>
        </w:trPr>
        <w:tc>
          <w:tcPr>
            <w:tcW w:w="9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pacing w:before="120" w:beforeLines="50" w:line="360" w:lineRule="exact"/>
              <w:jc w:val="center"/>
              <w:rPr>
                <w:rFonts w:hint="eastAsia" w:ascii="宋体" w:hAnsi="宋体" w:eastAsia="宋体" w:cs="宋体"/>
                <w:color w:val="auto"/>
                <w:kern w:val="0"/>
                <w:sz w:val="21"/>
                <w:szCs w:val="21"/>
              </w:rPr>
            </w:pPr>
          </w:p>
        </w:tc>
        <w:tc>
          <w:tcPr>
            <w:tcW w:w="220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卫生间防滑地胶</w:t>
            </w:r>
          </w:p>
        </w:tc>
        <w:tc>
          <w:tcPr>
            <w:tcW w:w="6485" w:type="dxa"/>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120" w:beforeLines="50"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采用PVC材质地板，抗菌防霉易清洗，卫浴间、厨房等较湿滑地方应采用防湿滑系数为≥R10地板，其他处防湿滑系数为≥R9，厚度≥2mm。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trPr>
        <w:tc>
          <w:tcPr>
            <w:tcW w:w="9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p>
        </w:tc>
        <w:tc>
          <w:tcPr>
            <w:tcW w:w="220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卫生间隔水防滑地垫</w:t>
            </w:r>
          </w:p>
        </w:tc>
        <w:tc>
          <w:tcPr>
            <w:tcW w:w="6485" w:type="dxa"/>
            <w:tcBorders>
              <w:top w:val="single" w:color="auto" w:sz="6" w:space="0"/>
              <w:left w:val="nil"/>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120" w:beforeLines="50"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尺寸：580*880   PVC材质，吸附力强，吸水快；采用弹性树脂环保材料，无异味，韧性佳。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trPr>
        <w:tc>
          <w:tcPr>
            <w:tcW w:w="9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p>
        </w:tc>
        <w:tc>
          <w:tcPr>
            <w:tcW w:w="220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PVC防滑地胶板</w:t>
            </w:r>
          </w:p>
        </w:tc>
        <w:tc>
          <w:tcPr>
            <w:tcW w:w="6485" w:type="dxa"/>
            <w:tcBorders>
              <w:top w:val="single" w:color="auto" w:sz="6" w:space="0"/>
              <w:left w:val="nil"/>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120" w:beforeLines="50"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 PVC 材质地板，抗菌防霉易清洗，双重防滑，防湿滑系数为≥R10 地板，厚度≥2.5mm。（提供检测报告）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trPr>
        <w:tc>
          <w:tcPr>
            <w:tcW w:w="9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p>
        </w:tc>
        <w:tc>
          <w:tcPr>
            <w:tcW w:w="220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PVC普通地胶板</w:t>
            </w:r>
          </w:p>
        </w:tc>
        <w:tc>
          <w:tcPr>
            <w:tcW w:w="6485" w:type="dxa"/>
            <w:tcBorders>
              <w:top w:val="single" w:color="auto" w:sz="6" w:space="0"/>
              <w:left w:val="nil"/>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120" w:beforeLines="50"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采用同质透心材质地板，厚度≥2mm且防湿滑系数为≥R9；自流平+胶贴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0" w:hRule="atLeast"/>
        </w:trPr>
        <w:tc>
          <w:tcPr>
            <w:tcW w:w="9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p>
        </w:tc>
        <w:tc>
          <w:tcPr>
            <w:tcW w:w="220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卫生间一字型扶手</w:t>
            </w:r>
          </w:p>
        </w:tc>
        <w:tc>
          <w:tcPr>
            <w:tcW w:w="6485" w:type="dxa"/>
            <w:tcBorders>
              <w:top w:val="single" w:color="auto" w:sz="6" w:space="0"/>
              <w:left w:val="nil"/>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120" w:beforeLines="50"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白色黄色可选，尼龙材料，长：370mm，内衬不锈钢管，冬天表面不冷特级防滑抗菌，防老化，易清洁，安装简单，易固定、稳定性强。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0" w:hRule="atLeast"/>
        </w:trPr>
        <w:tc>
          <w:tcPr>
            <w:tcW w:w="9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p>
        </w:tc>
        <w:tc>
          <w:tcPr>
            <w:tcW w:w="220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before="120" w:beforeLines="50"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卫生间L型扶手</w:t>
            </w:r>
          </w:p>
        </w:tc>
        <w:tc>
          <w:tcPr>
            <w:tcW w:w="6485" w:type="dxa"/>
            <w:tcBorders>
              <w:top w:val="single" w:color="auto" w:sz="6" w:space="0"/>
              <w:left w:val="nil"/>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120" w:beforeLines="50"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白色黄色可选，尺寸：600*400mm，淋浴处材质：ABS 抗菌尼龙材质；内部管材铝合金材质；表面凹凸花纹设计，防滑耐磨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0" w:hRule="atLeast"/>
        </w:trPr>
        <w:tc>
          <w:tcPr>
            <w:tcW w:w="9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p>
        </w:tc>
        <w:tc>
          <w:tcPr>
            <w:tcW w:w="220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before="120" w:beforeLines="50"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卫生间落地U型扶手</w:t>
            </w:r>
          </w:p>
        </w:tc>
        <w:tc>
          <w:tcPr>
            <w:tcW w:w="6485" w:type="dxa"/>
            <w:tcBorders>
              <w:top w:val="single" w:color="auto" w:sz="6" w:space="0"/>
              <w:left w:val="nil"/>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120" w:beforeLines="50"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白色黄色可选，尼龙材料，长：370mm，内衬不锈钢管，冬天表面不冷特级防滑抗菌，防老化，易清洁，安装简单，易固定、稳定性强。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74" w:hRule="atLeast"/>
        </w:trPr>
        <w:tc>
          <w:tcPr>
            <w:tcW w:w="9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p>
        </w:tc>
        <w:tc>
          <w:tcPr>
            <w:tcW w:w="220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before="120" w:beforeLines="50"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卫生间折叠洗浴椅</w:t>
            </w:r>
          </w:p>
        </w:tc>
        <w:tc>
          <w:tcPr>
            <w:tcW w:w="6485" w:type="dxa"/>
            <w:tcBorders>
              <w:top w:val="single" w:color="auto" w:sz="6" w:space="0"/>
              <w:left w:val="nil"/>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120" w:beforeLines="50"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椅架为铝合金材质，座板、背靠板为PE材质，座面板、背垫为EVA材质，管端管塞、扶手为PP材质，底塞为TPR材质，连接件为尼龙，座椅高度5段可调节350-450mm，折叠时可自行站立。扶手可抬起（如有）。连接螺丝、垫片均为304不锈钢材质。承重力≥100k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p>
        </w:tc>
        <w:tc>
          <w:tcPr>
            <w:tcW w:w="220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before="120" w:beforeLines="50"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马桶扶手</w:t>
            </w:r>
          </w:p>
        </w:tc>
        <w:tc>
          <w:tcPr>
            <w:tcW w:w="6485" w:type="dxa"/>
            <w:tcBorders>
              <w:top w:val="single" w:color="auto" w:sz="6" w:space="0"/>
              <w:left w:val="nil"/>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120" w:beforeLines="50"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白色黄色可选，表面ABS，内部铝合金材质，600mm*700mm,内部管材铝合金材质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0" w:hRule="atLeast"/>
        </w:trPr>
        <w:tc>
          <w:tcPr>
            <w:tcW w:w="9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p>
        </w:tc>
        <w:tc>
          <w:tcPr>
            <w:tcW w:w="220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before="120" w:beforeLines="50"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可拆卸马桶扶手</w:t>
            </w:r>
          </w:p>
        </w:tc>
        <w:tc>
          <w:tcPr>
            <w:tcW w:w="6485" w:type="dxa"/>
            <w:tcBorders>
              <w:top w:val="single" w:color="auto" w:sz="6" w:space="0"/>
              <w:left w:val="nil"/>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120" w:beforeLines="50"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龙骨采用钢管烤漆处理，手柄使用进口实木或者PP材料，扶手高度可调节，无需打孔安装，安全稳固。尺寸：长570*宽435*高545-695mm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trPr>
        <w:tc>
          <w:tcPr>
            <w:tcW w:w="9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p>
        </w:tc>
        <w:tc>
          <w:tcPr>
            <w:tcW w:w="220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before="120" w:beforeLines="50"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蹲改厕拆除抺平</w:t>
            </w:r>
          </w:p>
        </w:tc>
        <w:tc>
          <w:tcPr>
            <w:tcW w:w="6485" w:type="dxa"/>
            <w:tcBorders>
              <w:top w:val="single" w:color="auto" w:sz="6" w:space="0"/>
              <w:left w:val="nil"/>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120" w:beforeLines="50"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拆除蹲坑接上排污管，用C15砼垫坑抺平，根据现场情况评估；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trPr>
        <w:tc>
          <w:tcPr>
            <w:tcW w:w="9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p>
        </w:tc>
        <w:tc>
          <w:tcPr>
            <w:tcW w:w="220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before="120" w:beforeLines="50"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室外不锈钢通道扶手</w:t>
            </w:r>
          </w:p>
        </w:tc>
        <w:tc>
          <w:tcPr>
            <w:tcW w:w="6485" w:type="dxa"/>
            <w:tcBorders>
              <w:top w:val="single" w:color="auto" w:sz="6" w:space="0"/>
              <w:left w:val="nil"/>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120" w:beforeLines="50"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全部采用304管，含立柱，需上门实地安装。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0" w:hRule="atLeast"/>
        </w:trPr>
        <w:tc>
          <w:tcPr>
            <w:tcW w:w="9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p>
        </w:tc>
        <w:tc>
          <w:tcPr>
            <w:tcW w:w="220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before="120" w:beforeLines="50"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室内楼梯扶手</w:t>
            </w:r>
          </w:p>
        </w:tc>
        <w:tc>
          <w:tcPr>
            <w:tcW w:w="6485" w:type="dxa"/>
            <w:tcBorders>
              <w:top w:val="single" w:color="auto" w:sz="6" w:space="0"/>
              <w:left w:val="nil"/>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120" w:beforeLines="50"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主体颜色为黄色，表面抗菌尼龙，有防滑凸点，具有保温，抗菌功能。内部金属管龙骨。整体直径3.5CM，龙骨直径2.5cm。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0" w:hRule="atLeast"/>
        </w:trPr>
        <w:tc>
          <w:tcPr>
            <w:tcW w:w="9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p>
        </w:tc>
        <w:tc>
          <w:tcPr>
            <w:tcW w:w="220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before="120" w:beforeLines="50"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室内走廊扶手</w:t>
            </w:r>
          </w:p>
        </w:tc>
        <w:tc>
          <w:tcPr>
            <w:tcW w:w="6485" w:type="dxa"/>
            <w:tcBorders>
              <w:top w:val="single" w:color="auto" w:sz="6" w:space="0"/>
              <w:left w:val="nil"/>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120" w:beforeLines="50"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主体颜色为黄色，表面抗菌尼龙，有防滑凸点，具有保温，抗菌功能。内部金属管龙骨。整体直径3.5CM，龙骨直径2.5cm。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trPr>
        <w:tc>
          <w:tcPr>
            <w:tcW w:w="9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p>
        </w:tc>
        <w:tc>
          <w:tcPr>
            <w:tcW w:w="220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before="120" w:beforeLines="50"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裸露或老旧电线路改造</w:t>
            </w:r>
          </w:p>
        </w:tc>
        <w:tc>
          <w:tcPr>
            <w:tcW w:w="6485" w:type="dxa"/>
            <w:tcBorders>
              <w:top w:val="single" w:color="auto" w:sz="6" w:space="0"/>
              <w:left w:val="nil"/>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120" w:beforeLines="50"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国标2.5平方毫米。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6" w:hRule="atLeast"/>
        </w:trPr>
        <w:tc>
          <w:tcPr>
            <w:tcW w:w="9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p>
        </w:tc>
        <w:tc>
          <w:tcPr>
            <w:tcW w:w="220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before="120" w:beforeLines="50"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阻燃套管</w:t>
            </w:r>
          </w:p>
        </w:tc>
        <w:tc>
          <w:tcPr>
            <w:tcW w:w="6485" w:type="dxa"/>
            <w:tcBorders>
              <w:top w:val="single" w:color="auto" w:sz="6" w:space="0"/>
              <w:left w:val="nil"/>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120" w:beforeLines="50"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符合国标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6" w:hRule="atLeast"/>
        </w:trPr>
        <w:tc>
          <w:tcPr>
            <w:tcW w:w="9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p>
        </w:tc>
        <w:tc>
          <w:tcPr>
            <w:tcW w:w="220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双控开关</w:t>
            </w:r>
          </w:p>
        </w:tc>
        <w:tc>
          <w:tcPr>
            <w:tcW w:w="6485" w:type="dxa"/>
            <w:tcBorders>
              <w:top w:val="single" w:color="auto" w:sz="6" w:space="0"/>
              <w:left w:val="nil"/>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120" w:beforeLines="50"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符合国标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6" w:hRule="atLeast"/>
        </w:trPr>
        <w:tc>
          <w:tcPr>
            <w:tcW w:w="9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p>
        </w:tc>
        <w:tc>
          <w:tcPr>
            <w:tcW w:w="220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单控开关</w:t>
            </w:r>
          </w:p>
        </w:tc>
        <w:tc>
          <w:tcPr>
            <w:tcW w:w="6485" w:type="dxa"/>
            <w:tcBorders>
              <w:top w:val="single" w:color="auto" w:sz="6" w:space="0"/>
              <w:left w:val="nil"/>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120" w:beforeLines="50"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符合国标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6" w:hRule="atLeast"/>
        </w:trPr>
        <w:tc>
          <w:tcPr>
            <w:tcW w:w="9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p>
        </w:tc>
        <w:tc>
          <w:tcPr>
            <w:tcW w:w="220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二、三插座</w:t>
            </w:r>
          </w:p>
        </w:tc>
        <w:tc>
          <w:tcPr>
            <w:tcW w:w="6485" w:type="dxa"/>
            <w:tcBorders>
              <w:top w:val="single" w:color="auto" w:sz="6" w:space="0"/>
              <w:left w:val="nil"/>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120" w:beforeLines="50"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符合国标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6" w:hRule="atLeast"/>
        </w:trPr>
        <w:tc>
          <w:tcPr>
            <w:tcW w:w="9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p>
        </w:tc>
        <w:tc>
          <w:tcPr>
            <w:tcW w:w="220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更换或铺设水管</w:t>
            </w:r>
          </w:p>
        </w:tc>
        <w:tc>
          <w:tcPr>
            <w:tcW w:w="6485" w:type="dxa"/>
            <w:tcBorders>
              <w:top w:val="single" w:color="auto" w:sz="6" w:space="0"/>
              <w:left w:val="nil"/>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120" w:beforeLines="50"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采用PPR材质水管改造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trPr>
        <w:tc>
          <w:tcPr>
            <w:tcW w:w="9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p>
        </w:tc>
        <w:tc>
          <w:tcPr>
            <w:tcW w:w="220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更换加长水龙头</w:t>
            </w:r>
          </w:p>
        </w:tc>
        <w:tc>
          <w:tcPr>
            <w:tcW w:w="6485" w:type="dxa"/>
            <w:tcBorders>
              <w:top w:val="single" w:color="auto" w:sz="6" w:space="0"/>
              <w:left w:val="nil"/>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120" w:beforeLines="50"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尺寸：115*180mm；单孔台盆可装，分高脚和矮脚，外表不锈钢材质；接头处黄铜材质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6" w:hRule="atLeast"/>
        </w:trPr>
        <w:tc>
          <w:tcPr>
            <w:tcW w:w="9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p>
        </w:tc>
        <w:tc>
          <w:tcPr>
            <w:tcW w:w="220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更换抽水马桶</w:t>
            </w:r>
          </w:p>
        </w:tc>
        <w:tc>
          <w:tcPr>
            <w:tcW w:w="6485" w:type="dxa"/>
            <w:tcBorders>
              <w:top w:val="single" w:color="auto" w:sz="6" w:space="0"/>
              <w:left w:val="nil"/>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120" w:beforeLines="50"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缓冲上按两端式，地排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4" w:hRule="atLeast"/>
        </w:trPr>
        <w:tc>
          <w:tcPr>
            <w:tcW w:w="9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p>
        </w:tc>
        <w:tc>
          <w:tcPr>
            <w:tcW w:w="220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移动式不锈钢洗漱池</w:t>
            </w:r>
          </w:p>
        </w:tc>
        <w:tc>
          <w:tcPr>
            <w:tcW w:w="6485" w:type="dxa"/>
            <w:tcBorders>
              <w:top w:val="single" w:color="auto" w:sz="6" w:space="0"/>
              <w:left w:val="nil"/>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120" w:beforeLines="50"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304不锈钢材质，尺寸高度1m，按现场测量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6" w:hRule="atLeast"/>
        </w:trPr>
        <w:tc>
          <w:tcPr>
            <w:tcW w:w="9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p>
        </w:tc>
        <w:tc>
          <w:tcPr>
            <w:tcW w:w="220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室内墙面粉刷</w:t>
            </w:r>
          </w:p>
        </w:tc>
        <w:tc>
          <w:tcPr>
            <w:tcW w:w="6485" w:type="dxa"/>
            <w:tcBorders>
              <w:top w:val="single" w:color="auto" w:sz="6" w:space="0"/>
              <w:left w:val="nil"/>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120" w:beforeLines="50"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按照墙面粉刷规范流程实施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4" w:hRule="atLeast"/>
        </w:trPr>
        <w:tc>
          <w:tcPr>
            <w:tcW w:w="9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p>
        </w:tc>
        <w:tc>
          <w:tcPr>
            <w:tcW w:w="220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室内PVC集成墙板</w:t>
            </w:r>
          </w:p>
        </w:tc>
        <w:tc>
          <w:tcPr>
            <w:tcW w:w="6485" w:type="dxa"/>
            <w:tcBorders>
              <w:top w:val="single" w:color="auto" w:sz="6" w:space="0"/>
              <w:left w:val="nil"/>
              <w:bottom w:val="single" w:color="auto" w:sz="6" w:space="0"/>
              <w:right w:val="single" w:color="auto" w:sz="4" w:space="0"/>
            </w:tcBorders>
            <w:noWrap w:val="0"/>
            <w:vAlign w:val="center"/>
          </w:tcPr>
          <w:p>
            <w:pPr>
              <w:pStyle w:val="10"/>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防水防潮，防火阻燃。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4" w:hRule="atLeast"/>
        </w:trPr>
        <w:tc>
          <w:tcPr>
            <w:tcW w:w="9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p>
        </w:tc>
        <w:tc>
          <w:tcPr>
            <w:tcW w:w="220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室内吊顶</w:t>
            </w:r>
          </w:p>
        </w:tc>
        <w:tc>
          <w:tcPr>
            <w:tcW w:w="6485" w:type="dxa"/>
            <w:tcBorders>
              <w:top w:val="single" w:color="auto" w:sz="6" w:space="0"/>
              <w:left w:val="nil"/>
              <w:bottom w:val="single" w:color="auto" w:sz="6" w:space="0"/>
              <w:right w:val="single" w:color="auto" w:sz="4" w:space="0"/>
            </w:tcBorders>
            <w:noWrap w:val="0"/>
            <w:vAlign w:val="center"/>
          </w:tcPr>
          <w:p>
            <w:pPr>
              <w:pStyle w:val="10"/>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PVC材质，使用防火板材，辅料木条，集成吊顶，不含灯具、排风扇。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trPr>
        <w:tc>
          <w:tcPr>
            <w:tcW w:w="9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p>
        </w:tc>
        <w:tc>
          <w:tcPr>
            <w:tcW w:w="220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适老化床头柜</w:t>
            </w:r>
          </w:p>
        </w:tc>
        <w:tc>
          <w:tcPr>
            <w:tcW w:w="6485" w:type="dxa"/>
            <w:tcBorders>
              <w:top w:val="single" w:color="auto" w:sz="6" w:space="0"/>
              <w:left w:val="nil"/>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120" w:beforeLines="50"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1.尺寸：450*400*500mm；2.材质：采用进口A级橡胶木；3.特色：台面增加档条，防止东西滑落。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6" w:hRule="atLeast"/>
        </w:trPr>
        <w:tc>
          <w:tcPr>
            <w:tcW w:w="9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p>
        </w:tc>
        <w:tc>
          <w:tcPr>
            <w:tcW w:w="220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厨房升降橱柜</w:t>
            </w:r>
          </w:p>
        </w:tc>
        <w:tc>
          <w:tcPr>
            <w:tcW w:w="6485" w:type="dxa"/>
            <w:tcBorders>
              <w:top w:val="single" w:color="auto" w:sz="6" w:space="0"/>
              <w:left w:val="nil"/>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120" w:beforeLines="50"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宽尺寸：450-900mm，不锈钢材质，阻尼升降。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6" w:hRule="atLeast"/>
        </w:trPr>
        <w:tc>
          <w:tcPr>
            <w:tcW w:w="9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p>
        </w:tc>
        <w:tc>
          <w:tcPr>
            <w:tcW w:w="220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厨房升降操作台</w:t>
            </w:r>
          </w:p>
        </w:tc>
        <w:tc>
          <w:tcPr>
            <w:tcW w:w="6485" w:type="dxa"/>
            <w:tcBorders>
              <w:top w:val="single" w:color="auto" w:sz="6" w:space="0"/>
              <w:left w:val="nil"/>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120" w:beforeLines="50"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高度可自由升降，便于轮椅进出。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0" w:hRule="atLeast"/>
        </w:trPr>
        <w:tc>
          <w:tcPr>
            <w:tcW w:w="9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p>
        </w:tc>
        <w:tc>
          <w:tcPr>
            <w:tcW w:w="220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厨房燃气灶操作台</w:t>
            </w:r>
          </w:p>
        </w:tc>
        <w:tc>
          <w:tcPr>
            <w:tcW w:w="6485" w:type="dxa"/>
            <w:tcBorders>
              <w:top w:val="single" w:color="auto" w:sz="6" w:space="0"/>
              <w:left w:val="nil"/>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120" w:beforeLines="50"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二层，高度≤660mm。为304标准型号不锈钢材料，实际厚度≥0.8mm，长边一侧应圆弧形，立柱脚高度可调节，整体为焊接一体型，增加牢固度。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3" w:hRule="atLeast"/>
        </w:trPr>
        <w:tc>
          <w:tcPr>
            <w:tcW w:w="9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p>
        </w:tc>
        <w:tc>
          <w:tcPr>
            <w:tcW w:w="220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不锈钢厨房操作台</w:t>
            </w:r>
          </w:p>
        </w:tc>
        <w:tc>
          <w:tcPr>
            <w:tcW w:w="6485" w:type="dxa"/>
            <w:tcBorders>
              <w:top w:val="single" w:color="auto" w:sz="6" w:space="0"/>
              <w:left w:val="nil"/>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120" w:beforeLines="50"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三层，高度≤790mm。其他参数同上。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trPr>
        <w:tc>
          <w:tcPr>
            <w:tcW w:w="9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p>
        </w:tc>
        <w:tc>
          <w:tcPr>
            <w:tcW w:w="220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厨房橱柜</w:t>
            </w:r>
          </w:p>
        </w:tc>
        <w:tc>
          <w:tcPr>
            <w:tcW w:w="6485" w:type="dxa"/>
            <w:tcBorders>
              <w:top w:val="single" w:color="auto" w:sz="6" w:space="0"/>
              <w:left w:val="nil"/>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120" w:beforeLines="50"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采用木、不锈钢等材质，灶台柜可采用不锈钢或石英石台面。灶台柜（含门）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0" w:hRule="atLeast"/>
        </w:trPr>
        <w:tc>
          <w:tcPr>
            <w:tcW w:w="9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p>
        </w:tc>
        <w:tc>
          <w:tcPr>
            <w:tcW w:w="220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智能拐杖</w:t>
            </w:r>
          </w:p>
        </w:tc>
        <w:tc>
          <w:tcPr>
            <w:tcW w:w="6485" w:type="dxa"/>
            <w:tcBorders>
              <w:top w:val="single" w:color="auto" w:sz="6" w:space="0"/>
              <w:left w:val="nil"/>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120" w:beforeLines="50"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5LED灯电筒照明，FM收音机，带摔倒报警及闪灯功能(倾倒或离地面30度时发报警声)，伸缩铝合金管可随意调节高度，带可充电池能用AC直流充电器充电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trPr>
        <w:tc>
          <w:tcPr>
            <w:tcW w:w="9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p>
        </w:tc>
        <w:tc>
          <w:tcPr>
            <w:tcW w:w="220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腋杖</w:t>
            </w:r>
          </w:p>
        </w:tc>
        <w:tc>
          <w:tcPr>
            <w:tcW w:w="6485" w:type="dxa"/>
            <w:tcBorders>
              <w:top w:val="single" w:color="auto" w:sz="6" w:space="0"/>
              <w:left w:val="nil"/>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120" w:beforeLines="50"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高强度铝合金管材，高度有9档调节，高1.15-1.35m，适合不同身高的人使用。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0" w:hRule="atLeast"/>
        </w:trPr>
        <w:tc>
          <w:tcPr>
            <w:tcW w:w="9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p>
        </w:tc>
        <w:tc>
          <w:tcPr>
            <w:tcW w:w="220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四角拐</w:t>
            </w:r>
          </w:p>
        </w:tc>
        <w:tc>
          <w:tcPr>
            <w:tcW w:w="6485" w:type="dxa"/>
            <w:tcBorders>
              <w:top w:val="single" w:color="auto" w:sz="6" w:space="0"/>
              <w:left w:val="nil"/>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120" w:beforeLines="50"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上支采用铝合金管，表面氧化处理，高度10档调节，四脚支撑，高65-88cm适合1.55m～1.75m人群使用，产品的向内稳定性能不小于1.5度，向外稳定性能不小于4.0度。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trPr>
        <w:tc>
          <w:tcPr>
            <w:tcW w:w="9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p>
        </w:tc>
        <w:tc>
          <w:tcPr>
            <w:tcW w:w="220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框式助行器</w:t>
            </w:r>
          </w:p>
        </w:tc>
        <w:tc>
          <w:tcPr>
            <w:tcW w:w="6485" w:type="dxa"/>
            <w:tcBorders>
              <w:top w:val="single" w:color="auto" w:sz="6" w:space="0"/>
              <w:left w:val="nil"/>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120" w:beforeLines="50"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高强度铝合金管,表面氧化处理，可折叠方便携带，高度八档调节，调节高度78-96cm。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0" w:hRule="atLeast"/>
        </w:trPr>
        <w:tc>
          <w:tcPr>
            <w:tcW w:w="9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p>
        </w:tc>
        <w:tc>
          <w:tcPr>
            <w:tcW w:w="220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普通硬座铝合金轮椅</w:t>
            </w:r>
          </w:p>
        </w:tc>
        <w:tc>
          <w:tcPr>
            <w:tcW w:w="6485" w:type="dxa"/>
            <w:tcBorders>
              <w:top w:val="single" w:color="auto" w:sz="6" w:space="0"/>
              <w:left w:val="nil"/>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120" w:beforeLines="50"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铝合金轻型车架，固定扶手固定脚托，实心前轮，空心后轮，后折把手，自锁式后把手连刹车，8寸实心前轮，25寸后轮，座高51cm，车高89cm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trPr>
        <w:tc>
          <w:tcPr>
            <w:tcW w:w="9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p>
        </w:tc>
        <w:tc>
          <w:tcPr>
            <w:tcW w:w="220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折边轮椅</w:t>
            </w:r>
          </w:p>
        </w:tc>
        <w:tc>
          <w:tcPr>
            <w:tcW w:w="6485" w:type="dxa"/>
            <w:tcBorders>
              <w:top w:val="single" w:color="auto" w:sz="6" w:space="0"/>
              <w:left w:val="nil"/>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120" w:beforeLines="50"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喷塑车架，后折弯扶手，可拆脚托，实心前轮，实心后轮，8寸实心前轮，24寸后轮，座高48cm，车高92cm。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37" w:hRule="atLeast"/>
        </w:trPr>
        <w:tc>
          <w:tcPr>
            <w:tcW w:w="9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p>
        </w:tc>
        <w:tc>
          <w:tcPr>
            <w:tcW w:w="220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高靠背轮椅</w:t>
            </w:r>
          </w:p>
        </w:tc>
        <w:tc>
          <w:tcPr>
            <w:tcW w:w="6485" w:type="dxa"/>
            <w:tcBorders>
              <w:top w:val="single" w:color="auto" w:sz="6" w:space="0"/>
              <w:left w:val="nil"/>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120" w:beforeLines="50"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选用钢质材料，钢管直径22mm，壁厚1.2 mm，采用可折叠式结构，安全性能好；车架表面采用喷塑处理；座椅斜躺靠背可后仰160°～170°，座高51.5cm，车高120cm，可拆式脚托，8英寸前轮，24寸后轮。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trPr>
        <w:tc>
          <w:tcPr>
            <w:tcW w:w="9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p>
        </w:tc>
        <w:tc>
          <w:tcPr>
            <w:tcW w:w="220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电动轮椅</w:t>
            </w:r>
          </w:p>
        </w:tc>
        <w:tc>
          <w:tcPr>
            <w:tcW w:w="6485" w:type="dxa"/>
            <w:tcBorders>
              <w:top w:val="single" w:color="auto" w:sz="6" w:space="0"/>
              <w:left w:val="nil"/>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120" w:beforeLines="50"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碳钢车架，可折叠，电动手动双切换，250W电机，最高时速6公里，续航20公里，座高52cm，车高94cm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0" w:hRule="atLeast"/>
        </w:trPr>
        <w:tc>
          <w:tcPr>
            <w:tcW w:w="9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p>
        </w:tc>
        <w:tc>
          <w:tcPr>
            <w:tcW w:w="220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老人起夜灯</w:t>
            </w:r>
          </w:p>
        </w:tc>
        <w:tc>
          <w:tcPr>
            <w:tcW w:w="6485" w:type="dxa"/>
            <w:tcBorders>
              <w:top w:val="single" w:color="auto" w:sz="6" w:space="0"/>
              <w:left w:val="nil"/>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120" w:beforeLines="50"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国标执行标准GB7000.1;感应距离3米；感应角度水平100°垂直50°；光感照度3LUX；自动人体感应，双重控制系统；光效舒适，老人看得清不刺眼；安装灵活可挂可立。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37" w:hRule="atLeast"/>
        </w:trPr>
        <w:tc>
          <w:tcPr>
            <w:tcW w:w="9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p>
        </w:tc>
        <w:tc>
          <w:tcPr>
            <w:tcW w:w="220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燃气报警器</w:t>
            </w:r>
          </w:p>
        </w:tc>
        <w:tc>
          <w:tcPr>
            <w:tcW w:w="6485" w:type="dxa"/>
            <w:tcBorders>
              <w:top w:val="single" w:color="auto" w:sz="6" w:space="0"/>
              <w:left w:val="nil"/>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120" w:beforeLines="50"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厨房：通过对周围环境中的低浓度可燃气体进行实时连续采集，当燃气浓度超过安全设定值时，可利用手机电话语音、短信、微信公众号等多种手段，同时向老人子女、社区政府等发出报警信息。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37" w:hRule="atLeast"/>
        </w:trPr>
        <w:tc>
          <w:tcPr>
            <w:tcW w:w="9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p>
        </w:tc>
        <w:tc>
          <w:tcPr>
            <w:tcW w:w="220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智能定位仪</w:t>
            </w:r>
          </w:p>
        </w:tc>
        <w:tc>
          <w:tcPr>
            <w:tcW w:w="6485" w:type="dxa"/>
            <w:tcBorders>
              <w:top w:val="single" w:color="auto" w:sz="6" w:space="0"/>
              <w:left w:val="nil"/>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120" w:beforeLines="50"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GPS全球卫星精准定位，移动基站LBS动态定位，蓝牙近场辅助定位，智能围栏报警技术，紧急呼救报警，离线预警，定位坐标分享，支持5天长待机，适用于所有智能手机。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9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p>
        </w:tc>
        <w:tc>
          <w:tcPr>
            <w:tcW w:w="220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闪光门铃及火灾报警一体机</w:t>
            </w:r>
          </w:p>
        </w:tc>
        <w:tc>
          <w:tcPr>
            <w:tcW w:w="6485" w:type="dxa"/>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120" w:line="360" w:lineRule="exact"/>
              <w:jc w:val="left"/>
              <w:textAlignment w:val="top"/>
              <w:rPr>
                <w:rFonts w:hint="eastAsia" w:ascii="宋体" w:hAnsi="宋体" w:eastAsia="宋体" w:cs="宋体"/>
                <w:color w:val="auto"/>
                <w:sz w:val="21"/>
                <w:szCs w:val="21"/>
              </w:rPr>
            </w:pPr>
            <w:r>
              <w:rPr>
                <w:rFonts w:hint="eastAsia" w:ascii="宋体" w:hAnsi="宋体" w:eastAsia="宋体" w:cs="宋体"/>
                <w:color w:val="auto"/>
                <w:sz w:val="21"/>
                <w:szCs w:val="21"/>
              </w:rPr>
              <w:t>产品组成：控制主机，燃气感应报警器，烟雾感应报警器，移动闪光震动门铃，门铃室外机，震动数字闪光提示手环。规格参数1 控制主机：高201mm宽112mm厚65mm；2 燃气感应报警器：高110mm宽70mm厚37mm；3烟雾感应报警器：直径105mm厚32mm；4移动闪光震动门铃：高78mm宽64mm厚20mm；5门铃室外机使用：高70mm宽40mm厚17mm；6震动数字闪光提示手环外观尺寸：全长250mm，表带宽20mm，表体高51mm宽45厚11mm，显示尺寸30x24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6" w:hRule="atLeast"/>
        </w:trPr>
        <w:tc>
          <w:tcPr>
            <w:tcW w:w="9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p>
        </w:tc>
        <w:tc>
          <w:tcPr>
            <w:tcW w:w="220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紧急呼叫系统</w:t>
            </w:r>
          </w:p>
        </w:tc>
        <w:tc>
          <w:tcPr>
            <w:tcW w:w="6485" w:type="dxa"/>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120" w:line="360" w:lineRule="exact"/>
              <w:jc w:val="left"/>
              <w:textAlignment w:val="top"/>
              <w:rPr>
                <w:rFonts w:hint="eastAsia" w:ascii="宋体" w:hAnsi="宋体" w:eastAsia="宋体" w:cs="宋体"/>
                <w:color w:val="auto"/>
                <w:sz w:val="21"/>
                <w:szCs w:val="21"/>
              </w:rPr>
            </w:pPr>
            <w:r>
              <w:rPr>
                <w:rFonts w:hint="eastAsia" w:ascii="宋体" w:hAnsi="宋体" w:eastAsia="宋体" w:cs="宋体"/>
                <w:color w:val="auto"/>
                <w:sz w:val="21"/>
                <w:szCs w:val="21"/>
              </w:rPr>
              <w:t>卫生间、病房床边呼叫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11" w:hRule="atLeast"/>
        </w:trPr>
        <w:tc>
          <w:tcPr>
            <w:tcW w:w="9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p>
        </w:tc>
        <w:tc>
          <w:tcPr>
            <w:tcW w:w="220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订制三折双摇护理床</w:t>
            </w:r>
          </w:p>
        </w:tc>
        <w:tc>
          <w:tcPr>
            <w:tcW w:w="6485" w:type="dxa"/>
            <w:tcBorders>
              <w:top w:val="single" w:color="auto" w:sz="6" w:space="0"/>
              <w:left w:val="nil"/>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120"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床架、床面采用冷轧钢管、整体冲压钢板制造，静电喷涂；ABS床头、床尾；配静音脚轮，配置铝合金折叠护栏；传动部件采用两极空转限位装置。双摇三折，便孔采用推拉式便器。配备床垫，床垫材质为半棕半绵。配备餐桌板。外形尺寸：2060*1110*490mm。背框最大角度≥60度，腿位床面：+25--60度，左右翻身各50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51" w:hRule="atLeast"/>
        </w:trPr>
        <w:tc>
          <w:tcPr>
            <w:tcW w:w="9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p>
        </w:tc>
        <w:tc>
          <w:tcPr>
            <w:tcW w:w="220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高级电动居家护理床</w:t>
            </w:r>
          </w:p>
        </w:tc>
        <w:tc>
          <w:tcPr>
            <w:tcW w:w="6485" w:type="dxa"/>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120" w:line="360" w:lineRule="exact"/>
              <w:jc w:val="left"/>
              <w:textAlignment w:val="top"/>
              <w:rPr>
                <w:rFonts w:hint="eastAsia" w:ascii="宋体" w:hAnsi="宋体" w:eastAsia="宋体" w:cs="宋体"/>
                <w:color w:val="auto"/>
                <w:sz w:val="21"/>
                <w:szCs w:val="21"/>
              </w:rPr>
            </w:pPr>
            <w:r>
              <w:rPr>
                <w:rFonts w:hint="eastAsia" w:ascii="宋体" w:hAnsi="宋体" w:eastAsia="宋体" w:cs="宋体"/>
                <w:color w:val="auto"/>
                <w:sz w:val="21"/>
                <w:szCs w:val="21"/>
              </w:rPr>
              <w:t>铝合金折叠护栏；钢制喷漆床架；带刹车橡胶脚轮，电动调节系统；床架箱：209*102*28  床头尾板箱98*58*14。最大承重175KG；背部升降0-80°；腿部升降0-40。餐桌：采用翻转式结构，桌面为高温防火材质，餐桌采用翻转式结构，桌面为高温防火材质，用后可置于床尾不影响病床功能，带液压阻尼缓冲装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0" w:hRule="atLeast"/>
        </w:trPr>
        <w:tc>
          <w:tcPr>
            <w:tcW w:w="9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p>
        </w:tc>
        <w:tc>
          <w:tcPr>
            <w:tcW w:w="220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防褥疮充气床垫</w:t>
            </w:r>
          </w:p>
        </w:tc>
        <w:tc>
          <w:tcPr>
            <w:tcW w:w="6485" w:type="dxa"/>
            <w:tcBorders>
              <w:top w:val="single" w:color="auto" w:sz="6" w:space="0"/>
              <w:left w:val="nil"/>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120" w:beforeLines="50"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由充气垫和静音气泵两部分组成，每条气道采用；单边热合技术，每条气道可单独拆出。双层气道设计，上层气道用于波动，下层气道用于翻身。超静音气泵，带睡眠功能。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6" w:hRule="atLeast"/>
        </w:trPr>
        <w:tc>
          <w:tcPr>
            <w:tcW w:w="9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p>
        </w:tc>
        <w:tc>
          <w:tcPr>
            <w:tcW w:w="220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室内LED灯具</w:t>
            </w:r>
          </w:p>
        </w:tc>
        <w:tc>
          <w:tcPr>
            <w:tcW w:w="6485" w:type="dxa"/>
            <w:tcBorders>
              <w:top w:val="single" w:color="auto" w:sz="6" w:space="0"/>
              <w:left w:val="nil"/>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120" w:beforeLines="50"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LED，功率≥40W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0" w:hRule="atLeast"/>
        </w:trPr>
        <w:tc>
          <w:tcPr>
            <w:tcW w:w="9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p>
        </w:tc>
        <w:tc>
          <w:tcPr>
            <w:tcW w:w="220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卫生间浴霸</w:t>
            </w:r>
          </w:p>
        </w:tc>
        <w:tc>
          <w:tcPr>
            <w:tcW w:w="6485" w:type="dxa"/>
            <w:tcBorders>
              <w:top w:val="single" w:color="auto" w:sz="6" w:space="0"/>
              <w:left w:val="nil"/>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120" w:beforeLines="50"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具备照明\换气\取暖功能，即开即热，面罩尺寸：360*360mm，开孔尺寸：295*3295mm，灯暖4*275w，吹风换气25w，照明4w；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trPr>
        <w:tc>
          <w:tcPr>
            <w:tcW w:w="9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p>
        </w:tc>
        <w:tc>
          <w:tcPr>
            <w:tcW w:w="220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卫生间花洒套装</w:t>
            </w:r>
          </w:p>
        </w:tc>
        <w:tc>
          <w:tcPr>
            <w:tcW w:w="6485" w:type="dxa"/>
            <w:tcBorders>
              <w:top w:val="single" w:color="auto" w:sz="6" w:space="0"/>
              <w:left w:val="nil"/>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120" w:beforeLines="50"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龙头为冷热混水阀，T型把手。手持花洒ABS材质，多层电渡。带升降杆。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6" w:hRule="atLeast"/>
        </w:trPr>
        <w:tc>
          <w:tcPr>
            <w:tcW w:w="9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p>
        </w:tc>
        <w:tc>
          <w:tcPr>
            <w:tcW w:w="220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电热水器</w:t>
            </w:r>
          </w:p>
        </w:tc>
        <w:tc>
          <w:tcPr>
            <w:tcW w:w="6485" w:type="dxa"/>
            <w:tcBorders>
              <w:top w:val="single" w:color="auto" w:sz="6" w:space="0"/>
              <w:left w:val="nil"/>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120" w:beforeLines="50"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容量50升，功率2000W，二级效能，内胆8年包修。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0" w:hRule="atLeast"/>
        </w:trPr>
        <w:tc>
          <w:tcPr>
            <w:tcW w:w="9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p>
        </w:tc>
        <w:tc>
          <w:tcPr>
            <w:tcW w:w="220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before="120" w:beforeLines="50"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整体卫浴间</w:t>
            </w:r>
          </w:p>
        </w:tc>
        <w:tc>
          <w:tcPr>
            <w:tcW w:w="6485" w:type="dxa"/>
            <w:tcBorders>
              <w:top w:val="single" w:color="auto" w:sz="6" w:space="0"/>
              <w:left w:val="nil"/>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120" w:beforeLines="50"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尺寸：长130*宽170cm，SMC底座，应具备如厕、沐浴功能，手持花洒、洗手盆、浴镜、毛巾架、照明、大排风、坐便器、扶手。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6" w:hRule="atLeast"/>
        </w:trPr>
        <w:tc>
          <w:tcPr>
            <w:tcW w:w="9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p>
        </w:tc>
        <w:tc>
          <w:tcPr>
            <w:tcW w:w="220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卫生间立柱台盆</w:t>
            </w:r>
          </w:p>
        </w:tc>
        <w:tc>
          <w:tcPr>
            <w:tcW w:w="6485" w:type="dxa"/>
            <w:tcBorders>
              <w:top w:val="single" w:color="auto" w:sz="6" w:space="0"/>
              <w:left w:val="nil"/>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120" w:beforeLines="50"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釉面洁净平滑，含下水器、软管。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9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p>
        </w:tc>
        <w:tc>
          <w:tcPr>
            <w:tcW w:w="220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移动式马桶</w:t>
            </w:r>
          </w:p>
        </w:tc>
        <w:tc>
          <w:tcPr>
            <w:tcW w:w="6485" w:type="dxa"/>
            <w:tcBorders>
              <w:top w:val="single" w:color="auto" w:sz="6" w:space="0"/>
              <w:left w:val="nil"/>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120" w:beforeLines="50"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钢管+PP材质，座椅高度可调节360-460mm、扶手可收放，可拆卸靠背。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9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pacing w:before="120" w:beforeLines="50" w:line="360" w:lineRule="exact"/>
              <w:jc w:val="center"/>
              <w:rPr>
                <w:rFonts w:hint="eastAsia" w:ascii="宋体" w:hAnsi="宋体" w:eastAsia="宋体" w:cs="宋体"/>
                <w:color w:val="auto"/>
                <w:sz w:val="21"/>
                <w:szCs w:val="21"/>
              </w:rPr>
            </w:pPr>
          </w:p>
        </w:tc>
        <w:tc>
          <w:tcPr>
            <w:tcW w:w="2200"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床边扶手</w:t>
            </w:r>
          </w:p>
        </w:tc>
        <w:tc>
          <w:tcPr>
            <w:tcW w:w="6485" w:type="dxa"/>
            <w:tcBorders>
              <w:top w:val="single" w:color="auto" w:sz="6" w:space="0"/>
              <w:left w:val="nil"/>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120" w:beforeLines="50"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扶手表面具有夜光功能。高度3挡可调，700,750,800mm；底座采用钢板材料，尺寸：500*600mm底座厚度：14mm，产品净重量≥18kg</w:t>
            </w:r>
          </w:p>
        </w:tc>
      </w:tr>
    </w:tbl>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1"/>
          <w:lang w:val="en-US" w:eastAsia="en-US"/>
        </w:rPr>
      </w:pPr>
    </w:p>
    <w:p>
      <w:pPr>
        <w:spacing w:line="360" w:lineRule="auto"/>
        <w:ind w:firstLine="123" w:firstLineChars="59"/>
        <w:rPr>
          <w:rFonts w:hint="eastAsia"/>
          <w:b/>
          <w:sz w:val="21"/>
          <w:szCs w:val="21"/>
          <w:lang w:val="en-US" w:eastAsia="zh-CN"/>
        </w:rPr>
      </w:pPr>
    </w:p>
    <w:p>
      <w:pPr>
        <w:spacing w:line="360" w:lineRule="auto"/>
        <w:ind w:firstLine="123" w:firstLineChars="59"/>
        <w:rPr>
          <w:rFonts w:hint="default" w:eastAsia="宋体"/>
          <w:b/>
          <w:sz w:val="21"/>
          <w:szCs w:val="21"/>
          <w:lang w:val="en-US" w:eastAsia="zh-CN"/>
        </w:rPr>
      </w:pPr>
      <w:r>
        <w:rPr>
          <w:rFonts w:hint="eastAsia"/>
          <w:b/>
          <w:sz w:val="21"/>
          <w:szCs w:val="21"/>
          <w:lang w:val="en-US" w:eastAsia="zh-CN"/>
        </w:rPr>
        <w:br w:type="page"/>
      </w:r>
      <w:r>
        <w:rPr>
          <w:rFonts w:hint="eastAsia" w:ascii="宋体" w:hAnsi="宋体" w:eastAsia="宋体" w:cs="宋体"/>
          <w:color w:val="auto"/>
          <w:sz w:val="24"/>
          <w:szCs w:val="24"/>
          <w:lang w:val="en-US" w:eastAsia="en-US"/>
        </w:rPr>
        <w:t>▲</w:t>
      </w:r>
      <w:r>
        <w:rPr>
          <w:rFonts w:hint="eastAsia"/>
          <w:b/>
          <w:sz w:val="21"/>
          <w:szCs w:val="21"/>
          <w:lang w:val="en-US" w:eastAsia="zh-CN"/>
        </w:rPr>
        <w:t>三、商务要求</w:t>
      </w:r>
    </w:p>
    <w:tbl>
      <w:tblPr>
        <w:tblStyle w:val="12"/>
        <w:tblW w:w="9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4" w:type="dxa"/>
            <w:noWrap w:val="0"/>
            <w:vAlign w:val="center"/>
          </w:tcPr>
          <w:p>
            <w:pPr>
              <w:spacing w:line="360" w:lineRule="auto"/>
              <w:jc w:val="center"/>
              <w:rPr>
                <w:rFonts w:hint="default" w:ascii="Calibri" w:hAnsi="Calibri" w:eastAsia="宋体"/>
                <w:color w:val="auto"/>
                <w:sz w:val="21"/>
                <w:szCs w:val="21"/>
                <w:lang w:val="en-US" w:eastAsia="zh-CN"/>
              </w:rPr>
            </w:pPr>
            <w:r>
              <w:rPr>
                <w:rFonts w:hint="eastAsia" w:ascii="Calibri" w:hAnsi="Calibri"/>
                <w:color w:val="auto"/>
                <w:sz w:val="21"/>
                <w:szCs w:val="21"/>
                <w:lang w:val="en-US" w:eastAsia="zh-CN"/>
              </w:rPr>
              <w:t>工期要求</w:t>
            </w:r>
          </w:p>
        </w:tc>
        <w:tc>
          <w:tcPr>
            <w:tcW w:w="8018" w:type="dxa"/>
            <w:noWrap w:val="0"/>
            <w:vAlign w:val="top"/>
          </w:tcPr>
          <w:p>
            <w:pPr>
              <w:snapToGrid w:val="0"/>
              <w:spacing w:line="400" w:lineRule="exact"/>
              <w:rPr>
                <w:rFonts w:ascii="Calibri" w:hAnsi="Calibri"/>
                <w:color w:val="auto"/>
                <w:sz w:val="21"/>
                <w:szCs w:val="21"/>
              </w:rPr>
            </w:pPr>
            <w:r>
              <w:rPr>
                <w:rFonts w:hint="eastAsia" w:ascii="宋体" w:hAnsi="宋体"/>
                <w:color w:val="auto"/>
                <w:sz w:val="21"/>
                <w:szCs w:val="21"/>
                <w:lang w:val="en-US" w:eastAsia="zh-CN"/>
              </w:rPr>
              <w:t>2020年9月15日完成100%，9月30日前必须全部完成并通过验收。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524" w:type="dxa"/>
            <w:noWrap w:val="0"/>
            <w:vAlign w:val="center"/>
          </w:tcPr>
          <w:p>
            <w:pPr>
              <w:spacing w:line="360" w:lineRule="auto"/>
              <w:jc w:val="center"/>
              <w:rPr>
                <w:rFonts w:ascii="Calibri" w:hAnsi="Calibri"/>
                <w:sz w:val="21"/>
                <w:szCs w:val="21"/>
              </w:rPr>
            </w:pPr>
            <w:r>
              <w:rPr>
                <w:rFonts w:hint="eastAsia" w:ascii="Calibri" w:hAnsi="Calibri"/>
                <w:sz w:val="21"/>
                <w:szCs w:val="21"/>
              </w:rPr>
              <w:t>付款方式</w:t>
            </w:r>
          </w:p>
        </w:tc>
        <w:tc>
          <w:tcPr>
            <w:tcW w:w="8018" w:type="dxa"/>
            <w:noWrap w:val="0"/>
            <w:vAlign w:val="top"/>
          </w:tcPr>
          <w:p>
            <w:pPr>
              <w:snapToGrid w:val="0"/>
              <w:spacing w:line="400" w:lineRule="exact"/>
              <w:rPr>
                <w:rFonts w:ascii="Calibri" w:hAnsi="Calibri"/>
                <w:sz w:val="21"/>
                <w:szCs w:val="21"/>
              </w:rPr>
            </w:pPr>
            <w:r>
              <w:rPr>
                <w:rFonts w:hint="eastAsia" w:ascii="宋体" w:hAnsi="宋体"/>
                <w:color w:val="000000"/>
                <w:sz w:val="21"/>
                <w:szCs w:val="21"/>
                <w:lang w:val="en-US" w:eastAsia="zh-CN"/>
              </w:rPr>
              <w:t>合同签订后</w:t>
            </w:r>
            <w:r>
              <w:rPr>
                <w:rFonts w:hint="default" w:ascii="宋体" w:hAnsi="宋体"/>
                <w:color w:val="000000"/>
                <w:sz w:val="21"/>
                <w:szCs w:val="21"/>
                <w:lang w:val="en-US" w:eastAsia="zh-CN"/>
              </w:rPr>
              <w:t>支付30%，完成所有改造</w:t>
            </w:r>
            <w:r>
              <w:rPr>
                <w:rFonts w:hint="eastAsia" w:ascii="宋体" w:hAnsi="宋体"/>
                <w:color w:val="000000"/>
                <w:sz w:val="21"/>
                <w:szCs w:val="21"/>
                <w:lang w:val="en-US" w:eastAsia="zh-CN"/>
              </w:rPr>
              <w:t>并通过验收</w:t>
            </w:r>
            <w:r>
              <w:rPr>
                <w:rFonts w:hint="default" w:ascii="宋体" w:hAnsi="宋体"/>
                <w:color w:val="000000"/>
                <w:sz w:val="21"/>
                <w:szCs w:val="21"/>
                <w:lang w:val="en-US" w:eastAsia="zh-CN"/>
              </w:rPr>
              <w:t>后支付</w:t>
            </w:r>
            <w:r>
              <w:rPr>
                <w:rFonts w:hint="eastAsia" w:ascii="宋体" w:hAnsi="宋体"/>
                <w:color w:val="000000"/>
                <w:sz w:val="21"/>
                <w:szCs w:val="21"/>
                <w:lang w:val="en-US" w:eastAsia="zh-CN"/>
              </w:rPr>
              <w:t>剩余70</w:t>
            </w:r>
            <w:r>
              <w:rPr>
                <w:rFonts w:hint="default" w:ascii="宋体" w:hAnsi="宋体"/>
                <w:color w:val="000000"/>
                <w:sz w:val="21"/>
                <w:szCs w:val="21"/>
                <w:lang w:val="en-US" w:eastAsia="zh-CN"/>
              </w:rPr>
              <w:t>%</w:t>
            </w:r>
            <w:r>
              <w:rPr>
                <w:rFonts w:hint="eastAsia" w:ascii="宋体" w:hAnsi="宋体"/>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524" w:type="dxa"/>
            <w:noWrap w:val="0"/>
            <w:vAlign w:val="center"/>
          </w:tcPr>
          <w:p>
            <w:pPr>
              <w:spacing w:line="360" w:lineRule="auto"/>
              <w:jc w:val="center"/>
              <w:rPr>
                <w:rFonts w:ascii="Calibri" w:hAnsi="Calibri"/>
                <w:sz w:val="21"/>
                <w:szCs w:val="21"/>
              </w:rPr>
            </w:pPr>
            <w:r>
              <w:rPr>
                <w:rFonts w:hint="eastAsia" w:ascii="Calibri" w:hAnsi="Calibri"/>
                <w:sz w:val="21"/>
                <w:szCs w:val="21"/>
              </w:rPr>
              <w:t>签订合同时间</w:t>
            </w:r>
          </w:p>
        </w:tc>
        <w:tc>
          <w:tcPr>
            <w:tcW w:w="8018" w:type="dxa"/>
            <w:noWrap w:val="0"/>
            <w:vAlign w:val="top"/>
          </w:tcPr>
          <w:p>
            <w:pPr>
              <w:spacing w:line="360" w:lineRule="auto"/>
              <w:rPr>
                <w:rFonts w:ascii="Calibri" w:hAnsi="Calibri"/>
                <w:sz w:val="21"/>
                <w:szCs w:val="21"/>
              </w:rPr>
            </w:pPr>
            <w:r>
              <w:rPr>
                <w:rFonts w:hint="eastAsia" w:ascii="Calibri" w:hAnsi="Calibri"/>
                <w:sz w:val="21"/>
                <w:szCs w:val="21"/>
              </w:rPr>
              <w:t>中标通知书发出后 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524" w:type="dxa"/>
            <w:noWrap w:val="0"/>
            <w:vAlign w:val="center"/>
          </w:tcPr>
          <w:p>
            <w:pPr>
              <w:spacing w:line="360" w:lineRule="auto"/>
              <w:jc w:val="center"/>
              <w:rPr>
                <w:rFonts w:hint="default" w:ascii="Calibri" w:hAnsi="Calibri" w:eastAsia="宋体"/>
                <w:sz w:val="21"/>
                <w:szCs w:val="21"/>
                <w:lang w:val="en-US" w:eastAsia="zh-CN"/>
              </w:rPr>
            </w:pPr>
            <w:r>
              <w:rPr>
                <w:rFonts w:hint="eastAsia" w:ascii="Calibri" w:hAnsi="Calibri"/>
                <w:sz w:val="21"/>
                <w:szCs w:val="21"/>
                <w:lang w:val="en-US" w:eastAsia="zh-CN"/>
              </w:rPr>
              <w:t>验收方式</w:t>
            </w:r>
          </w:p>
        </w:tc>
        <w:tc>
          <w:tcPr>
            <w:tcW w:w="8018" w:type="dxa"/>
            <w:noWrap w:val="0"/>
            <w:vAlign w:val="top"/>
          </w:tcPr>
          <w:p>
            <w:pPr>
              <w:snapToGrid w:val="0"/>
              <w:spacing w:line="400" w:lineRule="exact"/>
              <w:rPr>
                <w:rFonts w:hint="eastAsia"/>
              </w:rPr>
            </w:pPr>
            <w:r>
              <w:rPr>
                <w:rFonts w:hint="eastAsia"/>
                <w:lang w:val="en-US" w:eastAsia="en-US"/>
              </w:rPr>
              <w:t>采购人在部分或全部改造完成后</w:t>
            </w:r>
            <w:r>
              <w:rPr>
                <w:rFonts w:hint="eastAsia"/>
                <w:lang w:val="en-US" w:eastAsia="zh-CN"/>
              </w:rPr>
              <w:t>委托第三方专业机构</w:t>
            </w:r>
            <w:r>
              <w:rPr>
                <w:rFonts w:hint="eastAsia"/>
                <w:lang w:val="en-US" w:eastAsia="en-US"/>
              </w:rPr>
              <w:t>进行</w:t>
            </w:r>
            <w:r>
              <w:rPr>
                <w:rFonts w:hint="eastAsia"/>
                <w:lang w:val="en-US" w:eastAsia="zh-CN"/>
              </w:rPr>
              <w:t>实地</w:t>
            </w:r>
            <w:r>
              <w:rPr>
                <w:rFonts w:hint="eastAsia"/>
                <w:lang w:val="en-US" w:eastAsia="en-US"/>
              </w:rPr>
              <w:t>验收，抽检比例不低于</w:t>
            </w:r>
            <w:r>
              <w:rPr>
                <w:rFonts w:hint="eastAsia"/>
                <w:lang w:val="en-US" w:eastAsia="zh-CN"/>
              </w:rPr>
              <w:t>3</w:t>
            </w:r>
            <w:r>
              <w:rPr>
                <w:rFonts w:hint="eastAsia"/>
                <w:lang w:val="en-US" w:eastAsia="en-US"/>
              </w:rPr>
              <w:t>0%，并根据抽检的结果支付合同款。采购人可委托地（市）级以上质量监督部门根据国家标准对本项目相关设备或改造结果的功能 、性能、材质、质量、安装等进行检测验收。</w:t>
            </w:r>
            <w:r>
              <w:rPr>
                <w:rFonts w:hint="eastAsia"/>
                <w:lang w:val="en-US" w:eastAsia="zh-CN"/>
              </w:rPr>
              <w:t>（</w:t>
            </w:r>
            <w:r>
              <w:rPr>
                <w:rFonts w:hint="eastAsia" w:ascii="宋体" w:hAnsi="宋体" w:eastAsia="宋体" w:cs="宋体"/>
                <w:kern w:val="1"/>
                <w:lang w:val="en-US" w:eastAsia="zh-CN"/>
              </w:rPr>
              <w:t>质量维护期不低于2年</w:t>
            </w:r>
            <w:r>
              <w:rPr>
                <w:rFonts w:hint="eastAsia"/>
                <w:lang w:val="en-US" w:eastAsia="zh-CN"/>
              </w:rPr>
              <w:t>）</w:t>
            </w:r>
            <w:r>
              <w:rPr>
                <w:rFonts w:hint="eastAsia"/>
                <w:lang w:val="en-US" w:eastAsia="en-US"/>
              </w:rPr>
              <w:t>若因质量问题导致验收不合格，供应商应及时予以处理，直至验收合格，期间发生的一切相关费用由供应商承担，若因质量问题导致项目超过二次不能验收合格，采购人有权选择退货，并保留向供应商索赔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4" w:type="dxa"/>
            <w:noWrap w:val="0"/>
            <w:vAlign w:val="center"/>
          </w:tcPr>
          <w:p>
            <w:pPr>
              <w:spacing w:line="360" w:lineRule="auto"/>
              <w:jc w:val="center"/>
              <w:rPr>
                <w:rFonts w:hint="default" w:ascii="Calibri" w:hAnsi="Calibri"/>
                <w:sz w:val="21"/>
                <w:szCs w:val="21"/>
                <w:lang w:val="en-US" w:eastAsia="zh-CN"/>
              </w:rPr>
            </w:pPr>
            <w:r>
              <w:rPr>
                <w:rFonts w:hint="eastAsia" w:ascii="Calibri" w:hAnsi="Calibri"/>
                <w:sz w:val="21"/>
                <w:szCs w:val="21"/>
                <w:lang w:val="en-US" w:eastAsia="zh-CN"/>
              </w:rPr>
              <w:t>其他要求</w:t>
            </w:r>
          </w:p>
        </w:tc>
        <w:tc>
          <w:tcPr>
            <w:tcW w:w="8018" w:type="dxa"/>
            <w:noWrap w:val="0"/>
            <w:vAlign w:val="top"/>
          </w:tcPr>
          <w:p>
            <w:pPr>
              <w:snapToGrid w:val="0"/>
              <w:spacing w:line="400" w:lineRule="exact"/>
              <w:rPr>
                <w:rFonts w:hint="eastAsia" w:ascii="宋体" w:hAnsi="宋体"/>
                <w:color w:val="000000"/>
                <w:sz w:val="21"/>
                <w:szCs w:val="21"/>
                <w:lang w:val="en-US" w:eastAsia="en-US"/>
              </w:rPr>
            </w:pPr>
            <w:r>
              <w:rPr>
                <w:rFonts w:hint="eastAsia" w:ascii="宋体" w:hAnsi="宋体"/>
                <w:color w:val="000000"/>
                <w:sz w:val="21"/>
                <w:szCs w:val="21"/>
                <w:lang w:val="en-US" w:eastAsia="zh-CN"/>
              </w:rPr>
              <w:t>1、</w:t>
            </w:r>
            <w:r>
              <w:rPr>
                <w:rFonts w:hint="eastAsia" w:ascii="宋体" w:hAnsi="宋体"/>
                <w:color w:val="000000"/>
                <w:sz w:val="21"/>
                <w:szCs w:val="21"/>
                <w:lang w:val="en-US" w:eastAsia="en-US"/>
              </w:rPr>
              <w:t>本项目采用</w:t>
            </w:r>
            <w:r>
              <w:rPr>
                <w:rFonts w:hint="eastAsia" w:ascii="宋体" w:hAnsi="宋体"/>
                <w:color w:val="000000"/>
                <w:sz w:val="21"/>
                <w:szCs w:val="21"/>
                <w:lang w:val="en-US" w:eastAsia="zh-CN"/>
              </w:rPr>
              <w:t>投标人填写单价</w:t>
            </w:r>
            <w:r>
              <w:rPr>
                <w:rFonts w:hint="eastAsia" w:ascii="宋体" w:hAnsi="宋体"/>
                <w:color w:val="000000"/>
                <w:sz w:val="21"/>
                <w:szCs w:val="21"/>
                <w:lang w:val="en-US" w:eastAsia="en-US"/>
              </w:rPr>
              <w:t>方式进行报价，</w:t>
            </w:r>
            <w:r>
              <w:rPr>
                <w:rFonts w:hint="eastAsia" w:ascii="宋体" w:hAnsi="宋体"/>
                <w:color w:val="000000"/>
                <w:sz w:val="21"/>
                <w:szCs w:val="21"/>
                <w:lang w:val="en-US" w:eastAsia="zh-CN"/>
              </w:rPr>
              <w:t>（根据采购货物、服务清单中预算单价进行报价）</w:t>
            </w:r>
            <w:r>
              <w:rPr>
                <w:rFonts w:hint="eastAsia" w:ascii="宋体" w:hAnsi="宋体"/>
                <w:color w:val="000000"/>
                <w:sz w:val="21"/>
                <w:szCs w:val="21"/>
                <w:lang w:val="en-US" w:eastAsia="en-US"/>
              </w:rPr>
              <w:t>结算时参照</w:t>
            </w:r>
            <w:r>
              <w:rPr>
                <w:rFonts w:hint="eastAsia" w:ascii="宋体" w:hAnsi="宋体"/>
                <w:color w:val="000000"/>
                <w:sz w:val="21"/>
                <w:szCs w:val="21"/>
                <w:lang w:val="en-US" w:eastAsia="zh-CN"/>
              </w:rPr>
              <w:t>中标人的中标单价</w:t>
            </w:r>
            <w:r>
              <w:rPr>
                <w:rFonts w:hint="eastAsia" w:ascii="宋体" w:hAnsi="宋体"/>
                <w:color w:val="000000"/>
                <w:sz w:val="21"/>
                <w:szCs w:val="21"/>
                <w:lang w:val="en-US" w:eastAsia="en-US"/>
              </w:rPr>
              <w:t>价格乘以</w:t>
            </w:r>
            <w:r>
              <w:rPr>
                <w:rFonts w:hint="eastAsia" w:ascii="宋体" w:hAnsi="宋体"/>
                <w:color w:val="000000"/>
                <w:sz w:val="21"/>
                <w:szCs w:val="21"/>
                <w:lang w:val="en-US" w:eastAsia="zh-CN"/>
              </w:rPr>
              <w:t>实际施工、供货安装等</w:t>
            </w:r>
            <w:r>
              <w:rPr>
                <w:rFonts w:hint="eastAsia" w:ascii="宋体" w:hAnsi="宋体"/>
                <w:color w:val="000000"/>
                <w:sz w:val="21"/>
                <w:szCs w:val="21"/>
                <w:lang w:val="en-US" w:eastAsia="en-US"/>
              </w:rPr>
              <w:t>数量计取，价格为含税报价，包括招标文件所确定的招标范围内的全部货物、材料、附件、紧固件、随货物提供的备品备件、专用工具的价格（包括关税、增值税、检验检疫费）、包装费、运杂费（运抵</w:t>
            </w:r>
            <w:r>
              <w:rPr>
                <w:rFonts w:hint="eastAsia" w:ascii="宋体" w:hAnsi="宋体"/>
                <w:color w:val="000000"/>
                <w:sz w:val="21"/>
                <w:szCs w:val="21"/>
                <w:lang w:val="en-US" w:eastAsia="zh-CN"/>
              </w:rPr>
              <w:t>采购</w:t>
            </w:r>
            <w:r>
              <w:rPr>
                <w:rFonts w:hint="eastAsia" w:ascii="宋体" w:hAnsi="宋体"/>
                <w:color w:val="000000"/>
                <w:sz w:val="21"/>
                <w:szCs w:val="21"/>
                <w:lang w:val="en-US" w:eastAsia="en-US"/>
              </w:rPr>
              <w:t>人项</w:t>
            </w:r>
            <w:bookmarkStart w:id="0" w:name="_GoBack"/>
            <w:bookmarkEnd w:id="0"/>
            <w:r>
              <w:rPr>
                <w:rFonts w:hint="eastAsia" w:ascii="宋体" w:hAnsi="宋体"/>
                <w:color w:val="000000"/>
                <w:sz w:val="21"/>
                <w:szCs w:val="21"/>
                <w:lang w:val="en-US" w:eastAsia="en-US"/>
              </w:rPr>
              <w:t>目现场）、运输保险费、安装调试费、保修期内维保费、操作维护及使用人员培训费及投标人认为需要的其他费用等。本项目工程量按实计取，经采购人签字并盖章后确认。</w:t>
            </w:r>
          </w:p>
          <w:p>
            <w:pPr>
              <w:snapToGrid w:val="0"/>
              <w:spacing w:line="400" w:lineRule="exact"/>
              <w:rPr>
                <w:rFonts w:hint="eastAsia" w:ascii="宋体" w:hAnsi="宋体"/>
                <w:color w:val="000000"/>
                <w:sz w:val="21"/>
                <w:szCs w:val="21"/>
                <w:lang w:val="en-US" w:eastAsia="en-US"/>
              </w:rPr>
            </w:pPr>
            <w:r>
              <w:rPr>
                <w:rFonts w:hint="eastAsia" w:ascii="宋体" w:hAnsi="宋体"/>
                <w:color w:val="000000"/>
                <w:sz w:val="21"/>
                <w:szCs w:val="21"/>
                <w:lang w:val="en-US" w:eastAsia="en-US"/>
              </w:rPr>
              <w:t>2、本项目结算</w:t>
            </w:r>
            <w:r>
              <w:rPr>
                <w:rFonts w:hint="eastAsia" w:ascii="宋体" w:hAnsi="宋体"/>
                <w:color w:val="000000"/>
                <w:sz w:val="21"/>
                <w:szCs w:val="21"/>
                <w:lang w:val="en-US" w:eastAsia="zh-CN"/>
              </w:rPr>
              <w:t>每户不得超过10000元/户</w:t>
            </w:r>
            <w:r>
              <w:rPr>
                <w:rFonts w:hint="eastAsia" w:ascii="宋体" w:hAnsi="宋体"/>
                <w:color w:val="000000"/>
                <w:sz w:val="21"/>
                <w:szCs w:val="21"/>
                <w:lang w:val="en-US" w:eastAsia="en-US"/>
              </w:rPr>
              <w:t>，供应商在履约中应注意，未经采购人确认的超额工程量不计。</w:t>
            </w:r>
          </w:p>
          <w:p>
            <w:pPr>
              <w:snapToGrid w:val="0"/>
              <w:spacing w:line="400" w:lineRule="exact"/>
              <w:rPr>
                <w:rFonts w:hint="eastAsia" w:ascii="宋体" w:hAnsi="宋体"/>
                <w:color w:val="000000"/>
                <w:sz w:val="21"/>
                <w:szCs w:val="21"/>
                <w:lang w:val="en-US" w:eastAsia="en-US"/>
              </w:rPr>
            </w:pPr>
            <w:r>
              <w:rPr>
                <w:rFonts w:hint="eastAsia" w:ascii="宋体" w:hAnsi="宋体"/>
                <w:color w:val="000000"/>
                <w:sz w:val="21"/>
                <w:szCs w:val="21"/>
                <w:lang w:val="en-US" w:eastAsia="en-US"/>
              </w:rPr>
              <w:t xml:space="preserve">3、实际服务过程中如遇临时加急加班情况，中标单位须积极配合，不得拒绝。 </w:t>
            </w:r>
          </w:p>
          <w:p>
            <w:pPr>
              <w:snapToGrid w:val="0"/>
              <w:spacing w:line="400" w:lineRule="exact"/>
              <w:rPr>
                <w:rFonts w:hint="eastAsia" w:ascii="宋体" w:hAnsi="宋体"/>
                <w:color w:val="000000"/>
                <w:sz w:val="21"/>
                <w:szCs w:val="21"/>
                <w:lang w:val="en-US" w:eastAsia="en-US"/>
              </w:rPr>
            </w:pPr>
            <w:r>
              <w:rPr>
                <w:rFonts w:hint="eastAsia" w:ascii="宋体" w:hAnsi="宋体"/>
                <w:color w:val="000000"/>
                <w:sz w:val="21"/>
                <w:szCs w:val="21"/>
                <w:lang w:val="en-US" w:eastAsia="zh-CN"/>
              </w:rPr>
              <w:t>4</w:t>
            </w:r>
            <w:r>
              <w:rPr>
                <w:rFonts w:hint="eastAsia" w:ascii="宋体" w:hAnsi="宋体"/>
                <w:color w:val="000000"/>
                <w:sz w:val="21"/>
                <w:szCs w:val="21"/>
                <w:lang w:val="en-US" w:eastAsia="en-US"/>
              </w:rPr>
              <w:t>、除非另有规定，投标人所报</w:t>
            </w:r>
            <w:r>
              <w:rPr>
                <w:rFonts w:hint="eastAsia" w:ascii="宋体" w:hAnsi="宋体"/>
                <w:color w:val="000000"/>
                <w:sz w:val="21"/>
                <w:szCs w:val="21"/>
                <w:lang w:val="en-US" w:eastAsia="zh-CN"/>
              </w:rPr>
              <w:t>价格</w:t>
            </w:r>
            <w:r>
              <w:rPr>
                <w:rFonts w:hint="eastAsia" w:ascii="宋体" w:hAnsi="宋体"/>
                <w:color w:val="000000"/>
                <w:sz w:val="21"/>
                <w:szCs w:val="21"/>
                <w:lang w:val="en-US" w:eastAsia="en-US"/>
              </w:rPr>
              <w:t>在合同实施期间应保持不变，均不受市场价格及政策性价格的调整而增减。</w:t>
            </w:r>
          </w:p>
          <w:p>
            <w:pPr>
              <w:snapToGrid w:val="0"/>
              <w:spacing w:line="400" w:lineRule="exact"/>
              <w:rPr>
                <w:rFonts w:hint="eastAsia" w:ascii="宋体" w:hAnsi="宋体"/>
                <w:color w:val="000000"/>
                <w:sz w:val="21"/>
                <w:szCs w:val="21"/>
                <w:lang w:val="en-US" w:eastAsia="en-US"/>
              </w:rPr>
            </w:pPr>
            <w:r>
              <w:rPr>
                <w:rFonts w:hint="eastAsia" w:ascii="宋体" w:hAnsi="宋体"/>
                <w:color w:val="000000"/>
                <w:sz w:val="21"/>
                <w:szCs w:val="21"/>
                <w:lang w:val="en-US" w:eastAsia="zh-CN"/>
              </w:rPr>
              <w:t>5、</w:t>
            </w:r>
            <w:r>
              <w:rPr>
                <w:rFonts w:hint="eastAsia" w:ascii="宋体" w:hAnsi="宋体"/>
                <w:color w:val="000000"/>
                <w:sz w:val="21"/>
                <w:szCs w:val="21"/>
                <w:lang w:val="en-US" w:eastAsia="en-US"/>
              </w:rPr>
              <w:t>本项目所涉及的改造清单，投标人尽量选择知名度较高的品牌。</w:t>
            </w:r>
          </w:p>
          <w:p>
            <w:pPr>
              <w:snapToGrid w:val="0"/>
              <w:spacing w:line="400" w:lineRule="exact"/>
              <w:rPr>
                <w:rFonts w:hint="eastAsia" w:ascii="宋体" w:hAnsi="宋体"/>
                <w:color w:val="FF0000"/>
                <w:sz w:val="21"/>
                <w:szCs w:val="21"/>
                <w:lang w:val="en-US" w:eastAsia="en-US"/>
              </w:rPr>
            </w:pPr>
            <w:r>
              <w:rPr>
                <w:rFonts w:hint="eastAsia" w:ascii="宋体" w:hAnsi="宋体"/>
                <w:color w:val="000000"/>
                <w:sz w:val="21"/>
                <w:szCs w:val="21"/>
                <w:lang w:val="en-US" w:eastAsia="zh-CN"/>
              </w:rPr>
              <w:t>6、</w:t>
            </w:r>
            <w:r>
              <w:rPr>
                <w:rFonts w:hint="eastAsia" w:ascii="宋体" w:hAnsi="宋体"/>
                <w:color w:val="000000"/>
                <w:sz w:val="21"/>
                <w:szCs w:val="21"/>
                <w:lang w:val="en-US" w:eastAsia="en-US"/>
              </w:rPr>
              <w:t>中标单位要保证所有工程的质量。采购人将不定期抽检，如发现质量不合格，或因质量问题造成损失，</w:t>
            </w:r>
            <w:r>
              <w:rPr>
                <w:rFonts w:hint="eastAsia" w:ascii="宋体" w:hAnsi="宋体"/>
                <w:color w:val="000000"/>
                <w:sz w:val="21"/>
                <w:szCs w:val="21"/>
                <w:lang w:val="en-US" w:eastAsia="zh-CN"/>
              </w:rPr>
              <w:t>采购人将有权终止合同，</w:t>
            </w:r>
            <w:r>
              <w:rPr>
                <w:rFonts w:hint="eastAsia" w:ascii="宋体" w:hAnsi="宋体"/>
                <w:color w:val="000000"/>
                <w:sz w:val="21"/>
                <w:szCs w:val="21"/>
                <w:lang w:val="en-US" w:eastAsia="en-US"/>
              </w:rPr>
              <w:t>其中标资格将被取消，没收</w:t>
            </w:r>
            <w:r>
              <w:rPr>
                <w:rFonts w:hint="eastAsia" w:ascii="宋体" w:hAnsi="宋体"/>
                <w:color w:val="000000"/>
                <w:sz w:val="21"/>
                <w:szCs w:val="21"/>
                <w:lang w:val="en-US" w:eastAsia="zh-CN"/>
              </w:rPr>
              <w:t>中标单位</w:t>
            </w:r>
            <w:r>
              <w:rPr>
                <w:rFonts w:hint="eastAsia" w:ascii="宋体" w:hAnsi="宋体"/>
                <w:color w:val="000000"/>
                <w:sz w:val="21"/>
                <w:szCs w:val="21"/>
                <w:lang w:val="en-US" w:eastAsia="en-US"/>
              </w:rPr>
              <w:t>履约保证金，</w:t>
            </w:r>
            <w:r>
              <w:rPr>
                <w:rFonts w:hint="eastAsia" w:ascii="宋体" w:hAnsi="宋体"/>
                <w:color w:val="000000"/>
                <w:sz w:val="21"/>
                <w:szCs w:val="21"/>
                <w:lang w:val="en-US" w:eastAsia="zh-CN"/>
              </w:rPr>
              <w:t>中标单位</w:t>
            </w:r>
            <w:r>
              <w:rPr>
                <w:rFonts w:hint="eastAsia" w:ascii="宋体" w:hAnsi="宋体"/>
                <w:color w:val="000000"/>
                <w:sz w:val="21"/>
                <w:szCs w:val="21"/>
                <w:lang w:val="en-US" w:eastAsia="en-US"/>
              </w:rPr>
              <w:t>并承担责任。</w:t>
            </w:r>
          </w:p>
        </w:tc>
      </w:tr>
    </w:tbl>
    <w:p>
      <w:pPr>
        <w:rPr>
          <w:rFonts w:ascii="宋体" w:hAnsi="宋体"/>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18" w:right="1287" w:bottom="1134" w:left="1622" w:header="851" w:footer="992"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auto"/>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39F7B"/>
    <w:multiLevelType w:val="singleLevel"/>
    <w:tmpl w:val="5A039F7B"/>
    <w:lvl w:ilvl="0" w:tentative="0">
      <w:start w:val="1"/>
      <w:numFmt w:val="decimal"/>
      <w:pStyle w:val="31"/>
      <w:lvlText w:val="%1."/>
      <w:lvlJc w:val="left"/>
    </w:lvl>
  </w:abstractNum>
  <w:abstractNum w:abstractNumId="1">
    <w:nsid w:val="60D46E42"/>
    <w:multiLevelType w:val="multilevel"/>
    <w:tmpl w:val="60D46E42"/>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76D555AF"/>
    <w:multiLevelType w:val="singleLevel"/>
    <w:tmpl w:val="76D555AF"/>
    <w:lvl w:ilvl="0" w:tentative="0">
      <w:start w:val="1"/>
      <w:numFmt w:val="chineseCounting"/>
      <w:suff w:val="nothing"/>
      <w:lvlText w:val="（%1）"/>
      <w:lvlJc w:val="left"/>
      <w:rPr>
        <w:rFonts w:hint="eastAsia"/>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3778B"/>
    <w:rsid w:val="00087607"/>
    <w:rsid w:val="000A7216"/>
    <w:rsid w:val="0013563D"/>
    <w:rsid w:val="001B5B09"/>
    <w:rsid w:val="0021594B"/>
    <w:rsid w:val="002C3A71"/>
    <w:rsid w:val="00371B98"/>
    <w:rsid w:val="003A5193"/>
    <w:rsid w:val="003D393F"/>
    <w:rsid w:val="005121FC"/>
    <w:rsid w:val="0057058C"/>
    <w:rsid w:val="005D2E30"/>
    <w:rsid w:val="005F5FDA"/>
    <w:rsid w:val="006B376E"/>
    <w:rsid w:val="008520A5"/>
    <w:rsid w:val="009659E9"/>
    <w:rsid w:val="00987D83"/>
    <w:rsid w:val="00A02478"/>
    <w:rsid w:val="00A10675"/>
    <w:rsid w:val="00A95596"/>
    <w:rsid w:val="00AB71C0"/>
    <w:rsid w:val="00AD3083"/>
    <w:rsid w:val="00AD7E0F"/>
    <w:rsid w:val="00AE4E24"/>
    <w:rsid w:val="00B83924"/>
    <w:rsid w:val="00C15B34"/>
    <w:rsid w:val="00C472F6"/>
    <w:rsid w:val="00C6059C"/>
    <w:rsid w:val="00C82A28"/>
    <w:rsid w:val="00D3778B"/>
    <w:rsid w:val="00DC7313"/>
    <w:rsid w:val="00EF195B"/>
    <w:rsid w:val="00FF0923"/>
    <w:rsid w:val="07075F66"/>
    <w:rsid w:val="13A07034"/>
    <w:rsid w:val="20DE4888"/>
    <w:rsid w:val="24BE49C2"/>
    <w:rsid w:val="2FCD1E00"/>
    <w:rsid w:val="35993D6C"/>
    <w:rsid w:val="440D4808"/>
    <w:rsid w:val="50413ED4"/>
    <w:rsid w:val="527B705A"/>
    <w:rsid w:val="5780492C"/>
    <w:rsid w:val="6E0D3A9A"/>
    <w:rsid w:val="733E359F"/>
    <w:rsid w:val="743326B7"/>
    <w:rsid w:val="74462307"/>
    <w:rsid w:val="7DC408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link w:val="20"/>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8"/>
    <w:unhideWhenUsed/>
    <w:qFormat/>
    <w:uiPriority w:val="0"/>
    <w:pPr>
      <w:tabs>
        <w:tab w:val="center" w:pos="4153"/>
        <w:tab w:val="right" w:pos="8306"/>
      </w:tabs>
      <w:snapToGrid w:val="0"/>
      <w:jc w:val="left"/>
    </w:pPr>
    <w:rPr>
      <w:sz w:val="18"/>
      <w:szCs w:val="18"/>
    </w:rPr>
  </w:style>
  <w:style w:type="paragraph" w:styleId="4">
    <w:name w:val="Normal Indent"/>
    <w:basedOn w:val="1"/>
    <w:qFormat/>
    <w:uiPriority w:val="0"/>
    <w:pPr>
      <w:ind w:firstLine="420"/>
    </w:pPr>
    <w:rPr>
      <w:rFonts w:eastAsia="宋体"/>
      <w:kern w:val="2"/>
      <w:sz w:val="21"/>
      <w:lang w:val="en-US" w:eastAsia="zh-CN" w:bidi="ar-SA"/>
    </w:rPr>
  </w:style>
  <w:style w:type="paragraph" w:styleId="5">
    <w:name w:val="Body Text"/>
    <w:basedOn w:val="1"/>
    <w:next w:val="1"/>
    <w:qFormat/>
    <w:uiPriority w:val="0"/>
    <w:pPr>
      <w:spacing w:after="120"/>
    </w:pPr>
    <w:rPr>
      <w:kern w:val="1"/>
    </w:rPr>
  </w:style>
  <w:style w:type="paragraph" w:styleId="6">
    <w:name w:val="Body Text Indent"/>
    <w:basedOn w:val="1"/>
    <w:link w:val="25"/>
    <w:qFormat/>
    <w:uiPriority w:val="0"/>
    <w:pPr>
      <w:spacing w:line="360" w:lineRule="auto"/>
      <w:ind w:firstLine="420"/>
    </w:pPr>
    <w:rPr>
      <w:sz w:val="24"/>
      <w:szCs w:val="24"/>
    </w:rPr>
  </w:style>
  <w:style w:type="paragraph" w:styleId="7">
    <w:name w:val="Plain Text"/>
    <w:basedOn w:val="1"/>
    <w:link w:val="21"/>
    <w:qFormat/>
    <w:uiPriority w:val="0"/>
    <w:pPr>
      <w:spacing w:beforeLines="50" w:afterLines="50" w:line="400" w:lineRule="exact"/>
    </w:pPr>
    <w:rPr>
      <w:rFonts w:ascii="宋体" w:hAnsi="Courier New" w:eastAsia="宋体"/>
      <w:sz w:val="24"/>
      <w:szCs w:val="24"/>
    </w:rPr>
  </w:style>
  <w:style w:type="paragraph" w:styleId="8">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qFormat/>
    <w:uiPriority w:val="0"/>
    <w:pPr>
      <w:spacing w:before="240" w:beforeLines="0" w:after="60" w:afterLines="0" w:line="312" w:lineRule="auto"/>
      <w:jc w:val="center"/>
      <w:outlineLvl w:val="1"/>
    </w:pPr>
    <w:rPr>
      <w:rFonts w:ascii="Cambria" w:hAnsi="Cambria" w:cs="Times New Roman"/>
      <w:b/>
      <w:bCs/>
      <w:kern w:val="28"/>
      <w:sz w:val="32"/>
      <w:szCs w:val="32"/>
    </w:rPr>
  </w:style>
  <w:style w:type="paragraph" w:styleId="10">
    <w:name w:val="Normal (Web)"/>
    <w:basedOn w:val="1"/>
    <w:qFormat/>
    <w:uiPriority w:val="0"/>
    <w:pPr>
      <w:widowControl/>
      <w:jc w:val="left"/>
    </w:pPr>
    <w:rPr>
      <w:rFonts w:ascii="宋体" w:hAnsi="宋体" w:cs="宋体"/>
      <w:sz w:val="24"/>
    </w:rPr>
  </w:style>
  <w:style w:type="paragraph" w:styleId="11">
    <w:name w:val="Title"/>
    <w:basedOn w:val="1"/>
    <w:next w:val="1"/>
    <w:link w:val="22"/>
    <w:qFormat/>
    <w:uiPriority w:val="0"/>
    <w:pPr>
      <w:spacing w:before="240" w:after="60"/>
      <w:jc w:val="center"/>
      <w:outlineLvl w:val="0"/>
    </w:pPr>
    <w:rPr>
      <w:rFonts w:ascii="Cambria" w:hAnsi="Cambria" w:cs="Times New Roman"/>
      <w:b/>
      <w:bCs/>
      <w:sz w:val="32"/>
      <w:szCs w:val="32"/>
    </w:rPr>
  </w:style>
  <w:style w:type="character" w:styleId="14">
    <w:name w:val="page number"/>
    <w:basedOn w:val="13"/>
    <w:qFormat/>
    <w:uiPriority w:val="0"/>
  </w:style>
  <w:style w:type="paragraph" w:customStyle="1" w:styleId="15">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6">
    <w:name w:val="表格文字"/>
    <w:basedOn w:val="1"/>
    <w:next w:val="5"/>
    <w:qFormat/>
    <w:uiPriority w:val="0"/>
    <w:pPr>
      <w:jc w:val="center"/>
    </w:pPr>
    <w:rPr>
      <w:sz w:val="24"/>
      <w:szCs w:val="20"/>
    </w:rPr>
  </w:style>
  <w:style w:type="character" w:customStyle="1" w:styleId="17">
    <w:name w:val="页眉 Char"/>
    <w:basedOn w:val="13"/>
    <w:link w:val="8"/>
    <w:semiHidden/>
    <w:qFormat/>
    <w:uiPriority w:val="0"/>
    <w:rPr>
      <w:sz w:val="18"/>
      <w:szCs w:val="18"/>
    </w:rPr>
  </w:style>
  <w:style w:type="character" w:customStyle="1" w:styleId="18">
    <w:name w:val="页脚 Char"/>
    <w:basedOn w:val="13"/>
    <w:link w:val="2"/>
    <w:semiHidden/>
    <w:qFormat/>
    <w:uiPriority w:val="0"/>
    <w:rPr>
      <w:sz w:val="18"/>
      <w:szCs w:val="18"/>
    </w:rPr>
  </w:style>
  <w:style w:type="character" w:customStyle="1" w:styleId="19">
    <w:name w:val="标题 3 Char"/>
    <w:basedOn w:val="13"/>
    <w:semiHidden/>
    <w:qFormat/>
    <w:uiPriority w:val="9"/>
    <w:rPr>
      <w:b/>
      <w:bCs/>
      <w:sz w:val="32"/>
      <w:szCs w:val="32"/>
    </w:rPr>
  </w:style>
  <w:style w:type="character" w:customStyle="1" w:styleId="20">
    <w:name w:val="标题 3 Char1"/>
    <w:basedOn w:val="13"/>
    <w:link w:val="3"/>
    <w:qFormat/>
    <w:uiPriority w:val="0"/>
    <w:rPr>
      <w:rFonts w:ascii="Times New Roman" w:hAnsi="Times New Roman" w:eastAsia="宋体" w:cs="Times New Roman"/>
      <w:b/>
      <w:bCs/>
      <w:sz w:val="32"/>
      <w:szCs w:val="32"/>
    </w:rPr>
  </w:style>
  <w:style w:type="character" w:customStyle="1" w:styleId="21">
    <w:name w:val="纯文本 Char"/>
    <w:link w:val="7"/>
    <w:qFormat/>
    <w:uiPriority w:val="0"/>
    <w:rPr>
      <w:rFonts w:ascii="宋体" w:hAnsi="Courier New" w:eastAsia="宋体"/>
      <w:sz w:val="24"/>
      <w:szCs w:val="24"/>
    </w:rPr>
  </w:style>
  <w:style w:type="character" w:customStyle="1" w:styleId="22">
    <w:name w:val="标题 Char"/>
    <w:link w:val="11"/>
    <w:qFormat/>
    <w:uiPriority w:val="0"/>
    <w:rPr>
      <w:rFonts w:ascii="Cambria" w:hAnsi="Cambria" w:cs="Times New Roman"/>
      <w:b/>
      <w:bCs/>
      <w:sz w:val="32"/>
      <w:szCs w:val="32"/>
    </w:rPr>
  </w:style>
  <w:style w:type="character" w:customStyle="1" w:styleId="23">
    <w:name w:val="标题 Char1"/>
    <w:basedOn w:val="13"/>
    <w:qFormat/>
    <w:uiPriority w:val="10"/>
    <w:rPr>
      <w:rFonts w:eastAsia="宋体" w:asciiTheme="majorHAnsi" w:hAnsiTheme="majorHAnsi" w:cstheme="majorBidi"/>
      <w:b/>
      <w:bCs/>
      <w:sz w:val="32"/>
      <w:szCs w:val="32"/>
    </w:rPr>
  </w:style>
  <w:style w:type="character" w:customStyle="1" w:styleId="24">
    <w:name w:val="纯文本 Char1"/>
    <w:basedOn w:val="13"/>
    <w:semiHidden/>
    <w:qFormat/>
    <w:uiPriority w:val="99"/>
    <w:rPr>
      <w:rFonts w:ascii="宋体" w:hAnsi="Courier New" w:eastAsia="宋体" w:cs="Courier New"/>
      <w:szCs w:val="21"/>
    </w:rPr>
  </w:style>
  <w:style w:type="character" w:customStyle="1" w:styleId="25">
    <w:name w:val="正文文本缩进 Char"/>
    <w:link w:val="6"/>
    <w:qFormat/>
    <w:uiPriority w:val="0"/>
    <w:rPr>
      <w:sz w:val="24"/>
      <w:szCs w:val="24"/>
    </w:rPr>
  </w:style>
  <w:style w:type="character" w:customStyle="1" w:styleId="26">
    <w:name w:val="正文文本缩进 Char1"/>
    <w:basedOn w:val="13"/>
    <w:semiHidden/>
    <w:qFormat/>
    <w:uiPriority w:val="99"/>
  </w:style>
  <w:style w:type="character" w:customStyle="1" w:styleId="27">
    <w:name w:val="页眉 字符"/>
    <w:semiHidden/>
    <w:qFormat/>
    <w:uiPriority w:val="0"/>
    <w:rPr>
      <w:rFonts w:ascii="Calibri" w:hAnsi="Calibri" w:eastAsia="宋体"/>
      <w:kern w:val="2"/>
      <w:sz w:val="18"/>
      <w:szCs w:val="18"/>
      <w:lang w:val="en-US" w:eastAsia="zh-CN" w:bidi="ar-SA"/>
    </w:rPr>
  </w:style>
  <w:style w:type="character" w:customStyle="1" w:styleId="28">
    <w:name w:val="标题 字符"/>
    <w:qFormat/>
    <w:uiPriority w:val="0"/>
    <w:rPr>
      <w:rFonts w:ascii="Cambria" w:hAnsi="Cambria" w:cs="Times New Roman"/>
      <w:b/>
      <w:bCs/>
      <w:kern w:val="2"/>
      <w:sz w:val="32"/>
      <w:szCs w:val="32"/>
    </w:rPr>
  </w:style>
  <w:style w:type="character" w:customStyle="1" w:styleId="29">
    <w:name w:val="页脚 字符"/>
    <w:semiHidden/>
    <w:qFormat/>
    <w:uiPriority w:val="0"/>
    <w:rPr>
      <w:rFonts w:ascii="Calibri" w:hAnsi="Calibri" w:eastAsia="宋体"/>
      <w:kern w:val="2"/>
      <w:sz w:val="18"/>
      <w:szCs w:val="18"/>
      <w:lang w:val="en-US" w:eastAsia="zh-CN" w:bidi="ar-SA"/>
    </w:rPr>
  </w:style>
  <w:style w:type="paragraph" w:customStyle="1" w:styleId="30">
    <w:name w:val="Other|1"/>
    <w:basedOn w:val="1"/>
    <w:qFormat/>
    <w:uiPriority w:val="0"/>
    <w:pPr>
      <w:widowControl w:val="0"/>
      <w:shd w:val="clear" w:color="auto" w:fill="auto"/>
      <w:spacing w:line="322" w:lineRule="auto"/>
    </w:pPr>
    <w:rPr>
      <w:rFonts w:ascii="MingLiU" w:hAnsi="MingLiU" w:eastAsia="MingLiU" w:cs="MingLiU"/>
      <w:color w:val="000000"/>
      <w:sz w:val="20"/>
      <w:szCs w:val="20"/>
      <w:u w:val="none"/>
      <w:shd w:val="clear" w:color="auto" w:fill="auto"/>
    </w:rPr>
  </w:style>
  <w:style w:type="paragraph" w:customStyle="1" w:styleId="31">
    <w:name w:val="正文段"/>
    <w:basedOn w:val="1"/>
    <w:uiPriority w:val="0"/>
    <w:pPr>
      <w:widowControl/>
      <w:numPr>
        <w:ilvl w:val="0"/>
        <w:numId w:val="1"/>
      </w:numPr>
      <w:ind w:left="0" w:firstLine="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187</Words>
  <Characters>1070</Characters>
  <Lines>8</Lines>
  <Paragraphs>2</Paragraphs>
  <TotalTime>2</TotalTime>
  <ScaleCrop>false</ScaleCrop>
  <LinksUpToDate>false</LinksUpToDate>
  <CharactersWithSpaces>1255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2018-04-27T07:05:00Z</dcterms:created>
  <dc:creator>Alienware</dc:creator>
  <cp:lastModifiedBy>林远远</cp:lastModifiedBy>
  <dcterms:modified xsi:type="dcterms:W3CDTF">2020-06-30T04:57:14Z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