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spacing w:line="360" w:lineRule="auto"/>
        <w:ind w:left="0" w:leftChars="0" w:firstLine="0" w:firstLineChars="0"/>
        <w:jc w:val="center"/>
        <w:rPr>
          <w:rFonts w:ascii="宋体" w:hAnsi="宋体" w:cs="宋体"/>
          <w:b/>
          <w:bCs/>
          <w:color w:val="000000"/>
          <w:sz w:val="48"/>
          <w:szCs w:val="48"/>
        </w:rPr>
      </w:pPr>
    </w:p>
    <w:p>
      <w:pPr>
        <w:shd w:val="clear" w:color="auto" w:fill="FFFFFF"/>
        <w:tabs>
          <w:tab w:val="left" w:pos="4500"/>
        </w:tabs>
        <w:snapToGrid w:val="0"/>
        <w:spacing w:line="360" w:lineRule="auto"/>
        <w:jc w:val="center"/>
        <w:textAlignment w:val="bottom"/>
        <w:rPr>
          <w:rFonts w:ascii="宋体" w:hAnsi="宋体" w:cs="宋体"/>
          <w:b/>
          <w:bCs/>
          <w:color w:val="000000"/>
          <w:sz w:val="56"/>
          <w:szCs w:val="56"/>
        </w:rPr>
      </w:pPr>
      <w:r>
        <w:rPr>
          <w:rFonts w:hint="eastAsia" w:ascii="宋体" w:hAnsi="宋体" w:cs="宋体"/>
          <w:b/>
          <w:bCs/>
          <w:color w:val="000000"/>
          <w:sz w:val="56"/>
          <w:szCs w:val="56"/>
        </w:rPr>
        <w:t>余杭区综合交通专项规划</w:t>
      </w:r>
    </w:p>
    <w:p>
      <w:pPr>
        <w:pStyle w:val="2"/>
        <w:numPr>
          <w:ilvl w:val="255"/>
          <w:numId w:val="0"/>
        </w:numPr>
        <w:ind w:left="560"/>
      </w:pPr>
    </w:p>
    <w:p>
      <w:pPr>
        <w:shd w:val="clear" w:color="auto" w:fill="FFFFFF"/>
        <w:tabs>
          <w:tab w:val="left" w:pos="4500"/>
        </w:tabs>
        <w:snapToGrid w:val="0"/>
        <w:spacing w:line="360" w:lineRule="auto"/>
        <w:jc w:val="center"/>
        <w:textAlignment w:val="bottom"/>
        <w:rPr>
          <w:rFonts w:ascii="宋体" w:hAnsi="宋体" w:cs="宋体"/>
          <w:b/>
          <w:bCs/>
          <w:color w:val="000000"/>
          <w:sz w:val="56"/>
          <w:szCs w:val="56"/>
        </w:rPr>
      </w:pPr>
    </w:p>
    <w:p>
      <w:pPr>
        <w:pStyle w:val="2"/>
        <w:numPr>
          <w:ilvl w:val="255"/>
          <w:numId w:val="0"/>
        </w:numPr>
        <w:ind w:left="560"/>
      </w:pPr>
    </w:p>
    <w:p>
      <w:pPr>
        <w:shd w:val="clear" w:color="auto" w:fill="FFFFFF"/>
        <w:tabs>
          <w:tab w:val="left" w:pos="4500"/>
        </w:tabs>
        <w:snapToGrid w:val="0"/>
        <w:spacing w:line="360" w:lineRule="auto"/>
        <w:jc w:val="center"/>
        <w:textAlignment w:val="bottom"/>
        <w:rPr>
          <w:rFonts w:ascii="宋体" w:hAnsi="宋体" w:cs="宋体"/>
          <w:b/>
          <w:bCs/>
          <w:color w:val="000000"/>
          <w:sz w:val="56"/>
          <w:szCs w:val="56"/>
        </w:rPr>
      </w:pPr>
      <w:r>
        <w:rPr>
          <w:rFonts w:hint="eastAsia" w:ascii="宋体" w:hAnsi="宋体" w:cs="宋体"/>
          <w:b/>
          <w:bCs/>
          <w:color w:val="000000"/>
          <w:sz w:val="56"/>
          <w:szCs w:val="56"/>
        </w:rPr>
        <w:t>公 开 招 标 文 件</w:t>
      </w:r>
    </w:p>
    <w:p>
      <w:pPr>
        <w:widowControl/>
        <w:snapToGrid w:val="0"/>
        <w:spacing w:line="360" w:lineRule="auto"/>
        <w:jc w:val="center"/>
        <w:rPr>
          <w:rFonts w:ascii="宋体" w:hAnsi="宋体"/>
          <w:color w:val="000000"/>
        </w:rPr>
      </w:pPr>
    </w:p>
    <w:p>
      <w:pPr>
        <w:widowControl/>
        <w:spacing w:line="360" w:lineRule="auto"/>
        <w:ind w:right="-2"/>
        <w:jc w:val="center"/>
        <w:rPr>
          <w:rFonts w:ascii="宋体" w:hAnsi="宋体" w:cs="宋体"/>
          <w:b/>
          <w:bCs/>
          <w:color w:val="000000"/>
          <w:sz w:val="36"/>
          <w:szCs w:val="36"/>
        </w:rPr>
      </w:pPr>
      <w:r>
        <w:rPr>
          <w:rFonts w:hint="eastAsia" w:ascii="宋体" w:hAnsi="宋体" w:cs="宋体"/>
          <w:b/>
          <w:bCs/>
          <w:color w:val="000000"/>
          <w:sz w:val="36"/>
          <w:szCs w:val="36"/>
        </w:rPr>
        <w:t>招标编号：YHZFCG2021-108</w:t>
      </w:r>
    </w:p>
    <w:p>
      <w:pPr>
        <w:widowControl/>
        <w:spacing w:line="360" w:lineRule="auto"/>
        <w:ind w:right="-2"/>
        <w:jc w:val="center"/>
        <w:rPr>
          <w:rFonts w:ascii="宋体" w:hAnsi="宋体"/>
          <w:b/>
          <w:color w:val="000000"/>
          <w:sz w:val="36"/>
        </w:rPr>
      </w:pPr>
      <w:r>
        <w:rPr>
          <w:rFonts w:hint="eastAsia" w:ascii="宋体" w:hAnsi="宋体"/>
          <w:b/>
          <w:color w:val="000000"/>
          <w:sz w:val="36"/>
        </w:rPr>
        <w:t>（线上电子招投标）</w:t>
      </w:r>
    </w:p>
    <w:p>
      <w:pPr>
        <w:shd w:val="clear" w:color="auto" w:fill="FFFFFF"/>
        <w:snapToGrid w:val="0"/>
        <w:spacing w:line="360" w:lineRule="auto"/>
        <w:jc w:val="center"/>
        <w:textAlignment w:val="bottom"/>
        <w:rPr>
          <w:rFonts w:ascii="宋体" w:hAnsi="宋体" w:cs="宋体"/>
          <w:b/>
          <w:bCs/>
          <w:color w:val="000000"/>
          <w:sz w:val="48"/>
          <w:szCs w:val="48"/>
        </w:rPr>
      </w:pPr>
    </w:p>
    <w:p>
      <w:pPr>
        <w:shd w:val="clear" w:color="auto" w:fill="FFFFFF"/>
        <w:snapToGrid w:val="0"/>
        <w:spacing w:line="360" w:lineRule="auto"/>
        <w:textAlignment w:val="bottom"/>
        <w:rPr>
          <w:rFonts w:ascii="宋体" w:hAnsi="宋体" w:cs="宋体"/>
          <w:b/>
          <w:bCs/>
          <w:color w:val="000000"/>
          <w:sz w:val="30"/>
          <w:szCs w:val="30"/>
        </w:rPr>
      </w:pPr>
      <w:r>
        <w:rPr>
          <w:rFonts w:ascii="宋体" w:hAnsi="宋体" w:cs="宋体"/>
          <w:color w:val="000000"/>
          <w:sz w:val="48"/>
          <w:szCs w:val="48"/>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635"/>
                <wp:effectExtent l="9525" t="10795" r="8890" b="7620"/>
                <wp:wrapSquare wrapText="bothSides"/>
                <wp:docPr id="11" name="直线 2"/>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wps:spPr>
                      <wps:bodyPr/>
                    </wps:wsp>
                  </a:graphicData>
                </a:graphic>
              </wp:anchor>
            </w:drawing>
          </mc:Choice>
          <mc:Fallback>
            <w:pict>
              <v:line id="直线 2" o:spid="_x0000_s1026" o:spt="20" style="position:absolute;left:0pt;margin-left:330pt;margin-top:5.75pt;height:0.05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6AajNUAAAAJ&#10;AQAADwAAAGRycy9kb3ducmV2LnhtbE2PzU7DMBCE70i8g7VIXCpqp4gIpXF6AHLjQiniuo23SUS8&#10;TmP3B56e7QmOOzOa/aZcnf2gjjTFPrCFbG5AETfB9dxa2LzXd4+gYkJ2OAQmC98UYVVdX5VYuHDi&#10;NzquU6ukhGOBFrqUxkLr2HTkMc7DSCzeLkwek5xTq92EJyn3g14Yk2uPPcuHDkd66qj5Wh+8hVh/&#10;0L7+mTUz83nfBlrsn19f0Nrbm8wsQSU6p78wXPAFHSph2oYDu6gGC3luZEsSI3sAJQERMlDbi5CD&#10;rkr9f0H1C1BLAwQUAAAACACHTuJA0WeXIdUBAACgAwAADgAAAGRycy9lMm9Eb2MueG1srVNLbtsw&#10;EN0X6B0I7mvZLhy0guUsbKSbtDWQ5AA0RUlESQ7BoS35LL1GV930OLlGh5TiNukmi2pBkPN5M+/N&#10;aH09WMNOKqAGV/HFbM6ZchJq7dqKP9zfvPvAGUbhamHAqYqfFfLrzds3696XagkdmFoFRiAOy95X&#10;vIvRl0WBslNW4Ay8cuRsIFgR6Rnaog6iJ3RriuV8flX0EGofQCpEsu5GJ58Qw2sAoWm0VDuQR6tc&#10;HFGDMiISJey0R77J3TaNkvFr06CKzFScmMZ8UhG6H9JZbNaibIPwnZZTC+I1LbzgZIV2VPQCtRNR&#10;sGPQ/0BZLQMgNHEmwRYjkawIsVjMX2hz1wmvMheSGv1FdPx/sPLLaR+YrmkTFpw5YWnij99/PP78&#10;xZZJnN5jSTFbtw+Jnhzcnb8F+Q2Zg20nXKtyk/dnT4mLlFE8S0kP9FTi0H+GmmLEMUJWamiCTZCk&#10;ARvyQM6XgaghMknGq/crziTZ0yVhi/IpzQeMnxRYli4VN9olpUQpTrcYx9CnkGR2cKONIbsojWN9&#10;xT+ulqucgGB0nZzJh6E9bE1gJ5H2JX9T3WdhAY6uHosYN1FOLEe9DlCf9yG5E3saXG58WrK0GX+/&#10;c9SfH2v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ugGozVAAAACQEAAA8AAAAAAAAAAQAgAAAA&#10;IgAAAGRycy9kb3ducmV2LnhtbFBLAQIUABQAAAAIAIdO4kDRZ5ch1QEAAKADAAAOAAAAAAAAAAEA&#10;IAAAACQBAABkcnMvZTJvRG9jLnhtbFBLBQYAAAAABgAGAFkBAABrBQAAAAA=&#10;">
                <v:fill on="f" focussize="0,0"/>
                <v:stroke color="#000000" joinstyle="round"/>
                <v:imagedata o:title=""/>
                <o:lock v:ext="edit" aspectratio="f"/>
                <w10:wrap type="square"/>
              </v:line>
            </w:pict>
          </mc:Fallback>
        </mc:AlternateContent>
      </w:r>
    </w:p>
    <w:p>
      <w:pPr>
        <w:pStyle w:val="77"/>
        <w:spacing w:line="360" w:lineRule="auto"/>
        <w:ind w:left="0" w:leftChars="0" w:firstLine="0" w:firstLineChars="0"/>
        <w:rPr>
          <w:rFonts w:ascii="宋体" w:hAnsi="宋体" w:cs="宋体"/>
          <w:b/>
          <w:bCs/>
          <w:color w:val="000000"/>
          <w:sz w:val="30"/>
          <w:szCs w:val="30"/>
        </w:rPr>
      </w:pPr>
    </w:p>
    <w:p>
      <w:pPr>
        <w:pStyle w:val="77"/>
        <w:spacing w:line="360" w:lineRule="auto"/>
        <w:ind w:left="0" w:leftChars="0" w:firstLine="0" w:firstLineChars="0"/>
        <w:rPr>
          <w:rFonts w:ascii="宋体" w:hAnsi="宋体" w:cs="宋体"/>
          <w:b/>
          <w:bCs/>
          <w:color w:val="000000"/>
          <w:sz w:val="30"/>
          <w:szCs w:val="30"/>
        </w:rPr>
      </w:pPr>
    </w:p>
    <w:p>
      <w:pPr>
        <w:pStyle w:val="77"/>
        <w:spacing w:line="360" w:lineRule="auto"/>
        <w:ind w:firstLine="602"/>
        <w:rPr>
          <w:rFonts w:ascii="宋体" w:hAnsi="宋体" w:cs="宋体"/>
          <w:b/>
          <w:bCs/>
          <w:color w:val="000000"/>
          <w:sz w:val="30"/>
          <w:szCs w:val="30"/>
        </w:rPr>
      </w:pPr>
    </w:p>
    <w:p>
      <w:pPr>
        <w:pStyle w:val="77"/>
        <w:spacing w:line="360" w:lineRule="auto"/>
        <w:ind w:firstLine="602"/>
        <w:rPr>
          <w:rFonts w:ascii="宋体" w:hAnsi="宋体" w:cs="宋体"/>
          <w:b/>
          <w:bCs/>
          <w:color w:val="000000"/>
          <w:sz w:val="30"/>
          <w:szCs w:val="30"/>
        </w:rPr>
      </w:pPr>
    </w:p>
    <w:p>
      <w:pPr>
        <w:shd w:val="clear" w:color="auto" w:fill="FFFFFF"/>
        <w:snapToGrid w:val="0"/>
        <w:spacing w:line="360" w:lineRule="auto"/>
        <w:ind w:firstLine="425"/>
        <w:jc w:val="center"/>
        <w:textAlignment w:val="bottom"/>
        <w:rPr>
          <w:rFonts w:ascii="宋体" w:hAnsi="宋体" w:cs="宋体"/>
          <w:b/>
          <w:bCs/>
          <w:color w:val="000000"/>
          <w:sz w:val="32"/>
          <w:szCs w:val="32"/>
        </w:rPr>
      </w:pPr>
      <w:r>
        <w:rPr>
          <w:rFonts w:hint="eastAsia" w:ascii="宋体" w:hAnsi="宋体" w:cs="宋体"/>
          <w:b/>
          <w:bCs/>
          <w:color w:val="000000"/>
          <w:sz w:val="32"/>
          <w:szCs w:val="32"/>
        </w:rPr>
        <w:t xml:space="preserve"> 招标人：杭州市规划和自然资源局余杭分局</w:t>
      </w:r>
    </w:p>
    <w:p>
      <w:pPr>
        <w:shd w:val="clear" w:color="auto" w:fill="FFFFFF"/>
        <w:snapToGrid w:val="0"/>
        <w:spacing w:line="360" w:lineRule="auto"/>
        <w:ind w:firstLine="425"/>
        <w:jc w:val="center"/>
        <w:textAlignment w:val="bottom"/>
        <w:rPr>
          <w:rFonts w:ascii="宋体" w:hAnsi="宋体" w:cs="宋体"/>
          <w:b/>
          <w:bCs/>
          <w:color w:val="000000"/>
          <w:sz w:val="32"/>
          <w:szCs w:val="32"/>
        </w:rPr>
      </w:pPr>
      <w:r>
        <w:rPr>
          <w:rFonts w:hint="eastAsia" w:ascii="宋体" w:hAnsi="宋体" w:cs="宋体"/>
          <w:b/>
          <w:bCs/>
          <w:color w:val="000000"/>
          <w:sz w:val="32"/>
          <w:szCs w:val="32"/>
        </w:rPr>
        <w:t>招标代理机构：耀华建设管理有限公司</w:t>
      </w:r>
    </w:p>
    <w:p>
      <w:pPr>
        <w:shd w:val="clear" w:color="auto" w:fill="FFFFFF"/>
        <w:snapToGrid w:val="0"/>
        <w:spacing w:line="360" w:lineRule="auto"/>
        <w:ind w:firstLine="425"/>
        <w:jc w:val="center"/>
        <w:textAlignment w:val="bottom"/>
        <w:rPr>
          <w:rFonts w:ascii="宋体" w:hAnsi="宋体" w:cs="宋体"/>
          <w:b/>
          <w:bCs/>
          <w:color w:val="000000"/>
          <w:sz w:val="32"/>
          <w:szCs w:val="32"/>
        </w:rPr>
      </w:pPr>
      <w:r>
        <w:rPr>
          <w:rFonts w:hint="eastAsia" w:ascii="宋体" w:hAnsi="宋体" w:cs="宋体"/>
          <w:b/>
          <w:bCs/>
          <w:color w:val="000000"/>
          <w:sz w:val="32"/>
          <w:szCs w:val="32"/>
        </w:rPr>
        <w:t>日  期：二O二一 年 十 月    日</w:t>
      </w:r>
    </w:p>
    <w:p>
      <w:pPr>
        <w:pageBreakBefore/>
        <w:shd w:val="clear" w:color="auto" w:fill="FFFFFF"/>
        <w:snapToGrid w:val="0"/>
        <w:spacing w:line="360" w:lineRule="auto"/>
        <w:jc w:val="center"/>
        <w:rPr>
          <w:rFonts w:ascii="宋体" w:hAnsi="宋体" w:cs="宋体"/>
          <w:b/>
          <w:bCs/>
          <w:color w:val="000000"/>
          <w:sz w:val="36"/>
          <w:szCs w:val="36"/>
        </w:rPr>
      </w:pPr>
      <w:r>
        <w:rPr>
          <w:rFonts w:hint="eastAsia" w:ascii="宋体" w:hAnsi="宋体" w:cs="宋体"/>
          <w:b/>
          <w:bCs/>
          <w:color w:val="000000"/>
          <w:sz w:val="36"/>
          <w:szCs w:val="36"/>
        </w:rPr>
        <w:t>目  录</w:t>
      </w:r>
    </w:p>
    <w:sdt>
      <w:sdtPr>
        <w:rPr>
          <w:rFonts w:ascii="宋体" w:hAnsi="宋体"/>
          <w:kern w:val="0"/>
          <w:sz w:val="20"/>
          <w:szCs w:val="20"/>
        </w:rPr>
        <w:id w:val="147454413"/>
        <w15:color w:val="DBDBDB"/>
        <w:docPartObj>
          <w:docPartGallery w:val="Table of Contents"/>
          <w:docPartUnique/>
        </w:docPartObj>
      </w:sdtPr>
      <w:sdtEndPr>
        <w:rPr>
          <w:rFonts w:hint="eastAsia" w:ascii="Times New Roman" w:hAnsi="Times New Roman"/>
          <w:b/>
          <w:kern w:val="0"/>
          <w:sz w:val="20"/>
          <w:szCs w:val="28"/>
        </w:rPr>
      </w:sdtEndPr>
      <w:sdtContent>
        <w:p>
          <w:pPr>
            <w:jc w:val="center"/>
            <w:rPr>
              <w:b/>
            </w:rPr>
          </w:pPr>
          <w:r>
            <w:rPr>
              <w:rFonts w:hint="eastAsia"/>
              <w:b/>
              <w:sz w:val="28"/>
              <w:szCs w:val="28"/>
            </w:rPr>
            <w:fldChar w:fldCharType="begin"/>
          </w:r>
          <w:r>
            <w:rPr>
              <w:rFonts w:hint="eastAsia"/>
              <w:b/>
              <w:sz w:val="28"/>
              <w:szCs w:val="28"/>
            </w:rPr>
            <w:instrText xml:space="preserve">TOC \o "1-2" \h \u </w:instrText>
          </w:r>
          <w:r>
            <w:rPr>
              <w:rFonts w:hint="eastAsia"/>
              <w:b/>
              <w:sz w:val="28"/>
              <w:szCs w:val="28"/>
            </w:rPr>
            <w:fldChar w:fldCharType="separate"/>
          </w:r>
        </w:p>
        <w:p>
          <w:pPr>
            <w:pStyle w:val="92"/>
            <w:tabs>
              <w:tab w:val="right" w:leader="dot" w:pos="9630"/>
            </w:tabs>
            <w:rPr>
              <w:b/>
              <w:szCs w:val="28"/>
            </w:rPr>
          </w:pPr>
        </w:p>
        <w:p>
          <w:pPr>
            <w:pStyle w:val="92"/>
            <w:tabs>
              <w:tab w:val="right" w:leader="dot" w:pos="9630"/>
            </w:tabs>
            <w:spacing w:line="480" w:lineRule="auto"/>
            <w:rPr>
              <w:b/>
              <w:sz w:val="24"/>
              <w:szCs w:val="24"/>
            </w:rPr>
          </w:pPr>
          <w:r>
            <w:fldChar w:fldCharType="begin"/>
          </w:r>
          <w:r>
            <w:instrText xml:space="preserve"> HYPERLINK \l "_Toc32162" </w:instrText>
          </w:r>
          <w:r>
            <w:fldChar w:fldCharType="separate"/>
          </w:r>
          <w:r>
            <w:rPr>
              <w:rFonts w:hint="eastAsia"/>
              <w:b/>
              <w:sz w:val="24"/>
              <w:szCs w:val="24"/>
            </w:rPr>
            <w:t>第一部分 招标公告</w:t>
          </w:r>
          <w:r>
            <w:rPr>
              <w:b/>
              <w:sz w:val="24"/>
              <w:szCs w:val="24"/>
            </w:rPr>
            <w:tab/>
          </w:r>
          <w:r>
            <w:rPr>
              <w:b/>
              <w:sz w:val="24"/>
              <w:szCs w:val="24"/>
            </w:rPr>
            <w:fldChar w:fldCharType="begin"/>
          </w:r>
          <w:r>
            <w:rPr>
              <w:b/>
              <w:sz w:val="24"/>
              <w:szCs w:val="24"/>
            </w:rPr>
            <w:instrText xml:space="preserve"> PAGEREF _Toc32162 \h </w:instrText>
          </w:r>
          <w:r>
            <w:rPr>
              <w:b/>
              <w:sz w:val="24"/>
              <w:szCs w:val="24"/>
            </w:rPr>
            <w:fldChar w:fldCharType="separate"/>
          </w:r>
          <w:r>
            <w:rPr>
              <w:b/>
              <w:sz w:val="24"/>
              <w:szCs w:val="24"/>
            </w:rPr>
            <w:t>5</w:t>
          </w:r>
          <w:r>
            <w:rPr>
              <w:b/>
              <w:sz w:val="24"/>
              <w:szCs w:val="24"/>
            </w:rPr>
            <w:fldChar w:fldCharType="end"/>
          </w:r>
          <w:r>
            <w:rPr>
              <w:b/>
              <w:sz w:val="24"/>
              <w:szCs w:val="24"/>
            </w:rPr>
            <w:fldChar w:fldCharType="end"/>
          </w:r>
        </w:p>
        <w:p>
          <w:pPr>
            <w:pStyle w:val="92"/>
            <w:tabs>
              <w:tab w:val="right" w:leader="dot" w:pos="9630"/>
            </w:tabs>
            <w:spacing w:line="480" w:lineRule="auto"/>
            <w:rPr>
              <w:b/>
              <w:sz w:val="24"/>
              <w:szCs w:val="24"/>
            </w:rPr>
          </w:pPr>
          <w:r>
            <w:fldChar w:fldCharType="begin"/>
          </w:r>
          <w:r>
            <w:instrText xml:space="preserve"> HYPERLINK \l "_Toc25378" </w:instrText>
          </w:r>
          <w:r>
            <w:fldChar w:fldCharType="separate"/>
          </w:r>
          <w:r>
            <w:rPr>
              <w:rFonts w:hint="eastAsia"/>
              <w:b/>
              <w:sz w:val="24"/>
              <w:szCs w:val="24"/>
            </w:rPr>
            <w:t>第二部分 编制和提交投标文件须知</w:t>
          </w:r>
          <w:r>
            <w:rPr>
              <w:b/>
              <w:sz w:val="24"/>
              <w:szCs w:val="24"/>
            </w:rPr>
            <w:tab/>
          </w:r>
          <w:r>
            <w:rPr>
              <w:b/>
              <w:sz w:val="24"/>
              <w:szCs w:val="24"/>
            </w:rPr>
            <w:fldChar w:fldCharType="begin"/>
          </w:r>
          <w:r>
            <w:rPr>
              <w:b/>
              <w:sz w:val="24"/>
              <w:szCs w:val="24"/>
            </w:rPr>
            <w:instrText xml:space="preserve"> PAGEREF _Toc25378 \h </w:instrText>
          </w:r>
          <w:r>
            <w:rPr>
              <w:b/>
              <w:sz w:val="24"/>
              <w:szCs w:val="24"/>
            </w:rPr>
            <w:fldChar w:fldCharType="separate"/>
          </w:r>
          <w:r>
            <w:rPr>
              <w:b/>
              <w:sz w:val="24"/>
              <w:szCs w:val="24"/>
            </w:rPr>
            <w:t>10</w:t>
          </w:r>
          <w:r>
            <w:rPr>
              <w:b/>
              <w:sz w:val="24"/>
              <w:szCs w:val="24"/>
            </w:rPr>
            <w:fldChar w:fldCharType="end"/>
          </w:r>
          <w:r>
            <w:rPr>
              <w:b/>
              <w:sz w:val="24"/>
              <w:szCs w:val="24"/>
            </w:rPr>
            <w:fldChar w:fldCharType="end"/>
          </w:r>
        </w:p>
        <w:p>
          <w:pPr>
            <w:pStyle w:val="197"/>
            <w:tabs>
              <w:tab w:val="right" w:leader="dot" w:pos="9630"/>
            </w:tabs>
            <w:spacing w:line="480" w:lineRule="auto"/>
            <w:ind w:left="420"/>
            <w:rPr>
              <w:sz w:val="24"/>
              <w:szCs w:val="24"/>
            </w:rPr>
          </w:pPr>
          <w:r>
            <w:fldChar w:fldCharType="begin"/>
          </w:r>
          <w:r>
            <w:instrText xml:space="preserve"> HYPERLINK \l "_Toc12460" </w:instrText>
          </w:r>
          <w:r>
            <w:fldChar w:fldCharType="separate"/>
          </w:r>
          <w:r>
            <w:rPr>
              <w:rFonts w:hint="eastAsia" w:ascii="宋体" w:hAnsi="宋体" w:cs="宋体"/>
              <w:bCs/>
              <w:sz w:val="24"/>
              <w:szCs w:val="24"/>
            </w:rPr>
            <w:t>前 附 表</w:t>
          </w:r>
          <w:r>
            <w:rPr>
              <w:sz w:val="24"/>
              <w:szCs w:val="24"/>
            </w:rPr>
            <w:tab/>
          </w:r>
          <w:r>
            <w:rPr>
              <w:sz w:val="24"/>
              <w:szCs w:val="24"/>
            </w:rPr>
            <w:fldChar w:fldCharType="begin"/>
          </w:r>
          <w:r>
            <w:rPr>
              <w:sz w:val="24"/>
              <w:szCs w:val="24"/>
            </w:rPr>
            <w:instrText xml:space="preserve"> PAGEREF _Toc12460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97"/>
            <w:tabs>
              <w:tab w:val="right" w:leader="dot" w:pos="9630"/>
            </w:tabs>
            <w:spacing w:line="480" w:lineRule="auto"/>
            <w:ind w:left="420"/>
            <w:rPr>
              <w:sz w:val="24"/>
              <w:szCs w:val="24"/>
            </w:rPr>
          </w:pPr>
          <w:r>
            <w:fldChar w:fldCharType="begin"/>
          </w:r>
          <w:r>
            <w:instrText xml:space="preserve"> HYPERLINK \l "_Toc17384" </w:instrText>
          </w:r>
          <w:r>
            <w:fldChar w:fldCharType="separate"/>
          </w:r>
          <w:r>
            <w:rPr>
              <w:rFonts w:hint="eastAsia" w:ascii="宋体" w:hAnsi="宋体" w:cs="宋体"/>
              <w:bCs/>
              <w:sz w:val="24"/>
              <w:szCs w:val="24"/>
            </w:rPr>
            <w:t>一、总 则</w:t>
          </w:r>
          <w:r>
            <w:rPr>
              <w:sz w:val="24"/>
              <w:szCs w:val="24"/>
            </w:rPr>
            <w:tab/>
          </w:r>
          <w:r>
            <w:rPr>
              <w:sz w:val="24"/>
              <w:szCs w:val="24"/>
            </w:rPr>
            <w:fldChar w:fldCharType="begin"/>
          </w:r>
          <w:r>
            <w:rPr>
              <w:sz w:val="24"/>
              <w:szCs w:val="24"/>
            </w:rPr>
            <w:instrText xml:space="preserve"> PAGEREF _Toc17384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97"/>
            <w:tabs>
              <w:tab w:val="right" w:leader="dot" w:pos="9630"/>
            </w:tabs>
            <w:spacing w:line="480" w:lineRule="auto"/>
            <w:ind w:left="420"/>
            <w:rPr>
              <w:sz w:val="24"/>
              <w:szCs w:val="24"/>
            </w:rPr>
          </w:pPr>
          <w:r>
            <w:fldChar w:fldCharType="begin"/>
          </w:r>
          <w:r>
            <w:instrText xml:space="preserve"> HYPERLINK \l "_Toc27736" </w:instrText>
          </w:r>
          <w:r>
            <w:fldChar w:fldCharType="separate"/>
          </w:r>
          <w:r>
            <w:rPr>
              <w:rFonts w:hint="eastAsia" w:ascii="宋体" w:hAnsi="宋体" w:cs="宋体"/>
              <w:bCs/>
              <w:sz w:val="24"/>
              <w:szCs w:val="24"/>
            </w:rPr>
            <w:t>二、招标文件</w:t>
          </w:r>
          <w:r>
            <w:rPr>
              <w:sz w:val="24"/>
              <w:szCs w:val="24"/>
            </w:rPr>
            <w:tab/>
          </w:r>
          <w:r>
            <w:rPr>
              <w:sz w:val="24"/>
              <w:szCs w:val="24"/>
            </w:rPr>
            <w:fldChar w:fldCharType="begin"/>
          </w:r>
          <w:r>
            <w:rPr>
              <w:sz w:val="24"/>
              <w:szCs w:val="24"/>
            </w:rPr>
            <w:instrText xml:space="preserve"> PAGEREF _Toc27736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97"/>
            <w:tabs>
              <w:tab w:val="right" w:leader="dot" w:pos="9630"/>
            </w:tabs>
            <w:spacing w:line="480" w:lineRule="auto"/>
            <w:ind w:left="420"/>
            <w:rPr>
              <w:sz w:val="24"/>
              <w:szCs w:val="24"/>
            </w:rPr>
          </w:pPr>
          <w:r>
            <w:fldChar w:fldCharType="begin"/>
          </w:r>
          <w:r>
            <w:instrText xml:space="preserve"> HYPERLINK \l "_Toc26497" </w:instrText>
          </w:r>
          <w:r>
            <w:fldChar w:fldCharType="separate"/>
          </w:r>
          <w:r>
            <w:rPr>
              <w:rFonts w:hint="eastAsia" w:ascii="宋体" w:hAnsi="宋体" w:cs="宋体"/>
              <w:bCs/>
              <w:sz w:val="24"/>
              <w:szCs w:val="24"/>
            </w:rPr>
            <w:t>三、投标文件</w:t>
          </w:r>
          <w:r>
            <w:rPr>
              <w:sz w:val="24"/>
              <w:szCs w:val="24"/>
            </w:rPr>
            <w:tab/>
          </w:r>
          <w:r>
            <w:rPr>
              <w:sz w:val="24"/>
              <w:szCs w:val="24"/>
            </w:rPr>
            <w:fldChar w:fldCharType="begin"/>
          </w:r>
          <w:r>
            <w:rPr>
              <w:sz w:val="24"/>
              <w:szCs w:val="24"/>
            </w:rPr>
            <w:instrText xml:space="preserve"> PAGEREF _Toc26497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97"/>
            <w:tabs>
              <w:tab w:val="right" w:leader="dot" w:pos="9630"/>
            </w:tabs>
            <w:spacing w:line="480" w:lineRule="auto"/>
            <w:ind w:left="420"/>
            <w:rPr>
              <w:sz w:val="24"/>
              <w:szCs w:val="24"/>
            </w:rPr>
          </w:pPr>
          <w:r>
            <w:fldChar w:fldCharType="begin"/>
          </w:r>
          <w:r>
            <w:instrText xml:space="preserve"> HYPERLINK \l "_Toc23885" </w:instrText>
          </w:r>
          <w:r>
            <w:fldChar w:fldCharType="separate"/>
          </w:r>
          <w:r>
            <w:rPr>
              <w:rFonts w:hint="eastAsia" w:ascii="宋体" w:hAnsi="宋体" w:cs="宋体"/>
              <w:sz w:val="24"/>
              <w:szCs w:val="24"/>
            </w:rPr>
            <w:t>四、投标</w:t>
          </w:r>
          <w:r>
            <w:rPr>
              <w:sz w:val="24"/>
              <w:szCs w:val="24"/>
            </w:rPr>
            <w:tab/>
          </w:r>
          <w:r>
            <w:rPr>
              <w:sz w:val="24"/>
              <w:szCs w:val="24"/>
            </w:rPr>
            <w:fldChar w:fldCharType="begin"/>
          </w:r>
          <w:r>
            <w:rPr>
              <w:sz w:val="24"/>
              <w:szCs w:val="24"/>
            </w:rPr>
            <w:instrText xml:space="preserve"> PAGEREF _Toc23885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97"/>
            <w:tabs>
              <w:tab w:val="right" w:leader="dot" w:pos="9630"/>
            </w:tabs>
            <w:spacing w:line="480" w:lineRule="auto"/>
            <w:ind w:left="420"/>
            <w:rPr>
              <w:sz w:val="24"/>
              <w:szCs w:val="24"/>
            </w:rPr>
          </w:pPr>
          <w:r>
            <w:fldChar w:fldCharType="begin"/>
          </w:r>
          <w:r>
            <w:instrText xml:space="preserve"> HYPERLINK \l "_Toc31675" </w:instrText>
          </w:r>
          <w:r>
            <w:fldChar w:fldCharType="separate"/>
          </w:r>
          <w:r>
            <w:rPr>
              <w:rFonts w:hint="eastAsia" w:ascii="宋体" w:hAnsi="宋体" w:cs="宋体"/>
              <w:sz w:val="24"/>
              <w:szCs w:val="24"/>
            </w:rPr>
            <w:t>五、开 标</w:t>
          </w:r>
          <w:r>
            <w:rPr>
              <w:sz w:val="24"/>
              <w:szCs w:val="24"/>
            </w:rPr>
            <w:tab/>
          </w:r>
          <w:r>
            <w:rPr>
              <w:sz w:val="24"/>
              <w:szCs w:val="24"/>
            </w:rPr>
            <w:fldChar w:fldCharType="begin"/>
          </w:r>
          <w:r>
            <w:rPr>
              <w:sz w:val="24"/>
              <w:szCs w:val="24"/>
            </w:rPr>
            <w:instrText xml:space="preserve"> PAGEREF _Toc31675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97"/>
            <w:tabs>
              <w:tab w:val="right" w:leader="dot" w:pos="9630"/>
            </w:tabs>
            <w:spacing w:line="480" w:lineRule="auto"/>
            <w:ind w:left="420"/>
            <w:rPr>
              <w:sz w:val="24"/>
              <w:szCs w:val="24"/>
            </w:rPr>
          </w:pPr>
          <w:r>
            <w:fldChar w:fldCharType="begin"/>
          </w:r>
          <w:r>
            <w:instrText xml:space="preserve"> HYPERLINK \l "_Toc2796" </w:instrText>
          </w:r>
          <w:r>
            <w:fldChar w:fldCharType="separate"/>
          </w:r>
          <w:r>
            <w:rPr>
              <w:rFonts w:hint="eastAsia" w:ascii="宋体" w:hAnsi="宋体" w:cs="宋体"/>
              <w:sz w:val="24"/>
              <w:szCs w:val="24"/>
            </w:rPr>
            <w:t>六、评 标</w:t>
          </w:r>
          <w:r>
            <w:rPr>
              <w:sz w:val="24"/>
              <w:szCs w:val="24"/>
            </w:rPr>
            <w:tab/>
          </w:r>
          <w:r>
            <w:rPr>
              <w:sz w:val="24"/>
              <w:szCs w:val="24"/>
            </w:rPr>
            <w:fldChar w:fldCharType="begin"/>
          </w:r>
          <w:r>
            <w:rPr>
              <w:sz w:val="24"/>
              <w:szCs w:val="24"/>
            </w:rPr>
            <w:instrText xml:space="preserve"> PAGEREF _Toc2796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97"/>
            <w:tabs>
              <w:tab w:val="right" w:leader="dot" w:pos="9630"/>
            </w:tabs>
            <w:spacing w:line="480" w:lineRule="auto"/>
            <w:ind w:left="420"/>
            <w:rPr>
              <w:sz w:val="24"/>
              <w:szCs w:val="24"/>
            </w:rPr>
          </w:pPr>
          <w:r>
            <w:fldChar w:fldCharType="begin"/>
          </w:r>
          <w:r>
            <w:instrText xml:space="preserve"> HYPERLINK \l "_Toc8217" </w:instrText>
          </w:r>
          <w:r>
            <w:fldChar w:fldCharType="separate"/>
          </w:r>
          <w:r>
            <w:rPr>
              <w:rFonts w:hint="eastAsia" w:ascii="宋体" w:hAnsi="宋体" w:cs="宋体"/>
              <w:bCs/>
              <w:sz w:val="24"/>
              <w:szCs w:val="24"/>
            </w:rPr>
            <w:t>七、合同签订及其他</w:t>
          </w:r>
          <w:r>
            <w:rPr>
              <w:sz w:val="24"/>
              <w:szCs w:val="24"/>
            </w:rPr>
            <w:tab/>
          </w:r>
          <w:r>
            <w:rPr>
              <w:sz w:val="24"/>
              <w:szCs w:val="24"/>
            </w:rPr>
            <w:fldChar w:fldCharType="begin"/>
          </w:r>
          <w:r>
            <w:rPr>
              <w:sz w:val="24"/>
              <w:szCs w:val="24"/>
            </w:rPr>
            <w:instrText xml:space="preserve"> PAGEREF _Toc8217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92"/>
            <w:tabs>
              <w:tab w:val="right" w:leader="dot" w:pos="9630"/>
            </w:tabs>
            <w:spacing w:line="480" w:lineRule="auto"/>
            <w:rPr>
              <w:b/>
              <w:sz w:val="24"/>
              <w:szCs w:val="24"/>
            </w:rPr>
          </w:pPr>
          <w:r>
            <w:fldChar w:fldCharType="begin"/>
          </w:r>
          <w:r>
            <w:instrText xml:space="preserve"> HYPERLINK \l "_Toc20933" </w:instrText>
          </w:r>
          <w:r>
            <w:fldChar w:fldCharType="separate"/>
          </w:r>
          <w:r>
            <w:rPr>
              <w:rFonts w:hint="eastAsia"/>
              <w:b/>
              <w:sz w:val="24"/>
              <w:szCs w:val="24"/>
            </w:rPr>
            <w:t>第三部分 项目技术规范和服务要求</w:t>
          </w:r>
          <w:r>
            <w:rPr>
              <w:b/>
              <w:sz w:val="24"/>
              <w:szCs w:val="24"/>
            </w:rPr>
            <w:tab/>
          </w:r>
          <w:r>
            <w:rPr>
              <w:b/>
              <w:sz w:val="24"/>
              <w:szCs w:val="24"/>
            </w:rPr>
            <w:fldChar w:fldCharType="begin"/>
          </w:r>
          <w:r>
            <w:rPr>
              <w:b/>
              <w:sz w:val="24"/>
              <w:szCs w:val="24"/>
            </w:rPr>
            <w:instrText xml:space="preserve"> PAGEREF _Toc20933 \h </w:instrText>
          </w:r>
          <w:r>
            <w:rPr>
              <w:b/>
              <w:sz w:val="24"/>
              <w:szCs w:val="24"/>
            </w:rPr>
            <w:fldChar w:fldCharType="separate"/>
          </w:r>
          <w:r>
            <w:rPr>
              <w:b/>
              <w:sz w:val="24"/>
              <w:szCs w:val="24"/>
            </w:rPr>
            <w:t>37</w:t>
          </w:r>
          <w:r>
            <w:rPr>
              <w:b/>
              <w:sz w:val="24"/>
              <w:szCs w:val="24"/>
            </w:rPr>
            <w:fldChar w:fldCharType="end"/>
          </w:r>
          <w:r>
            <w:rPr>
              <w:b/>
              <w:sz w:val="24"/>
              <w:szCs w:val="24"/>
            </w:rPr>
            <w:fldChar w:fldCharType="end"/>
          </w:r>
        </w:p>
        <w:p>
          <w:pPr>
            <w:pStyle w:val="92"/>
            <w:tabs>
              <w:tab w:val="right" w:leader="dot" w:pos="9630"/>
            </w:tabs>
            <w:spacing w:line="480" w:lineRule="auto"/>
            <w:rPr>
              <w:b/>
              <w:sz w:val="24"/>
              <w:szCs w:val="24"/>
            </w:rPr>
          </w:pPr>
          <w:r>
            <w:fldChar w:fldCharType="begin"/>
          </w:r>
          <w:r>
            <w:instrText xml:space="preserve"> HYPERLINK \l "_Toc12912" </w:instrText>
          </w:r>
          <w:r>
            <w:fldChar w:fldCharType="separate"/>
          </w:r>
          <w:r>
            <w:rPr>
              <w:rFonts w:hint="eastAsia"/>
              <w:b/>
              <w:sz w:val="24"/>
              <w:szCs w:val="24"/>
            </w:rPr>
            <w:t xml:space="preserve">第四部分 </w:t>
          </w:r>
          <w:r>
            <w:rPr>
              <w:rFonts w:hint="eastAsia" w:ascii="宋体" w:hAnsi="宋体"/>
              <w:b/>
              <w:sz w:val="24"/>
              <w:szCs w:val="24"/>
            </w:rPr>
            <w:t>合</w:t>
          </w:r>
          <w:r>
            <w:rPr>
              <w:rFonts w:hint="eastAsia"/>
              <w:b/>
              <w:sz w:val="24"/>
              <w:szCs w:val="24"/>
            </w:rPr>
            <w:t>同主要条款</w:t>
          </w:r>
          <w:r>
            <w:rPr>
              <w:b/>
              <w:sz w:val="24"/>
              <w:szCs w:val="24"/>
            </w:rPr>
            <w:tab/>
          </w:r>
          <w:r>
            <w:rPr>
              <w:b/>
              <w:sz w:val="24"/>
              <w:szCs w:val="24"/>
            </w:rPr>
            <w:fldChar w:fldCharType="begin"/>
          </w:r>
          <w:r>
            <w:rPr>
              <w:b/>
              <w:sz w:val="24"/>
              <w:szCs w:val="24"/>
            </w:rPr>
            <w:instrText xml:space="preserve"> PAGEREF _Toc12912 \h </w:instrText>
          </w:r>
          <w:r>
            <w:rPr>
              <w:b/>
              <w:sz w:val="24"/>
              <w:szCs w:val="24"/>
            </w:rPr>
            <w:fldChar w:fldCharType="separate"/>
          </w:r>
          <w:r>
            <w:rPr>
              <w:b/>
              <w:sz w:val="24"/>
              <w:szCs w:val="24"/>
            </w:rPr>
            <w:t>42</w:t>
          </w:r>
          <w:r>
            <w:rPr>
              <w:b/>
              <w:sz w:val="24"/>
              <w:szCs w:val="24"/>
            </w:rPr>
            <w:fldChar w:fldCharType="end"/>
          </w:r>
          <w:r>
            <w:rPr>
              <w:b/>
              <w:sz w:val="24"/>
              <w:szCs w:val="24"/>
            </w:rPr>
            <w:fldChar w:fldCharType="end"/>
          </w:r>
        </w:p>
        <w:p>
          <w:pPr>
            <w:pStyle w:val="92"/>
            <w:tabs>
              <w:tab w:val="right" w:leader="dot" w:pos="9630"/>
            </w:tabs>
            <w:spacing w:line="480" w:lineRule="auto"/>
            <w:rPr>
              <w:b/>
              <w:sz w:val="24"/>
              <w:szCs w:val="24"/>
            </w:rPr>
          </w:pPr>
          <w:r>
            <w:fldChar w:fldCharType="begin"/>
          </w:r>
          <w:r>
            <w:instrText xml:space="preserve"> HYPERLINK \l "_Toc12063" </w:instrText>
          </w:r>
          <w:r>
            <w:fldChar w:fldCharType="separate"/>
          </w:r>
          <w:r>
            <w:rPr>
              <w:rFonts w:hint="eastAsia" w:ascii="宋体" w:hAnsi="宋体" w:cs="宋体"/>
              <w:b/>
              <w:bCs/>
              <w:sz w:val="24"/>
              <w:szCs w:val="24"/>
            </w:rPr>
            <w:t>第五部分 应提交的有关格式范例</w:t>
          </w:r>
          <w:r>
            <w:rPr>
              <w:b/>
              <w:sz w:val="24"/>
              <w:szCs w:val="24"/>
            </w:rPr>
            <w:tab/>
          </w:r>
          <w:r>
            <w:rPr>
              <w:b/>
              <w:sz w:val="24"/>
              <w:szCs w:val="24"/>
            </w:rPr>
            <w:fldChar w:fldCharType="begin"/>
          </w:r>
          <w:r>
            <w:rPr>
              <w:b/>
              <w:sz w:val="24"/>
              <w:szCs w:val="24"/>
            </w:rPr>
            <w:instrText xml:space="preserve"> PAGEREF _Toc12063 \h </w:instrText>
          </w:r>
          <w:r>
            <w:rPr>
              <w:b/>
              <w:sz w:val="24"/>
              <w:szCs w:val="24"/>
            </w:rPr>
            <w:fldChar w:fldCharType="separate"/>
          </w:r>
          <w:r>
            <w:rPr>
              <w:b/>
              <w:sz w:val="24"/>
              <w:szCs w:val="24"/>
            </w:rPr>
            <w:t>45</w:t>
          </w:r>
          <w:r>
            <w:rPr>
              <w:b/>
              <w:sz w:val="24"/>
              <w:szCs w:val="24"/>
            </w:rPr>
            <w:fldChar w:fldCharType="end"/>
          </w:r>
          <w:r>
            <w:rPr>
              <w:b/>
              <w:sz w:val="24"/>
              <w:szCs w:val="24"/>
            </w:rPr>
            <w:fldChar w:fldCharType="end"/>
          </w:r>
        </w:p>
        <w:p>
          <w:pPr>
            <w:pStyle w:val="92"/>
            <w:tabs>
              <w:tab w:val="right" w:leader="dot" w:pos="9630"/>
            </w:tabs>
            <w:spacing w:line="480" w:lineRule="auto"/>
            <w:rPr>
              <w:b/>
              <w:sz w:val="24"/>
              <w:szCs w:val="24"/>
            </w:rPr>
          </w:pPr>
          <w:r>
            <w:fldChar w:fldCharType="begin"/>
          </w:r>
          <w:r>
            <w:instrText xml:space="preserve"> HYPERLINK \l "_Toc512" </w:instrText>
          </w:r>
          <w:r>
            <w:fldChar w:fldCharType="separate"/>
          </w:r>
          <w:r>
            <w:rPr>
              <w:rFonts w:hint="eastAsia"/>
              <w:b/>
              <w:bCs/>
              <w:sz w:val="24"/>
              <w:szCs w:val="24"/>
            </w:rPr>
            <w:t>资 格 文 件</w:t>
          </w:r>
          <w:r>
            <w:rPr>
              <w:b/>
              <w:sz w:val="24"/>
              <w:szCs w:val="24"/>
            </w:rPr>
            <w:tab/>
          </w:r>
          <w:r>
            <w:rPr>
              <w:b/>
              <w:sz w:val="24"/>
              <w:szCs w:val="24"/>
            </w:rPr>
            <w:fldChar w:fldCharType="begin"/>
          </w:r>
          <w:r>
            <w:rPr>
              <w:b/>
              <w:sz w:val="24"/>
              <w:szCs w:val="24"/>
            </w:rPr>
            <w:instrText xml:space="preserve"> PAGEREF _Toc512 \h </w:instrText>
          </w:r>
          <w:r>
            <w:rPr>
              <w:b/>
              <w:sz w:val="24"/>
              <w:szCs w:val="24"/>
            </w:rPr>
            <w:fldChar w:fldCharType="separate"/>
          </w:r>
          <w:r>
            <w:rPr>
              <w:b/>
              <w:sz w:val="24"/>
              <w:szCs w:val="24"/>
            </w:rPr>
            <w:t>47</w:t>
          </w:r>
          <w:r>
            <w:rPr>
              <w:b/>
              <w:sz w:val="24"/>
              <w:szCs w:val="24"/>
            </w:rPr>
            <w:fldChar w:fldCharType="end"/>
          </w:r>
          <w:r>
            <w:rPr>
              <w:b/>
              <w:sz w:val="24"/>
              <w:szCs w:val="24"/>
            </w:rPr>
            <w:fldChar w:fldCharType="end"/>
          </w:r>
        </w:p>
        <w:p>
          <w:pPr>
            <w:pStyle w:val="92"/>
            <w:tabs>
              <w:tab w:val="right" w:leader="dot" w:pos="9630"/>
            </w:tabs>
            <w:spacing w:line="480" w:lineRule="auto"/>
            <w:rPr>
              <w:b/>
              <w:sz w:val="24"/>
              <w:szCs w:val="24"/>
            </w:rPr>
          </w:pPr>
          <w:r>
            <w:fldChar w:fldCharType="begin"/>
          </w:r>
          <w:r>
            <w:instrText xml:space="preserve"> HYPERLINK \l "_Toc9115" </w:instrText>
          </w:r>
          <w:r>
            <w:fldChar w:fldCharType="separate"/>
          </w:r>
          <w:r>
            <w:rPr>
              <w:rFonts w:hint="eastAsia" w:ascii="宋体" w:hAnsi="宋体" w:cs="宋体"/>
              <w:b/>
              <w:bCs/>
              <w:sz w:val="24"/>
              <w:szCs w:val="24"/>
            </w:rPr>
            <w:t>报 价 文 件</w:t>
          </w:r>
          <w:r>
            <w:rPr>
              <w:b/>
              <w:sz w:val="24"/>
              <w:szCs w:val="24"/>
            </w:rPr>
            <w:tab/>
          </w:r>
          <w:r>
            <w:rPr>
              <w:b/>
              <w:sz w:val="24"/>
              <w:szCs w:val="24"/>
            </w:rPr>
            <w:fldChar w:fldCharType="begin"/>
          </w:r>
          <w:r>
            <w:rPr>
              <w:b/>
              <w:sz w:val="24"/>
              <w:szCs w:val="24"/>
            </w:rPr>
            <w:instrText xml:space="preserve"> PAGEREF _Toc9115 \h </w:instrText>
          </w:r>
          <w:r>
            <w:rPr>
              <w:b/>
              <w:sz w:val="24"/>
              <w:szCs w:val="24"/>
            </w:rPr>
            <w:fldChar w:fldCharType="separate"/>
          </w:r>
          <w:r>
            <w:rPr>
              <w:b/>
              <w:sz w:val="24"/>
              <w:szCs w:val="24"/>
            </w:rPr>
            <w:t>53</w:t>
          </w:r>
          <w:r>
            <w:rPr>
              <w:b/>
              <w:sz w:val="24"/>
              <w:szCs w:val="24"/>
            </w:rPr>
            <w:fldChar w:fldCharType="end"/>
          </w:r>
          <w:r>
            <w:rPr>
              <w:b/>
              <w:sz w:val="24"/>
              <w:szCs w:val="24"/>
            </w:rPr>
            <w:fldChar w:fldCharType="end"/>
          </w:r>
        </w:p>
        <w:p>
          <w:pPr>
            <w:pStyle w:val="92"/>
            <w:tabs>
              <w:tab w:val="right" w:leader="dot" w:pos="9630"/>
            </w:tabs>
            <w:spacing w:line="480" w:lineRule="auto"/>
            <w:rPr>
              <w:b/>
            </w:rPr>
          </w:pPr>
          <w:r>
            <w:fldChar w:fldCharType="begin"/>
          </w:r>
          <w:r>
            <w:instrText xml:space="preserve"> HYPERLINK \l "_Toc10277" </w:instrText>
          </w:r>
          <w:r>
            <w:fldChar w:fldCharType="separate"/>
          </w:r>
          <w:r>
            <w:rPr>
              <w:rFonts w:hint="eastAsia" w:ascii="宋体" w:hAnsi="宋体" w:cs="宋体"/>
              <w:b/>
              <w:bCs/>
              <w:sz w:val="24"/>
              <w:szCs w:val="24"/>
            </w:rPr>
            <w:t>商务技术文件</w:t>
          </w:r>
          <w:r>
            <w:rPr>
              <w:b/>
              <w:sz w:val="24"/>
              <w:szCs w:val="24"/>
            </w:rPr>
            <w:tab/>
          </w:r>
          <w:r>
            <w:rPr>
              <w:b/>
              <w:sz w:val="24"/>
              <w:szCs w:val="24"/>
            </w:rPr>
            <w:fldChar w:fldCharType="begin"/>
          </w:r>
          <w:r>
            <w:rPr>
              <w:b/>
              <w:sz w:val="24"/>
              <w:szCs w:val="24"/>
            </w:rPr>
            <w:instrText xml:space="preserve"> PAGEREF _Toc10277 \h </w:instrText>
          </w:r>
          <w:r>
            <w:rPr>
              <w:b/>
              <w:sz w:val="24"/>
              <w:szCs w:val="24"/>
            </w:rPr>
            <w:fldChar w:fldCharType="separate"/>
          </w:r>
          <w:r>
            <w:rPr>
              <w:b/>
              <w:sz w:val="24"/>
              <w:szCs w:val="24"/>
            </w:rPr>
            <w:t>61</w:t>
          </w:r>
          <w:r>
            <w:rPr>
              <w:b/>
              <w:sz w:val="24"/>
              <w:szCs w:val="24"/>
            </w:rPr>
            <w:fldChar w:fldCharType="end"/>
          </w:r>
          <w:r>
            <w:rPr>
              <w:b/>
              <w:sz w:val="24"/>
              <w:szCs w:val="24"/>
            </w:rPr>
            <w:fldChar w:fldCharType="end"/>
          </w:r>
        </w:p>
        <w:p>
          <w:pPr>
            <w:pStyle w:val="92"/>
            <w:tabs>
              <w:tab w:val="right" w:leader="dot" w:pos="9630"/>
            </w:tabs>
            <w:spacing w:line="480" w:lineRule="auto"/>
            <w:rPr>
              <w:b/>
            </w:rPr>
          </w:pPr>
        </w:p>
        <w:p>
          <w:pPr>
            <w:pStyle w:val="92"/>
            <w:tabs>
              <w:tab w:val="right" w:leader="dot" w:pos="9630"/>
            </w:tabs>
            <w:spacing w:line="480" w:lineRule="auto"/>
            <w:rPr>
              <w:b/>
            </w:rPr>
          </w:pPr>
        </w:p>
        <w:p>
          <w:pPr>
            <w:pStyle w:val="92"/>
            <w:tabs>
              <w:tab w:val="right" w:leader="dot" w:pos="9630"/>
            </w:tabs>
            <w:spacing w:line="360" w:lineRule="auto"/>
            <w:rPr>
              <w:b/>
              <w:sz w:val="28"/>
              <w:szCs w:val="28"/>
            </w:rPr>
          </w:pPr>
          <w:r>
            <w:rPr>
              <w:rFonts w:hint="eastAsia"/>
              <w:b/>
              <w:szCs w:val="28"/>
            </w:rPr>
            <w:fldChar w:fldCharType="end"/>
          </w:r>
        </w:p>
      </w:sdtContent>
    </w:sdt>
    <w:p>
      <w:pPr>
        <w:pStyle w:val="54"/>
        <w:tabs>
          <w:tab w:val="right" w:leader="dot" w:pos="9630"/>
        </w:tabs>
        <w:spacing w:line="360" w:lineRule="auto"/>
        <w:rPr>
          <w:sz w:val="28"/>
          <w:szCs w:val="28"/>
        </w:rPr>
      </w:pPr>
    </w:p>
    <w:p>
      <w:pPr>
        <w:pStyle w:val="4"/>
        <w:numPr>
          <w:ilvl w:val="0"/>
          <w:numId w:val="9"/>
        </w:numPr>
      </w:pPr>
      <w:bookmarkStart w:id="0" w:name="_Toc31771"/>
      <w:bookmarkStart w:id="1" w:name="_Toc3481"/>
      <w:bookmarkStart w:id="2" w:name="_Toc10959"/>
      <w:bookmarkStart w:id="3" w:name="_Toc354996693"/>
      <w:r>
        <w:rPr>
          <w:rFonts w:hint="eastAsia"/>
        </w:rPr>
        <w:t xml:space="preserve"> </w:t>
      </w:r>
      <w:bookmarkEnd w:id="0"/>
      <w:bookmarkEnd w:id="1"/>
      <w:bookmarkEnd w:id="2"/>
      <w:bookmarkEnd w:id="3"/>
      <w:bookmarkStart w:id="4" w:name="_Toc32162"/>
      <w:bookmarkStart w:id="5" w:name="_Toc29324"/>
      <w:bookmarkStart w:id="6" w:name="_Toc713"/>
      <w:bookmarkStart w:id="7" w:name="_Toc28272"/>
      <w:bookmarkStart w:id="8" w:name="_Toc11482"/>
      <w:r>
        <w:rPr>
          <w:rFonts w:hint="eastAsia"/>
        </w:rPr>
        <w:t>招标公告</w:t>
      </w:r>
      <w:bookmarkEnd w:id="4"/>
      <w:bookmarkEnd w:id="5"/>
      <w:bookmarkEnd w:id="6"/>
      <w:bookmarkEnd w:id="7"/>
      <w:bookmarkEnd w:id="8"/>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b/>
          <w:bCs/>
          <w:sz w:val="24"/>
          <w:highlight w:val="none"/>
        </w:rPr>
      </w:pPr>
      <w:r>
        <w:rPr>
          <w:rFonts w:hint="eastAsia" w:ascii="宋体" w:hAnsi="宋体" w:cs="宋体"/>
          <w:b/>
          <w:bCs/>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u w:val="single"/>
        </w:rPr>
        <w:t xml:space="preserve"> 余杭区综合交通专项规划</w:t>
      </w:r>
      <w:r>
        <w:rPr>
          <w:rFonts w:hint="eastAsia" w:ascii="宋体" w:hAnsi="宋体" w:cs="宋体"/>
          <w:sz w:val="24"/>
          <w:highlight w:val="none"/>
        </w:rPr>
        <w:t xml:space="preserve"> 招标项目的潜在投标人应在</w:t>
      </w:r>
      <w:r>
        <w:rPr>
          <w:rFonts w:hint="eastAsia" w:ascii="宋体" w:hAnsi="宋体" w:cs="宋体"/>
          <w:sz w:val="24"/>
          <w:highlight w:val="none"/>
          <w:u w:val="single"/>
        </w:rPr>
        <w:t>政采云平台（http://zfcg.czt.zj.gov.cn）</w:t>
      </w:r>
      <w:r>
        <w:rPr>
          <w:rFonts w:hint="eastAsia" w:ascii="宋体" w:hAnsi="宋体" w:cs="宋体"/>
          <w:sz w:val="24"/>
          <w:highlight w:val="none"/>
        </w:rPr>
        <w:t>获取(下载）招标文件，并于</w:t>
      </w:r>
      <w:r>
        <w:rPr>
          <w:rFonts w:ascii="宋体" w:hAnsi="宋体" w:cs="宋体"/>
          <w:sz w:val="24"/>
          <w:highlight w:val="none"/>
          <w:u w:val="single"/>
        </w:rPr>
        <w:t>2021</w:t>
      </w:r>
      <w:r>
        <w:rPr>
          <w:rFonts w:hint="eastAsia" w:ascii="宋体" w:hAnsi="宋体" w:cs="宋体"/>
          <w:bCs/>
          <w:sz w:val="24"/>
          <w:highlight w:val="none"/>
          <w:u w:val="single"/>
        </w:rPr>
        <w:t xml:space="preserve">年   </w:t>
      </w:r>
      <w:r>
        <w:rPr>
          <w:rFonts w:ascii="宋体" w:hAnsi="宋体" w:cs="宋体"/>
          <w:bCs/>
          <w:sz w:val="24"/>
          <w:highlight w:val="none"/>
          <w:u w:val="single"/>
        </w:rPr>
        <w:t>月</w:t>
      </w:r>
      <w:r>
        <w:rPr>
          <w:rFonts w:hint="eastAsia" w:ascii="宋体" w:hAnsi="宋体" w:cs="宋体"/>
          <w:bCs/>
          <w:sz w:val="24"/>
          <w:highlight w:val="none"/>
          <w:u w:val="single"/>
        </w:rPr>
        <w:t xml:space="preserve">   </w:t>
      </w:r>
      <w:r>
        <w:rPr>
          <w:rFonts w:ascii="宋体" w:hAnsi="宋体" w:cs="宋体"/>
          <w:bCs/>
          <w:sz w:val="24"/>
          <w:highlight w:val="none"/>
          <w:u w:val="single"/>
        </w:rPr>
        <w:t>日</w:t>
      </w:r>
      <w:r>
        <w:rPr>
          <w:rFonts w:hint="eastAsia" w:ascii="宋体" w:hAnsi="宋体" w:cs="宋体"/>
          <w:bCs/>
          <w:sz w:val="24"/>
          <w:highlight w:val="none"/>
          <w:u w:val="single"/>
        </w:rPr>
        <w:t xml:space="preserve">   </w:t>
      </w:r>
      <w:r>
        <w:rPr>
          <w:rFonts w:ascii="宋体" w:hAnsi="宋体" w:cs="宋体"/>
          <w:bCs/>
          <w:sz w:val="24"/>
          <w:highlight w:val="none"/>
          <w:u w:val="single"/>
        </w:rPr>
        <w:t>时</w:t>
      </w:r>
      <w:r>
        <w:rPr>
          <w:rFonts w:hint="eastAsia" w:ascii="宋体" w:hAnsi="宋体" w:cs="宋体"/>
          <w:bCs/>
          <w:sz w:val="24"/>
          <w:highlight w:val="none"/>
          <w:u w:val="single"/>
        </w:rPr>
        <w:t xml:space="preserve">  </w:t>
      </w:r>
      <w:r>
        <w:rPr>
          <w:rFonts w:ascii="宋体" w:hAnsi="宋体" w:cs="宋体"/>
          <w:bCs/>
          <w:sz w:val="24"/>
          <w:highlight w:val="none"/>
          <w:u w:val="single"/>
        </w:rPr>
        <w:t>分00秒（</w:t>
      </w:r>
      <w:r>
        <w:rPr>
          <w:rFonts w:hint="eastAsia" w:ascii="宋体" w:hAnsi="宋体" w:cs="宋体"/>
          <w:bCs/>
          <w:sz w:val="24"/>
          <w:highlight w:val="none"/>
        </w:rPr>
        <w:t>北京时间）前递交（上传）投标文件</w:t>
      </w:r>
      <w:r>
        <w:rPr>
          <w:rFonts w:hint="eastAsia" w:ascii="宋体" w:hAnsi="宋体" w:cs="宋体"/>
          <w:sz w:val="24"/>
          <w:highlight w:val="none"/>
        </w:rPr>
        <w:t>。</w:t>
      </w:r>
    </w:p>
    <w:p>
      <w:pPr>
        <w:pStyle w:val="2"/>
        <w:numPr>
          <w:ilvl w:val="0"/>
          <w:numId w:val="0"/>
        </w:numPr>
        <w:ind w:left="560"/>
        <w:rPr>
          <w:rFonts w:ascii="宋体" w:hAnsi="宋体" w:eastAsia="宋体" w:cs="宋体"/>
          <w:bCs w:val="0"/>
          <w:sz w:val="24"/>
          <w:szCs w:val="24"/>
          <w:highlight w:val="none"/>
        </w:rPr>
      </w:pPr>
      <w:bookmarkStart w:id="9" w:name="_Toc5566"/>
      <w:bookmarkStart w:id="10" w:name="_Toc6705"/>
      <w:bookmarkStart w:id="11" w:name="_Toc28359079"/>
      <w:bookmarkStart w:id="12" w:name="_Toc35393790"/>
      <w:bookmarkStart w:id="13" w:name="_Toc35393621"/>
      <w:bookmarkStart w:id="14" w:name="_Toc28359002"/>
      <w:bookmarkStart w:id="15" w:name="_Toc2339"/>
      <w:bookmarkStart w:id="16" w:name="_Toc13891"/>
      <w:bookmarkStart w:id="17" w:name="_Hlk24379207"/>
      <w:r>
        <w:rPr>
          <w:rFonts w:hint="eastAsia" w:ascii="宋体" w:hAnsi="宋体" w:eastAsia="宋体" w:cs="宋体"/>
          <w:bCs w:val="0"/>
          <w:sz w:val="24"/>
          <w:szCs w:val="24"/>
          <w:highlight w:val="none"/>
        </w:rPr>
        <w:t>一、项目基本情况</w:t>
      </w:r>
      <w:bookmarkEnd w:id="9"/>
      <w:bookmarkEnd w:id="10"/>
      <w:bookmarkEnd w:id="11"/>
      <w:bookmarkEnd w:id="12"/>
      <w:bookmarkEnd w:id="13"/>
      <w:bookmarkEnd w:id="14"/>
      <w:bookmarkEnd w:id="15"/>
      <w:bookmarkEnd w:id="16"/>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本项目采用电子招投标。现根据《中华人民共和国政府采购法》、《政府采购货物和服务招标投标管理办法》等规定，经杭州市余杭区财政局确认书      </w:t>
      </w:r>
      <w:r>
        <w:rPr>
          <w:rFonts w:ascii="宋体" w:hAnsi="宋体" w:cs="宋体"/>
          <w:sz w:val="24"/>
          <w:highlight w:val="none"/>
        </w:rPr>
        <w:t>号</w:t>
      </w:r>
      <w:r>
        <w:rPr>
          <w:rFonts w:hint="eastAsia" w:ascii="宋体" w:hAnsi="宋体" w:cs="宋体"/>
          <w:sz w:val="24"/>
          <w:highlight w:val="none"/>
        </w:rPr>
        <w:t>批准，现就杭州市规划和自然资源局余杭分局的余杭区综合交通专项规划进行（线上电子招投标）公开招标，欢迎国内合格的供应商前来参加。</w:t>
      </w:r>
    </w:p>
    <w:p>
      <w:pPr>
        <w:spacing w:line="360" w:lineRule="auto"/>
        <w:ind w:firstLine="482" w:firstLineChars="200"/>
        <w:rPr>
          <w:rFonts w:ascii="宋体" w:hAnsi="宋体" w:cs="宋体"/>
          <w:sz w:val="24"/>
          <w:highlight w:val="none"/>
        </w:rPr>
      </w:pPr>
      <w:r>
        <w:rPr>
          <w:rFonts w:hint="eastAsia" w:ascii="宋体" w:hAnsi="宋体" w:cs="宋体"/>
          <w:b/>
          <w:bCs/>
          <w:sz w:val="24"/>
          <w:highlight w:val="none"/>
        </w:rPr>
        <w:t>项目编号：</w:t>
      </w:r>
      <w:r>
        <w:rPr>
          <w:rFonts w:hint="eastAsia" w:ascii="宋体" w:hAnsi="宋体" w:cs="宋体"/>
          <w:sz w:val="24"/>
          <w:highlight w:val="none"/>
        </w:rPr>
        <w:t>YHZFCG2021-108</w:t>
      </w:r>
    </w:p>
    <w:p>
      <w:pPr>
        <w:spacing w:line="360" w:lineRule="auto"/>
        <w:ind w:firstLine="482" w:firstLineChars="200"/>
        <w:rPr>
          <w:rFonts w:ascii="宋体" w:hAnsi="宋体" w:cs="宋体"/>
          <w:sz w:val="24"/>
        </w:rPr>
      </w:pPr>
      <w:r>
        <w:rPr>
          <w:rFonts w:hint="eastAsia" w:ascii="宋体" w:hAnsi="宋体" w:cs="宋体"/>
          <w:b/>
          <w:bCs/>
          <w:sz w:val="24"/>
        </w:rPr>
        <w:t>项目名称：</w:t>
      </w:r>
      <w:r>
        <w:rPr>
          <w:rFonts w:hint="eastAsia" w:ascii="宋体" w:hAnsi="宋体" w:cs="宋体"/>
          <w:sz w:val="24"/>
        </w:rPr>
        <w:t>余杭区综合交通专项规划</w:t>
      </w:r>
    </w:p>
    <w:p>
      <w:pPr>
        <w:spacing w:line="360" w:lineRule="auto"/>
        <w:ind w:firstLine="482" w:firstLineChars="200"/>
      </w:pPr>
      <w:r>
        <w:rPr>
          <w:rFonts w:hint="eastAsia" w:cs="宋体"/>
          <w:b/>
          <w:bCs/>
          <w:sz w:val="24"/>
        </w:rPr>
        <w:t>采购方式：</w:t>
      </w:r>
      <w:r>
        <w:rPr>
          <w:rFonts w:hint="eastAsia" w:cs="宋体"/>
          <w:sz w:val="24"/>
        </w:rPr>
        <w:t>公开招标</w:t>
      </w:r>
    </w:p>
    <w:bookmarkEnd w:id="17"/>
    <w:p>
      <w:pPr>
        <w:spacing w:line="360" w:lineRule="auto"/>
        <w:ind w:firstLine="480" w:firstLineChars="200"/>
      </w:pPr>
      <w:r>
        <w:rPr>
          <w:rFonts w:hint="eastAsia" w:ascii="宋体" w:hAnsi="宋体" w:cs="宋体"/>
          <w:sz w:val="24"/>
        </w:rPr>
        <w:t>预算金额（元）：</w:t>
      </w:r>
      <w:r>
        <w:rPr>
          <w:rFonts w:ascii="宋体" w:hAnsi="宋体" w:cs="宋体"/>
          <w:sz w:val="24"/>
        </w:rPr>
        <w:t>3700000元；</w:t>
      </w:r>
    </w:p>
    <w:p>
      <w:pPr>
        <w:spacing w:line="360" w:lineRule="auto"/>
        <w:ind w:firstLine="482" w:firstLineChars="200"/>
        <w:rPr>
          <w:rFonts w:ascii="宋体" w:hAnsi="宋体" w:cs="宋体"/>
          <w:sz w:val="24"/>
        </w:rPr>
      </w:pPr>
      <w:r>
        <w:rPr>
          <w:rFonts w:hint="eastAsia" w:ascii="宋体" w:hAnsi="宋体" w:cs="宋体"/>
          <w:b/>
          <w:bCs/>
          <w:sz w:val="24"/>
        </w:rPr>
        <w:t>最高限价（元）：</w:t>
      </w:r>
      <w:r>
        <w:rPr>
          <w:rFonts w:ascii="宋体" w:hAnsi="宋体" w:cs="宋体"/>
          <w:sz w:val="24"/>
        </w:rPr>
        <w:t>3700000元</w:t>
      </w:r>
      <w:r>
        <w:rPr>
          <w:rFonts w:hint="eastAsia" w:ascii="宋体" w:hAnsi="宋体" w:cs="宋体"/>
          <w:sz w:val="24"/>
        </w:rPr>
        <w:t>；</w:t>
      </w:r>
    </w:p>
    <w:p>
      <w:pPr>
        <w:adjustRightInd w:val="0"/>
        <w:snapToGrid w:val="0"/>
        <w:spacing w:line="360" w:lineRule="auto"/>
        <w:ind w:firstLine="480"/>
        <w:rPr>
          <w:rFonts w:ascii="宋体" w:hAnsi="宋体" w:cs="宋体"/>
          <w:sz w:val="24"/>
        </w:rPr>
      </w:pPr>
      <w:r>
        <w:rPr>
          <w:rFonts w:hint="eastAsia" w:ascii="宋体" w:hAnsi="宋体" w:cs="宋体"/>
          <w:b/>
          <w:bCs/>
          <w:sz w:val="24"/>
        </w:rPr>
        <w:t>采购需求：</w:t>
      </w:r>
      <w:r>
        <w:rPr>
          <w:rFonts w:hint="eastAsia" w:ascii="宋体" w:hAnsi="宋体" w:cs="宋体"/>
          <w:sz w:val="24"/>
        </w:rPr>
        <w:t xml:space="preserve">余杭区综合交通专项规划编制，具体内容和相关要求详见招标文件“第三部分——项目技术规范和服务要求”。  </w:t>
      </w:r>
    </w:p>
    <w:p>
      <w:pPr>
        <w:spacing w:line="360" w:lineRule="auto"/>
        <w:ind w:firstLine="482" w:firstLineChars="200"/>
        <w:rPr>
          <w:rFonts w:ascii="宋体" w:hAnsi="宋体" w:cs="宋体"/>
          <w:sz w:val="24"/>
        </w:rPr>
      </w:pPr>
      <w:r>
        <w:rPr>
          <w:rFonts w:hint="eastAsia" w:ascii="宋体" w:hAnsi="宋体" w:cs="宋体"/>
          <w:b/>
          <w:bCs/>
          <w:sz w:val="24"/>
        </w:rPr>
        <w:t>标项名称</w:t>
      </w:r>
      <w:r>
        <w:rPr>
          <w:rFonts w:ascii="宋体" w:hAnsi="宋体" w:cs="宋体"/>
          <w:b/>
          <w:bCs/>
          <w:sz w:val="24"/>
        </w:rPr>
        <w:t xml:space="preserve">: </w:t>
      </w:r>
      <w:r>
        <w:rPr>
          <w:rFonts w:hint="eastAsia" w:ascii="宋体" w:hAnsi="宋体" w:cs="宋体"/>
          <w:sz w:val="24"/>
        </w:rPr>
        <w:t>余杭区综合交通专项规划</w:t>
      </w:r>
    </w:p>
    <w:p>
      <w:pPr>
        <w:spacing w:line="360" w:lineRule="auto"/>
        <w:ind w:firstLine="480" w:firstLineChars="200"/>
        <w:rPr>
          <w:sz w:val="24"/>
        </w:rPr>
      </w:pPr>
      <w:r>
        <w:rPr>
          <w:rFonts w:hint="eastAsia"/>
          <w:sz w:val="24"/>
        </w:rPr>
        <w:t>数量：不限；</w:t>
      </w:r>
    </w:p>
    <w:p>
      <w:pPr>
        <w:spacing w:line="360" w:lineRule="auto"/>
        <w:ind w:firstLine="480" w:firstLineChars="200"/>
        <w:rPr>
          <w:rFonts w:ascii="宋体" w:hAnsi="宋体" w:cs="宋体"/>
          <w:sz w:val="24"/>
        </w:rPr>
      </w:pPr>
      <w:r>
        <w:rPr>
          <w:rFonts w:hint="eastAsia" w:ascii="宋体" w:hAnsi="宋体" w:cs="宋体"/>
          <w:sz w:val="24"/>
        </w:rPr>
        <w:t>预算金额（元）：</w:t>
      </w:r>
      <w:r>
        <w:rPr>
          <w:rFonts w:ascii="宋体" w:hAnsi="宋体" w:cs="宋体"/>
          <w:sz w:val="24"/>
        </w:rPr>
        <w:t>3700000元；</w:t>
      </w:r>
    </w:p>
    <w:p>
      <w:pPr>
        <w:spacing w:line="360" w:lineRule="auto"/>
        <w:ind w:firstLine="482" w:firstLineChars="200"/>
        <w:rPr>
          <w:rFonts w:ascii="宋体" w:hAnsi="宋体" w:cs="宋体"/>
          <w:sz w:val="24"/>
        </w:rPr>
      </w:pPr>
      <w:r>
        <w:rPr>
          <w:rFonts w:hint="eastAsia" w:ascii="宋体" w:hAnsi="宋体" w:cs="宋体"/>
          <w:b/>
          <w:bCs/>
          <w:sz w:val="24"/>
        </w:rPr>
        <w:t>简要规格描述或项目基本概况介绍、用途：</w:t>
      </w:r>
      <w:r>
        <w:rPr>
          <w:rFonts w:hint="eastAsia" w:ascii="宋体" w:hAnsi="宋体" w:cs="宋体"/>
          <w:sz w:val="24"/>
        </w:rPr>
        <w:t xml:space="preserve">余杭区综合交通专项规划，具体内容和相关要求详见招标文件“第三部分——项目技术规范和服务要求”。  </w:t>
      </w:r>
    </w:p>
    <w:p>
      <w:pPr>
        <w:spacing w:line="360" w:lineRule="auto"/>
        <w:ind w:firstLine="482" w:firstLineChars="200"/>
        <w:rPr>
          <w:rFonts w:ascii="宋体" w:hAnsi="宋体" w:cs="宋体"/>
          <w:bCs/>
          <w:color w:val="000000"/>
          <w:sz w:val="24"/>
        </w:rPr>
      </w:pPr>
      <w:r>
        <w:rPr>
          <w:rFonts w:hint="eastAsia" w:ascii="宋体" w:hAnsi="宋体" w:cs="宋体"/>
          <w:b/>
          <w:bCs/>
          <w:sz w:val="24"/>
        </w:rPr>
        <w:t>合同履行期限：</w:t>
      </w:r>
      <w:r>
        <w:rPr>
          <w:rFonts w:hint="eastAsia" w:ascii="宋体" w:hAnsi="宋体" w:cs="宋体"/>
          <w:sz w:val="24"/>
        </w:rPr>
        <w:t>详见招标文件“第三部分——项目技术规范和服务要求”</w:t>
      </w:r>
      <w:r>
        <w:rPr>
          <w:rFonts w:hint="eastAsia" w:ascii="宋体" w:hAnsi="宋体" w:cs="宋体"/>
          <w:bCs/>
          <w:color w:val="000000"/>
          <w:sz w:val="24"/>
        </w:rPr>
        <w:t>。</w:t>
      </w:r>
    </w:p>
    <w:p>
      <w:pPr>
        <w:spacing w:line="360" w:lineRule="auto"/>
        <w:ind w:firstLine="482" w:firstLineChars="200"/>
        <w:rPr>
          <w:rFonts w:ascii="宋体" w:hAnsi="宋体" w:cs="宋体"/>
          <w:b/>
          <w:bCs/>
          <w:sz w:val="24"/>
        </w:rPr>
      </w:pPr>
      <w:r>
        <w:rPr>
          <w:rFonts w:hint="eastAsia" w:ascii="宋体" w:hAnsi="宋体" w:cs="宋体"/>
          <w:b/>
          <w:bCs/>
          <w:sz w:val="24"/>
        </w:rPr>
        <w:t>注：本项目不接受联合体投标。</w:t>
      </w:r>
    </w:p>
    <w:p>
      <w:pPr>
        <w:tabs>
          <w:tab w:val="left" w:pos="1110"/>
        </w:tabs>
        <w:spacing w:line="360" w:lineRule="auto"/>
        <w:ind w:firstLine="482" w:firstLineChars="200"/>
        <w:outlineLvl w:val="0"/>
        <w:rPr>
          <w:rFonts w:ascii="宋体" w:hAnsi="宋体" w:cs="宋体"/>
          <w:b/>
          <w:bCs/>
          <w:sz w:val="24"/>
        </w:rPr>
      </w:pPr>
      <w:bookmarkStart w:id="18" w:name="_Toc28359080"/>
      <w:bookmarkStart w:id="19" w:name="_Toc14323"/>
      <w:bookmarkStart w:id="20" w:name="_Toc22492"/>
      <w:bookmarkStart w:id="21" w:name="_Toc28359003"/>
      <w:bookmarkStart w:id="22" w:name="_Toc35393622"/>
      <w:bookmarkStart w:id="23" w:name="_Toc35393791"/>
      <w:bookmarkStart w:id="24" w:name="_Toc20293"/>
      <w:r>
        <w:rPr>
          <w:rFonts w:hint="eastAsia" w:ascii="宋体" w:hAnsi="宋体" w:cs="宋体"/>
          <w:b/>
          <w:bCs/>
          <w:sz w:val="24"/>
        </w:rPr>
        <w:t>二、申请人的资格要求：</w:t>
      </w:r>
      <w:bookmarkEnd w:id="18"/>
      <w:bookmarkEnd w:id="19"/>
      <w:bookmarkEnd w:id="20"/>
      <w:bookmarkEnd w:id="21"/>
      <w:bookmarkEnd w:id="22"/>
      <w:bookmarkEnd w:id="23"/>
      <w:bookmarkEnd w:id="24"/>
    </w:p>
    <w:p>
      <w:pPr>
        <w:spacing w:line="360" w:lineRule="auto"/>
        <w:ind w:firstLine="480" w:firstLineChars="200"/>
        <w:rPr>
          <w:rFonts w:ascii="宋体" w:hAnsi="宋体" w:cs="宋体"/>
          <w:sz w:val="24"/>
        </w:rPr>
      </w:pPr>
      <w:r>
        <w:rPr>
          <w:rFonts w:hint="eastAsia" w:ascii="宋体" w:hAnsi="宋体" w:cs="宋体"/>
          <w:sz w:val="24"/>
        </w:rPr>
        <w:t>1、满足《中华人民共和国政府采购法》第二十二条规定；</w:t>
      </w:r>
    </w:p>
    <w:p>
      <w:pPr>
        <w:spacing w:line="360" w:lineRule="auto"/>
        <w:ind w:firstLine="480" w:firstLineChars="200"/>
        <w:rPr>
          <w:rFonts w:ascii="宋体" w:hAnsi="宋体" w:cs="宋体"/>
          <w:sz w:val="24"/>
        </w:rPr>
      </w:pPr>
      <w:r>
        <w:rPr>
          <w:rFonts w:hint="eastAsia" w:ascii="宋体" w:hAnsi="宋体" w:cs="宋体"/>
          <w:sz w:val="24"/>
        </w:rPr>
        <w:t>2、落实政府采购政策需满足的资格要求：无</w:t>
      </w:r>
      <w:bookmarkStart w:id="25" w:name="_Toc28359004"/>
      <w:bookmarkStart w:id="26" w:name="_Toc28359081"/>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3、本项目的特定资格要求：</w:t>
      </w:r>
    </w:p>
    <w:p>
      <w:pPr>
        <w:spacing w:line="360" w:lineRule="auto"/>
        <w:ind w:firstLine="482" w:firstLineChars="200"/>
        <w:rPr>
          <w:rFonts w:ascii="宋体" w:hAnsi="宋体" w:cs="宋体"/>
          <w:b/>
          <w:bCs/>
          <w:sz w:val="24"/>
        </w:rPr>
      </w:pPr>
      <w:r>
        <w:rPr>
          <w:rFonts w:hint="eastAsia" w:ascii="宋体" w:hAnsi="宋体" w:cs="宋体"/>
          <w:b/>
          <w:bCs/>
          <w:sz w:val="24"/>
        </w:rPr>
        <w:t>(1)具备甲级城乡规划编制资质；</w:t>
      </w:r>
    </w:p>
    <w:p>
      <w:pPr>
        <w:widowControl/>
        <w:numPr>
          <w:ilvl w:val="255"/>
          <w:numId w:val="0"/>
        </w:numPr>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（2）单位负责人为同一人或者存在直接控股、管理关系的不同供应商，不得参加同一合同项下的政府采购活动；</w:t>
      </w:r>
    </w:p>
    <w:p>
      <w:pPr>
        <w:widowControl/>
        <w:numPr>
          <w:ilvl w:val="255"/>
          <w:numId w:val="0"/>
        </w:numPr>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（3）供应商未被列入失信被执行人名单、重大税收违法案件当事人名单、政府采购严重违法失信行为记录名单，信用信息以信用中国网站（www.creditchina.gov.cn）、中国政府采购网（www.ccgp.gov.cn）公布为准；</w:t>
      </w:r>
    </w:p>
    <w:p>
      <w:pPr>
        <w:widowControl/>
        <w:numPr>
          <w:ilvl w:val="255"/>
          <w:numId w:val="0"/>
        </w:numPr>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（4）公益一类事业单位、使用事业编制且由财政拨款保障的群团组织，不作为政府购买服务的购买主体和承接主体；</w:t>
      </w:r>
    </w:p>
    <w:p>
      <w:pPr>
        <w:spacing w:line="360" w:lineRule="auto"/>
        <w:ind w:firstLine="482" w:firstLineChars="200"/>
        <w:rPr>
          <w:rFonts w:ascii="宋体" w:hAnsi="宋体" w:cs="宋体"/>
          <w:b/>
          <w:bCs/>
          <w:sz w:val="24"/>
        </w:rPr>
      </w:pPr>
      <w:r>
        <w:rPr>
          <w:rFonts w:hint="eastAsia" w:ascii="宋体" w:hAnsi="宋体" w:cs="宋体"/>
          <w:b/>
          <w:bCs/>
          <w:sz w:val="24"/>
        </w:rPr>
        <w:t>注：本项目不接受联合体投标。</w:t>
      </w:r>
    </w:p>
    <w:p>
      <w:pPr>
        <w:pStyle w:val="2"/>
        <w:numPr>
          <w:ilvl w:val="0"/>
          <w:numId w:val="0"/>
        </w:numPr>
        <w:ind w:left="560"/>
        <w:rPr>
          <w:rFonts w:ascii="宋体" w:hAnsi="宋体" w:eastAsia="宋体" w:cs="宋体"/>
          <w:bCs w:val="0"/>
          <w:sz w:val="24"/>
          <w:szCs w:val="24"/>
        </w:rPr>
      </w:pPr>
      <w:bookmarkStart w:id="27" w:name="_Toc4442"/>
      <w:bookmarkStart w:id="28" w:name="_Toc938"/>
      <w:bookmarkStart w:id="29" w:name="_Toc2454"/>
      <w:bookmarkStart w:id="30" w:name="_Toc35393623"/>
      <w:bookmarkStart w:id="31" w:name="_Toc35393792"/>
      <w:bookmarkStart w:id="32" w:name="_Toc27531"/>
      <w:r>
        <w:rPr>
          <w:rFonts w:hint="eastAsia" w:ascii="宋体" w:hAnsi="宋体" w:eastAsia="宋体" w:cs="宋体"/>
          <w:bCs w:val="0"/>
          <w:sz w:val="24"/>
          <w:szCs w:val="24"/>
        </w:rPr>
        <w:t>三、获取招标文件</w:t>
      </w:r>
      <w:bookmarkEnd w:id="25"/>
      <w:bookmarkEnd w:id="26"/>
      <w:bookmarkEnd w:id="27"/>
      <w:bookmarkEnd w:id="28"/>
      <w:bookmarkEnd w:id="29"/>
      <w:bookmarkEnd w:id="30"/>
      <w:bookmarkEnd w:id="31"/>
      <w:bookmarkEnd w:id="32"/>
    </w:p>
    <w:p>
      <w:pPr>
        <w:spacing w:line="360" w:lineRule="auto"/>
        <w:ind w:firstLine="482" w:firstLineChars="200"/>
        <w:rPr>
          <w:rFonts w:ascii="宋体" w:hAnsi="宋体" w:cs="宋体"/>
          <w:sz w:val="24"/>
        </w:rPr>
      </w:pPr>
      <w:r>
        <w:rPr>
          <w:rFonts w:hint="eastAsia" w:ascii="宋体" w:hAnsi="宋体" w:cs="宋体"/>
          <w:b/>
          <w:bCs/>
          <w:sz w:val="24"/>
        </w:rPr>
        <w:t>时间：</w:t>
      </w:r>
      <w:r>
        <w:rPr>
          <w:rFonts w:hint="eastAsia" w:ascii="宋体" w:hAnsi="宋体" w:cs="宋体"/>
          <w:sz w:val="24"/>
          <w:u w:val="single"/>
        </w:rPr>
        <w:t>/</w:t>
      </w:r>
      <w:r>
        <w:rPr>
          <w:rFonts w:hint="eastAsia" w:ascii="宋体" w:hAnsi="宋体" w:cs="宋体"/>
          <w:sz w:val="24"/>
        </w:rPr>
        <w:t>至</w:t>
      </w:r>
      <w:r>
        <w:rPr>
          <w:rFonts w:ascii="宋体" w:hAnsi="宋体" w:cs="宋体"/>
          <w:sz w:val="24"/>
          <w:u w:val="single"/>
        </w:rPr>
        <w:t>2021年</w:t>
      </w:r>
      <w:r>
        <w:rPr>
          <w:rFonts w:hint="eastAsia" w:ascii="宋体" w:hAnsi="宋体" w:cs="宋体"/>
          <w:sz w:val="24"/>
          <w:u w:val="single"/>
        </w:rPr>
        <w:t xml:space="preserve">   </w:t>
      </w:r>
      <w:r>
        <w:rPr>
          <w:rFonts w:ascii="宋体" w:hAnsi="宋体" w:cs="宋体"/>
          <w:sz w:val="24"/>
          <w:u w:val="single"/>
        </w:rPr>
        <w:t>月</w:t>
      </w:r>
      <w:r>
        <w:rPr>
          <w:rFonts w:hint="eastAsia" w:ascii="宋体" w:hAnsi="宋体" w:cs="宋体"/>
          <w:sz w:val="24"/>
          <w:u w:val="single"/>
        </w:rPr>
        <w:t xml:space="preserve">  </w:t>
      </w:r>
      <w:r>
        <w:rPr>
          <w:rFonts w:ascii="宋体" w:hAnsi="宋体" w:cs="宋体"/>
          <w:sz w:val="24"/>
          <w:u w:val="single"/>
        </w:rPr>
        <w:t>日</w:t>
      </w:r>
      <w:r>
        <w:rPr>
          <w:rFonts w:hint="eastAsia" w:ascii="宋体" w:hAnsi="宋体" w:cs="宋体"/>
          <w:sz w:val="24"/>
        </w:rPr>
        <w:t>，每天北京时间上午</w:t>
      </w:r>
      <w:r>
        <w:rPr>
          <w:rFonts w:ascii="宋体" w:hAnsi="宋体" w:cs="宋体"/>
          <w:sz w:val="24"/>
          <w:u w:val="single"/>
        </w:rPr>
        <w:t>00:00</w:t>
      </w:r>
      <w:r>
        <w:rPr>
          <w:rFonts w:hint="eastAsia" w:ascii="宋体" w:hAnsi="宋体" w:cs="宋体"/>
          <w:sz w:val="24"/>
        </w:rPr>
        <w:t>至</w:t>
      </w:r>
      <w:r>
        <w:rPr>
          <w:rFonts w:ascii="宋体" w:hAnsi="宋体" w:cs="宋体"/>
          <w:sz w:val="24"/>
          <w:u w:val="single"/>
        </w:rPr>
        <w:t>12:00</w:t>
      </w:r>
      <w:r>
        <w:rPr>
          <w:rFonts w:hint="eastAsia" w:ascii="宋体" w:hAnsi="宋体" w:cs="宋体"/>
          <w:sz w:val="24"/>
        </w:rPr>
        <w:t>，下午</w:t>
      </w:r>
      <w:r>
        <w:rPr>
          <w:rFonts w:ascii="宋体" w:hAnsi="宋体" w:cs="宋体"/>
          <w:sz w:val="24"/>
          <w:u w:val="single"/>
        </w:rPr>
        <w:t>12:00</w:t>
      </w:r>
      <w:r>
        <w:rPr>
          <w:rFonts w:hint="eastAsia" w:ascii="宋体" w:hAnsi="宋体" w:cs="宋体"/>
          <w:sz w:val="24"/>
        </w:rPr>
        <w:t>至</w:t>
      </w:r>
      <w:r>
        <w:rPr>
          <w:rFonts w:ascii="宋体" w:hAnsi="宋体" w:cs="宋体"/>
          <w:sz w:val="24"/>
          <w:u w:val="single"/>
        </w:rPr>
        <w:t>23:59</w:t>
      </w:r>
      <w:r>
        <w:rPr>
          <w:rFonts w:hint="eastAsia" w:ascii="宋体" w:hAnsi="宋体" w:cs="宋体"/>
          <w:sz w:val="24"/>
        </w:rPr>
        <w:t>，投标截止时间前线上获取（</w:t>
      </w:r>
      <w:r>
        <w:rPr>
          <w:rFonts w:hint="eastAsia" w:ascii="宋体" w:hAnsi="宋体" w:cs="宋体"/>
          <w:sz w:val="24"/>
          <w:u w:val="single"/>
        </w:rPr>
        <w:t>政采云平台（</w:t>
      </w:r>
      <w:r>
        <w:rPr>
          <w:rFonts w:ascii="宋体" w:hAnsi="宋体" w:cs="宋体"/>
          <w:sz w:val="24"/>
          <w:u w:val="single"/>
        </w:rPr>
        <w:t>http://zfcg.czt.zj.gov.cn）</w:t>
      </w:r>
      <w:r>
        <w:rPr>
          <w:rFonts w:hint="eastAsia" w:ascii="宋体" w:hAnsi="宋体" w:cs="宋体"/>
          <w:sz w:val="24"/>
        </w:rPr>
        <w:t>下载招标文件；</w:t>
      </w:r>
    </w:p>
    <w:p>
      <w:pPr>
        <w:spacing w:line="360" w:lineRule="auto"/>
        <w:ind w:firstLine="540"/>
        <w:rPr>
          <w:rFonts w:ascii="宋体" w:hAnsi="宋体" w:cs="宋体"/>
          <w:sz w:val="24"/>
          <w:u w:val="single"/>
        </w:rPr>
      </w:pPr>
      <w:r>
        <w:rPr>
          <w:rFonts w:hint="eastAsia" w:ascii="宋体" w:hAnsi="宋体" w:cs="宋体"/>
          <w:b/>
          <w:bCs/>
          <w:sz w:val="24"/>
        </w:rPr>
        <w:t>地点（网址）：</w:t>
      </w:r>
      <w:r>
        <w:rPr>
          <w:rFonts w:hint="eastAsia" w:ascii="宋体" w:hAnsi="宋体" w:cs="宋体"/>
          <w:sz w:val="24"/>
          <w:u w:val="single"/>
        </w:rPr>
        <w:t>政采云平台（http://zfcg.czt.zj.gov.cn）</w:t>
      </w:r>
      <w:r>
        <w:rPr>
          <w:rFonts w:hint="eastAsia" w:ascii="宋体" w:hAnsi="宋体" w:cs="宋体"/>
          <w:sz w:val="24"/>
        </w:rPr>
        <w:t>；</w:t>
      </w:r>
    </w:p>
    <w:p>
      <w:pPr>
        <w:spacing w:line="360" w:lineRule="auto"/>
        <w:ind w:firstLine="540"/>
        <w:rPr>
          <w:rFonts w:ascii="宋体" w:hAnsi="宋体" w:cs="宋体"/>
          <w:sz w:val="24"/>
          <w:u w:val="single"/>
        </w:rPr>
      </w:pPr>
      <w:r>
        <w:rPr>
          <w:rFonts w:hint="eastAsia" w:ascii="宋体" w:hAnsi="宋体" w:cs="宋体"/>
          <w:b/>
          <w:bCs/>
          <w:sz w:val="24"/>
        </w:rPr>
        <w:t>方式：</w:t>
      </w:r>
      <w:r>
        <w:rPr>
          <w:rFonts w:hint="eastAsia" w:ascii="宋体" w:hAnsi="宋体" w:cs="宋体"/>
          <w:sz w:val="24"/>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540"/>
        <w:rPr>
          <w:rFonts w:ascii="宋体" w:hAnsi="宋体" w:cs="宋体"/>
          <w:sz w:val="24"/>
        </w:rPr>
      </w:pPr>
      <w:r>
        <w:rPr>
          <w:rFonts w:hint="eastAsia" w:ascii="宋体" w:hAnsi="宋体" w:cs="宋体"/>
          <w:b/>
          <w:bCs/>
          <w:sz w:val="24"/>
        </w:rPr>
        <w:t>售价（元）：</w:t>
      </w:r>
      <w:r>
        <w:rPr>
          <w:rFonts w:hint="eastAsia" w:ascii="宋体" w:hAnsi="宋体" w:cs="宋体"/>
          <w:sz w:val="24"/>
        </w:rPr>
        <w:t>0 。</w:t>
      </w:r>
    </w:p>
    <w:p>
      <w:pPr>
        <w:pStyle w:val="2"/>
        <w:numPr>
          <w:ilvl w:val="0"/>
          <w:numId w:val="0"/>
        </w:numPr>
        <w:ind w:left="560"/>
        <w:rPr>
          <w:rFonts w:ascii="宋体" w:hAnsi="宋体" w:eastAsia="宋体" w:cs="宋体"/>
          <w:bCs w:val="0"/>
          <w:sz w:val="24"/>
          <w:szCs w:val="24"/>
        </w:rPr>
      </w:pPr>
      <w:bookmarkStart w:id="33" w:name="_Toc28359005"/>
      <w:bookmarkStart w:id="34" w:name="_Toc28359082"/>
      <w:bookmarkStart w:id="35" w:name="_Toc35393793"/>
      <w:bookmarkStart w:id="36" w:name="_Toc14105"/>
      <w:bookmarkStart w:id="37" w:name="_Toc35393624"/>
      <w:bookmarkStart w:id="38" w:name="_Toc16675"/>
      <w:bookmarkStart w:id="39" w:name="_Toc215"/>
      <w:bookmarkStart w:id="40" w:name="_Toc20153"/>
      <w:r>
        <w:rPr>
          <w:rFonts w:hint="eastAsia" w:ascii="宋体" w:hAnsi="宋体" w:eastAsia="宋体" w:cs="宋体"/>
          <w:bCs w:val="0"/>
          <w:sz w:val="24"/>
          <w:szCs w:val="24"/>
        </w:rPr>
        <w:t>四、提交投标文件</w:t>
      </w:r>
      <w:bookmarkEnd w:id="33"/>
      <w:bookmarkEnd w:id="34"/>
      <w:r>
        <w:rPr>
          <w:rFonts w:hint="eastAsia" w:ascii="宋体" w:hAnsi="宋体" w:eastAsia="宋体" w:cs="宋体"/>
          <w:bCs w:val="0"/>
          <w:sz w:val="24"/>
          <w:szCs w:val="24"/>
        </w:rPr>
        <w:t>截止时间、开标时间和地点</w:t>
      </w:r>
      <w:bookmarkEnd w:id="35"/>
      <w:bookmarkEnd w:id="36"/>
      <w:bookmarkEnd w:id="37"/>
      <w:bookmarkEnd w:id="38"/>
      <w:bookmarkEnd w:id="39"/>
      <w:bookmarkEnd w:id="40"/>
    </w:p>
    <w:p>
      <w:pPr>
        <w:spacing w:line="360" w:lineRule="auto"/>
        <w:rPr>
          <w:rFonts w:ascii="宋体" w:hAnsi="宋体" w:cs="宋体"/>
          <w:color w:val="000000"/>
          <w:sz w:val="24"/>
        </w:rPr>
      </w:pPr>
      <w:r>
        <w:rPr>
          <w:rFonts w:hint="eastAsia" w:ascii="宋体" w:hAnsi="宋体" w:cs="宋体"/>
          <w:color w:val="FF0000"/>
          <w:sz w:val="24"/>
        </w:rPr>
        <w:t xml:space="preserve">   </w:t>
      </w:r>
      <w:r>
        <w:rPr>
          <w:rFonts w:hint="eastAsia" w:ascii="宋体" w:hAnsi="宋体" w:cs="宋体"/>
          <w:color w:val="000000"/>
          <w:sz w:val="24"/>
        </w:rPr>
        <w:t xml:space="preserve"> </w:t>
      </w:r>
      <w:r>
        <w:rPr>
          <w:rFonts w:hint="eastAsia" w:ascii="宋体" w:hAnsi="宋体" w:cs="宋体"/>
          <w:b/>
          <w:bCs/>
          <w:color w:val="000000"/>
          <w:sz w:val="24"/>
        </w:rPr>
        <w:t>提交投标文件截止时间：</w:t>
      </w:r>
      <w:r>
        <w:rPr>
          <w:rFonts w:ascii="宋体" w:hAnsi="宋体" w:cs="宋体"/>
          <w:bCs/>
          <w:color w:val="000000"/>
          <w:sz w:val="24"/>
          <w:u w:val="single"/>
        </w:rPr>
        <w:t>2021年</w:t>
      </w:r>
      <w:r>
        <w:rPr>
          <w:rFonts w:hint="eastAsia" w:ascii="宋体" w:hAnsi="宋体" w:cs="宋体"/>
          <w:sz w:val="24"/>
          <w:u w:val="single"/>
        </w:rPr>
        <w:t xml:space="preserve">   </w:t>
      </w:r>
      <w:r>
        <w:rPr>
          <w:rFonts w:ascii="宋体" w:hAnsi="宋体" w:cs="宋体"/>
          <w:sz w:val="24"/>
          <w:u w:val="single"/>
        </w:rPr>
        <w:t>月</w:t>
      </w:r>
      <w:r>
        <w:rPr>
          <w:rFonts w:hint="eastAsia" w:ascii="宋体" w:hAnsi="宋体" w:cs="宋体"/>
          <w:sz w:val="24"/>
          <w:u w:val="single"/>
        </w:rPr>
        <w:t xml:space="preserve">  </w:t>
      </w:r>
      <w:r>
        <w:rPr>
          <w:rFonts w:ascii="宋体" w:hAnsi="宋体" w:cs="宋体"/>
          <w:sz w:val="24"/>
          <w:u w:val="single"/>
        </w:rPr>
        <w:t>日</w:t>
      </w:r>
      <w:r>
        <w:rPr>
          <w:rFonts w:hint="eastAsia" w:ascii="宋体" w:hAnsi="宋体" w:cs="宋体"/>
          <w:bCs/>
          <w:color w:val="000000"/>
          <w:sz w:val="24"/>
          <w:u w:val="single"/>
        </w:rPr>
        <w:t xml:space="preserve">   </w:t>
      </w:r>
      <w:r>
        <w:rPr>
          <w:rFonts w:ascii="宋体" w:hAnsi="宋体" w:cs="宋体"/>
          <w:bCs/>
          <w:color w:val="000000"/>
          <w:sz w:val="24"/>
          <w:u w:val="single"/>
        </w:rPr>
        <w:t>时</w:t>
      </w:r>
      <w:r>
        <w:rPr>
          <w:rFonts w:hint="eastAsia" w:ascii="宋体" w:hAnsi="宋体" w:cs="宋体"/>
          <w:bCs/>
          <w:color w:val="000000"/>
          <w:sz w:val="24"/>
          <w:u w:val="single"/>
        </w:rPr>
        <w:t xml:space="preserve">  </w:t>
      </w:r>
      <w:r>
        <w:rPr>
          <w:rFonts w:ascii="宋体" w:hAnsi="宋体" w:cs="宋体"/>
          <w:bCs/>
          <w:color w:val="000000"/>
          <w:sz w:val="24"/>
          <w:u w:val="single"/>
        </w:rPr>
        <w:t>分00秒</w:t>
      </w:r>
      <w:r>
        <w:rPr>
          <w:rFonts w:hint="eastAsia" w:ascii="宋体" w:hAnsi="宋体" w:cs="宋体"/>
          <w:bCs/>
          <w:color w:val="000000"/>
          <w:sz w:val="24"/>
        </w:rPr>
        <w:t>（北京时间）；</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投标地点（网址）：</w:t>
      </w:r>
      <w:r>
        <w:rPr>
          <w:rFonts w:hint="eastAsia" w:ascii="宋体" w:hAnsi="宋体" w:cs="宋体"/>
          <w:color w:val="000000"/>
          <w:sz w:val="24"/>
        </w:rPr>
        <w:t>登陆“政府采购云平台（</w:t>
      </w:r>
      <w:r>
        <w:rPr>
          <w:rFonts w:ascii="宋体" w:hAnsi="宋体" w:cs="宋体"/>
          <w:color w:val="000000"/>
          <w:sz w:val="24"/>
        </w:rPr>
        <w:t xml:space="preserve">www.zcygov.cn）”开标大厅等候解密 </w:t>
      </w:r>
      <w:r>
        <w:rPr>
          <w:rFonts w:hint="eastAsia" w:ascii="宋体" w:hAnsi="宋体" w:cs="宋体"/>
          <w:color w:val="000000"/>
          <w:sz w:val="24"/>
        </w:rPr>
        <w:t>；</w:t>
      </w:r>
    </w:p>
    <w:p>
      <w:pPr>
        <w:spacing w:line="360" w:lineRule="auto"/>
        <w:rPr>
          <w:rFonts w:ascii="宋体" w:hAnsi="宋体" w:cs="宋体"/>
          <w:color w:val="000000"/>
          <w:sz w:val="24"/>
        </w:rPr>
      </w:pPr>
      <w:r>
        <w:rPr>
          <w:rFonts w:ascii="宋体" w:hAnsi="宋体" w:cs="宋体"/>
          <w:color w:val="000000"/>
          <w:sz w:val="24"/>
        </w:rPr>
        <w:t xml:space="preserve">   </w:t>
      </w:r>
      <w:r>
        <w:rPr>
          <w:rFonts w:ascii="宋体" w:hAnsi="宋体" w:cs="宋体"/>
          <w:b/>
          <w:bCs/>
          <w:color w:val="000000"/>
          <w:sz w:val="24"/>
        </w:rPr>
        <w:t xml:space="preserve"> 开标时间：2021年</w:t>
      </w:r>
      <w:r>
        <w:rPr>
          <w:rFonts w:hint="eastAsia" w:ascii="宋体" w:hAnsi="宋体" w:cs="宋体"/>
          <w:sz w:val="24"/>
          <w:u w:val="single"/>
        </w:rPr>
        <w:t xml:space="preserve">   </w:t>
      </w:r>
      <w:r>
        <w:rPr>
          <w:rFonts w:ascii="宋体" w:hAnsi="宋体" w:cs="宋体"/>
          <w:sz w:val="24"/>
          <w:u w:val="single"/>
        </w:rPr>
        <w:t>月</w:t>
      </w:r>
      <w:r>
        <w:rPr>
          <w:rFonts w:hint="eastAsia" w:ascii="宋体" w:hAnsi="宋体" w:cs="宋体"/>
          <w:sz w:val="24"/>
          <w:u w:val="single"/>
        </w:rPr>
        <w:t xml:space="preserve">  </w:t>
      </w:r>
      <w:r>
        <w:rPr>
          <w:rFonts w:ascii="宋体" w:hAnsi="宋体" w:cs="宋体"/>
          <w:sz w:val="24"/>
          <w:u w:val="single"/>
        </w:rPr>
        <w:t>日</w:t>
      </w:r>
      <w:r>
        <w:rPr>
          <w:rFonts w:hint="eastAsia" w:ascii="宋体" w:hAnsi="宋体" w:cs="宋体"/>
          <w:bCs/>
          <w:color w:val="000000"/>
          <w:sz w:val="24"/>
          <w:u w:val="single"/>
        </w:rPr>
        <w:t xml:space="preserve">   </w:t>
      </w:r>
      <w:r>
        <w:rPr>
          <w:rFonts w:ascii="宋体" w:hAnsi="宋体" w:cs="宋体"/>
          <w:bCs/>
          <w:color w:val="000000"/>
          <w:sz w:val="24"/>
          <w:u w:val="single"/>
        </w:rPr>
        <w:t>时</w:t>
      </w:r>
      <w:r>
        <w:rPr>
          <w:rFonts w:hint="eastAsia" w:ascii="宋体" w:hAnsi="宋体" w:cs="宋体"/>
          <w:bCs/>
          <w:color w:val="000000"/>
          <w:sz w:val="24"/>
          <w:u w:val="single"/>
        </w:rPr>
        <w:t xml:space="preserve">   </w:t>
      </w:r>
      <w:r>
        <w:rPr>
          <w:rFonts w:ascii="宋体" w:hAnsi="宋体" w:cs="宋体"/>
          <w:bCs/>
          <w:color w:val="000000"/>
          <w:sz w:val="24"/>
          <w:u w:val="single"/>
        </w:rPr>
        <w:t>分00秒</w:t>
      </w:r>
      <w:r>
        <w:rPr>
          <w:rFonts w:hint="eastAsia" w:ascii="宋体" w:hAnsi="宋体" w:cs="宋体"/>
          <w:bCs/>
          <w:color w:val="000000"/>
          <w:sz w:val="24"/>
        </w:rPr>
        <w:t>（北京时间）；</w:t>
      </w:r>
    </w:p>
    <w:p>
      <w:pPr>
        <w:spacing w:line="360" w:lineRule="auto"/>
        <w:rPr>
          <w:rFonts w:ascii="宋体" w:hAnsi="宋体" w:cs="宋体"/>
          <w:sz w:val="24"/>
        </w:rPr>
      </w:pPr>
      <w:r>
        <w:rPr>
          <w:rFonts w:ascii="宋体" w:hAnsi="宋体" w:cs="宋体"/>
          <w:sz w:val="24"/>
        </w:rPr>
        <w:t xml:space="preserve">    </w:t>
      </w:r>
      <w:r>
        <w:rPr>
          <w:rFonts w:hint="eastAsia" w:ascii="宋体" w:hAnsi="宋体" w:cs="宋体"/>
          <w:b/>
          <w:bCs/>
          <w:sz w:val="24"/>
        </w:rPr>
        <w:t>开标地点（网址）：</w:t>
      </w:r>
      <w:r>
        <w:rPr>
          <w:rFonts w:hint="eastAsia" w:ascii="宋体" w:hAnsi="宋体" w:cs="宋体"/>
          <w:sz w:val="24"/>
        </w:rPr>
        <w:t>在线登陆“政府采购云平台（</w:t>
      </w:r>
      <w:r>
        <w:rPr>
          <w:rFonts w:ascii="宋体" w:hAnsi="宋体" w:cs="宋体"/>
          <w:sz w:val="24"/>
        </w:rPr>
        <w:t xml:space="preserve">www.zcygov.cn）”响应开标；  </w:t>
      </w:r>
    </w:p>
    <w:p>
      <w:pPr>
        <w:snapToGrid w:val="0"/>
        <w:spacing w:line="360" w:lineRule="auto"/>
        <w:ind w:firstLine="482" w:firstLineChars="200"/>
        <w:rPr>
          <w:rFonts w:ascii="宋体" w:hAnsi="宋体" w:cs="宋体"/>
          <w:sz w:val="24"/>
        </w:rPr>
      </w:pPr>
      <w:r>
        <w:rPr>
          <w:rFonts w:hint="eastAsia" w:ascii="宋体" w:hAnsi="宋体" w:cs="宋体"/>
          <w:b/>
          <w:color w:val="000000"/>
          <w:kern w:val="0"/>
          <w:sz w:val="24"/>
        </w:rPr>
        <w:t>组织机构线下开标地点：</w:t>
      </w:r>
      <w:r>
        <w:rPr>
          <w:rFonts w:hint="eastAsia" w:ascii="宋体" w:hAnsi="宋体" w:cs="宋体"/>
          <w:bCs/>
          <w:color w:val="000000"/>
          <w:kern w:val="0"/>
          <w:sz w:val="24"/>
        </w:rPr>
        <w:t>杭州市余杭区联创街</w:t>
      </w:r>
      <w:r>
        <w:rPr>
          <w:rFonts w:ascii="宋体" w:hAnsi="宋体" w:cs="宋体"/>
          <w:bCs/>
          <w:color w:val="000000"/>
          <w:kern w:val="0"/>
          <w:sz w:val="24"/>
        </w:rPr>
        <w:t>77号</w:t>
      </w:r>
      <w:r>
        <w:rPr>
          <w:rFonts w:hint="eastAsia" w:ascii="宋体" w:hAnsi="宋体" w:cs="宋体"/>
          <w:bCs/>
          <w:color w:val="000000"/>
          <w:kern w:val="0"/>
          <w:sz w:val="24"/>
        </w:rPr>
        <w:t>汇银中心</w:t>
      </w:r>
      <w:r>
        <w:rPr>
          <w:rFonts w:ascii="宋体" w:hAnsi="宋体" w:cs="宋体"/>
          <w:bCs/>
          <w:color w:val="000000"/>
          <w:kern w:val="0"/>
          <w:sz w:val="24"/>
        </w:rPr>
        <w:t>3幢2单元2楼会议室</w:t>
      </w:r>
      <w:r>
        <w:rPr>
          <w:rFonts w:hint="eastAsia" w:ascii="宋体" w:hAnsi="宋体" w:cs="宋体"/>
          <w:kern w:val="0"/>
          <w:sz w:val="24"/>
        </w:rPr>
        <w:t>。</w:t>
      </w:r>
    </w:p>
    <w:p>
      <w:pPr>
        <w:pStyle w:val="2"/>
        <w:numPr>
          <w:ilvl w:val="0"/>
          <w:numId w:val="0"/>
        </w:numPr>
        <w:ind w:left="560"/>
        <w:rPr>
          <w:rFonts w:ascii="宋体" w:hAnsi="宋体" w:eastAsia="宋体" w:cs="宋体"/>
          <w:bCs w:val="0"/>
          <w:sz w:val="24"/>
          <w:szCs w:val="24"/>
        </w:rPr>
      </w:pPr>
      <w:bookmarkStart w:id="41" w:name="_Toc32381"/>
      <w:bookmarkStart w:id="42" w:name="_Toc28359084"/>
      <w:bookmarkStart w:id="43" w:name="_Toc35393625"/>
      <w:bookmarkStart w:id="44" w:name="_Toc22455"/>
      <w:bookmarkStart w:id="45" w:name="_Toc35393794"/>
      <w:bookmarkStart w:id="46" w:name="_Toc28359007"/>
      <w:bookmarkStart w:id="47" w:name="_Toc16411"/>
      <w:bookmarkStart w:id="48" w:name="_Toc17812"/>
      <w:r>
        <w:rPr>
          <w:rFonts w:hint="eastAsia" w:ascii="宋体" w:hAnsi="宋体" w:eastAsia="宋体" w:cs="宋体"/>
          <w:bCs w:val="0"/>
          <w:sz w:val="24"/>
          <w:szCs w:val="24"/>
        </w:rPr>
        <w:t>五、公告期限</w:t>
      </w:r>
      <w:bookmarkEnd w:id="41"/>
      <w:bookmarkEnd w:id="42"/>
      <w:bookmarkEnd w:id="43"/>
      <w:bookmarkEnd w:id="44"/>
      <w:bookmarkEnd w:id="45"/>
      <w:bookmarkEnd w:id="46"/>
      <w:bookmarkEnd w:id="47"/>
      <w:bookmarkEnd w:id="48"/>
    </w:p>
    <w:p>
      <w:pPr>
        <w:spacing w:line="360" w:lineRule="auto"/>
        <w:ind w:firstLine="480" w:firstLineChars="200"/>
        <w:rPr>
          <w:rFonts w:ascii="宋体" w:hAnsi="宋体" w:cs="宋体"/>
          <w:kern w:val="0"/>
          <w:sz w:val="24"/>
        </w:rPr>
      </w:pPr>
      <w:r>
        <w:rPr>
          <w:rFonts w:hint="eastAsia" w:ascii="宋体" w:hAnsi="宋体" w:cs="宋体"/>
          <w:kern w:val="0"/>
          <w:sz w:val="24"/>
        </w:rPr>
        <w:t>自本公告发布之日起</w:t>
      </w:r>
      <w:r>
        <w:rPr>
          <w:rFonts w:ascii="宋体" w:hAnsi="宋体" w:cs="宋体"/>
          <w:kern w:val="0"/>
          <w:sz w:val="24"/>
        </w:rPr>
        <w:t>5个工作日</w:t>
      </w:r>
      <w:r>
        <w:rPr>
          <w:rFonts w:hint="eastAsia" w:ascii="宋体" w:hAnsi="宋体" w:cs="宋体"/>
          <w:kern w:val="0"/>
          <w:sz w:val="24"/>
        </w:rPr>
        <w:t>。</w:t>
      </w:r>
    </w:p>
    <w:p>
      <w:pPr>
        <w:pStyle w:val="2"/>
        <w:numPr>
          <w:ilvl w:val="0"/>
          <w:numId w:val="0"/>
        </w:numPr>
        <w:ind w:left="560"/>
        <w:rPr>
          <w:rFonts w:ascii="宋体" w:hAnsi="宋体" w:eastAsia="宋体" w:cs="宋体"/>
          <w:bCs w:val="0"/>
          <w:sz w:val="24"/>
          <w:szCs w:val="24"/>
        </w:rPr>
      </w:pPr>
      <w:bookmarkStart w:id="49" w:name="_Toc4074"/>
      <w:bookmarkStart w:id="50" w:name="_Toc35393795"/>
      <w:bookmarkStart w:id="51" w:name="_Toc25534"/>
      <w:bookmarkStart w:id="52" w:name="_Toc6855"/>
      <w:bookmarkStart w:id="53" w:name="_Toc35393626"/>
      <w:bookmarkStart w:id="54" w:name="_Toc14180"/>
      <w:r>
        <w:rPr>
          <w:rFonts w:hint="eastAsia" w:ascii="宋体" w:hAnsi="宋体" w:eastAsia="宋体" w:cs="宋体"/>
          <w:bCs w:val="0"/>
          <w:sz w:val="24"/>
          <w:szCs w:val="24"/>
        </w:rPr>
        <w:t>六、其他补充事宜</w:t>
      </w:r>
      <w:bookmarkEnd w:id="49"/>
      <w:bookmarkEnd w:id="50"/>
      <w:bookmarkEnd w:id="51"/>
      <w:bookmarkEnd w:id="52"/>
      <w:bookmarkEnd w:id="53"/>
      <w:bookmarkEnd w:id="54"/>
    </w:p>
    <w:p>
      <w:pPr>
        <w:spacing w:line="360" w:lineRule="auto"/>
        <w:ind w:firstLine="480" w:firstLineChars="200"/>
        <w:outlineLvl w:val="1"/>
        <w:rPr>
          <w:rFonts w:ascii="宋体" w:hAnsi="宋体" w:cs="宋体"/>
          <w:b/>
          <w:bCs/>
          <w:color w:val="000000"/>
          <w:sz w:val="24"/>
        </w:rPr>
      </w:pPr>
      <w:bookmarkStart w:id="55" w:name="_Toc4249"/>
      <w:r>
        <w:rPr>
          <w:rFonts w:hint="eastAsia" w:ascii="宋体" w:hAnsi="宋体" w:cs="宋体"/>
          <w:sz w:val="24"/>
        </w:rPr>
        <w:t>（一）</w:t>
      </w:r>
      <w:r>
        <w:rPr>
          <w:rFonts w:hint="eastAsia" w:ascii="宋体" w:hAnsi="宋体" w:cs="宋体"/>
          <w:b/>
          <w:bCs/>
          <w:color w:val="000000"/>
          <w:sz w:val="24"/>
        </w:rPr>
        <w:t>在线投标响应（电子投标）说明：</w:t>
      </w:r>
      <w:bookmarkEnd w:id="55"/>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1、</w:t>
      </w:r>
      <w:r>
        <w:rPr>
          <w:rFonts w:hint="eastAsia" w:ascii="宋体" w:hAnsi="宋体" w:cs="宋体"/>
          <w:b/>
          <w:bCs/>
          <w:color w:val="000000"/>
          <w:sz w:val="24"/>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宋体"/>
          <w:b/>
          <w:bCs/>
          <w:color w:val="000000"/>
          <w:sz w:val="24"/>
        </w:rPr>
        <w:t>。</w:t>
      </w:r>
    </w:p>
    <w:p>
      <w:pPr>
        <w:spacing w:line="360" w:lineRule="auto"/>
        <w:ind w:firstLine="422" w:firstLineChars="176"/>
        <w:rPr>
          <w:rFonts w:ascii="宋体" w:hAnsi="宋体" w:cs="宋体"/>
          <w:color w:val="000000"/>
          <w:sz w:val="24"/>
        </w:rPr>
      </w:pPr>
      <w:r>
        <w:rPr>
          <w:rFonts w:hint="eastAsia" w:ascii="宋体" w:hAnsi="宋体" w:cs="宋体"/>
          <w:color w:val="000000"/>
          <w:sz w:val="24"/>
        </w:rPr>
        <w:t>“政采云电子交易客户端”请自行前往“浙江政府采购网-下载专区-电子交易客户端”进行下载；电子投标具体操作详见“政府采购项目电子交易管理操作指南-供应商”及“政府采购项目电子交易管理操作视频-供应商”通过“政府采购云平台”参与查阅，在线投标时如遇平台技术问题详询400-881-7190。</w:t>
      </w:r>
    </w:p>
    <w:p>
      <w:pPr>
        <w:spacing w:line="360" w:lineRule="auto"/>
        <w:ind w:firstLine="480" w:firstLineChars="200"/>
        <w:rPr>
          <w:rFonts w:ascii="宋体" w:hAnsi="宋体" w:cs="宋体"/>
          <w:sz w:val="24"/>
        </w:rPr>
      </w:pPr>
      <w:r>
        <w:rPr>
          <w:rFonts w:hint="eastAsia" w:ascii="宋体" w:hAnsi="宋体" w:cs="宋体"/>
          <w:sz w:val="24"/>
        </w:rPr>
        <w:t>投标人应在开标前完成CA数字证书办理。建议各投标人抓紧时间办理。</w:t>
      </w:r>
    </w:p>
    <w:p>
      <w:pPr>
        <w:spacing w:line="360" w:lineRule="auto"/>
        <w:ind w:firstLine="480" w:firstLineChars="200"/>
        <w:rPr>
          <w:rFonts w:ascii="宋体" w:hAnsi="宋体" w:cs="宋体"/>
          <w:sz w:val="24"/>
        </w:rPr>
      </w:pPr>
      <w:r>
        <w:rPr>
          <w:rFonts w:hint="eastAsia" w:ascii="宋体" w:hAnsi="宋体" w:cs="宋体"/>
          <w:sz w:val="24"/>
        </w:rPr>
        <w:t>投标人通过政采云平台电子投标工具制作投标文件，电子投标工具请供应商自行前往浙江省政府采购网下载并安装。</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2、</w:t>
      </w:r>
      <w:r>
        <w:rPr>
          <w:rFonts w:hint="eastAsia" w:ascii="宋体" w:hAnsi="宋体" w:cs="宋体"/>
          <w:b/>
          <w:bCs/>
          <w:color w:val="000000"/>
          <w:sz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
          <w:bCs/>
          <w:color w:val="000000"/>
          <w:sz w:val="24"/>
        </w:rPr>
        <w:t>。使用“政采云电子交易客户端”需要提前申领CA数字证书，申领流程请自行前往“浙江政府采购网-下载专区-电子交易客户端-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\o "CA驱动和申领流程" </w:instrText>
      </w:r>
      <w:r>
        <w:fldChar w:fldCharType="separate"/>
      </w:r>
      <w:r>
        <w:rPr>
          <w:rStyle w:val="86"/>
          <w:rFonts w:hint="eastAsia" w:ascii="宋体" w:hAnsi="宋体" w:cs="宋体"/>
          <w:b/>
          <w:bCs/>
          <w:color w:val="000000"/>
          <w:sz w:val="24"/>
        </w:rPr>
        <w:t>CA驱动和申领流程</w:t>
      </w:r>
      <w:r>
        <w:rPr>
          <w:rStyle w:val="86"/>
          <w:rFonts w:hint="eastAsia" w:ascii="宋体" w:hAnsi="宋体" w:cs="宋体"/>
          <w:b/>
          <w:bCs/>
          <w:color w:val="000000"/>
          <w:sz w:val="24"/>
        </w:rPr>
        <w:fldChar w:fldCharType="end"/>
      </w:r>
      <w:r>
        <w:rPr>
          <w:rFonts w:hint="eastAsia" w:ascii="宋体" w:hAnsi="宋体" w:cs="宋体"/>
          <w:b/>
          <w:bCs/>
          <w:color w:val="000000"/>
          <w:sz w:val="24"/>
        </w:rPr>
        <w:t>”进行查阅；</w:t>
      </w:r>
    </w:p>
    <w:p>
      <w:pPr>
        <w:spacing w:line="360" w:lineRule="auto"/>
        <w:ind w:firstLine="424" w:firstLineChars="176"/>
        <w:rPr>
          <w:rFonts w:ascii="宋体" w:hAnsi="宋体" w:cs="宋体"/>
          <w:color w:val="000000"/>
          <w:sz w:val="24"/>
        </w:rPr>
      </w:pPr>
      <w:r>
        <w:rPr>
          <w:rFonts w:hint="eastAsia" w:ascii="宋体" w:hAnsi="宋体" w:cs="宋体"/>
          <w:b/>
          <w:bCs/>
          <w:color w:val="000000"/>
          <w:sz w:val="24"/>
        </w:rPr>
        <w:t>3、</w:t>
      </w:r>
      <w:r>
        <w:rPr>
          <w:rFonts w:hint="eastAsia" w:ascii="宋体" w:hAnsi="宋体" w:cs="宋体"/>
          <w:b/>
          <w:bCs/>
          <w:color w:val="000000"/>
          <w:sz w:val="24"/>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4、</w:t>
      </w:r>
      <w:r>
        <w:rPr>
          <w:rFonts w:hint="eastAsia" w:ascii="宋体" w:hAnsi="宋体" w:cs="宋体"/>
          <w:b/>
          <w:bCs/>
          <w:color w:val="000000"/>
          <w:sz w:val="24"/>
          <w:u w:val="single"/>
        </w:rPr>
        <w:t>投标供应商在“政府采购云平台”完成“电子加密投标文件”的上传递交后，还可以（建议顺丰邮寄形式）在投标截止时间前递交以介质（U盘）存储的数据电文形式的“备份投标文件”，“备份投标文件”应当密封包装并在包装上标注投标项目名称、投标单位名称并加盖公章</w:t>
      </w:r>
      <w:r>
        <w:rPr>
          <w:rFonts w:hint="eastAsia" w:ascii="宋体" w:hAnsi="宋体" w:cs="宋体"/>
          <w:b/>
          <w:bCs/>
          <w:color w:val="000000"/>
          <w:sz w:val="24"/>
        </w:rPr>
        <w:t>。</w:t>
      </w:r>
    </w:p>
    <w:p>
      <w:pPr>
        <w:spacing w:line="360" w:lineRule="auto"/>
        <w:ind w:firstLine="424" w:firstLineChars="176"/>
        <w:rPr>
          <w:rFonts w:ascii="宋体" w:hAnsi="宋体" w:cs="宋体"/>
          <w:b/>
          <w:bCs/>
          <w:color w:val="000000"/>
          <w:sz w:val="24"/>
        </w:rPr>
      </w:pPr>
      <w:r>
        <w:rPr>
          <w:rFonts w:hint="eastAsia" w:ascii="宋体" w:hAnsi="宋体" w:cs="宋体"/>
          <w:b/>
          <w:bCs/>
          <w:color w:val="000000"/>
          <w:sz w:val="24"/>
        </w:rPr>
        <w:t>5、通过“政府采购云平台”上传递交的“电子加密投标文件”无法按时解密，投标供应商递交了备份投标文件的，以备份投标文件为依据，否则视为投标文件撤回。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p>
      <w:pPr>
        <w:pStyle w:val="31"/>
        <w:autoSpaceDE w:val="0"/>
        <w:spacing w:line="360" w:lineRule="auto"/>
        <w:rPr>
          <w:rFonts w:ascii="宋体" w:hAnsi="宋体" w:eastAsia="宋体" w:cs="宋体"/>
          <w:sz w:val="24"/>
          <w:szCs w:val="24"/>
        </w:rPr>
      </w:pPr>
      <w:r>
        <w:rPr>
          <w:rFonts w:hint="eastAsia" w:ascii="宋体" w:hAnsi="宋体" w:eastAsia="宋体" w:cs="宋体"/>
          <w:b/>
          <w:bCs/>
          <w:color w:val="000000"/>
          <w:sz w:val="24"/>
          <w:szCs w:val="24"/>
        </w:rPr>
        <w:t>6、“政府采购项目电子交易管理操作指南-供应商”及“政府采购项目电子交易管理操作视频-供应商”，获取方式：供应商账号密码登陆政采云平台后点击我的的工作台，然后点击“服务中心”后下拉框内找到“帮助文档”点击打开在搜索处直接查找即可找到帮忙文档及视频进行查看学习操作流程。</w:t>
      </w:r>
    </w:p>
    <w:p>
      <w:pPr>
        <w:widowControl/>
        <w:autoSpaceDE w:val="0"/>
        <w:snapToGrid w:val="0"/>
        <w:spacing w:line="360" w:lineRule="auto"/>
        <w:ind w:firstLine="482" w:firstLineChars="200"/>
        <w:jc w:val="left"/>
        <w:rPr>
          <w:rFonts w:ascii="宋体" w:hAnsi="宋体" w:cs="宋体"/>
          <w:sz w:val="24"/>
        </w:rPr>
      </w:pPr>
      <w:r>
        <w:rPr>
          <w:rFonts w:hint="eastAsia" w:ascii="宋体" w:hAnsi="宋体" w:cs="宋体"/>
          <w:b/>
          <w:bCs/>
          <w:color w:val="000000"/>
          <w:kern w:val="0"/>
          <w:sz w:val="24"/>
        </w:rPr>
        <w:t>注：请供应商按上述要求获取招标文件，如未在“</w:t>
      </w:r>
      <w:r>
        <w:rPr>
          <w:rFonts w:hint="eastAsia" w:ascii="宋体" w:hAnsi="宋体" w:cs="宋体"/>
          <w:b/>
          <w:bCs/>
          <w:sz w:val="24"/>
        </w:rPr>
        <w:t>政采云”系统内完成相关流程，引起的投标无效责任自负。</w:t>
      </w:r>
    </w:p>
    <w:p>
      <w:pPr>
        <w:widowControl/>
        <w:snapToGrid w:val="0"/>
        <w:spacing w:line="360" w:lineRule="auto"/>
        <w:ind w:left="482"/>
        <w:jc w:val="left"/>
        <w:outlineLvl w:val="1"/>
        <w:rPr>
          <w:rFonts w:ascii="宋体" w:hAnsi="宋体" w:cs="宋体"/>
          <w:b/>
          <w:color w:val="000000"/>
          <w:kern w:val="0"/>
          <w:sz w:val="24"/>
        </w:rPr>
      </w:pPr>
      <w:bookmarkStart w:id="56" w:name="_Toc9917"/>
      <w:r>
        <w:rPr>
          <w:rFonts w:hint="eastAsia" w:ascii="宋体" w:hAnsi="宋体" w:cs="宋体"/>
          <w:sz w:val="24"/>
        </w:rPr>
        <w:t>（二）</w:t>
      </w:r>
      <w:r>
        <w:rPr>
          <w:rFonts w:hint="eastAsia" w:ascii="宋体" w:hAnsi="宋体" w:cs="宋体"/>
          <w:b/>
          <w:color w:val="000000"/>
          <w:kern w:val="0"/>
          <w:sz w:val="24"/>
        </w:rPr>
        <w:t>其他事项：</w:t>
      </w:r>
      <w:bookmarkEnd w:id="56"/>
    </w:p>
    <w:p>
      <w:pPr>
        <w:snapToGrid w:val="0"/>
        <w:spacing w:line="360" w:lineRule="auto"/>
        <w:ind w:firstLine="482" w:firstLineChars="200"/>
        <w:jc w:val="left"/>
        <w:rPr>
          <w:rFonts w:ascii="宋体" w:hAnsi="宋体" w:cs="宋体"/>
          <w:b/>
          <w:bCs/>
          <w:color w:val="000000"/>
          <w:sz w:val="24"/>
        </w:rPr>
      </w:pPr>
      <w:r>
        <w:rPr>
          <w:rFonts w:hint="eastAsia" w:ascii="宋体" w:hAnsi="宋体" w:cs="宋体"/>
          <w:b/>
          <w:bCs/>
          <w:color w:val="000000"/>
          <w:sz w:val="24"/>
        </w:rPr>
        <w:t>1、质疑事项：</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）投标人如认为招标公告信息使自身的合法权益受到损害的，应于自招标公告发布之日起七个工作日内以书面形式向采购代理机构提出质疑。</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书面提出，否则，采购代理机构可不予接受。</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（3）投标人如认为采购过程使自身的合法权益受到损害的，应于自各采购程序环节结束之日起七个工作日内，以书面形式向采购代理机构提出质疑。</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（4）投标人如认为中标结果使自身的合法权益受到损害的，应于自中标结果公告期限（公告期限为</w:t>
      </w:r>
      <w:r>
        <w:rPr>
          <w:rFonts w:ascii="宋体" w:hAnsi="宋体" w:cs="宋体"/>
          <w:color w:val="000000"/>
          <w:sz w:val="24"/>
        </w:rPr>
        <w:t>1</w:t>
      </w:r>
      <w:r>
        <w:rPr>
          <w:rFonts w:hint="eastAsia" w:ascii="宋体" w:hAnsi="宋体" w:cs="宋体"/>
          <w:color w:val="000000"/>
          <w:sz w:val="24"/>
        </w:rPr>
        <w:t>个工作日）届满之日起七个工作日内，以书面形式向采购代理机构提出质疑。</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2、投标人提出质疑应当提交质疑函的和必要的证明材料，« 政府采购供应商质疑函范本»下载地址：浙江政府采购网,质疑函应当包括下列内容:</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供应商的姓名或者名称、地址、邮编、联系人及联系电话；</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质疑项目的名称、编号；</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具体、明确的质疑事项和与质疑事项相关的请求；</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事实依据；</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必要的法律依据；</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提出质疑的日期。</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投标人为法人或者其他组织的，应当由法定代表人、主要负责人，或者其授权代表签字或者盖章，并加盖公章。</w:t>
      </w:r>
    </w:p>
    <w:p>
      <w:pPr>
        <w:numPr>
          <w:ilvl w:val="0"/>
          <w:numId w:val="10"/>
        </w:num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提出质疑的供应商应当是参与本项招标活动的投标人，在法定质疑期内应一次性提出针对同一采购程序环节的质疑。</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4、根据《政府采购质疑和投诉办法》第三十七条的规定，投诉人在全国范围12个月内三次以上投诉查无实据的，由财政部门列入不良行为记录名单</w:t>
      </w:r>
      <w:r>
        <w:rPr>
          <w:rFonts w:hint="eastAsia" w:ascii="宋体" w:hAnsi="宋体" w:cs="宋体"/>
          <w:color w:val="000000"/>
          <w:sz w:val="24"/>
        </w:rPr>
        <w:t>。</w:t>
      </w:r>
    </w:p>
    <w:p>
      <w:pPr>
        <w:adjustRightInd w:val="0"/>
        <w:snapToGrid w:val="0"/>
        <w:spacing w:line="360" w:lineRule="auto"/>
        <w:ind w:firstLine="482" w:firstLineChars="200"/>
        <w:rPr>
          <w:rFonts w:ascii="宋体" w:hAnsi="宋体" w:cs="宋体"/>
          <w:sz w:val="24"/>
        </w:rPr>
      </w:pPr>
      <w:r>
        <w:rPr>
          <w:rFonts w:hint="eastAsia" w:ascii="宋体" w:hAnsi="宋体" w:cs="宋体"/>
          <w:b/>
          <w:bCs/>
          <w:color w:val="000000"/>
          <w:sz w:val="24"/>
        </w:rPr>
        <w:t>5、投诉事项：</w:t>
      </w:r>
      <w:r>
        <w:rPr>
          <w:rFonts w:hint="eastAsia" w:ascii="宋体" w:hAnsi="宋体" w:cs="宋体"/>
          <w:color w:val="000000"/>
          <w:sz w:val="24"/>
        </w:rPr>
        <w:t>投标人对采购代理机构的质疑答复不满意或者采购代理机构未在规定时间内作出答复的，</w:t>
      </w:r>
      <w:r>
        <w:rPr>
          <w:rFonts w:hint="eastAsia" w:ascii="宋体" w:hAnsi="宋体" w:cs="宋体"/>
          <w:sz w:val="24"/>
        </w:rPr>
        <w:t>可以在答复期满后十五个工作日内向同级政府采购监督管理部门余杭区财政局采购监管科投诉。</w:t>
      </w:r>
    </w:p>
    <w:p>
      <w:pPr>
        <w:pStyle w:val="2"/>
        <w:numPr>
          <w:ilvl w:val="0"/>
          <w:numId w:val="0"/>
        </w:numPr>
        <w:ind w:firstLine="482" w:firstLineChars="200"/>
        <w:rPr>
          <w:rFonts w:ascii="宋体" w:hAnsi="宋体" w:eastAsia="宋体" w:cs="宋体"/>
          <w:bCs w:val="0"/>
          <w:sz w:val="24"/>
          <w:szCs w:val="24"/>
        </w:rPr>
      </w:pPr>
      <w:bookmarkStart w:id="57" w:name="_Toc806"/>
      <w:bookmarkStart w:id="58" w:name="_Toc28359085"/>
      <w:bookmarkStart w:id="59" w:name="_Toc23779"/>
      <w:bookmarkStart w:id="60" w:name="_Toc35393627"/>
      <w:bookmarkStart w:id="61" w:name="_Toc13940"/>
      <w:bookmarkStart w:id="62" w:name="_Toc28359008"/>
      <w:bookmarkStart w:id="63" w:name="_Toc12484"/>
      <w:bookmarkStart w:id="64" w:name="_Toc35393796"/>
      <w:r>
        <w:rPr>
          <w:rFonts w:hint="eastAsia" w:ascii="宋体" w:hAnsi="宋体" w:eastAsia="宋体" w:cs="宋体"/>
          <w:bCs w:val="0"/>
          <w:sz w:val="24"/>
          <w:szCs w:val="24"/>
        </w:rPr>
        <w:t>七、对本次招标提出询问、质疑、投诉，请按以下方式联系</w:t>
      </w:r>
      <w:bookmarkEnd w:id="57"/>
      <w:bookmarkEnd w:id="58"/>
      <w:bookmarkEnd w:id="59"/>
      <w:bookmarkEnd w:id="60"/>
      <w:bookmarkEnd w:id="61"/>
      <w:bookmarkEnd w:id="62"/>
      <w:bookmarkEnd w:id="63"/>
      <w:bookmarkEnd w:id="64"/>
    </w:p>
    <w:p>
      <w:pPr>
        <w:widowControl/>
        <w:spacing w:line="360" w:lineRule="auto"/>
        <w:jc w:val="left"/>
        <w:outlineLvl w:val="1"/>
        <w:rPr>
          <w:rFonts w:ascii="宋体" w:hAnsi="宋体" w:cs="宋体"/>
          <w:b/>
          <w:color w:val="000000"/>
          <w:sz w:val="24"/>
        </w:rPr>
      </w:pPr>
      <w:r>
        <w:rPr>
          <w:rFonts w:hint="eastAsia" w:ascii="宋体" w:hAnsi="宋体" w:cs="宋体"/>
          <w:b/>
          <w:sz w:val="24"/>
        </w:rPr>
        <w:t>　　</w:t>
      </w:r>
      <w:bookmarkStart w:id="65" w:name="_Toc9749"/>
      <w:r>
        <w:rPr>
          <w:rFonts w:ascii="宋体" w:hAnsi="宋体" w:cs="宋体"/>
          <w:b/>
          <w:sz w:val="24"/>
        </w:rPr>
        <w:t>1.采购人信息</w:t>
      </w:r>
      <w:bookmarkEnd w:id="65"/>
    </w:p>
    <w:p>
      <w:pPr>
        <w:widowControl/>
        <w:spacing w:line="360" w:lineRule="auto"/>
        <w:ind w:firstLine="480" w:firstLineChars="200"/>
        <w:jc w:val="left"/>
        <w:rPr>
          <w:rFonts w:ascii="宋体" w:hAnsi="宋体" w:cs="宋体"/>
          <w:bCs/>
          <w:color w:val="000000"/>
          <w:sz w:val="24"/>
        </w:rPr>
      </w:pPr>
      <w:r>
        <w:rPr>
          <w:rFonts w:hint="eastAsia" w:ascii="宋体" w:hAnsi="宋体" w:cs="宋体"/>
          <w:sz w:val="24"/>
        </w:rPr>
        <w:t>名称：杭州市规划和自然资源局余杭分局</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地址：杭州市余杭区溪沁路</w:t>
      </w:r>
      <w:r>
        <w:rPr>
          <w:rFonts w:ascii="宋体" w:hAnsi="宋体" w:cs="宋体"/>
          <w:color w:val="000000"/>
          <w:sz w:val="24"/>
        </w:rPr>
        <w:t>8号1单元5层（中国电信浙江创新园）。</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项目联系人（询问）：杨女士</w:t>
      </w:r>
      <w:r>
        <w:rPr>
          <w:rFonts w:ascii="宋体" w:hAnsi="宋体" w:cs="宋体"/>
          <w:color w:val="000000"/>
          <w:sz w:val="24"/>
        </w:rPr>
        <w:t xml:space="preserve">         </w:t>
      </w:r>
      <w:r>
        <w:rPr>
          <w:rFonts w:hint="eastAsia" w:ascii="宋体" w:hAnsi="宋体" w:cs="宋体"/>
          <w:color w:val="000000"/>
          <w:sz w:val="24"/>
        </w:rPr>
        <w:t>联系电话：</w:t>
      </w:r>
      <w:r>
        <w:rPr>
          <w:rFonts w:ascii="宋体" w:hAnsi="宋体" w:cs="宋体"/>
          <w:color w:val="000000"/>
          <w:sz w:val="24"/>
        </w:rPr>
        <w:t>0571-89391693</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质疑联系人：</w:t>
      </w:r>
      <w:r>
        <w:rPr>
          <w:rFonts w:hint="eastAsia" w:ascii="宋体" w:hAnsi="宋体" w:cs="宋体"/>
          <w:color w:val="000000"/>
          <w:kern w:val="0"/>
          <w:sz w:val="24"/>
        </w:rPr>
        <w:t>徐先生</w:t>
      </w:r>
      <w:r>
        <w:rPr>
          <w:rFonts w:ascii="宋体" w:hAnsi="宋体" w:cs="宋体"/>
          <w:color w:val="000000"/>
          <w:sz w:val="24"/>
        </w:rPr>
        <w:t xml:space="preserve">                 联系电话：</w:t>
      </w:r>
      <w:r>
        <w:rPr>
          <w:rFonts w:ascii="宋体" w:hAnsi="宋体" w:cs="宋体"/>
          <w:color w:val="000000"/>
          <w:kern w:val="0"/>
          <w:sz w:val="24"/>
        </w:rPr>
        <w:t xml:space="preserve">0571-89391692 </w:t>
      </w:r>
    </w:p>
    <w:p>
      <w:pPr>
        <w:widowControl/>
        <w:spacing w:line="360" w:lineRule="auto"/>
        <w:ind w:firstLine="482" w:firstLineChars="200"/>
        <w:jc w:val="left"/>
        <w:outlineLvl w:val="1"/>
        <w:rPr>
          <w:rFonts w:ascii="宋体" w:hAnsi="宋体" w:cs="宋体"/>
          <w:b/>
          <w:sz w:val="24"/>
        </w:rPr>
      </w:pPr>
      <w:bookmarkStart w:id="66" w:name="_Toc31571"/>
      <w:bookmarkStart w:id="67" w:name="_Toc28359086"/>
      <w:bookmarkStart w:id="68" w:name="_Toc28359009"/>
      <w:r>
        <w:rPr>
          <w:rFonts w:ascii="宋体" w:hAnsi="宋体" w:cs="宋体"/>
          <w:b/>
          <w:sz w:val="24"/>
        </w:rPr>
        <w:t>2.采购代理机构信息</w:t>
      </w:r>
      <w:bookmarkEnd w:id="66"/>
      <w:bookmarkEnd w:id="67"/>
      <w:bookmarkEnd w:id="68"/>
    </w:p>
    <w:p>
      <w:pPr>
        <w:spacing w:line="360" w:lineRule="auto"/>
        <w:ind w:firstLine="480" w:firstLineChars="200"/>
        <w:rPr>
          <w:rFonts w:ascii="宋体" w:hAnsi="宋体" w:cs="宋体"/>
          <w:sz w:val="24"/>
        </w:rPr>
      </w:pPr>
      <w:r>
        <w:rPr>
          <w:rFonts w:hint="eastAsia" w:ascii="宋体" w:hAnsi="宋体" w:cs="宋体"/>
          <w:sz w:val="24"/>
        </w:rPr>
        <w:t>名称：耀华建设管理有限公司</w:t>
      </w:r>
    </w:p>
    <w:p>
      <w:pPr>
        <w:spacing w:line="360" w:lineRule="auto"/>
        <w:ind w:firstLine="480" w:firstLineChars="200"/>
        <w:rPr>
          <w:rFonts w:ascii="宋体" w:hAnsi="宋体" w:cs="宋体"/>
          <w:sz w:val="24"/>
        </w:rPr>
      </w:pPr>
      <w:r>
        <w:rPr>
          <w:rFonts w:hint="eastAsia" w:ascii="宋体" w:hAnsi="宋体" w:cs="宋体"/>
          <w:sz w:val="24"/>
        </w:rPr>
        <w:t>地址：杭州市临平区南苑街道华元欢乐城</w:t>
      </w:r>
      <w:r>
        <w:rPr>
          <w:rFonts w:ascii="宋体" w:hAnsi="宋体" w:cs="宋体"/>
          <w:sz w:val="24"/>
        </w:rPr>
        <w:t>-华</w:t>
      </w:r>
      <w:r>
        <w:rPr>
          <w:rFonts w:hint="eastAsia" w:ascii="宋体" w:hAnsi="宋体" w:cs="宋体"/>
          <w:sz w:val="24"/>
        </w:rPr>
        <w:t>元大厦</w:t>
      </w:r>
      <w:r>
        <w:rPr>
          <w:rFonts w:ascii="宋体" w:hAnsi="宋体" w:cs="宋体"/>
          <w:sz w:val="24"/>
        </w:rPr>
        <w:t>20层2022办公室。</w:t>
      </w:r>
    </w:p>
    <w:p>
      <w:pPr>
        <w:spacing w:line="360" w:lineRule="auto"/>
        <w:ind w:firstLine="480" w:firstLineChars="200"/>
        <w:rPr>
          <w:rFonts w:ascii="宋体" w:hAnsi="宋体" w:cs="宋体"/>
          <w:color w:val="000000"/>
          <w:sz w:val="24"/>
        </w:rPr>
      </w:pPr>
      <w:r>
        <w:rPr>
          <w:rFonts w:hint="eastAsia" w:ascii="宋体" w:hAnsi="宋体" w:cs="宋体"/>
          <w:sz w:val="24"/>
        </w:rPr>
        <w:t>项目联系人（</w:t>
      </w:r>
      <w:r>
        <w:rPr>
          <w:rFonts w:hint="eastAsia" w:ascii="宋体" w:hAnsi="宋体" w:cs="宋体"/>
          <w:color w:val="000000"/>
          <w:sz w:val="24"/>
        </w:rPr>
        <w:t>询问）：周聪聪</w:t>
      </w:r>
      <w:r>
        <w:rPr>
          <w:rFonts w:ascii="宋体" w:hAnsi="宋体" w:cs="宋体"/>
          <w:color w:val="000000"/>
          <w:sz w:val="24"/>
        </w:rPr>
        <w:t xml:space="preserve">           </w:t>
      </w:r>
      <w:r>
        <w:rPr>
          <w:rFonts w:hint="eastAsia" w:ascii="宋体" w:hAnsi="宋体" w:cs="宋体"/>
          <w:color w:val="000000"/>
          <w:sz w:val="24"/>
        </w:rPr>
        <w:t>联系电话：</w:t>
      </w:r>
      <w:r>
        <w:rPr>
          <w:rFonts w:ascii="宋体" w:hAnsi="宋体" w:cs="宋体"/>
          <w:color w:val="000000"/>
          <w:sz w:val="24"/>
        </w:rPr>
        <w:t>0571-86320706</w:t>
      </w:r>
    </w:p>
    <w:p>
      <w:pPr>
        <w:spacing w:line="360" w:lineRule="auto"/>
        <w:ind w:firstLine="480" w:firstLineChars="200"/>
        <w:rPr>
          <w:rFonts w:ascii="宋体" w:hAnsi="宋体" w:cs="宋体"/>
          <w:sz w:val="24"/>
        </w:rPr>
      </w:pPr>
      <w:r>
        <w:rPr>
          <w:rFonts w:hint="eastAsia" w:ascii="宋体" w:hAnsi="宋体" w:cs="宋体"/>
          <w:color w:val="000000"/>
          <w:sz w:val="24"/>
        </w:rPr>
        <w:t>质疑联系人：单成燕</w:t>
      </w:r>
      <w:r>
        <w:rPr>
          <w:rFonts w:ascii="宋体" w:hAnsi="宋体" w:cs="宋体"/>
          <w:color w:val="000000"/>
          <w:sz w:val="24"/>
        </w:rPr>
        <w:t xml:space="preserve">                </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sz w:val="24"/>
        </w:rPr>
        <w:t>联系电话：</w:t>
      </w:r>
      <w:r>
        <w:rPr>
          <w:rFonts w:ascii="宋体" w:hAnsi="宋体" w:cs="宋体"/>
          <w:sz w:val="24"/>
        </w:rPr>
        <w:t xml:space="preserve">0571-86320727 </w:t>
      </w:r>
      <w:r>
        <w:rPr>
          <w:rFonts w:hint="eastAsia" w:ascii="宋体" w:hAnsi="宋体" w:cs="宋体"/>
          <w:sz w:val="24"/>
        </w:rPr>
        <w:t>18072887619</w:t>
      </w:r>
    </w:p>
    <w:p>
      <w:pPr>
        <w:adjustRightInd w:val="0"/>
        <w:snapToGrid w:val="0"/>
        <w:spacing w:line="360" w:lineRule="auto"/>
        <w:ind w:firstLine="482" w:firstLineChars="200"/>
        <w:outlineLvl w:val="1"/>
        <w:rPr>
          <w:rFonts w:ascii="宋体" w:hAnsi="宋体" w:cs="宋体"/>
          <w:b/>
          <w:sz w:val="24"/>
        </w:rPr>
      </w:pPr>
      <w:bookmarkStart w:id="69" w:name="_Toc28359087"/>
      <w:bookmarkStart w:id="70" w:name="_Toc28359010"/>
      <w:bookmarkStart w:id="71" w:name="_Toc19946"/>
      <w:r>
        <w:rPr>
          <w:rFonts w:ascii="宋体" w:hAnsi="宋体" w:cs="宋体"/>
          <w:b/>
          <w:sz w:val="24"/>
        </w:rPr>
        <w:t>3.</w:t>
      </w:r>
      <w:bookmarkEnd w:id="69"/>
      <w:bookmarkEnd w:id="70"/>
      <w:r>
        <w:rPr>
          <w:rFonts w:hint="eastAsia" w:ascii="宋体" w:hAnsi="宋体" w:cs="宋体"/>
          <w:b/>
          <w:sz w:val="24"/>
        </w:rPr>
        <w:t>同级政府采购监督管理部门</w:t>
      </w:r>
      <w:bookmarkEnd w:id="71"/>
    </w:p>
    <w:p>
      <w:pPr>
        <w:adjustRightInd w:val="0"/>
        <w:snapToGrid w:val="0"/>
        <w:spacing w:line="360" w:lineRule="auto"/>
        <w:ind w:firstLine="480" w:firstLineChars="200"/>
        <w:rPr>
          <w:rFonts w:ascii="宋体" w:hAnsi="宋体" w:cs="宋体"/>
          <w:sz w:val="24"/>
        </w:rPr>
      </w:pPr>
      <w:r>
        <w:rPr>
          <w:rFonts w:hint="eastAsia" w:ascii="宋体" w:hAnsi="宋体" w:cs="宋体"/>
          <w:sz w:val="24"/>
        </w:rPr>
        <w:t>名称：杭州市余杭区财政局</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地址：杭州市余杭区五常街道溪沁路</w:t>
      </w:r>
      <w:r>
        <w:rPr>
          <w:rFonts w:ascii="宋体" w:hAnsi="宋体" w:cs="宋体"/>
          <w:sz w:val="24"/>
        </w:rPr>
        <w:t>8号中国电信浙江创新园1号楼。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传真：</w:t>
      </w:r>
      <w:r>
        <w:rPr>
          <w:rFonts w:ascii="宋体" w:hAnsi="宋体" w:cs="宋体"/>
          <w:sz w:val="24"/>
        </w:rPr>
        <w:t>0571-88728858</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联系人：杜国强</w:t>
      </w:r>
      <w:r>
        <w:rPr>
          <w:rFonts w:ascii="宋体" w:hAnsi="宋体" w:cs="宋体"/>
          <w:sz w:val="24"/>
        </w:rPr>
        <w:t xml:space="preserve">        </w:t>
      </w:r>
      <w:r>
        <w:rPr>
          <w:rFonts w:hint="eastAsia" w:ascii="宋体" w:hAnsi="宋体" w:cs="宋体"/>
          <w:sz w:val="24"/>
        </w:rPr>
        <w:t>联系电话：</w:t>
      </w:r>
      <w:r>
        <w:rPr>
          <w:rFonts w:ascii="宋体" w:hAnsi="宋体" w:cs="宋体"/>
          <w:sz w:val="24"/>
        </w:rPr>
        <w:t>0571-88728858</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监督投诉电话：</w:t>
      </w:r>
      <w:r>
        <w:rPr>
          <w:rFonts w:ascii="宋体" w:hAnsi="宋体" w:cs="宋体"/>
          <w:sz w:val="24"/>
        </w:rPr>
        <w:t>0571-88728858</w:t>
      </w:r>
    </w:p>
    <w:p>
      <w:pPr>
        <w:pStyle w:val="77"/>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pStyle w:val="77"/>
        <w:ind w:firstLine="480"/>
        <w:rPr>
          <w:rFonts w:ascii="宋体" w:hAnsi="宋体" w:cs="宋体"/>
          <w:color w:val="000000"/>
          <w:sz w:val="24"/>
        </w:rPr>
      </w:pPr>
    </w:p>
    <w:p>
      <w:pPr>
        <w:spacing w:line="288" w:lineRule="auto"/>
        <w:ind w:firstLine="482" w:firstLineChars="200"/>
        <w:rPr>
          <w:rFonts w:ascii="宋体" w:hAnsi="宋体" w:cs="宋体"/>
          <w:b/>
          <w:sz w:val="24"/>
        </w:rPr>
      </w:pPr>
      <w:r>
        <w:rPr>
          <w:rFonts w:hint="eastAsia" w:ascii="宋体" w:hAnsi="宋体" w:cs="宋体"/>
          <w:b/>
          <w:sz w:val="24"/>
        </w:rPr>
        <w:t>提示：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19"/>
        <w:rPr>
          <w:rFonts w:ascii="宋体" w:hAnsi="宋体" w:cs="宋体"/>
          <w:b/>
        </w:rPr>
      </w:pPr>
    </w:p>
    <w:p>
      <w:pPr>
        <w:rPr>
          <w:rFonts w:ascii="宋体" w:hAnsi="宋体" w:cs="宋体"/>
          <w:b/>
          <w:sz w:val="24"/>
        </w:rPr>
      </w:pPr>
    </w:p>
    <w:p>
      <w:pPr>
        <w:pStyle w:val="19"/>
        <w:rPr>
          <w:rFonts w:ascii="宋体" w:hAnsi="宋体" w:cs="宋体"/>
          <w:b/>
        </w:rPr>
      </w:pPr>
    </w:p>
    <w:p>
      <w:pPr>
        <w:rPr>
          <w:rFonts w:ascii="宋体" w:hAnsi="宋体" w:cs="宋体"/>
          <w:b/>
          <w:sz w:val="24"/>
        </w:rPr>
      </w:pPr>
    </w:p>
    <w:p>
      <w:pPr>
        <w:pStyle w:val="19"/>
      </w:pPr>
    </w:p>
    <w:p>
      <w:pPr>
        <w:pStyle w:val="4"/>
        <w:numPr>
          <w:ilvl w:val="0"/>
          <w:numId w:val="9"/>
        </w:numPr>
      </w:pPr>
      <w:bookmarkStart w:id="72" w:name="_Hlt74649545"/>
      <w:bookmarkEnd w:id="72"/>
      <w:bookmarkStart w:id="73" w:name="_Hlt74707423"/>
      <w:bookmarkEnd w:id="73"/>
      <w:bookmarkStart w:id="74" w:name="_Hlt74728647"/>
      <w:bookmarkEnd w:id="74"/>
      <w:bookmarkStart w:id="75" w:name="_Hlt74729822"/>
      <w:bookmarkEnd w:id="75"/>
      <w:bookmarkStart w:id="76" w:name="_Toc2688"/>
      <w:bookmarkStart w:id="77" w:name="_Toc10675"/>
      <w:bookmarkStart w:id="78" w:name="_Toc25258"/>
      <w:bookmarkStart w:id="79" w:name="_Toc354996694"/>
      <w:bookmarkStart w:id="80" w:name="_Toc32171"/>
      <w:bookmarkStart w:id="81" w:name="_Toc31157"/>
      <w:bookmarkStart w:id="82" w:name="_Toc25378"/>
      <w:bookmarkStart w:id="83" w:name="_Toc225840107"/>
      <w:r>
        <w:rPr>
          <w:rFonts w:hint="eastAsia"/>
        </w:rPr>
        <w:t>编制和提交投标文件须知</w:t>
      </w:r>
      <w:bookmarkEnd w:id="76"/>
      <w:bookmarkEnd w:id="77"/>
      <w:bookmarkEnd w:id="78"/>
      <w:bookmarkEnd w:id="79"/>
      <w:bookmarkEnd w:id="80"/>
      <w:bookmarkEnd w:id="81"/>
      <w:bookmarkEnd w:id="82"/>
    </w:p>
    <w:p>
      <w:pPr>
        <w:keepNext/>
        <w:keepLines/>
        <w:shd w:val="clear" w:color="auto" w:fill="FFFFFF"/>
        <w:tabs>
          <w:tab w:val="left" w:pos="706"/>
        </w:tabs>
        <w:snapToGrid w:val="0"/>
        <w:spacing w:line="360" w:lineRule="auto"/>
        <w:ind w:left="560" w:firstLine="454"/>
        <w:jc w:val="center"/>
        <w:outlineLvl w:val="1"/>
        <w:rPr>
          <w:rFonts w:ascii="宋体" w:hAnsi="宋体" w:cs="宋体"/>
          <w:b/>
          <w:bCs/>
          <w:color w:val="000000"/>
          <w:sz w:val="24"/>
        </w:rPr>
      </w:pPr>
      <w:bookmarkStart w:id="84" w:name="_Toc31314"/>
      <w:bookmarkStart w:id="85" w:name="_Toc12460"/>
      <w:bookmarkStart w:id="86" w:name="_Toc9291"/>
      <w:bookmarkStart w:id="87" w:name="_Toc24979"/>
      <w:bookmarkStart w:id="88" w:name="_Toc354996695"/>
      <w:bookmarkStart w:id="89" w:name="_Toc26693"/>
      <w:bookmarkStart w:id="90" w:name="_Toc18850"/>
      <w:bookmarkStart w:id="91" w:name="_Toc233618971"/>
      <w:r>
        <w:rPr>
          <w:rFonts w:hint="eastAsia" w:ascii="宋体" w:hAnsi="宋体" w:cs="宋体"/>
          <w:b/>
          <w:bCs/>
          <w:color w:val="000000"/>
          <w:sz w:val="24"/>
        </w:rPr>
        <w:t>前 附 表</w:t>
      </w:r>
      <w:bookmarkEnd w:id="84"/>
      <w:bookmarkEnd w:id="85"/>
      <w:bookmarkEnd w:id="86"/>
      <w:bookmarkEnd w:id="87"/>
      <w:bookmarkEnd w:id="88"/>
      <w:bookmarkEnd w:id="89"/>
      <w:bookmarkEnd w:id="90"/>
      <w:bookmarkEnd w:id="91"/>
    </w:p>
    <w:tbl>
      <w:tblPr>
        <w:tblStyle w:val="78"/>
        <w:tblW w:w="101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1703"/>
        <w:gridCol w:w="77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序号</w:t>
            </w:r>
          </w:p>
        </w:tc>
        <w:tc>
          <w:tcPr>
            <w:tcW w:w="1703" w:type="dxa"/>
            <w:tcBorders>
              <w:top w:val="single" w:color="000000" w:sz="8"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条款</w:t>
            </w:r>
          </w:p>
        </w:tc>
        <w:tc>
          <w:tcPr>
            <w:tcW w:w="7754" w:type="dxa"/>
            <w:tcBorders>
              <w:top w:val="single" w:color="000000" w:sz="8" w:space="0"/>
              <w:left w:val="single" w:color="000000" w:sz="2" w:space="0"/>
              <w:bottom w:val="single" w:color="000000" w:sz="2" w:space="0"/>
              <w:right w:val="single" w:color="000000" w:sz="8"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6" w:hRule="atLeast"/>
          <w:jc w:val="center"/>
        </w:trPr>
        <w:tc>
          <w:tcPr>
            <w:tcW w:w="655" w:type="dxa"/>
            <w:tcBorders>
              <w:top w:val="single" w:color="000000" w:sz="2" w:space="0"/>
              <w:left w:val="single" w:color="000000" w:sz="8" w:space="0"/>
              <w:bottom w:val="single" w:color="000000" w:sz="2" w:space="0"/>
              <w:right w:val="single" w:color="000000" w:sz="2" w:space="0"/>
            </w:tcBorders>
            <w:vAlign w:val="bottom"/>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w:t>
            </w:r>
          </w:p>
        </w:tc>
        <w:tc>
          <w:tcPr>
            <w:tcW w:w="1703" w:type="dxa"/>
            <w:tcBorders>
              <w:top w:val="single" w:color="000000" w:sz="2" w:space="0"/>
              <w:left w:val="single" w:color="000000" w:sz="8" w:space="0"/>
              <w:bottom w:val="single" w:color="000000" w:sz="2" w:space="0"/>
              <w:right w:val="single" w:color="000000" w:sz="2" w:space="0"/>
            </w:tcBorders>
            <w:vAlign w:val="bottom"/>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项目名称</w:t>
            </w:r>
          </w:p>
        </w:tc>
        <w:tc>
          <w:tcPr>
            <w:tcW w:w="7754" w:type="dxa"/>
            <w:tcBorders>
              <w:top w:val="single" w:color="000000" w:sz="2" w:space="0"/>
              <w:left w:val="single" w:color="000000" w:sz="2" w:space="0"/>
              <w:bottom w:val="single" w:color="000000" w:sz="2" w:space="0"/>
              <w:right w:val="single" w:color="000000" w:sz="8" w:space="0"/>
            </w:tcBorders>
            <w:vAlign w:val="bottom"/>
          </w:tcPr>
          <w:p>
            <w:pPr>
              <w:widowControl/>
              <w:snapToGrid w:val="0"/>
              <w:spacing w:line="360" w:lineRule="auto"/>
              <w:jc w:val="left"/>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余杭区综合交通专项规划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9"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2</w:t>
            </w:r>
          </w:p>
        </w:tc>
        <w:tc>
          <w:tcPr>
            <w:tcW w:w="1703" w:type="dxa"/>
            <w:tcBorders>
              <w:top w:val="single" w:color="000000" w:sz="2" w:space="0"/>
              <w:left w:val="single" w:color="000000" w:sz="8" w:space="0"/>
              <w:bottom w:val="single" w:color="000000" w:sz="2" w:space="0"/>
              <w:right w:val="single" w:color="000000" w:sz="2" w:space="0"/>
            </w:tcBorders>
            <w:vAlign w:val="bottom"/>
          </w:tcPr>
          <w:p>
            <w:pPr>
              <w:spacing w:line="360" w:lineRule="auto"/>
              <w:jc w:val="center"/>
              <w:rPr>
                <w:rFonts w:ascii="宋体" w:hAnsi="宋体" w:cs="宋体"/>
                <w:b/>
                <w:bCs/>
                <w:color w:val="000000"/>
                <w:sz w:val="24"/>
              </w:rPr>
            </w:pPr>
            <w:r>
              <w:rPr>
                <w:rFonts w:hint="eastAsia" w:ascii="宋体" w:hAnsi="宋体" w:cs="宋体"/>
                <w:b/>
                <w:bCs/>
                <w:color w:val="000000"/>
                <w:sz w:val="24"/>
              </w:rPr>
              <w:t>采购内容及</w:t>
            </w:r>
          </w:p>
          <w:p>
            <w:pPr>
              <w:spacing w:line="360" w:lineRule="auto"/>
              <w:jc w:val="center"/>
              <w:rPr>
                <w:rFonts w:ascii="宋体" w:hAnsi="宋体" w:cs="宋体"/>
                <w:b/>
                <w:bCs/>
                <w:color w:val="000000"/>
                <w:sz w:val="24"/>
              </w:rPr>
            </w:pPr>
            <w:r>
              <w:rPr>
                <w:rFonts w:hint="eastAsia" w:ascii="宋体" w:hAnsi="宋体" w:cs="宋体"/>
                <w:b/>
                <w:bCs/>
                <w:color w:val="000000"/>
                <w:sz w:val="24"/>
              </w:rPr>
              <w:t>数量</w:t>
            </w:r>
          </w:p>
        </w:tc>
        <w:tc>
          <w:tcPr>
            <w:tcW w:w="7754" w:type="dxa"/>
            <w:tcBorders>
              <w:top w:val="single" w:color="000000" w:sz="2" w:space="0"/>
              <w:left w:val="single" w:color="000000" w:sz="2" w:space="0"/>
              <w:bottom w:val="single" w:color="000000" w:sz="2" w:space="0"/>
              <w:right w:val="single" w:color="000000" w:sz="8" w:space="0"/>
            </w:tcBorders>
            <w:vAlign w:val="bottom"/>
          </w:tcPr>
          <w:p>
            <w:pPr>
              <w:widowControl/>
              <w:snapToGrid w:val="0"/>
              <w:spacing w:line="360" w:lineRule="auto"/>
              <w:jc w:val="left"/>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余杭区综合交通专项规划，具体内容和相关要求详见“第三部分——项目技术规范和服务要求”。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3</w:t>
            </w:r>
          </w:p>
        </w:tc>
        <w:tc>
          <w:tcPr>
            <w:tcW w:w="1703" w:type="dxa"/>
            <w:tcBorders>
              <w:top w:val="single" w:color="000000" w:sz="2" w:space="0"/>
              <w:left w:val="single" w:color="000000" w:sz="8" w:space="0"/>
              <w:bottom w:val="single" w:color="000000" w:sz="2" w:space="0"/>
              <w:right w:val="single" w:color="000000" w:sz="2" w:space="0"/>
            </w:tcBorders>
            <w:vAlign w:val="bottom"/>
          </w:tcPr>
          <w:p>
            <w:pPr>
              <w:spacing w:line="360" w:lineRule="auto"/>
              <w:jc w:val="center"/>
              <w:rPr>
                <w:rFonts w:ascii="宋体" w:hAnsi="宋体" w:cs="宋体"/>
                <w:b/>
                <w:bCs/>
                <w:color w:val="000000"/>
                <w:sz w:val="24"/>
              </w:rPr>
            </w:pPr>
            <w:r>
              <w:rPr>
                <w:rFonts w:hint="eastAsia" w:ascii="宋体" w:hAnsi="宋体" w:cs="宋体"/>
                <w:b/>
                <w:bCs/>
                <w:color w:val="000000"/>
                <w:sz w:val="24"/>
              </w:rPr>
              <w:t>预算金额和最高限价</w:t>
            </w:r>
          </w:p>
        </w:tc>
        <w:tc>
          <w:tcPr>
            <w:tcW w:w="7754" w:type="dxa"/>
            <w:tcBorders>
              <w:top w:val="single" w:color="000000" w:sz="2" w:space="0"/>
              <w:left w:val="single" w:color="000000" w:sz="2" w:space="0"/>
              <w:bottom w:val="single" w:color="000000" w:sz="2" w:space="0"/>
              <w:right w:val="single" w:color="000000" w:sz="8" w:space="0"/>
            </w:tcBorders>
            <w:vAlign w:val="bottom"/>
          </w:tcPr>
          <w:p>
            <w:pPr>
              <w:snapToGrid w:val="0"/>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采购预算：370</w:t>
            </w:r>
            <w:r>
              <w:rPr>
                <w:rFonts w:hint="eastAsia" w:ascii="宋体" w:hAnsi="宋体" w:cs="Arial"/>
                <w:b/>
                <w:bCs/>
                <w:color w:val="000000" w:themeColor="text1"/>
                <w:sz w:val="24"/>
                <w:szCs w:val="22"/>
                <w14:textFill>
                  <w14:solidFill>
                    <w14:schemeClr w14:val="tx1"/>
                  </w14:solidFill>
                </w14:textFill>
              </w:rPr>
              <w:t>万元</w:t>
            </w:r>
            <w:r>
              <w:rPr>
                <w:rFonts w:hint="eastAsia" w:ascii="宋体" w:hAnsi="宋体" w:cs="宋体"/>
                <w:b/>
                <w:bCs/>
                <w:color w:val="000000" w:themeColor="text1"/>
                <w:sz w:val="24"/>
                <w14:textFill>
                  <w14:solidFill>
                    <w14:schemeClr w14:val="tx1"/>
                  </w14:solidFill>
                </w14:textFill>
              </w:rPr>
              <w:t>，最高限价：370</w:t>
            </w:r>
            <w:r>
              <w:rPr>
                <w:rFonts w:hint="eastAsia" w:ascii="宋体" w:hAnsi="宋体" w:cs="Arial"/>
                <w:b/>
                <w:bCs/>
                <w:color w:val="000000" w:themeColor="text1"/>
                <w:sz w:val="24"/>
                <w:szCs w:val="22"/>
                <w14:textFill>
                  <w14:solidFill>
                    <w14:schemeClr w14:val="tx1"/>
                  </w14:solidFill>
                </w14:textFill>
              </w:rPr>
              <w:t>万元</w:t>
            </w:r>
            <w:r>
              <w:rPr>
                <w:rFonts w:hint="eastAsia" w:ascii="宋体" w:hAnsi="宋体" w:cs="宋体"/>
                <w:b/>
                <w:bCs/>
                <w:color w:val="000000" w:themeColor="text1"/>
                <w:sz w:val="24"/>
                <w14:textFill>
                  <w14:solidFill>
                    <w14:schemeClr w14:val="tx1"/>
                  </w14:solidFill>
                </w14:textFill>
              </w:rPr>
              <w:t>；</w:t>
            </w:r>
          </w:p>
          <w:p>
            <w:pPr>
              <w:snapToGrid w:val="0"/>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4</w:t>
            </w:r>
          </w:p>
        </w:tc>
        <w:tc>
          <w:tcPr>
            <w:tcW w:w="1703"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ind w:firstLine="241" w:firstLineChars="100"/>
              <w:jc w:val="center"/>
              <w:rPr>
                <w:rFonts w:ascii="宋体" w:hAnsi="宋体" w:cs="宋体"/>
                <w:b/>
                <w:bCs/>
                <w:color w:val="000000"/>
                <w:sz w:val="24"/>
              </w:rPr>
            </w:pPr>
            <w:r>
              <w:rPr>
                <w:rFonts w:hint="eastAsia" w:ascii="宋体" w:hAnsi="宋体" w:cs="宋体"/>
                <w:b/>
                <w:bCs/>
                <w:color w:val="000000"/>
                <w:sz w:val="24"/>
                <w:szCs w:val="22"/>
              </w:rPr>
              <w:t>公告媒体</w:t>
            </w:r>
          </w:p>
        </w:tc>
        <w:tc>
          <w:tcPr>
            <w:tcW w:w="7754"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szCs w:val="22"/>
                <w14:textFill>
                  <w14:solidFill>
                    <w14:schemeClr w14:val="tx1"/>
                  </w14:solidFill>
                </w14:textFill>
              </w:rPr>
              <w:t>浙江政府采购网（</w:t>
            </w:r>
            <w:r>
              <w:fldChar w:fldCharType="begin"/>
            </w:r>
            <w:r>
              <w:instrText xml:space="preserve"> HYPERLINK "http://zfcg.czt.zj.gov.cn/" </w:instrText>
            </w:r>
            <w:r>
              <w:fldChar w:fldCharType="separate"/>
            </w:r>
            <w:r>
              <w:rPr>
                <w:rFonts w:hint="eastAsia" w:ascii="宋体" w:hAnsi="宋体" w:cs="宋体"/>
                <w:b/>
                <w:bCs/>
                <w:color w:val="000000" w:themeColor="text1"/>
                <w:sz w:val="24"/>
                <w:szCs w:val="22"/>
                <w14:textFill>
                  <w14:solidFill>
                    <w14:schemeClr w14:val="tx1"/>
                  </w14:solidFill>
                </w14:textFill>
              </w:rPr>
              <w:t>http://zfcg.czt.zj.gov.cn</w:t>
            </w:r>
            <w:r>
              <w:rPr>
                <w:rFonts w:hint="eastAsia" w:ascii="宋体" w:hAnsi="宋体" w:cs="宋体"/>
                <w:b/>
                <w:bCs/>
                <w:color w:val="000000" w:themeColor="text1"/>
                <w:sz w:val="24"/>
                <w:szCs w:val="22"/>
                <w14:textFill>
                  <w14:solidFill>
                    <w14:schemeClr w14:val="tx1"/>
                  </w14:solidFill>
                </w14:textFill>
              </w:rPr>
              <w:fldChar w:fldCharType="end"/>
            </w:r>
            <w:r>
              <w:rPr>
                <w:rFonts w:hint="eastAsia" w:ascii="宋体" w:hAnsi="宋体" w:cs="宋体"/>
                <w:b/>
                <w:bCs/>
                <w:color w:val="000000" w:themeColor="text1"/>
                <w:sz w:val="24"/>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5</w:t>
            </w:r>
          </w:p>
        </w:tc>
        <w:tc>
          <w:tcPr>
            <w:tcW w:w="1703"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szCs w:val="22"/>
              </w:rPr>
              <w:t>电子交易平台</w:t>
            </w:r>
          </w:p>
        </w:tc>
        <w:tc>
          <w:tcPr>
            <w:tcW w:w="7754"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jc w:val="left"/>
              <w:rPr>
                <w:rFonts w:ascii="宋体" w:hAnsi="宋体" w:cs="宋体"/>
                <w:b/>
                <w:bCs/>
                <w:color w:val="000000" w:themeColor="text1"/>
                <w:sz w:val="24"/>
                <w14:textFill>
                  <w14:solidFill>
                    <w14:schemeClr w14:val="tx1"/>
                  </w14:solidFill>
                </w14:textFill>
              </w:rPr>
            </w:pPr>
            <w:r>
              <w:fldChar w:fldCharType="begin"/>
            </w:r>
            <w:r>
              <w:instrText xml:space="preserve"> HYPERLINK "http://www.zcygov.cn/" </w:instrText>
            </w:r>
            <w:r>
              <w:fldChar w:fldCharType="separate"/>
            </w:r>
            <w:r>
              <w:rPr>
                <w:rFonts w:hint="eastAsia" w:ascii="宋体" w:hAnsi="宋体" w:cs="宋体"/>
                <w:b/>
                <w:bCs/>
                <w:color w:val="000000" w:themeColor="text1"/>
                <w:sz w:val="24"/>
                <w:szCs w:val="22"/>
                <w14:textFill>
                  <w14:solidFill>
                    <w14:schemeClr w14:val="tx1"/>
                  </w14:solidFill>
                </w14:textFill>
              </w:rPr>
              <w:t>政府采购云平台（www.zcygov.cn</w:t>
            </w:r>
            <w:r>
              <w:rPr>
                <w:rFonts w:hint="eastAsia" w:ascii="宋体" w:hAnsi="宋体" w:cs="宋体"/>
                <w:b/>
                <w:bCs/>
                <w:color w:val="000000" w:themeColor="text1"/>
                <w:sz w:val="24"/>
                <w:szCs w:val="22"/>
                <w14:textFill>
                  <w14:solidFill>
                    <w14:schemeClr w14:val="tx1"/>
                  </w14:solidFill>
                </w14:textFill>
              </w:rPr>
              <w:fldChar w:fldCharType="end"/>
            </w:r>
            <w:r>
              <w:rPr>
                <w:rFonts w:hint="eastAsia" w:ascii="宋体" w:hAnsi="宋体" w:cs="宋体"/>
                <w:b/>
                <w:bCs/>
                <w:color w:val="000000" w:themeColor="text1"/>
                <w:sz w:val="24"/>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6</w:t>
            </w:r>
          </w:p>
        </w:tc>
        <w:tc>
          <w:tcPr>
            <w:tcW w:w="1703" w:type="dxa"/>
            <w:tcBorders>
              <w:top w:val="single" w:color="000000" w:sz="2" w:space="0"/>
              <w:left w:val="single" w:color="000000" w:sz="8" w:space="0"/>
              <w:bottom w:val="single" w:color="000000" w:sz="2" w:space="0"/>
              <w:right w:val="single" w:color="000000" w:sz="2" w:space="0"/>
            </w:tcBorders>
          </w:tcPr>
          <w:p>
            <w:pPr>
              <w:snapToGrid w:val="0"/>
              <w:spacing w:before="160" w:line="360" w:lineRule="auto"/>
              <w:jc w:val="center"/>
              <w:rPr>
                <w:rFonts w:ascii="宋体" w:hAnsi="宋体" w:cs="宋体"/>
                <w:b/>
                <w:bCs/>
                <w:color w:val="000000"/>
                <w:sz w:val="24"/>
              </w:rPr>
            </w:pPr>
            <w:r>
              <w:rPr>
                <w:rFonts w:hint="eastAsia" w:ascii="宋体" w:hAnsi="宋体" w:cs="宋体"/>
                <w:b/>
                <w:bCs/>
                <w:color w:val="000000"/>
                <w:sz w:val="24"/>
                <w:szCs w:val="22"/>
              </w:rPr>
              <w:t>现场考察/标前答疑会</w:t>
            </w:r>
          </w:p>
        </w:tc>
        <w:tc>
          <w:tcPr>
            <w:tcW w:w="7754" w:type="dxa"/>
            <w:tcBorders>
              <w:top w:val="single" w:color="000000" w:sz="2" w:space="0"/>
              <w:left w:val="single" w:color="000000" w:sz="2" w:space="0"/>
              <w:bottom w:val="single" w:color="000000" w:sz="2" w:space="0"/>
              <w:right w:val="single" w:color="000000" w:sz="8" w:space="0"/>
            </w:tcBorders>
          </w:tcPr>
          <w:p>
            <w:pPr>
              <w:snapToGrid w:val="0"/>
              <w:spacing w:line="360" w:lineRule="auto"/>
              <w:jc w:val="left"/>
              <w:rPr>
                <w:rFonts w:ascii="宋体" w:hAnsi="宋体" w:cs="宋体"/>
                <w:b/>
                <w:bCs/>
                <w:color w:val="000000"/>
                <w:sz w:val="24"/>
                <w:szCs w:val="22"/>
              </w:rPr>
            </w:pPr>
            <w:r>
              <w:rPr>
                <w:rFonts w:hint="eastAsia" w:ascii="宋体" w:hAnsi="宋体" w:cs="宋体"/>
                <w:b/>
                <w:bCs/>
                <w:color w:val="000000"/>
                <w:sz w:val="24"/>
                <w:szCs w:val="22"/>
              </w:rPr>
              <w:t xml:space="preserve">□ 组织； </w:t>
            </w:r>
          </w:p>
          <w:p>
            <w:pPr>
              <w:snapToGrid w:val="0"/>
              <w:spacing w:line="360" w:lineRule="auto"/>
              <w:jc w:val="left"/>
              <w:rPr>
                <w:rFonts w:ascii="宋体" w:hAnsi="宋体" w:cs="宋体"/>
                <w:b/>
                <w:bCs/>
                <w:color w:val="000000"/>
                <w:sz w:val="24"/>
                <w:lang w:val="zh-CN"/>
              </w:rPr>
            </w:pPr>
            <w:r>
              <w:rPr>
                <w:rFonts w:hint="eastAsia" w:ascii="宋体" w:hAnsi="宋体" w:cs="宋体"/>
                <w:b/>
                <w:bCs/>
                <w:color w:val="000000"/>
                <w:sz w:val="24"/>
                <w:szCs w:val="22"/>
              </w:rPr>
              <w:sym w:font="Wingdings" w:char="00FE"/>
            </w:r>
            <w:r>
              <w:rPr>
                <w:rFonts w:hint="eastAsia" w:ascii="宋体" w:hAnsi="宋体" w:cs="宋体"/>
                <w:b/>
                <w:bCs/>
                <w:color w:val="000000"/>
                <w:sz w:val="24"/>
                <w:szCs w:val="22"/>
              </w:rPr>
              <w:t>不组织，潜在供应商可自行组织，安全等责任自负。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7</w:t>
            </w:r>
          </w:p>
        </w:tc>
        <w:tc>
          <w:tcPr>
            <w:tcW w:w="1703"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szCs w:val="22"/>
              </w:rPr>
            </w:pPr>
          </w:p>
          <w:p>
            <w:pPr>
              <w:snapToGrid w:val="0"/>
              <w:spacing w:line="360" w:lineRule="auto"/>
              <w:jc w:val="center"/>
              <w:rPr>
                <w:rFonts w:ascii="宋体" w:hAnsi="宋体" w:cs="宋体"/>
                <w:b/>
                <w:bCs/>
                <w:color w:val="000000"/>
                <w:sz w:val="24"/>
              </w:rPr>
            </w:pPr>
            <w:r>
              <w:rPr>
                <w:rFonts w:hint="eastAsia" w:ascii="宋体" w:hAnsi="宋体" w:cs="宋体"/>
                <w:b/>
                <w:bCs/>
                <w:color w:val="000000"/>
                <w:sz w:val="24"/>
                <w:szCs w:val="22"/>
              </w:rPr>
              <w:t>样品</w:t>
            </w:r>
          </w:p>
        </w:tc>
        <w:tc>
          <w:tcPr>
            <w:tcW w:w="7754" w:type="dxa"/>
            <w:tcBorders>
              <w:top w:val="single" w:color="000000" w:sz="2" w:space="0"/>
              <w:left w:val="single" w:color="000000" w:sz="2" w:space="0"/>
              <w:bottom w:val="single" w:color="000000" w:sz="2" w:space="0"/>
              <w:right w:val="single" w:color="000000" w:sz="8" w:space="0"/>
            </w:tcBorders>
          </w:tcPr>
          <w:p>
            <w:pPr>
              <w:snapToGrid w:val="0"/>
              <w:spacing w:line="360" w:lineRule="auto"/>
              <w:jc w:val="left"/>
              <w:rPr>
                <w:rFonts w:ascii="宋体" w:hAnsi="宋体" w:cs="宋体"/>
                <w:b/>
                <w:bCs/>
                <w:color w:val="000000"/>
                <w:sz w:val="24"/>
                <w:szCs w:val="22"/>
              </w:rPr>
            </w:pPr>
            <w:r>
              <w:rPr>
                <w:rFonts w:hint="eastAsia" w:ascii="宋体" w:hAnsi="宋体" w:cs="宋体"/>
                <w:b/>
                <w:bCs/>
                <w:color w:val="000000"/>
                <w:sz w:val="24"/>
                <w:szCs w:val="22"/>
              </w:rPr>
              <w:t>□ 提供；</w:t>
            </w:r>
          </w:p>
          <w:p>
            <w:pPr>
              <w:snapToGrid w:val="0"/>
              <w:spacing w:line="360" w:lineRule="auto"/>
              <w:jc w:val="left"/>
              <w:rPr>
                <w:rFonts w:ascii="宋体" w:hAnsi="宋体" w:cs="宋体"/>
                <w:b/>
                <w:bCs/>
                <w:color w:val="000000"/>
                <w:sz w:val="24"/>
                <w:lang w:val="zh-CN"/>
              </w:rPr>
            </w:pPr>
            <w:r>
              <w:rPr>
                <w:rFonts w:hint="eastAsia" w:ascii="宋体" w:hAnsi="宋体" w:cs="宋体"/>
                <w:b/>
                <w:bCs/>
                <w:color w:val="000000"/>
                <w:sz w:val="24"/>
                <w:szCs w:val="22"/>
              </w:rPr>
              <w:sym w:font="Wingdings" w:char="00FE"/>
            </w:r>
            <w:r>
              <w:rPr>
                <w:rFonts w:hint="eastAsia" w:ascii="宋体" w:hAnsi="宋体" w:cs="宋体"/>
                <w:b/>
                <w:bCs/>
                <w:color w:val="000000"/>
                <w:sz w:val="24"/>
                <w:szCs w:val="22"/>
              </w:rPr>
              <w:t>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8</w:t>
            </w:r>
          </w:p>
        </w:tc>
        <w:tc>
          <w:tcPr>
            <w:tcW w:w="1703"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szCs w:val="22"/>
              </w:rPr>
              <w:t>演示</w:t>
            </w:r>
          </w:p>
        </w:tc>
        <w:tc>
          <w:tcPr>
            <w:tcW w:w="7754" w:type="dxa"/>
            <w:tcBorders>
              <w:top w:val="single" w:color="000000" w:sz="2" w:space="0"/>
              <w:left w:val="single" w:color="000000" w:sz="2" w:space="0"/>
              <w:bottom w:val="single" w:color="000000" w:sz="2" w:space="0"/>
              <w:right w:val="single" w:color="000000" w:sz="8" w:space="0"/>
            </w:tcBorders>
          </w:tcPr>
          <w:p>
            <w:pPr>
              <w:snapToGrid w:val="0"/>
              <w:spacing w:line="360" w:lineRule="auto"/>
              <w:jc w:val="left"/>
              <w:rPr>
                <w:rFonts w:ascii="宋体" w:hAnsi="宋体" w:cs="宋体"/>
                <w:b/>
                <w:bCs/>
                <w:color w:val="000000"/>
                <w:sz w:val="24"/>
                <w:szCs w:val="22"/>
              </w:rPr>
            </w:pPr>
            <w:r>
              <w:rPr>
                <w:rFonts w:hint="eastAsia" w:ascii="宋体" w:hAnsi="宋体" w:cs="宋体"/>
                <w:b/>
                <w:bCs/>
                <w:color w:val="000000"/>
                <w:sz w:val="24"/>
                <w:szCs w:val="22"/>
              </w:rPr>
              <w:sym w:font="Wingdings" w:char="00A8"/>
            </w:r>
            <w:r>
              <w:rPr>
                <w:rFonts w:hint="eastAsia" w:ascii="宋体" w:hAnsi="宋体" w:cs="宋体"/>
                <w:b/>
                <w:bCs/>
                <w:color w:val="000000"/>
                <w:sz w:val="24"/>
                <w:szCs w:val="22"/>
              </w:rPr>
              <w:t xml:space="preserve"> 要求，具体详见评标办法。</w:t>
            </w:r>
          </w:p>
          <w:p>
            <w:pPr>
              <w:snapToGrid w:val="0"/>
              <w:spacing w:line="360" w:lineRule="auto"/>
              <w:jc w:val="left"/>
              <w:rPr>
                <w:rFonts w:ascii="宋体" w:hAnsi="宋体" w:cs="宋体"/>
                <w:b/>
                <w:bCs/>
                <w:color w:val="000000"/>
                <w:sz w:val="24"/>
                <w:lang w:val="zh-CN"/>
              </w:rPr>
            </w:pPr>
            <w:r>
              <w:rPr>
                <w:rFonts w:hint="eastAsia" w:ascii="宋体" w:hAnsi="宋体" w:cs="宋体"/>
                <w:b/>
                <w:bCs/>
                <w:color w:val="000000"/>
                <w:sz w:val="24"/>
                <w:szCs w:val="22"/>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6" w:hRule="atLeast"/>
          <w:jc w:val="center"/>
        </w:trPr>
        <w:tc>
          <w:tcPr>
            <w:tcW w:w="655" w:type="dxa"/>
            <w:tcBorders>
              <w:top w:val="single" w:color="000000" w:sz="2" w:space="0"/>
              <w:left w:val="single" w:color="000000" w:sz="8" w:space="0"/>
              <w:bottom w:val="single" w:color="000000" w:sz="2" w:space="0"/>
              <w:right w:val="single" w:color="000000" w:sz="2" w:space="0"/>
            </w:tcBorders>
            <w:vAlign w:val="bottom"/>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9</w:t>
            </w:r>
          </w:p>
        </w:tc>
        <w:tc>
          <w:tcPr>
            <w:tcW w:w="1703" w:type="dxa"/>
            <w:tcBorders>
              <w:top w:val="single" w:color="000000" w:sz="2" w:space="0"/>
              <w:left w:val="single" w:color="000000" w:sz="8" w:space="0"/>
              <w:bottom w:val="single" w:color="000000" w:sz="2" w:space="0"/>
              <w:right w:val="single" w:color="000000" w:sz="2" w:space="0"/>
            </w:tcBorders>
            <w:vAlign w:val="bottom"/>
          </w:tcPr>
          <w:p>
            <w:pPr>
              <w:spacing w:line="360" w:lineRule="auto"/>
              <w:jc w:val="center"/>
              <w:rPr>
                <w:rFonts w:ascii="宋体" w:hAnsi="宋体" w:cs="宋体"/>
                <w:b/>
                <w:bCs/>
                <w:color w:val="000000"/>
                <w:sz w:val="24"/>
              </w:rPr>
            </w:pPr>
            <w:r>
              <w:rPr>
                <w:rFonts w:hint="eastAsia" w:ascii="宋体" w:hAnsi="宋体" w:cs="宋体"/>
                <w:b/>
                <w:bCs/>
                <w:color w:val="000000"/>
                <w:sz w:val="24"/>
                <w:lang w:val="zh-CN"/>
              </w:rPr>
              <w:t>投标</w:t>
            </w:r>
            <w:r>
              <w:rPr>
                <w:rFonts w:hint="eastAsia" w:ascii="宋体" w:hAnsi="宋体" w:cs="宋体"/>
                <w:b/>
                <w:bCs/>
                <w:color w:val="000000"/>
                <w:sz w:val="24"/>
              </w:rPr>
              <w:t>有效期</w:t>
            </w:r>
          </w:p>
        </w:tc>
        <w:tc>
          <w:tcPr>
            <w:tcW w:w="7754" w:type="dxa"/>
            <w:tcBorders>
              <w:top w:val="single" w:color="000000" w:sz="2" w:space="0"/>
              <w:left w:val="single" w:color="000000" w:sz="2" w:space="0"/>
              <w:bottom w:val="single" w:color="000000" w:sz="2" w:space="0"/>
              <w:right w:val="single" w:color="000000" w:sz="8" w:space="0"/>
            </w:tcBorders>
            <w:vAlign w:val="bottom"/>
          </w:tcPr>
          <w:p>
            <w:pPr>
              <w:snapToGrid w:val="0"/>
              <w:spacing w:line="360" w:lineRule="auto"/>
              <w:rPr>
                <w:rFonts w:ascii="宋体" w:hAnsi="宋体" w:cs="宋体"/>
                <w:b/>
                <w:bCs/>
                <w:color w:val="000000"/>
                <w:sz w:val="24"/>
                <w:lang w:val="zh-CN"/>
              </w:rPr>
            </w:pPr>
            <w:r>
              <w:rPr>
                <w:rFonts w:hint="eastAsia" w:ascii="宋体" w:hAnsi="宋体" w:cs="宋体"/>
                <w:b/>
                <w:bCs/>
                <w:color w:val="000000"/>
                <w:sz w:val="24"/>
              </w:rPr>
              <w:t>90 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3" w:hRule="atLeast"/>
          <w:jc w:val="center"/>
        </w:trPr>
        <w:tc>
          <w:tcPr>
            <w:tcW w:w="655" w:type="dxa"/>
            <w:tcBorders>
              <w:top w:val="single" w:color="000000" w:sz="2" w:space="0"/>
              <w:left w:val="single" w:color="000000" w:sz="8" w:space="0"/>
              <w:bottom w:val="single" w:color="000000" w:sz="2" w:space="0"/>
              <w:right w:val="single" w:color="000000" w:sz="2" w:space="0"/>
            </w:tcBorders>
            <w:vAlign w:val="bottom"/>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10</w:t>
            </w:r>
          </w:p>
        </w:tc>
        <w:tc>
          <w:tcPr>
            <w:tcW w:w="1703" w:type="dxa"/>
            <w:tcBorders>
              <w:top w:val="single" w:color="000000" w:sz="2" w:space="0"/>
              <w:left w:val="single" w:color="000000" w:sz="8" w:space="0"/>
              <w:bottom w:val="single" w:color="000000" w:sz="2" w:space="0"/>
              <w:right w:val="single" w:color="000000" w:sz="2" w:space="0"/>
            </w:tcBorders>
            <w:vAlign w:val="bottom"/>
          </w:tcPr>
          <w:p>
            <w:pPr>
              <w:spacing w:line="360" w:lineRule="auto"/>
              <w:jc w:val="center"/>
              <w:rPr>
                <w:rFonts w:ascii="宋体" w:hAnsi="宋体" w:cs="宋体"/>
                <w:b/>
                <w:bCs/>
                <w:color w:val="000000"/>
                <w:sz w:val="24"/>
              </w:rPr>
            </w:pPr>
            <w:r>
              <w:rPr>
                <w:rFonts w:hint="eastAsia" w:ascii="宋体" w:hAnsi="宋体" w:cs="宋体"/>
                <w:b/>
                <w:bCs/>
                <w:color w:val="000000"/>
                <w:sz w:val="24"/>
              </w:rPr>
              <w:t>投标保证金</w:t>
            </w:r>
          </w:p>
          <w:p>
            <w:pPr>
              <w:spacing w:line="360" w:lineRule="auto"/>
              <w:jc w:val="center"/>
              <w:rPr>
                <w:rFonts w:ascii="宋体" w:hAnsi="宋体" w:cs="宋体"/>
                <w:b/>
                <w:bCs/>
                <w:color w:val="000000"/>
                <w:sz w:val="24"/>
              </w:rPr>
            </w:pPr>
            <w:r>
              <w:rPr>
                <w:rFonts w:hint="eastAsia" w:ascii="宋体" w:hAnsi="宋体" w:cs="宋体"/>
                <w:b/>
                <w:bCs/>
                <w:color w:val="000000"/>
                <w:sz w:val="24"/>
              </w:rPr>
              <w:t>数额</w:t>
            </w:r>
          </w:p>
        </w:tc>
        <w:tc>
          <w:tcPr>
            <w:tcW w:w="7754" w:type="dxa"/>
            <w:tcBorders>
              <w:top w:val="single" w:color="000000" w:sz="2" w:space="0"/>
              <w:left w:val="single" w:color="000000" w:sz="2" w:space="0"/>
              <w:bottom w:val="single" w:color="000000" w:sz="2" w:space="0"/>
              <w:right w:val="single" w:color="000000" w:sz="8" w:space="0"/>
            </w:tcBorders>
            <w:vAlign w:val="bottom"/>
          </w:tcPr>
          <w:p>
            <w:pPr>
              <w:snapToGrid w:val="0"/>
              <w:spacing w:line="360" w:lineRule="auto"/>
              <w:rPr>
                <w:rFonts w:ascii="宋体" w:hAnsi="宋体" w:cs="宋体"/>
                <w:b/>
                <w:bCs/>
                <w:color w:val="000000"/>
                <w:sz w:val="24"/>
                <w:lang w:val="zh-CN"/>
              </w:rPr>
            </w:pPr>
            <w:r>
              <w:rPr>
                <w:rFonts w:hint="eastAsia" w:ascii="宋体" w:hAnsi="宋体" w:cs="宋体"/>
                <w:b/>
                <w:bCs/>
                <w:color w:val="00000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1</w:t>
            </w:r>
          </w:p>
        </w:tc>
        <w:tc>
          <w:tcPr>
            <w:tcW w:w="1703"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投标文件组成</w:t>
            </w:r>
          </w:p>
        </w:tc>
        <w:tc>
          <w:tcPr>
            <w:tcW w:w="7754"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jc w:val="left"/>
              <w:rPr>
                <w:rFonts w:ascii="宋体" w:hAnsi="宋体" w:cs="宋体"/>
                <w:b/>
                <w:bCs/>
                <w:color w:val="000000"/>
                <w:sz w:val="24"/>
                <w:lang w:val="zh-CN"/>
              </w:rPr>
            </w:pPr>
            <w:r>
              <w:rPr>
                <w:rFonts w:hint="eastAsia" w:ascii="宋体" w:hAnsi="宋体" w:cs="宋体"/>
                <w:b/>
                <w:bCs/>
                <w:color w:val="000000"/>
                <w:sz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2</w:t>
            </w:r>
          </w:p>
        </w:tc>
        <w:tc>
          <w:tcPr>
            <w:tcW w:w="1703"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投标文件的</w:t>
            </w:r>
          </w:p>
          <w:p>
            <w:pPr>
              <w:spacing w:line="360" w:lineRule="auto"/>
              <w:jc w:val="center"/>
              <w:rPr>
                <w:rFonts w:ascii="宋体" w:hAnsi="宋体" w:cs="宋体"/>
                <w:b/>
                <w:bCs/>
                <w:color w:val="000000"/>
                <w:sz w:val="24"/>
              </w:rPr>
            </w:pPr>
            <w:r>
              <w:rPr>
                <w:rFonts w:hint="eastAsia" w:ascii="宋体" w:hAnsi="宋体" w:cs="宋体"/>
                <w:b/>
                <w:bCs/>
                <w:color w:val="000000"/>
                <w:sz w:val="24"/>
              </w:rPr>
              <w:t>编制</w:t>
            </w:r>
          </w:p>
        </w:tc>
        <w:tc>
          <w:tcPr>
            <w:tcW w:w="7754"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jc w:val="left"/>
              <w:rPr>
                <w:rFonts w:ascii="宋体" w:hAnsi="宋体" w:cs="宋体"/>
                <w:b/>
                <w:bCs/>
                <w:color w:val="000000"/>
                <w:sz w:val="24"/>
                <w:lang w:val="zh-CN"/>
              </w:rPr>
            </w:pPr>
            <w:r>
              <w:rPr>
                <w:rFonts w:hint="eastAsia" w:ascii="宋体" w:hAnsi="宋体" w:cs="宋体"/>
                <w:b/>
                <w:bCs/>
                <w:color w:val="000000"/>
                <w:sz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sz w:val="24"/>
              </w:rPr>
            </w:pPr>
            <w:r>
              <w:rPr>
                <w:rFonts w:hint="eastAsia" w:ascii="宋体" w:hAnsi="宋体" w:cs="宋体"/>
                <w:b/>
                <w:bCs/>
                <w:sz w:val="24"/>
              </w:rPr>
              <w:t>13</w:t>
            </w:r>
          </w:p>
        </w:tc>
        <w:tc>
          <w:tcPr>
            <w:tcW w:w="1703"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sz w:val="24"/>
              </w:rPr>
            </w:pPr>
            <w:r>
              <w:rPr>
                <w:rFonts w:hint="eastAsia" w:ascii="宋体" w:hAnsi="宋体" w:cs="宋体"/>
                <w:b/>
                <w:bCs/>
                <w:sz w:val="24"/>
              </w:rPr>
              <w:t>投标文件的签章</w:t>
            </w:r>
          </w:p>
        </w:tc>
        <w:tc>
          <w:tcPr>
            <w:tcW w:w="7754" w:type="dxa"/>
            <w:tcBorders>
              <w:top w:val="single" w:color="000000" w:sz="2" w:space="0"/>
              <w:left w:val="single" w:color="000000" w:sz="2" w:space="0"/>
              <w:bottom w:val="single" w:color="000000" w:sz="2" w:space="0"/>
              <w:right w:val="single" w:color="000000" w:sz="8" w:space="0"/>
            </w:tcBorders>
            <w:vAlign w:val="center"/>
          </w:tcPr>
          <w:p>
            <w:pPr>
              <w:spacing w:line="360" w:lineRule="auto"/>
              <w:jc w:val="left"/>
              <w:rPr>
                <w:rFonts w:ascii="宋体" w:hAnsi="宋体" w:cs="宋体"/>
                <w:sz w:val="24"/>
              </w:rPr>
            </w:pPr>
            <w:r>
              <w:rPr>
                <w:rFonts w:hint="eastAsia" w:ascii="宋体" w:hAnsi="宋体" w:cs="宋体"/>
                <w:b/>
                <w:bCs/>
                <w:color w:val="000000"/>
                <w:sz w:val="24"/>
                <w:u w:val="single"/>
              </w:rPr>
              <w:t>投标单位系统内电子签章，其中</w:t>
            </w:r>
            <w:r>
              <w:rPr>
                <w:rFonts w:hint="eastAsia" w:ascii="宋体" w:hAnsi="宋体" w:cs="宋体"/>
                <w:b/>
                <w:bCs/>
                <w:sz w:val="24"/>
                <w:u w:val="single"/>
              </w:rPr>
              <w:t>CA签章上目前如没有法人或授权代表签字信息，需要投标人主动联系浙江汇信科技有限公司400-888-4636咨询进行办理，或在投标文件中涉及到签字的位置线下签好字然后扫描或者拍照做成PDF的格式上传至投标响应文件内。招标文件中盖章或签字处均可在线加盖电子公章和法人章</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sz w:val="24"/>
              </w:rPr>
            </w:pPr>
            <w:r>
              <w:rPr>
                <w:rFonts w:hint="eastAsia" w:ascii="宋体" w:hAnsi="宋体" w:cs="宋体"/>
                <w:b/>
                <w:bCs/>
                <w:sz w:val="24"/>
              </w:rPr>
              <w:t>14</w:t>
            </w:r>
          </w:p>
        </w:tc>
        <w:tc>
          <w:tcPr>
            <w:tcW w:w="1703"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投标文件的形式</w:t>
            </w:r>
          </w:p>
        </w:tc>
        <w:tc>
          <w:tcPr>
            <w:tcW w:w="7754" w:type="dxa"/>
            <w:tcBorders>
              <w:top w:val="single" w:color="000000" w:sz="2" w:space="0"/>
              <w:left w:val="single" w:color="000000" w:sz="2" w:space="0"/>
              <w:bottom w:val="single" w:color="000000" w:sz="2" w:space="0"/>
              <w:right w:val="single" w:color="000000" w:sz="8" w:space="0"/>
            </w:tcBorders>
            <w:vAlign w:val="bottom"/>
          </w:tcPr>
          <w:p>
            <w:pPr>
              <w:spacing w:line="360" w:lineRule="auto"/>
              <w:rPr>
                <w:rFonts w:ascii="宋体" w:hAnsi="宋体" w:cs="宋体"/>
                <w:color w:val="000000"/>
                <w:sz w:val="24"/>
              </w:rPr>
            </w:pPr>
            <w:r>
              <w:rPr>
                <w:rFonts w:hint="eastAsia" w:ascii="宋体" w:hAnsi="宋体" w:cs="宋体"/>
                <w:b/>
                <w:bCs/>
                <w:color w:val="000000"/>
                <w:sz w:val="24"/>
              </w:rPr>
              <w:t>☑电子投标文件（包括“电子加密投标文件”和“备份投标文件”，在投标文件编制完成后同时生成）；</w:t>
            </w:r>
          </w:p>
          <w:p>
            <w:pPr>
              <w:spacing w:line="360" w:lineRule="auto"/>
              <w:rPr>
                <w:rFonts w:ascii="宋体" w:hAnsi="宋体" w:cs="宋体"/>
                <w:color w:val="000000"/>
                <w:sz w:val="24"/>
              </w:rPr>
            </w:pPr>
            <w:r>
              <w:rPr>
                <w:rFonts w:hint="eastAsia" w:ascii="宋体" w:hAnsi="宋体" w:cs="宋体"/>
                <w:color w:val="000000"/>
                <w:sz w:val="24"/>
              </w:rPr>
              <w:t>（1）“电子加密投标文件”是指通过“政采云电子交易客户端”完成投标文件编制后生成并加密的数据电文形式的投标文件。</w:t>
            </w:r>
          </w:p>
          <w:p>
            <w:pPr>
              <w:snapToGrid w:val="0"/>
              <w:spacing w:line="360" w:lineRule="auto"/>
              <w:rPr>
                <w:rFonts w:ascii="宋体" w:hAnsi="宋体" w:cs="宋体"/>
                <w:b/>
                <w:bCs/>
                <w:color w:val="000000"/>
                <w:sz w:val="24"/>
              </w:rPr>
            </w:pPr>
            <w:r>
              <w:rPr>
                <w:rFonts w:hint="eastAsia" w:ascii="宋体" w:hAnsi="宋体" w:cs="宋体"/>
                <w:color w:val="000000"/>
                <w:sz w:val="24"/>
              </w:rPr>
              <w:t>（2）“备份投标文件”是指与“电子加密投标文件”同时生成的数据电文形式的电子文件（备份标书），</w:t>
            </w:r>
            <w:r>
              <w:rPr>
                <w:rFonts w:hint="eastAsia" w:ascii="宋体" w:hAnsi="宋体" w:cs="宋体"/>
                <w:b/>
                <w:bCs/>
                <w:color w:val="000000"/>
                <w:sz w:val="24"/>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sz w:val="24"/>
              </w:rPr>
            </w:pPr>
            <w:r>
              <w:rPr>
                <w:rFonts w:hint="eastAsia" w:ascii="宋体" w:hAnsi="宋体" w:cs="宋体"/>
                <w:b/>
                <w:bCs/>
                <w:sz w:val="24"/>
              </w:rPr>
              <w:t>15</w:t>
            </w:r>
          </w:p>
        </w:tc>
        <w:tc>
          <w:tcPr>
            <w:tcW w:w="1703"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sz w:val="24"/>
              </w:rPr>
              <w:t>投标文件份数</w:t>
            </w:r>
          </w:p>
        </w:tc>
        <w:tc>
          <w:tcPr>
            <w:tcW w:w="7754" w:type="dxa"/>
            <w:tcBorders>
              <w:top w:val="single" w:color="000000" w:sz="2" w:space="0"/>
              <w:left w:val="single" w:color="000000" w:sz="2" w:space="0"/>
              <w:bottom w:val="single" w:color="000000" w:sz="2" w:space="0"/>
              <w:right w:val="single" w:color="000000" w:sz="8" w:space="0"/>
            </w:tcBorders>
            <w:vAlign w:val="center"/>
          </w:tcPr>
          <w:p>
            <w:pPr>
              <w:numPr>
                <w:ilvl w:val="0"/>
                <w:numId w:val="11"/>
              </w:numPr>
              <w:spacing w:line="360" w:lineRule="auto"/>
              <w:rPr>
                <w:rFonts w:ascii="宋体" w:hAnsi="宋体" w:cs="宋体"/>
                <w:sz w:val="24"/>
              </w:rPr>
            </w:pPr>
            <w:r>
              <w:rPr>
                <w:rFonts w:hint="eastAsia" w:ascii="宋体" w:hAnsi="宋体" w:cs="宋体"/>
                <w:sz w:val="24"/>
              </w:rPr>
              <w:t>“电子加密投标文件”：在线上传递交、一份。</w:t>
            </w:r>
          </w:p>
          <w:p>
            <w:pPr>
              <w:spacing w:line="360" w:lineRule="auto"/>
              <w:rPr>
                <w:rFonts w:ascii="宋体" w:hAnsi="宋体" w:cs="宋体"/>
                <w:sz w:val="24"/>
              </w:rPr>
            </w:pPr>
            <w:r>
              <w:rPr>
                <w:rFonts w:hint="eastAsia" w:ascii="宋体" w:hAnsi="宋体" w:cs="宋体"/>
                <w:sz w:val="24"/>
              </w:rPr>
              <w:t>（2）“备份投标文件”：密封包装后（建议顺丰邮寄形式）投标截止时间前递交、一份（邮寄地址：</w:t>
            </w:r>
            <w:r>
              <w:rPr>
                <w:rFonts w:hint="eastAsia" w:ascii="宋体" w:hAnsi="宋体" w:cs="宋体"/>
                <w:bCs/>
                <w:color w:val="000000"/>
                <w:kern w:val="0"/>
                <w:sz w:val="24"/>
              </w:rPr>
              <w:t>杭州市余杭区联创街77号汇银中心3幢2单元3楼</w:t>
            </w:r>
            <w:r>
              <w:rPr>
                <w:rFonts w:hint="eastAsia" w:ascii="宋体" w:hAnsi="宋体" w:cs="宋体"/>
                <w:sz w:val="24"/>
              </w:rPr>
              <w:t>，周聪聪收，13067902529）。</w:t>
            </w:r>
          </w:p>
          <w:p>
            <w:pPr>
              <w:spacing w:line="360" w:lineRule="auto"/>
              <w:rPr>
                <w:rFonts w:ascii="宋体" w:hAnsi="宋体" w:cs="宋体"/>
                <w:color w:val="000000"/>
                <w:sz w:val="24"/>
              </w:rPr>
            </w:pPr>
            <w:r>
              <w:rPr>
                <w:rFonts w:hint="eastAsia" w:ascii="宋体" w:hAnsi="宋体" w:cs="宋体"/>
                <w:sz w:val="24"/>
              </w:rPr>
              <w:t>（3）投标单位中标后提供一式三份纸质投标文件和电子投标文件与纸质投标文件内容一致的承诺书给采购代理机构留底以作项目验收存档使用。格式详见附件。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sz w:val="24"/>
              </w:rPr>
            </w:pPr>
            <w:r>
              <w:rPr>
                <w:rFonts w:hint="eastAsia" w:ascii="宋体" w:hAnsi="宋体" w:cs="宋体"/>
                <w:b/>
                <w:bCs/>
                <w:sz w:val="24"/>
              </w:rPr>
              <w:t>16</w:t>
            </w:r>
          </w:p>
        </w:tc>
        <w:tc>
          <w:tcPr>
            <w:tcW w:w="1703"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sz w:val="24"/>
              </w:rPr>
            </w:pPr>
            <w:r>
              <w:rPr>
                <w:rFonts w:hint="eastAsia" w:ascii="宋体" w:hAnsi="宋体" w:cs="宋体"/>
                <w:b/>
                <w:bCs/>
                <w:color w:val="000000"/>
                <w:sz w:val="24"/>
              </w:rPr>
              <w:t>投标文件的上传和递交</w:t>
            </w:r>
          </w:p>
        </w:tc>
        <w:tc>
          <w:tcPr>
            <w:tcW w:w="7754" w:type="dxa"/>
            <w:tcBorders>
              <w:top w:val="single" w:color="000000" w:sz="2" w:space="0"/>
              <w:left w:val="single" w:color="000000" w:sz="2" w:space="0"/>
              <w:bottom w:val="single" w:color="000000" w:sz="2" w:space="0"/>
              <w:right w:val="single" w:color="000000" w:sz="8" w:space="0"/>
            </w:tcBorders>
            <w:vAlign w:val="center"/>
          </w:tcPr>
          <w:p>
            <w:pPr>
              <w:widowControl/>
              <w:spacing w:line="360" w:lineRule="auto"/>
              <w:rPr>
                <w:rFonts w:ascii="宋体" w:hAnsi="宋体" w:cs="宋体"/>
                <w:color w:val="000000"/>
                <w:sz w:val="24"/>
              </w:rPr>
            </w:pPr>
            <w:r>
              <w:rPr>
                <w:rFonts w:hint="eastAsia" w:ascii="宋体" w:hAnsi="宋体" w:cs="宋体"/>
                <w:color w:val="000000"/>
                <w:sz w:val="24"/>
              </w:rPr>
              <w:t>（1）“电子加密投标文件”的上传、递交：</w:t>
            </w:r>
          </w:p>
          <w:p>
            <w:pPr>
              <w:pStyle w:val="88"/>
              <w:spacing w:line="360" w:lineRule="auto"/>
              <w:rPr>
                <w:rFonts w:cs="宋体"/>
                <w:color w:val="000000"/>
                <w:kern w:val="2"/>
                <w:szCs w:val="24"/>
              </w:rPr>
            </w:pPr>
            <w:r>
              <w:rPr>
                <w:rFonts w:hint="eastAsia" w:cs="宋体"/>
                <w:color w:val="000000"/>
                <w:kern w:val="2"/>
                <w:szCs w:val="24"/>
              </w:rPr>
              <w:t>a.投标供应商应在投标截止时间前将“电子加密投标文件”成功上传递交至“政府采购云平台”，否则投标无效。</w:t>
            </w:r>
          </w:p>
          <w:p>
            <w:pPr>
              <w:pStyle w:val="88"/>
              <w:spacing w:line="360" w:lineRule="auto"/>
              <w:rPr>
                <w:rFonts w:cs="宋体"/>
                <w:color w:val="000000"/>
                <w:kern w:val="2"/>
                <w:szCs w:val="24"/>
              </w:rPr>
            </w:pPr>
            <w:r>
              <w:rPr>
                <w:rFonts w:hint="eastAsia" w:cs="宋体"/>
                <w:color w:val="000000"/>
                <w:kern w:val="2"/>
                <w:szCs w:val="24"/>
              </w:rPr>
              <w:t>b.“电子加密投标文件”成功上传递交后，供应商可自行打印投标文件接收回执。</w:t>
            </w:r>
          </w:p>
          <w:p>
            <w:pPr>
              <w:pStyle w:val="88"/>
              <w:spacing w:line="360" w:lineRule="auto"/>
              <w:rPr>
                <w:rFonts w:cs="宋体"/>
                <w:color w:val="000000"/>
                <w:kern w:val="2"/>
                <w:szCs w:val="24"/>
              </w:rPr>
            </w:pPr>
            <w:r>
              <w:rPr>
                <w:rFonts w:hint="eastAsia" w:cs="宋体"/>
                <w:color w:val="000000"/>
                <w:kern w:val="2"/>
                <w:szCs w:val="24"/>
              </w:rPr>
              <w:t>（2）“备份投标文件”的密封包装、递交：</w:t>
            </w:r>
          </w:p>
          <w:p>
            <w:pPr>
              <w:pStyle w:val="88"/>
              <w:spacing w:line="360" w:lineRule="auto"/>
              <w:rPr>
                <w:rFonts w:cs="宋体"/>
                <w:color w:val="000000"/>
                <w:kern w:val="2"/>
                <w:szCs w:val="24"/>
              </w:rPr>
            </w:pPr>
            <w:r>
              <w:rPr>
                <w:rFonts w:hint="eastAsia" w:cs="宋体"/>
                <w:color w:val="000000"/>
                <w:kern w:val="2"/>
                <w:szCs w:val="24"/>
              </w:rPr>
              <w:t>a.投标供应商在“政府采购云平台”完成“电子加密投标文件”的上传递交后，还可以（建议顺丰邮寄形式）在投标截止时间前递交以介质（U盘）存储的 “备份投标文件”（一份）；</w:t>
            </w:r>
            <w:r>
              <w:rPr>
                <w:rFonts w:hint="eastAsia" w:cs="宋体"/>
                <w:b/>
                <w:bCs/>
                <w:color w:val="000000"/>
                <w:kern w:val="2"/>
                <w:szCs w:val="24"/>
              </w:rPr>
              <w:t>建议顺丰邮寄形式快递至招标代理公司地址（地址详见招标采购文件）；解密CA必须是上传并制作电子投标文件CA锁。</w:t>
            </w:r>
          </w:p>
          <w:p>
            <w:pPr>
              <w:spacing w:line="360" w:lineRule="auto"/>
              <w:rPr>
                <w:rFonts w:ascii="宋体" w:hAnsi="宋体" w:cs="宋体"/>
                <w:color w:val="000000"/>
                <w:sz w:val="24"/>
              </w:rPr>
            </w:pPr>
            <w:r>
              <w:rPr>
                <w:rFonts w:hint="eastAsia" w:ascii="宋体" w:hAnsi="宋体" w:cs="宋体"/>
                <w:color w:val="000000"/>
                <w:sz w:val="24"/>
              </w:rPr>
              <w:t>b.“备份投标文件”应当密封包装，并在包装上标注投标项目名称、投标单位名称并加盖公章。没有密封包装或者逾期</w:t>
            </w:r>
            <w:r>
              <w:rPr>
                <w:rFonts w:hint="eastAsia" w:ascii="宋体" w:hAnsi="宋体" w:cs="宋体"/>
                <w:sz w:val="24"/>
              </w:rPr>
              <w:t>邮寄</w:t>
            </w:r>
            <w:r>
              <w:rPr>
                <w:rFonts w:hint="eastAsia" w:ascii="宋体" w:hAnsi="宋体" w:cs="宋体"/>
                <w:color w:val="000000"/>
                <w:sz w:val="24"/>
              </w:rPr>
              <w:t>送达至投标地点的“备份投标文件”将不予接收；</w:t>
            </w:r>
          </w:p>
          <w:p>
            <w:pPr>
              <w:spacing w:line="360" w:lineRule="auto"/>
              <w:rPr>
                <w:rFonts w:ascii="宋体" w:hAnsi="宋体" w:cs="宋体"/>
                <w:color w:val="000000"/>
                <w:sz w:val="24"/>
              </w:rPr>
            </w:pPr>
            <w:r>
              <w:rPr>
                <w:rFonts w:hint="eastAsia" w:ascii="宋体" w:hAnsi="宋体" w:cs="宋体"/>
                <w:color w:val="000000"/>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7</w:t>
            </w:r>
          </w:p>
        </w:tc>
        <w:tc>
          <w:tcPr>
            <w:tcW w:w="1703"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sz w:val="24"/>
              </w:rPr>
            </w:pPr>
            <w:r>
              <w:rPr>
                <w:rFonts w:hint="eastAsia" w:ascii="宋体" w:hAnsi="宋体" w:cs="宋体"/>
                <w:b/>
                <w:bCs/>
                <w:color w:val="000000"/>
                <w:sz w:val="24"/>
              </w:rPr>
              <w:t>电子加密投标文件的解密和异常情况处理</w:t>
            </w:r>
          </w:p>
        </w:tc>
        <w:tc>
          <w:tcPr>
            <w:tcW w:w="7754"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ascii="宋体" w:hAnsi="宋体" w:cs="宋体"/>
                <w:color w:val="000000"/>
                <w:sz w:val="24"/>
              </w:rPr>
            </w:pPr>
            <w:r>
              <w:rPr>
                <w:rFonts w:hint="eastAsia" w:ascii="宋体" w:hAnsi="宋体" w:cs="宋体"/>
                <w:color w:val="000000"/>
                <w:sz w:val="24"/>
              </w:rPr>
              <w:t>（1）开标后，采购组织机构将向各投标供应商发出“电子加密投标文件”的解密通知，各投标供应商代表应当在接到解密通知后45分钟内自行完成“电子加密投标文件”的在线解密。</w:t>
            </w:r>
          </w:p>
          <w:p>
            <w:pPr>
              <w:spacing w:line="360" w:lineRule="auto"/>
              <w:rPr>
                <w:rFonts w:ascii="宋体" w:hAnsi="宋体" w:cs="宋体"/>
                <w:color w:val="000000"/>
                <w:sz w:val="24"/>
              </w:rPr>
            </w:pPr>
            <w:r>
              <w:rPr>
                <w:rFonts w:hint="eastAsia" w:ascii="宋体" w:hAnsi="宋体" w:cs="宋体"/>
                <w:color w:val="000000"/>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ascii="宋体" w:hAnsi="宋体" w:cs="宋体"/>
                <w:color w:val="000000"/>
                <w:sz w:val="24"/>
              </w:rPr>
            </w:pPr>
            <w:r>
              <w:rPr>
                <w:rFonts w:hint="eastAsia" w:ascii="宋体" w:hAnsi="宋体" w:cs="宋体"/>
                <w:color w:val="000000"/>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rPr>
              <w:t>1</w:t>
            </w:r>
            <w:r>
              <w:rPr>
                <w:rFonts w:ascii="宋体" w:hAnsi="宋体" w:cs="宋体"/>
                <w:b/>
                <w:bCs/>
                <w:color w:val="000000"/>
                <w:kern w:val="0"/>
                <w:sz w:val="24"/>
              </w:rPr>
              <w:t>8</w:t>
            </w:r>
          </w:p>
        </w:tc>
        <w:tc>
          <w:tcPr>
            <w:tcW w:w="1703"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ascii="宋体" w:hAnsi="宋体" w:cs="宋体"/>
                <w:b/>
                <w:bCs/>
                <w:color w:val="000000"/>
                <w:sz w:val="24"/>
              </w:rPr>
            </w:pPr>
            <w:r>
              <w:rPr>
                <w:rFonts w:hint="eastAsia" w:ascii="宋体" w:hAnsi="宋体" w:cs="宋体"/>
                <w:b/>
                <w:bCs/>
                <w:sz w:val="24"/>
                <w:szCs w:val="22"/>
              </w:rPr>
              <w:t>投标截止时间和投标地址</w:t>
            </w:r>
          </w:p>
        </w:tc>
        <w:tc>
          <w:tcPr>
            <w:tcW w:w="7754"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ascii="宋体" w:hAnsi="宋体" w:cs="宋体"/>
                <w:sz w:val="24"/>
                <w:szCs w:val="22"/>
              </w:rPr>
            </w:pPr>
            <w:r>
              <w:rPr>
                <w:rFonts w:hint="eastAsia" w:ascii="宋体" w:hAnsi="宋体" w:cs="宋体"/>
                <w:sz w:val="24"/>
                <w:szCs w:val="22"/>
              </w:rPr>
              <w:t>1、投标截止时间：</w:t>
            </w:r>
            <w:r>
              <w:rPr>
                <w:rFonts w:hint="eastAsia" w:ascii="宋体" w:hAnsi="宋体" w:cs="宋体"/>
                <w:sz w:val="24"/>
                <w:szCs w:val="22"/>
                <w:u w:val="single"/>
              </w:rPr>
              <w:t>详见公告</w:t>
            </w:r>
            <w:r>
              <w:rPr>
                <w:rFonts w:hint="eastAsia" w:ascii="宋体" w:hAnsi="宋体" w:cs="宋体"/>
                <w:sz w:val="24"/>
                <w:szCs w:val="22"/>
              </w:rPr>
              <w:t>；</w:t>
            </w:r>
          </w:p>
          <w:p>
            <w:pPr>
              <w:spacing w:line="360" w:lineRule="auto"/>
              <w:rPr>
                <w:rFonts w:ascii="宋体" w:hAnsi="宋体" w:cs="宋体"/>
                <w:sz w:val="24"/>
                <w:szCs w:val="22"/>
              </w:rPr>
            </w:pPr>
            <w:r>
              <w:rPr>
                <w:rFonts w:hint="eastAsia" w:ascii="宋体" w:hAnsi="宋体" w:cs="宋体"/>
                <w:sz w:val="24"/>
                <w:szCs w:val="22"/>
              </w:rPr>
              <w:t>2、投标地址：</w:t>
            </w:r>
          </w:p>
          <w:p>
            <w:pPr>
              <w:spacing w:line="360" w:lineRule="auto"/>
              <w:rPr>
                <w:rFonts w:ascii="宋体" w:hAnsi="宋体" w:cs="宋体"/>
                <w:sz w:val="24"/>
                <w:szCs w:val="22"/>
              </w:rPr>
            </w:pPr>
            <w:r>
              <w:rPr>
                <w:rFonts w:hint="eastAsia" w:ascii="宋体" w:hAnsi="宋体" w:cs="宋体"/>
                <w:sz w:val="24"/>
                <w:szCs w:val="22"/>
              </w:rPr>
              <w:t>2.1</w:t>
            </w:r>
            <w:r>
              <w:rPr>
                <w:rFonts w:hint="eastAsia" w:ascii="宋体" w:hAnsi="宋体" w:cs="宋体"/>
                <w:spacing w:val="-10"/>
                <w:sz w:val="24"/>
                <w:szCs w:val="22"/>
              </w:rPr>
              <w:t>“电子加密投标文件”：政府采购云平台</w:t>
            </w:r>
            <w:r>
              <w:rPr>
                <w:rFonts w:hint="eastAsia" w:ascii="宋体" w:hAnsi="宋体" w:cs="宋体"/>
                <w:sz w:val="24"/>
                <w:szCs w:val="22"/>
              </w:rPr>
              <w:t>（www.zcygov.cn）</w:t>
            </w:r>
            <w:r>
              <w:rPr>
                <w:rFonts w:hint="eastAsia" w:ascii="宋体" w:hAnsi="宋体" w:cs="宋体"/>
                <w:spacing w:val="-10"/>
                <w:sz w:val="24"/>
                <w:szCs w:val="22"/>
              </w:rPr>
              <w:t>在线投标。</w:t>
            </w:r>
          </w:p>
          <w:p>
            <w:pPr>
              <w:spacing w:line="360" w:lineRule="auto"/>
              <w:rPr>
                <w:rFonts w:ascii="宋体" w:hAnsi="宋体" w:cs="宋体"/>
                <w:color w:val="000000"/>
                <w:sz w:val="24"/>
              </w:rPr>
            </w:pPr>
            <w:r>
              <w:rPr>
                <w:rFonts w:hint="eastAsia" w:ascii="宋体" w:hAnsi="宋体" w:cs="宋体"/>
                <w:spacing w:val="-6"/>
                <w:sz w:val="24"/>
                <w:szCs w:val="22"/>
              </w:rPr>
              <w:t xml:space="preserve">2.2“电子备份投标文件”： </w:t>
            </w:r>
            <w:r>
              <w:rPr>
                <w:rFonts w:hint="eastAsia" w:ascii="宋体" w:hAnsi="宋体" w:cs="宋体"/>
                <w:bCs/>
                <w:color w:val="000000"/>
                <w:kern w:val="0"/>
                <w:sz w:val="24"/>
              </w:rPr>
              <w:t>杭州市余杭区联创街77号汇银中心3幢2单元3楼</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7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rPr>
              <w:t>19</w:t>
            </w:r>
          </w:p>
        </w:tc>
        <w:tc>
          <w:tcPr>
            <w:tcW w:w="1703" w:type="dxa"/>
            <w:tcBorders>
              <w:top w:val="single" w:color="000000" w:sz="2" w:space="0"/>
              <w:left w:val="single" w:color="000000" w:sz="8" w:space="0"/>
              <w:bottom w:val="single" w:color="000000" w:sz="2" w:space="0"/>
              <w:right w:val="single" w:color="000000" w:sz="2" w:space="0"/>
            </w:tcBorders>
          </w:tcPr>
          <w:p>
            <w:pPr>
              <w:pStyle w:val="307"/>
              <w:spacing w:before="2" w:line="360" w:lineRule="auto"/>
              <w:jc w:val="center"/>
              <w:rPr>
                <w:b/>
                <w:bCs/>
                <w:sz w:val="24"/>
              </w:rPr>
            </w:pPr>
          </w:p>
          <w:p>
            <w:pPr>
              <w:pStyle w:val="307"/>
              <w:spacing w:line="360" w:lineRule="auto"/>
              <w:ind w:right="288"/>
              <w:jc w:val="center"/>
              <w:rPr>
                <w:b/>
                <w:bCs/>
                <w:color w:val="000000"/>
                <w:sz w:val="24"/>
              </w:rPr>
            </w:pPr>
            <w:r>
              <w:rPr>
                <w:rFonts w:hint="eastAsia"/>
                <w:b/>
                <w:bCs/>
                <w:sz w:val="24"/>
              </w:rPr>
              <w:t>开标时间和地址</w:t>
            </w:r>
          </w:p>
        </w:tc>
        <w:tc>
          <w:tcPr>
            <w:tcW w:w="7754" w:type="dxa"/>
            <w:tcBorders>
              <w:top w:val="single" w:color="000000" w:sz="2" w:space="0"/>
              <w:left w:val="single" w:color="000000" w:sz="2" w:space="0"/>
              <w:bottom w:val="single" w:color="000000" w:sz="2" w:space="0"/>
              <w:right w:val="single" w:color="000000" w:sz="8" w:space="0"/>
            </w:tcBorders>
          </w:tcPr>
          <w:p>
            <w:pPr>
              <w:snapToGrid w:val="0"/>
              <w:spacing w:line="360" w:lineRule="auto"/>
              <w:rPr>
                <w:rFonts w:ascii="宋体" w:hAnsi="宋体" w:cs="宋体"/>
                <w:sz w:val="24"/>
              </w:rPr>
            </w:pPr>
            <w:r>
              <w:rPr>
                <w:rFonts w:hint="eastAsia" w:ascii="宋体" w:hAnsi="宋体" w:cs="宋体"/>
                <w:b/>
                <w:bCs/>
                <w:sz w:val="24"/>
              </w:rPr>
              <w:t>开标时间：</w:t>
            </w:r>
            <w:r>
              <w:rPr>
                <w:rFonts w:hint="eastAsia" w:ascii="宋体" w:hAnsi="宋体" w:cs="宋体"/>
                <w:sz w:val="24"/>
                <w:u w:val="single"/>
              </w:rPr>
              <w:t>详见公告</w:t>
            </w:r>
            <w:r>
              <w:rPr>
                <w:rFonts w:hint="eastAsia" w:ascii="宋体" w:hAnsi="宋体" w:cs="宋体"/>
                <w:sz w:val="24"/>
              </w:rPr>
              <w:t>；</w:t>
            </w:r>
          </w:p>
          <w:p>
            <w:pPr>
              <w:snapToGrid w:val="0"/>
              <w:spacing w:line="360" w:lineRule="auto"/>
              <w:rPr>
                <w:rFonts w:ascii="宋体" w:hAnsi="宋体" w:cs="宋体"/>
                <w:sz w:val="24"/>
              </w:rPr>
            </w:pPr>
            <w:r>
              <w:rPr>
                <w:rFonts w:hint="eastAsia" w:ascii="宋体" w:hAnsi="宋体" w:cs="宋体"/>
                <w:b/>
                <w:bCs/>
                <w:sz w:val="24"/>
              </w:rPr>
              <w:t>开标地址（网址）：</w:t>
            </w:r>
            <w:r>
              <w:rPr>
                <w:rFonts w:hint="eastAsia" w:ascii="宋体" w:hAnsi="宋体" w:cs="宋体"/>
                <w:color w:val="000000"/>
                <w:sz w:val="24"/>
              </w:rPr>
              <w:t>登陆“政府采购云平台（www.zcygov.cn）”开标大厅等候解密 ；</w:t>
            </w:r>
          </w:p>
          <w:p>
            <w:pPr>
              <w:snapToGrid w:val="0"/>
              <w:spacing w:line="360" w:lineRule="auto"/>
              <w:rPr>
                <w:rFonts w:ascii="宋体" w:hAnsi="宋体" w:cs="宋体"/>
                <w:color w:val="000000"/>
                <w:sz w:val="24"/>
              </w:rPr>
            </w:pPr>
            <w:r>
              <w:rPr>
                <w:rFonts w:hint="eastAsia" w:ascii="宋体" w:hAnsi="宋体" w:cs="宋体"/>
                <w:b/>
                <w:color w:val="000000"/>
                <w:kern w:val="0"/>
                <w:sz w:val="24"/>
              </w:rPr>
              <w:t>组织机构线下开标</w:t>
            </w:r>
            <w:r>
              <w:rPr>
                <w:rFonts w:hint="eastAsia" w:ascii="宋体" w:hAnsi="宋体" w:cs="宋体"/>
                <w:b/>
                <w:bCs/>
                <w:sz w:val="24"/>
              </w:rPr>
              <w:t>地址</w:t>
            </w:r>
            <w:r>
              <w:rPr>
                <w:rFonts w:hint="eastAsia" w:ascii="宋体" w:hAnsi="宋体" w:cs="宋体"/>
                <w:b/>
                <w:color w:val="000000"/>
                <w:kern w:val="0"/>
                <w:sz w:val="24"/>
              </w:rPr>
              <w:t>：</w:t>
            </w:r>
            <w:r>
              <w:rPr>
                <w:rFonts w:hint="eastAsia" w:ascii="宋体" w:hAnsi="宋体" w:cs="宋体"/>
                <w:bCs/>
                <w:color w:val="000000"/>
                <w:kern w:val="0"/>
                <w:sz w:val="24"/>
              </w:rPr>
              <w:t>杭州市余杭区联创街77号汇银中心3幢2单元3楼会议室</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rPr>
              <w:t>20</w:t>
            </w:r>
          </w:p>
        </w:tc>
        <w:tc>
          <w:tcPr>
            <w:tcW w:w="1703" w:type="dxa"/>
            <w:tcBorders>
              <w:top w:val="single" w:color="000000" w:sz="2" w:space="0"/>
              <w:left w:val="single" w:color="000000" w:sz="8" w:space="0"/>
              <w:bottom w:val="single" w:color="000000" w:sz="2" w:space="0"/>
              <w:right w:val="single" w:color="000000" w:sz="2" w:space="0"/>
            </w:tcBorders>
          </w:tcPr>
          <w:p>
            <w:pPr>
              <w:pStyle w:val="307"/>
              <w:spacing w:line="360" w:lineRule="auto"/>
              <w:ind w:left="4"/>
              <w:jc w:val="center"/>
              <w:rPr>
                <w:b/>
                <w:bCs/>
                <w:sz w:val="24"/>
              </w:rPr>
            </w:pPr>
          </w:p>
          <w:p>
            <w:pPr>
              <w:pStyle w:val="307"/>
              <w:spacing w:line="360" w:lineRule="auto"/>
              <w:ind w:left="4"/>
              <w:jc w:val="center"/>
              <w:rPr>
                <w:b/>
                <w:bCs/>
                <w:color w:val="000000"/>
                <w:sz w:val="24"/>
              </w:rPr>
            </w:pPr>
            <w:r>
              <w:rPr>
                <w:rFonts w:hint="eastAsia"/>
                <w:b/>
                <w:bCs/>
                <w:sz w:val="24"/>
              </w:rPr>
              <w:t>开标</w:t>
            </w:r>
          </w:p>
        </w:tc>
        <w:tc>
          <w:tcPr>
            <w:tcW w:w="7754" w:type="dxa"/>
            <w:tcBorders>
              <w:top w:val="single" w:color="000000" w:sz="2" w:space="0"/>
              <w:left w:val="single" w:color="000000" w:sz="2" w:space="0"/>
              <w:bottom w:val="single" w:color="000000" w:sz="2" w:space="0"/>
              <w:right w:val="single" w:color="000000" w:sz="8" w:space="0"/>
            </w:tcBorders>
          </w:tcPr>
          <w:p>
            <w:pPr>
              <w:pStyle w:val="307"/>
              <w:spacing w:line="360" w:lineRule="auto"/>
              <w:ind w:left="468" w:hanging="360"/>
              <w:jc w:val="left"/>
              <w:rPr>
                <w:sz w:val="24"/>
              </w:rPr>
            </w:pPr>
            <w:r>
              <w:rPr>
                <w:rFonts w:hint="eastAsia"/>
                <w:sz w:val="24"/>
              </w:rPr>
              <w:t>（</w:t>
            </w:r>
            <w:r>
              <w:rPr>
                <w:rFonts w:hint="eastAsia"/>
                <w:sz w:val="24"/>
                <w:lang w:val="en-US"/>
              </w:rPr>
              <w:t>1）</w:t>
            </w:r>
            <w:r>
              <w:rPr>
                <w:rFonts w:hint="eastAsia"/>
                <w:sz w:val="24"/>
              </w:rPr>
              <w:t>采购组织机构按照采购文件规定的时间通过电子交易平台组织开标，</w:t>
            </w:r>
          </w:p>
          <w:p>
            <w:pPr>
              <w:pStyle w:val="307"/>
              <w:spacing w:line="360" w:lineRule="auto"/>
              <w:ind w:left="468" w:hanging="360"/>
              <w:jc w:val="left"/>
              <w:rPr>
                <w:sz w:val="24"/>
              </w:rPr>
            </w:pPr>
            <w:r>
              <w:rPr>
                <w:rFonts w:hint="eastAsia"/>
                <w:sz w:val="24"/>
              </w:rPr>
              <w:t>所有供应商均应当准时在线参加。</w:t>
            </w:r>
          </w:p>
          <w:p>
            <w:pPr>
              <w:pStyle w:val="307"/>
              <w:spacing w:line="360" w:lineRule="auto"/>
              <w:ind w:left="468" w:hanging="360"/>
              <w:jc w:val="left"/>
              <w:rPr>
                <w:sz w:val="24"/>
              </w:rPr>
            </w:pPr>
            <w:r>
              <w:rPr>
                <w:rFonts w:hint="eastAsia"/>
                <w:sz w:val="24"/>
              </w:rPr>
              <w:t>（</w:t>
            </w:r>
            <w:r>
              <w:rPr>
                <w:rFonts w:hint="eastAsia"/>
                <w:sz w:val="24"/>
                <w:lang w:val="en-US"/>
              </w:rPr>
              <w:t>2）</w:t>
            </w:r>
            <w:r>
              <w:rPr>
                <w:rFonts w:hint="eastAsia"/>
                <w:sz w:val="24"/>
              </w:rPr>
              <w:t>开标时间后，采购组织机构将向各投标供应商发出“电子加密投标文件”的解密通知，各投标供应商代表应当在接</w:t>
            </w:r>
            <w:r>
              <w:rPr>
                <w:rFonts w:hint="eastAsia"/>
                <w:spacing w:val="-5"/>
                <w:sz w:val="24"/>
              </w:rPr>
              <w:t xml:space="preserve">到解密通知后 </w:t>
            </w:r>
            <w:r>
              <w:rPr>
                <w:rFonts w:hint="eastAsia"/>
                <w:i/>
                <w:sz w:val="24"/>
                <w:u w:val="single"/>
                <w:lang w:val="en-US"/>
              </w:rPr>
              <w:t>45</w:t>
            </w:r>
            <w:r>
              <w:rPr>
                <w:rFonts w:hint="eastAsia"/>
                <w:spacing w:val="-3"/>
                <w:sz w:val="24"/>
              </w:rPr>
              <w:t>分钟内自行完成“电子加密投标文件”的在线解密。</w:t>
            </w:r>
          </w:p>
          <w:p>
            <w:pPr>
              <w:pStyle w:val="307"/>
              <w:spacing w:line="360" w:lineRule="auto"/>
              <w:ind w:left="468" w:hanging="360"/>
              <w:jc w:val="left"/>
              <w:rPr>
                <w:sz w:val="24"/>
              </w:rPr>
            </w:pPr>
            <w:r>
              <w:rPr>
                <w:rFonts w:hint="eastAsia"/>
                <w:sz w:val="24"/>
              </w:rPr>
              <w:t>（</w:t>
            </w:r>
            <w:r>
              <w:rPr>
                <w:rFonts w:hint="eastAsia"/>
                <w:sz w:val="24"/>
                <w:lang w:val="en-US"/>
              </w:rPr>
              <w:t>3）</w:t>
            </w:r>
            <w:r>
              <w:rPr>
                <w:rFonts w:hint="eastAsia"/>
                <w:sz w:val="24"/>
              </w:rPr>
              <w:t>通过“政府采购云平台”上传递交的“电子加密投标文件”已按时解密的，“电子备份投标文件”自动失效。</w:t>
            </w:r>
          </w:p>
          <w:p>
            <w:pPr>
              <w:pStyle w:val="307"/>
              <w:spacing w:line="360" w:lineRule="auto"/>
              <w:ind w:left="468" w:hanging="360"/>
              <w:jc w:val="left"/>
              <w:rPr>
                <w:sz w:val="24"/>
              </w:rPr>
            </w:pPr>
            <w:r>
              <w:rPr>
                <w:rFonts w:hint="eastAsia"/>
                <w:sz w:val="24"/>
                <w:lang w:val="en-US"/>
              </w:rPr>
              <w:t>(4)</w:t>
            </w:r>
            <w:r>
              <w:rPr>
                <w:rFonts w:hint="eastAsia"/>
                <w:sz w:val="24"/>
              </w:rPr>
              <w:t>通过“政府采购云平台”上传递交的“电子加密投标文件” 无法按时解密的，如投标供应商按规定递交 “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在“政府采购云平台”正常运行情况下，“电子备份投标文件”无法上传至“政府采购云平台”的，视为投标文件撤回。如投标供应商未按规定递交“电子备份投标文件”的，视为投标文件撤回。</w:t>
            </w:r>
          </w:p>
          <w:p>
            <w:pPr>
              <w:pStyle w:val="307"/>
              <w:spacing w:line="360" w:lineRule="auto"/>
              <w:ind w:left="468" w:hanging="360"/>
              <w:jc w:val="left"/>
              <w:rPr>
                <w:sz w:val="24"/>
              </w:rPr>
            </w:pPr>
            <w:r>
              <w:rPr>
                <w:rFonts w:hint="eastAsia"/>
                <w:sz w:val="24"/>
              </w:rPr>
              <w:t>（</w:t>
            </w:r>
            <w:r>
              <w:rPr>
                <w:rFonts w:hint="eastAsia"/>
                <w:sz w:val="24"/>
                <w:lang w:val="en-US"/>
              </w:rPr>
              <w:t>5）</w:t>
            </w:r>
            <w:r>
              <w:rPr>
                <w:rFonts w:hint="eastAsia"/>
                <w:sz w:val="24"/>
              </w:rPr>
              <w:t>投标截止时间前，投标供应商仅递交了“电子备份投标文件”而未将“电子加密投标文件”上传至“政府采购云平台”的，投标无效。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2" w:hRule="atLeast"/>
          <w:jc w:val="center"/>
        </w:trPr>
        <w:tc>
          <w:tcPr>
            <w:tcW w:w="655" w:type="dxa"/>
            <w:tcBorders>
              <w:top w:val="single" w:color="000000" w:sz="2" w:space="0"/>
              <w:left w:val="single" w:color="000000" w:sz="8" w:space="0"/>
              <w:bottom w:val="single" w:color="000000" w:sz="2" w:space="0"/>
              <w:right w:val="single" w:color="000000" w:sz="2" w:space="0"/>
            </w:tcBorders>
            <w:vAlign w:val="bottom"/>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rPr>
              <w:t>21</w:t>
            </w:r>
          </w:p>
        </w:tc>
        <w:tc>
          <w:tcPr>
            <w:tcW w:w="1703" w:type="dxa"/>
            <w:tcBorders>
              <w:top w:val="single" w:color="000000" w:sz="2" w:space="0"/>
              <w:left w:val="single" w:color="000000" w:sz="8" w:space="0"/>
              <w:bottom w:val="single" w:color="000000" w:sz="2" w:space="0"/>
              <w:right w:val="single" w:color="000000" w:sz="2" w:space="0"/>
            </w:tcBorders>
            <w:vAlign w:val="bottom"/>
          </w:tcPr>
          <w:p>
            <w:pPr>
              <w:pStyle w:val="307"/>
              <w:spacing w:before="21" w:line="360" w:lineRule="auto"/>
              <w:ind w:left="293"/>
              <w:rPr>
                <w:b/>
                <w:bCs/>
                <w:color w:val="000000"/>
                <w:sz w:val="24"/>
              </w:rPr>
            </w:pPr>
            <w:r>
              <w:rPr>
                <w:rFonts w:hint="eastAsia"/>
                <w:b/>
                <w:bCs/>
                <w:sz w:val="24"/>
              </w:rPr>
              <w:t>评标办法</w:t>
            </w:r>
          </w:p>
        </w:tc>
        <w:tc>
          <w:tcPr>
            <w:tcW w:w="7754" w:type="dxa"/>
            <w:tcBorders>
              <w:top w:val="single" w:color="000000" w:sz="2" w:space="0"/>
              <w:left w:val="single" w:color="000000" w:sz="2" w:space="0"/>
              <w:bottom w:val="single" w:color="000000" w:sz="2" w:space="0"/>
              <w:right w:val="single" w:color="000000" w:sz="8" w:space="0"/>
            </w:tcBorders>
            <w:vAlign w:val="bottom"/>
          </w:tcPr>
          <w:p>
            <w:pPr>
              <w:pStyle w:val="307"/>
              <w:spacing w:before="21" w:line="360" w:lineRule="auto"/>
              <w:ind w:left="109"/>
              <w:jc w:val="left"/>
              <w:rPr>
                <w:color w:val="000000"/>
                <w:sz w:val="24"/>
              </w:rPr>
            </w:pPr>
            <w:r>
              <w:rPr>
                <w:rFonts w:hint="eastAsia"/>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line="360" w:lineRule="auto"/>
              <w:jc w:val="center"/>
              <w:rPr>
                <w:rFonts w:ascii="宋体" w:hAnsi="宋体" w:cs="宋体"/>
                <w:b/>
                <w:bCs/>
                <w:sz w:val="24"/>
              </w:rPr>
            </w:pPr>
            <w:r>
              <w:rPr>
                <w:rFonts w:hint="eastAsia" w:ascii="宋体" w:hAnsi="宋体" w:cs="宋体"/>
                <w:b/>
                <w:bCs/>
                <w:sz w:val="24"/>
              </w:rPr>
              <w:t>22</w:t>
            </w:r>
          </w:p>
        </w:tc>
        <w:tc>
          <w:tcPr>
            <w:tcW w:w="1703" w:type="dxa"/>
            <w:tcBorders>
              <w:top w:val="single" w:color="000000" w:sz="2" w:space="0"/>
              <w:left w:val="single" w:color="000000" w:sz="8" w:space="0"/>
              <w:bottom w:val="single" w:color="000000" w:sz="2" w:space="0"/>
              <w:right w:val="single" w:color="000000" w:sz="2" w:space="0"/>
            </w:tcBorders>
            <w:vAlign w:val="center"/>
          </w:tcPr>
          <w:p>
            <w:pPr>
              <w:pStyle w:val="307"/>
              <w:spacing w:line="360" w:lineRule="auto"/>
              <w:jc w:val="center"/>
              <w:rPr>
                <w:b/>
                <w:bCs/>
                <w:sz w:val="24"/>
              </w:rPr>
            </w:pPr>
            <w:r>
              <w:rPr>
                <w:rFonts w:hint="eastAsia"/>
                <w:b/>
                <w:bCs/>
                <w:sz w:val="24"/>
              </w:rPr>
              <w:t>是否进口</w:t>
            </w:r>
          </w:p>
        </w:tc>
        <w:tc>
          <w:tcPr>
            <w:tcW w:w="7754" w:type="dxa"/>
            <w:tcBorders>
              <w:top w:val="single" w:color="000000" w:sz="2" w:space="0"/>
              <w:left w:val="single" w:color="000000" w:sz="2" w:space="0"/>
              <w:bottom w:val="single" w:color="000000" w:sz="2" w:space="0"/>
              <w:right w:val="single" w:color="000000" w:sz="8" w:space="0"/>
            </w:tcBorders>
            <w:vAlign w:val="bottom"/>
          </w:tcPr>
          <w:p>
            <w:pPr>
              <w:pStyle w:val="307"/>
              <w:spacing w:before="199" w:line="360" w:lineRule="auto"/>
              <w:ind w:left="109"/>
              <w:jc w:val="left"/>
              <w:rPr>
                <w:sz w:val="24"/>
              </w:rPr>
            </w:pPr>
            <w:r>
              <w:rPr>
                <w:rFonts w:hint="eastAsia"/>
                <w:sz w:val="24"/>
              </w:rPr>
              <w:t>□允许进口；</w:t>
            </w:r>
          </w:p>
          <w:p>
            <w:pPr>
              <w:pStyle w:val="307"/>
              <w:numPr>
                <w:ilvl w:val="0"/>
                <w:numId w:val="12"/>
              </w:numPr>
              <w:tabs>
                <w:tab w:val="left" w:pos="350"/>
              </w:tabs>
              <w:spacing w:before="131" w:line="360" w:lineRule="auto"/>
              <w:jc w:val="left"/>
              <w:rPr>
                <w:b/>
                <w:bCs/>
                <w:sz w:val="24"/>
              </w:rPr>
            </w:pPr>
            <w:r>
              <w:rPr>
                <w:rFonts w:hint="eastAsia"/>
                <w:sz w:val="24"/>
              </w:rPr>
              <w:t>不允许进口。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2" w:hRule="atLeast"/>
          <w:jc w:val="center"/>
        </w:trPr>
        <w:tc>
          <w:tcPr>
            <w:tcW w:w="655" w:type="dxa"/>
            <w:tcBorders>
              <w:top w:val="single" w:color="000000" w:sz="2" w:space="0"/>
              <w:left w:val="single" w:color="000000" w:sz="8" w:space="0"/>
              <w:bottom w:val="single" w:color="000000" w:sz="2" w:space="0"/>
              <w:right w:val="single" w:color="000000" w:sz="2" w:space="0"/>
            </w:tcBorders>
            <w:vAlign w:val="bottom"/>
          </w:tcPr>
          <w:p>
            <w:pPr>
              <w:spacing w:line="360" w:lineRule="auto"/>
              <w:jc w:val="center"/>
              <w:rPr>
                <w:rFonts w:ascii="宋体" w:hAnsi="宋体" w:cs="宋体"/>
                <w:b/>
                <w:bCs/>
                <w:sz w:val="24"/>
              </w:rPr>
            </w:pPr>
            <w:r>
              <w:rPr>
                <w:rFonts w:hint="eastAsia" w:ascii="宋体" w:hAnsi="宋体" w:cs="宋体"/>
                <w:b/>
                <w:bCs/>
                <w:sz w:val="24"/>
              </w:rPr>
              <w:t>23</w:t>
            </w:r>
          </w:p>
        </w:tc>
        <w:tc>
          <w:tcPr>
            <w:tcW w:w="1703" w:type="dxa"/>
            <w:tcBorders>
              <w:top w:val="single" w:color="000000" w:sz="2" w:space="0"/>
              <w:left w:val="single" w:color="000000" w:sz="8" w:space="0"/>
              <w:bottom w:val="single" w:color="000000" w:sz="2" w:space="0"/>
              <w:right w:val="single" w:color="000000" w:sz="2" w:space="0"/>
            </w:tcBorders>
            <w:vAlign w:val="bottom"/>
          </w:tcPr>
          <w:p>
            <w:pPr>
              <w:pStyle w:val="307"/>
              <w:spacing w:before="21" w:line="360" w:lineRule="auto"/>
              <w:ind w:left="293"/>
              <w:rPr>
                <w:b/>
                <w:bCs/>
                <w:sz w:val="24"/>
              </w:rPr>
            </w:pPr>
            <w:r>
              <w:rPr>
                <w:rFonts w:hint="eastAsia"/>
                <w:b/>
                <w:bCs/>
                <w:sz w:val="24"/>
              </w:rPr>
              <w:t>节能产品</w:t>
            </w:r>
          </w:p>
        </w:tc>
        <w:tc>
          <w:tcPr>
            <w:tcW w:w="7754" w:type="dxa"/>
            <w:tcBorders>
              <w:top w:val="single" w:color="000000" w:sz="2" w:space="0"/>
              <w:left w:val="single" w:color="000000" w:sz="2" w:space="0"/>
              <w:bottom w:val="single" w:color="000000" w:sz="2" w:space="0"/>
              <w:right w:val="single" w:color="000000" w:sz="8" w:space="0"/>
            </w:tcBorders>
            <w:vAlign w:val="bottom"/>
          </w:tcPr>
          <w:p>
            <w:pPr>
              <w:pStyle w:val="307"/>
              <w:spacing w:before="21" w:line="360" w:lineRule="auto"/>
              <w:ind w:left="109"/>
              <w:jc w:val="left"/>
              <w:rPr>
                <w:sz w:val="24"/>
              </w:rPr>
            </w:pPr>
            <w:r>
              <w:rPr>
                <w:rFonts w:hint="eastAsia"/>
                <w:b/>
                <w:sz w:val="24"/>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5" w:hRule="atLeast"/>
          <w:jc w:val="center"/>
        </w:trPr>
        <w:tc>
          <w:tcPr>
            <w:tcW w:w="655" w:type="dxa"/>
            <w:tcBorders>
              <w:top w:val="single" w:color="000000" w:sz="2" w:space="0"/>
              <w:left w:val="single" w:color="000000" w:sz="8" w:space="0"/>
              <w:bottom w:val="single" w:color="auto" w:sz="4" w:space="0"/>
              <w:right w:val="single" w:color="000000" w:sz="2" w:space="0"/>
            </w:tcBorders>
            <w:vAlign w:val="bottom"/>
          </w:tcPr>
          <w:p>
            <w:pPr>
              <w:spacing w:line="360" w:lineRule="auto"/>
              <w:jc w:val="center"/>
              <w:rPr>
                <w:rFonts w:ascii="宋体" w:hAnsi="宋体" w:cs="宋体"/>
                <w:b/>
                <w:bCs/>
                <w:sz w:val="24"/>
              </w:rPr>
            </w:pPr>
            <w:r>
              <w:rPr>
                <w:rFonts w:hint="eastAsia" w:ascii="宋体" w:hAnsi="宋体" w:cs="宋体"/>
                <w:b/>
                <w:bCs/>
                <w:sz w:val="24"/>
              </w:rPr>
              <w:t>24</w:t>
            </w:r>
          </w:p>
        </w:tc>
        <w:tc>
          <w:tcPr>
            <w:tcW w:w="1703" w:type="dxa"/>
            <w:tcBorders>
              <w:top w:val="single" w:color="000000" w:sz="2" w:space="0"/>
              <w:left w:val="single" w:color="000000" w:sz="8" w:space="0"/>
              <w:bottom w:val="single" w:color="auto" w:sz="4" w:space="0"/>
              <w:right w:val="single" w:color="000000" w:sz="2" w:space="0"/>
            </w:tcBorders>
            <w:vAlign w:val="bottom"/>
          </w:tcPr>
          <w:p>
            <w:pPr>
              <w:pStyle w:val="307"/>
              <w:spacing w:line="360" w:lineRule="auto"/>
              <w:jc w:val="center"/>
              <w:rPr>
                <w:b/>
                <w:bCs/>
                <w:sz w:val="24"/>
              </w:rPr>
            </w:pPr>
            <w:r>
              <w:rPr>
                <w:rFonts w:hint="eastAsia"/>
                <w:b/>
                <w:bCs/>
                <w:sz w:val="24"/>
              </w:rPr>
              <w:t>环境标志产品</w:t>
            </w:r>
          </w:p>
        </w:tc>
        <w:tc>
          <w:tcPr>
            <w:tcW w:w="7754" w:type="dxa"/>
            <w:tcBorders>
              <w:top w:val="single" w:color="000000" w:sz="2" w:space="0"/>
              <w:left w:val="single" w:color="000000" w:sz="2" w:space="0"/>
              <w:bottom w:val="single" w:color="auto" w:sz="4" w:space="0"/>
              <w:right w:val="single" w:color="000000" w:sz="8" w:space="0"/>
            </w:tcBorders>
            <w:vAlign w:val="bottom"/>
          </w:tcPr>
          <w:p>
            <w:pPr>
              <w:pStyle w:val="307"/>
              <w:spacing w:line="360" w:lineRule="auto"/>
              <w:ind w:left="109"/>
              <w:jc w:val="left"/>
              <w:rPr>
                <w:sz w:val="24"/>
              </w:rPr>
            </w:pPr>
            <w:r>
              <w:rPr>
                <w:rFonts w:hint="eastAsia"/>
                <w:b/>
                <w:sz w:val="24"/>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6" w:hRule="atLeast"/>
          <w:jc w:val="center"/>
        </w:trPr>
        <w:tc>
          <w:tcPr>
            <w:tcW w:w="655" w:type="dxa"/>
            <w:tcBorders>
              <w:top w:val="single" w:color="auto" w:sz="4" w:space="0"/>
              <w:left w:val="single" w:color="000000" w:sz="8" w:space="0"/>
              <w:bottom w:val="single" w:color="auto" w:sz="4" w:space="0"/>
              <w:right w:val="single" w:color="000000" w:sz="2" w:space="0"/>
            </w:tcBorders>
            <w:vAlign w:val="bottom"/>
          </w:tcPr>
          <w:p>
            <w:pPr>
              <w:spacing w:line="360" w:lineRule="auto"/>
              <w:jc w:val="center"/>
              <w:rPr>
                <w:rFonts w:ascii="宋体" w:hAnsi="宋体" w:cs="宋体"/>
                <w:b/>
                <w:bCs/>
                <w:sz w:val="24"/>
              </w:rPr>
            </w:pPr>
            <w:r>
              <w:rPr>
                <w:rFonts w:hint="eastAsia" w:ascii="宋体" w:hAnsi="宋体" w:cs="宋体"/>
                <w:b/>
                <w:bCs/>
                <w:sz w:val="24"/>
              </w:rPr>
              <w:t>25</w:t>
            </w:r>
          </w:p>
        </w:tc>
        <w:tc>
          <w:tcPr>
            <w:tcW w:w="1703" w:type="dxa"/>
            <w:tcBorders>
              <w:top w:val="single" w:color="auto" w:sz="4" w:space="0"/>
              <w:left w:val="single" w:color="000000" w:sz="8" w:space="0"/>
              <w:bottom w:val="single" w:color="auto" w:sz="4" w:space="0"/>
              <w:right w:val="single" w:color="000000" w:sz="2" w:space="0"/>
            </w:tcBorders>
            <w:vAlign w:val="bottom"/>
          </w:tcPr>
          <w:p>
            <w:pPr>
              <w:spacing w:line="360" w:lineRule="auto"/>
              <w:jc w:val="center"/>
              <w:rPr>
                <w:rFonts w:ascii="宋体" w:hAnsi="宋体" w:cs="宋体"/>
                <w:b/>
                <w:bCs/>
                <w:sz w:val="24"/>
              </w:rPr>
            </w:pPr>
            <w:r>
              <w:rPr>
                <w:rFonts w:hint="eastAsia" w:ascii="宋体" w:hAnsi="宋体" w:cs="宋体"/>
                <w:b/>
                <w:bCs/>
                <w:sz w:val="24"/>
              </w:rPr>
              <w:t>实质性要求</w:t>
            </w:r>
          </w:p>
        </w:tc>
        <w:tc>
          <w:tcPr>
            <w:tcW w:w="7754" w:type="dxa"/>
            <w:tcBorders>
              <w:top w:val="single" w:color="auto" w:sz="4" w:space="0"/>
              <w:left w:val="single" w:color="000000" w:sz="2" w:space="0"/>
              <w:bottom w:val="single" w:color="auto" w:sz="4" w:space="0"/>
              <w:right w:val="single" w:color="000000" w:sz="8" w:space="0"/>
            </w:tcBorders>
            <w:vAlign w:val="bottom"/>
          </w:tcPr>
          <w:p>
            <w:pPr>
              <w:spacing w:line="360" w:lineRule="auto"/>
              <w:jc w:val="left"/>
              <w:rPr>
                <w:rFonts w:ascii="宋体" w:hAnsi="宋体" w:cs="宋体"/>
                <w:sz w:val="24"/>
              </w:rPr>
            </w:pPr>
            <w:r>
              <w:rPr>
                <w:rFonts w:hint="eastAsia" w:ascii="宋体" w:hAnsi="宋体" w:cs="宋体"/>
                <w:sz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
                <w:bCs/>
                <w:color w:val="000000"/>
                <w:sz w:val="24"/>
              </w:rPr>
            </w:pPr>
            <w:r>
              <w:rPr>
                <w:rFonts w:hint="eastAsia" w:ascii="宋体" w:hAnsi="宋体" w:cs="宋体"/>
                <w:b/>
                <w:bCs/>
                <w:color w:val="000000"/>
                <w:sz w:val="24"/>
              </w:rPr>
              <w:t>26</w:t>
            </w:r>
          </w:p>
        </w:tc>
        <w:tc>
          <w:tcPr>
            <w:tcW w:w="1703"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
                <w:bCs/>
                <w:color w:val="000000"/>
                <w:sz w:val="24"/>
              </w:rPr>
            </w:pPr>
            <w:r>
              <w:rPr>
                <w:rFonts w:hint="eastAsia" w:ascii="宋体" w:hAnsi="宋体" w:cs="宋体"/>
                <w:b/>
                <w:bCs/>
                <w:color w:val="000000"/>
                <w:sz w:val="24"/>
              </w:rPr>
              <w:t>诚信履约</w:t>
            </w:r>
          </w:p>
        </w:tc>
        <w:tc>
          <w:tcPr>
            <w:tcW w:w="7754"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ind w:firstLine="240" w:firstLineChars="100"/>
              <w:rPr>
                <w:rFonts w:ascii="宋体" w:hAnsi="宋体" w:cs="宋体"/>
                <w:color w:val="000000"/>
                <w:sz w:val="24"/>
              </w:rPr>
            </w:pPr>
            <w:r>
              <w:rPr>
                <w:rFonts w:hint="eastAsia" w:ascii="宋体" w:hAnsi="宋体" w:cs="宋体"/>
                <w:color w:val="000000"/>
                <w:sz w:val="24"/>
              </w:rPr>
              <w:t>（1）投标截止后，在投标有效期内，投标人不能撤销投标文件。投标人强行撤销投标文件的，应按预算金额的2%赔偿对招标代理机构造成的损失。</w:t>
            </w:r>
          </w:p>
          <w:p>
            <w:pPr>
              <w:snapToGrid w:val="0"/>
              <w:spacing w:line="360" w:lineRule="auto"/>
              <w:ind w:firstLine="240" w:firstLineChars="100"/>
              <w:rPr>
                <w:rFonts w:ascii="宋体" w:hAnsi="宋体" w:cs="宋体"/>
                <w:color w:val="000000"/>
                <w:sz w:val="24"/>
              </w:rPr>
            </w:pPr>
            <w:r>
              <w:rPr>
                <w:rFonts w:hint="eastAsia" w:ascii="宋体" w:hAnsi="宋体" w:cs="宋体"/>
                <w:color w:val="000000"/>
                <w:sz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ind w:firstLine="240" w:firstLineChars="100"/>
              <w:rPr>
                <w:rFonts w:ascii="宋体" w:hAnsi="宋体" w:cs="宋体"/>
                <w:color w:val="000000"/>
                <w:sz w:val="24"/>
              </w:rPr>
            </w:pPr>
            <w:r>
              <w:rPr>
                <w:rFonts w:hint="eastAsia" w:ascii="宋体" w:hAnsi="宋体" w:cs="宋体"/>
                <w:color w:val="000000"/>
                <w:sz w:val="24"/>
              </w:rPr>
              <w:t>（3）存在下列行为的，招标代理机构将其失信行为上报政府采购主管部门，由主管部门按有关规定对其违法失信行为记录进行公开：</w:t>
            </w:r>
          </w:p>
          <w:p>
            <w:pPr>
              <w:snapToGrid w:val="0"/>
              <w:spacing w:line="360" w:lineRule="auto"/>
              <w:ind w:firstLine="240" w:firstLineChars="100"/>
              <w:rPr>
                <w:rFonts w:ascii="宋体" w:hAnsi="宋体" w:cs="宋体"/>
                <w:color w:val="000000"/>
                <w:sz w:val="24"/>
              </w:rPr>
            </w:pPr>
            <w:r>
              <w:rPr>
                <w:rFonts w:hint="eastAsia" w:ascii="宋体" w:hAnsi="宋体" w:cs="宋体"/>
                <w:color w:val="000000"/>
                <w:sz w:val="24"/>
              </w:rPr>
              <w:t>1)中标或者成交后，拒绝签订政府采购合同的；</w:t>
            </w:r>
          </w:p>
          <w:p>
            <w:pPr>
              <w:snapToGrid w:val="0"/>
              <w:spacing w:line="360" w:lineRule="auto"/>
              <w:ind w:firstLine="240" w:firstLineChars="100"/>
              <w:rPr>
                <w:rFonts w:ascii="宋体" w:hAnsi="宋体" w:cs="宋体"/>
                <w:color w:val="000000"/>
                <w:sz w:val="24"/>
              </w:rPr>
            </w:pPr>
            <w:r>
              <w:rPr>
                <w:rFonts w:hint="eastAsia" w:ascii="宋体" w:hAnsi="宋体" w:cs="宋体"/>
                <w:color w:val="000000"/>
                <w:sz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360" w:lineRule="auto"/>
              <w:jc w:val="center"/>
              <w:textAlignment w:val="center"/>
              <w:rPr>
                <w:rFonts w:ascii="宋体" w:hAnsi="宋体" w:cs="宋体"/>
                <w:b/>
                <w:bCs/>
                <w:color w:val="000000"/>
                <w:kern w:val="0"/>
                <w:sz w:val="24"/>
              </w:rPr>
            </w:pPr>
          </w:p>
          <w:p>
            <w:pPr>
              <w:widowControl/>
              <w:snapToGrid w:val="0"/>
              <w:spacing w:line="360" w:lineRule="auto"/>
              <w:jc w:val="center"/>
              <w:textAlignment w:val="center"/>
              <w:rPr>
                <w:rFonts w:ascii="宋体" w:hAnsi="宋体" w:cs="宋体"/>
                <w:b/>
                <w:bCs/>
                <w:color w:val="000000"/>
                <w:kern w:val="0"/>
                <w:sz w:val="24"/>
              </w:rPr>
            </w:pPr>
          </w:p>
          <w:p>
            <w:pPr>
              <w:widowControl/>
              <w:snapToGrid w:val="0"/>
              <w:spacing w:line="360" w:lineRule="auto"/>
              <w:jc w:val="center"/>
              <w:textAlignment w:val="center"/>
              <w:rPr>
                <w:rFonts w:ascii="宋体" w:hAnsi="宋体" w:cs="宋体"/>
                <w:b/>
                <w:bCs/>
                <w:color w:val="000000"/>
                <w:kern w:val="0"/>
                <w:sz w:val="24"/>
              </w:rPr>
            </w:pPr>
          </w:p>
          <w:p>
            <w:pPr>
              <w:widowControl/>
              <w:snapToGrid w:val="0"/>
              <w:spacing w:line="360" w:lineRule="auto"/>
              <w:jc w:val="center"/>
              <w:textAlignment w:val="center"/>
              <w:rPr>
                <w:rFonts w:ascii="宋体" w:hAnsi="宋体" w:cs="宋体"/>
                <w:b/>
                <w:bCs/>
                <w:color w:val="000000"/>
                <w:kern w:val="0"/>
                <w:sz w:val="24"/>
              </w:rPr>
            </w:pPr>
          </w:p>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rPr>
              <w:t>27</w:t>
            </w:r>
          </w:p>
        </w:tc>
        <w:tc>
          <w:tcPr>
            <w:tcW w:w="1703"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360" w:lineRule="auto"/>
              <w:jc w:val="center"/>
              <w:rPr>
                <w:rFonts w:ascii="宋体" w:hAnsi="宋体" w:cs="宋体"/>
                <w:b/>
                <w:bCs/>
                <w:color w:val="000000"/>
                <w:kern w:val="0"/>
                <w:sz w:val="24"/>
              </w:rPr>
            </w:pPr>
          </w:p>
          <w:p>
            <w:pPr>
              <w:widowControl/>
              <w:snapToGrid w:val="0"/>
              <w:spacing w:line="360" w:lineRule="auto"/>
              <w:jc w:val="center"/>
              <w:rPr>
                <w:rFonts w:ascii="宋体" w:hAnsi="宋体" w:cs="宋体"/>
                <w:b/>
                <w:bCs/>
                <w:color w:val="000000"/>
                <w:kern w:val="0"/>
                <w:sz w:val="24"/>
              </w:rPr>
            </w:pPr>
          </w:p>
          <w:p>
            <w:pPr>
              <w:widowControl/>
              <w:snapToGrid w:val="0"/>
              <w:spacing w:line="360" w:lineRule="auto"/>
              <w:jc w:val="center"/>
              <w:rPr>
                <w:rFonts w:ascii="宋体" w:hAnsi="宋体" w:cs="宋体"/>
                <w:b/>
                <w:bCs/>
                <w:color w:val="000000"/>
                <w:kern w:val="0"/>
                <w:sz w:val="24"/>
              </w:rPr>
            </w:pPr>
          </w:p>
          <w:p>
            <w:pPr>
              <w:widowControl/>
              <w:snapToGrid w:val="0"/>
              <w:spacing w:line="360" w:lineRule="auto"/>
              <w:jc w:val="center"/>
              <w:rPr>
                <w:rFonts w:ascii="宋体" w:hAnsi="宋体" w:cs="宋体"/>
                <w:b/>
                <w:bCs/>
                <w:color w:val="000000"/>
                <w:sz w:val="24"/>
              </w:rPr>
            </w:pPr>
            <w:r>
              <w:rPr>
                <w:rFonts w:hint="eastAsia" w:ascii="宋体" w:hAnsi="宋体" w:cs="宋体"/>
                <w:b/>
                <w:bCs/>
                <w:color w:val="000000"/>
                <w:kern w:val="0"/>
                <w:sz w:val="24"/>
              </w:rPr>
              <w:t>节能产品、环境标志产品采购政策(本项目不采用）</w:t>
            </w:r>
          </w:p>
        </w:tc>
        <w:tc>
          <w:tcPr>
            <w:tcW w:w="7754"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节能产品、环境标志产品的强制采购政策</w:t>
            </w:r>
          </w:p>
          <w:p>
            <w:pPr>
              <w:widowControl/>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节能产品、环境标志产品的优先采购政策</w:t>
            </w:r>
          </w:p>
          <w:p>
            <w:pPr>
              <w:widowControl/>
              <w:snapToGrid w:val="0"/>
              <w:spacing w:line="360" w:lineRule="auto"/>
              <w:ind w:firstLine="480" w:firstLineChars="200"/>
              <w:rPr>
                <w:rFonts w:ascii="宋体" w:hAnsi="宋体" w:cs="宋体"/>
                <w:color w:val="00000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rPr>
              <w:t>28</w:t>
            </w:r>
          </w:p>
        </w:tc>
        <w:tc>
          <w:tcPr>
            <w:tcW w:w="1703"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sz w:val="24"/>
                <w:szCs w:val="22"/>
              </w:rPr>
              <w:t>促进中小企业发展</w:t>
            </w:r>
          </w:p>
        </w:tc>
        <w:tc>
          <w:tcPr>
            <w:tcW w:w="7754" w:type="dxa"/>
            <w:tcBorders>
              <w:top w:val="single" w:color="000000" w:sz="2" w:space="0"/>
              <w:left w:val="single" w:color="000000" w:sz="2" w:space="0"/>
              <w:bottom w:val="single" w:color="000000" w:sz="2" w:space="0"/>
              <w:right w:val="single" w:color="000000" w:sz="8" w:space="0"/>
            </w:tcBorders>
            <w:vAlign w:val="center"/>
          </w:tcPr>
          <w:p>
            <w:pPr>
              <w:pStyle w:val="307"/>
              <w:tabs>
                <w:tab w:val="left" w:pos="1070"/>
              </w:tabs>
              <w:spacing w:line="360" w:lineRule="auto"/>
              <w:ind w:right="52" w:firstLine="480" w:firstLineChars="200"/>
              <w:jc w:val="left"/>
              <w:rPr>
                <w:b/>
                <w:bCs/>
                <w:color w:val="000000"/>
                <w:kern w:val="0"/>
                <w:sz w:val="24"/>
              </w:rPr>
            </w:pPr>
            <w:r>
              <w:rPr>
                <w:rFonts w:hint="eastAsia"/>
                <w:color w:val="000000"/>
                <w:kern w:val="0"/>
                <w:sz w:val="24"/>
              </w:rPr>
              <w:t>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w:t>
            </w:r>
            <w:r>
              <w:rPr>
                <w:rFonts w:hint="eastAsia"/>
                <w:b/>
                <w:bCs/>
                <w:color w:val="000000"/>
                <w:kern w:val="0"/>
                <w:sz w:val="24"/>
              </w:rPr>
              <w:t>对小微企业产品的价格分别给予10%和8%的扣除。</w:t>
            </w:r>
          </w:p>
          <w:p>
            <w:pPr>
              <w:pStyle w:val="307"/>
              <w:tabs>
                <w:tab w:val="left" w:pos="1070"/>
              </w:tabs>
              <w:spacing w:line="360" w:lineRule="auto"/>
              <w:ind w:right="52" w:firstLine="240" w:firstLineChars="100"/>
              <w:jc w:val="left"/>
              <w:rPr>
                <w:color w:val="000000"/>
                <w:kern w:val="0"/>
                <w:sz w:val="24"/>
              </w:rPr>
            </w:pPr>
            <w:r>
              <w:rPr>
                <w:rFonts w:hint="eastAsia" w:ascii="Calibri" w:hAnsi="Calibri"/>
                <w:color w:val="000000"/>
                <w:kern w:val="0"/>
                <w:sz w:val="24"/>
              </w:rPr>
              <w:t>（</w:t>
            </w:r>
            <w:r>
              <w:rPr>
                <w:rFonts w:hint="eastAsia" w:ascii="Calibri" w:hAnsi="Calibri"/>
                <w:color w:val="000000"/>
                <w:kern w:val="0"/>
                <w:sz w:val="24"/>
                <w:lang w:val="en-US"/>
              </w:rPr>
              <w:t>1）</w:t>
            </w:r>
            <w:r>
              <w:rPr>
                <w:rFonts w:hint="eastAsia"/>
                <w:color w:val="000000"/>
                <w:kern w:val="0"/>
                <w:sz w:val="24"/>
              </w:rPr>
              <w:t>本项目对符合财政扶持政策的中小企业（小型、微型）、监狱企业、残疾人福利性单位给予价格优惠扶持，价格优惠扶持见《评标办法》。</w:t>
            </w:r>
          </w:p>
          <w:p>
            <w:pPr>
              <w:pStyle w:val="307"/>
              <w:tabs>
                <w:tab w:val="left" w:pos="1070"/>
              </w:tabs>
              <w:spacing w:line="360" w:lineRule="auto"/>
              <w:ind w:right="52" w:firstLine="240" w:firstLineChars="100"/>
              <w:jc w:val="left"/>
              <w:rPr>
                <w:rFonts w:ascii="Calibri" w:hAnsi="Calibri" w:cs="Times New Roman"/>
                <w:sz w:val="24"/>
                <w:szCs w:val="22"/>
              </w:rPr>
            </w:pPr>
            <w:r>
              <w:rPr>
                <w:rFonts w:hint="eastAsia" w:ascii="Calibri" w:hAnsi="Calibri" w:cs="Times New Roman"/>
                <w:sz w:val="24"/>
                <w:szCs w:val="22"/>
              </w:rPr>
              <w:t>（</w:t>
            </w:r>
            <w:r>
              <w:rPr>
                <w:rFonts w:hint="eastAsia" w:ascii="Calibri" w:hAnsi="Calibri" w:cs="Times New Roman"/>
                <w:sz w:val="24"/>
                <w:szCs w:val="22"/>
                <w:lang w:val="en-US"/>
              </w:rPr>
              <w:t>2）</w:t>
            </w:r>
            <w:r>
              <w:rPr>
                <w:rFonts w:ascii="Calibri" w:hAnsi="Calibri" w:cs="Times New Roman"/>
                <w:sz w:val="24"/>
                <w:szCs w:val="22"/>
              </w:rPr>
              <w:t>本次采购为</w:t>
            </w:r>
            <w:r>
              <w:rPr>
                <w:rFonts w:ascii="Calibri" w:hAnsi="Calibri" w:cs="Times New Roman"/>
                <w:b/>
                <w:bCs/>
                <w:sz w:val="24"/>
                <w:szCs w:val="22"/>
                <w:u w:val="single"/>
              </w:rPr>
              <w:t>非专门面向中小企业预留采购份额的采购项目</w:t>
            </w:r>
            <w:r>
              <w:rPr>
                <w:rFonts w:ascii="Calibri" w:hAnsi="Calibri" w:cs="Times New Roman"/>
                <w:sz w:val="24"/>
                <w:szCs w:val="22"/>
              </w:rPr>
              <w:t>。</w:t>
            </w:r>
          </w:p>
          <w:p>
            <w:pPr>
              <w:pStyle w:val="307"/>
              <w:tabs>
                <w:tab w:val="left" w:pos="1070"/>
              </w:tabs>
              <w:spacing w:line="360" w:lineRule="auto"/>
              <w:ind w:right="52" w:firstLine="240" w:firstLineChars="100"/>
              <w:jc w:val="left"/>
              <w:rPr>
                <w:rFonts w:ascii="Calibri" w:hAnsi="Calibri" w:cs="Times New Roman"/>
                <w:sz w:val="24"/>
                <w:szCs w:val="22"/>
              </w:rPr>
            </w:pPr>
            <w:r>
              <w:rPr>
                <w:rFonts w:hint="eastAsia" w:ascii="Calibri" w:hAnsi="Calibri" w:cs="Times New Roman"/>
                <w:sz w:val="24"/>
                <w:szCs w:val="22"/>
              </w:rPr>
              <w:t>（</w:t>
            </w:r>
            <w:r>
              <w:rPr>
                <w:rFonts w:hint="eastAsia" w:ascii="Calibri" w:hAnsi="Calibri" w:cs="Times New Roman"/>
                <w:sz w:val="24"/>
                <w:szCs w:val="22"/>
                <w:lang w:val="en-US"/>
              </w:rPr>
              <w:t>3）</w:t>
            </w:r>
            <w:r>
              <w:rPr>
                <w:rFonts w:ascii="Calibri" w:hAnsi="Calibri" w:cs="Times New Roman"/>
                <w:sz w:val="24"/>
                <w:szCs w:val="22"/>
              </w:rPr>
              <w:t>本采购文件所称中小企业，是指在中华人民共和国境</w:t>
            </w:r>
            <w:r>
              <w:rPr>
                <w:rFonts w:ascii="Calibri" w:hAnsi="Calibri" w:cs="Times New Roman"/>
                <w:spacing w:val="-7"/>
                <w:sz w:val="24"/>
                <w:szCs w:val="22"/>
              </w:rPr>
              <w:t>内依法设立，依据国务院批准的中小企业划分标准确定的中型</w:t>
            </w:r>
            <w:r>
              <w:rPr>
                <w:rFonts w:ascii="Calibri" w:hAnsi="Calibri" w:cs="Times New Roman"/>
                <w:spacing w:val="-8"/>
                <w:sz w:val="24"/>
                <w:szCs w:val="22"/>
              </w:rPr>
              <w:t xml:space="preserve">企业、小型企业和微型企业，但与大企业的负责人为同一人， </w:t>
            </w:r>
            <w:r>
              <w:rPr>
                <w:rFonts w:ascii="Calibri" w:hAnsi="Calibri" w:cs="Times New Roman"/>
                <w:sz w:val="24"/>
                <w:szCs w:val="22"/>
              </w:rPr>
              <w:t>或者与大企业存在直接控股、管理关系的除外。</w:t>
            </w:r>
          </w:p>
          <w:p>
            <w:pPr>
              <w:pStyle w:val="307"/>
              <w:tabs>
                <w:tab w:val="left" w:pos="1070"/>
              </w:tabs>
              <w:spacing w:line="360" w:lineRule="auto"/>
              <w:ind w:right="52" w:firstLine="240" w:firstLineChars="100"/>
              <w:jc w:val="left"/>
              <w:rPr>
                <w:rFonts w:ascii="Calibri" w:hAnsi="Calibri"/>
                <w:spacing w:val="-7"/>
                <w:sz w:val="24"/>
                <w:u w:val="single"/>
              </w:rPr>
            </w:pPr>
            <w:r>
              <w:rPr>
                <w:rFonts w:hint="eastAsia" w:ascii="Calibri" w:hAnsi="Calibri" w:cs="Times New Roman"/>
                <w:sz w:val="24"/>
                <w:szCs w:val="22"/>
              </w:rPr>
              <w:t>（</w:t>
            </w:r>
            <w:r>
              <w:rPr>
                <w:rFonts w:hint="eastAsia" w:ascii="Calibri" w:hAnsi="Calibri" w:cs="Times New Roman"/>
                <w:sz w:val="24"/>
                <w:szCs w:val="22"/>
                <w:lang w:val="en-US"/>
              </w:rPr>
              <w:t>4）</w:t>
            </w:r>
            <w:r>
              <w:rPr>
                <w:sz w:val="24"/>
              </w:rPr>
              <w:t>本次</w:t>
            </w:r>
            <w:r>
              <w:rPr>
                <w:rFonts w:hint="eastAsia"/>
                <w:spacing w:val="-7"/>
                <w:sz w:val="24"/>
              </w:rPr>
              <w:t>采购标的为</w:t>
            </w:r>
            <w:r>
              <w:rPr>
                <w:rFonts w:hint="eastAsia"/>
                <w:spacing w:val="-7"/>
                <w:sz w:val="24"/>
                <w:u w:val="single"/>
              </w:rPr>
              <w:t xml:space="preserve"> </w:t>
            </w:r>
            <w:r>
              <w:rPr>
                <w:rFonts w:hint="eastAsia" w:ascii="Calibri" w:hAnsi="Calibri"/>
                <w:spacing w:val="-7"/>
                <w:sz w:val="24"/>
                <w:u w:val="single"/>
              </w:rPr>
              <w:t>余杭区综合交通专项规划</w:t>
            </w:r>
            <w:r>
              <w:rPr>
                <w:rFonts w:hint="eastAsia"/>
                <w:spacing w:val="-10"/>
                <w:sz w:val="24"/>
                <w:u w:val="single"/>
              </w:rPr>
              <w:t xml:space="preserve"> </w:t>
            </w:r>
            <w:r>
              <w:rPr>
                <w:rFonts w:hint="eastAsia"/>
                <w:spacing w:val="-10"/>
                <w:sz w:val="24"/>
              </w:rPr>
              <w:t>，对应的中小企业划分</w:t>
            </w:r>
            <w:r>
              <w:rPr>
                <w:rFonts w:hint="eastAsia"/>
                <w:sz w:val="24"/>
              </w:rPr>
              <w:t>标准所属行业是：</w:t>
            </w:r>
            <w:r>
              <w:rPr>
                <w:rFonts w:hint="eastAsia" w:ascii="Calibri" w:hAnsi="Calibri" w:cs="Times New Roman"/>
                <w:szCs w:val="22"/>
                <w:u w:val="single"/>
                <w:lang w:val="en-US"/>
              </w:rPr>
              <w:t>其他未列明行业</w:t>
            </w:r>
            <w:r>
              <w:rPr>
                <w:rFonts w:hint="eastAsia" w:ascii="Calibri" w:hAnsi="Calibri" w:cs="Times New Roman"/>
                <w:spacing w:val="-7"/>
                <w:szCs w:val="22"/>
              </w:rPr>
              <w:t>；</w:t>
            </w:r>
          </w:p>
          <w:p>
            <w:pPr>
              <w:pStyle w:val="307"/>
              <w:tabs>
                <w:tab w:val="left" w:pos="1070"/>
              </w:tabs>
              <w:spacing w:line="360" w:lineRule="auto"/>
              <w:ind w:right="52" w:firstLine="240" w:firstLineChars="100"/>
              <w:jc w:val="left"/>
              <w:rPr>
                <w:sz w:val="24"/>
              </w:rPr>
            </w:pPr>
            <w:r>
              <w:rPr>
                <w:sz w:val="24"/>
                <w:lang w:val="en-US" w:bidi="ar-SA"/>
              </w:rPr>
              <w:drawing>
                <wp:inline distT="0" distB="0" distL="0" distR="0">
                  <wp:extent cx="4686300" cy="485775"/>
                  <wp:effectExtent l="0" t="0" r="0" b="0"/>
                  <wp:docPr id="1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86300" cy="485775"/>
                          </a:xfrm>
                          <a:prstGeom prst="rect">
                            <a:avLst/>
                          </a:prstGeom>
                          <a:noFill/>
                          <a:ln>
                            <a:noFill/>
                          </a:ln>
                        </pic:spPr>
                      </pic:pic>
                    </a:graphicData>
                  </a:graphic>
                </wp:inline>
              </w:drawing>
            </w:r>
          </w:p>
          <w:p>
            <w:pPr>
              <w:pStyle w:val="307"/>
              <w:tabs>
                <w:tab w:val="left" w:pos="1070"/>
              </w:tabs>
              <w:spacing w:line="360" w:lineRule="auto"/>
              <w:ind w:right="52" w:firstLine="210" w:firstLineChars="100"/>
              <w:jc w:val="left"/>
              <w:rPr>
                <w:sz w:val="24"/>
              </w:rPr>
            </w:pPr>
            <w:r>
              <w:rPr>
                <w:rFonts w:ascii="Calibri" w:hAnsi="Calibri" w:cs="Times New Roman"/>
                <w:szCs w:val="22"/>
                <w:lang w:val="en-US" w:bidi="ar-SA"/>
              </w:rPr>
              <w:drawing>
                <wp:inline distT="0" distB="0" distL="0" distR="0">
                  <wp:extent cx="4676775" cy="28575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76775" cy="285750"/>
                          </a:xfrm>
                          <a:prstGeom prst="rect">
                            <a:avLst/>
                          </a:prstGeom>
                          <a:noFill/>
                          <a:ln>
                            <a:noFill/>
                          </a:ln>
                        </pic:spPr>
                      </pic:pic>
                    </a:graphicData>
                  </a:graphic>
                </wp:inline>
              </w:drawing>
            </w:r>
          </w:p>
          <w:p>
            <w:pPr>
              <w:tabs>
                <w:tab w:val="left" w:pos="1070"/>
              </w:tabs>
              <w:spacing w:line="360" w:lineRule="auto"/>
              <w:ind w:right="52" w:firstLine="241" w:firstLineChars="100"/>
              <w:jc w:val="left"/>
              <w:rPr>
                <w:rFonts w:ascii="宋体" w:hAnsi="宋体" w:cs="宋体"/>
                <w:b/>
                <w:bCs/>
                <w:szCs w:val="21"/>
                <w:shd w:val="clear" w:color="auto" w:fill="FFFFFF"/>
                <w:lang w:val="zh-CN" w:bidi="zh-CN"/>
              </w:rPr>
            </w:pPr>
            <w:r>
              <w:rPr>
                <w:rFonts w:hint="eastAsia" w:ascii="宋体" w:hAnsi="宋体" w:cs="宋体"/>
                <w:b/>
                <w:bCs/>
                <w:sz w:val="24"/>
                <w:shd w:val="clear" w:color="auto" w:fill="FFFFFF"/>
                <w:lang w:val="zh-CN" w:bidi="zh-CN"/>
              </w:rPr>
              <w:t>说明： 　　</w:t>
            </w:r>
            <w:r>
              <w:rPr>
                <w:rFonts w:hint="eastAsia" w:ascii="宋体" w:hAnsi="宋体" w:cs="宋体"/>
                <w:b/>
                <w:bCs/>
                <w:sz w:val="24"/>
                <w:shd w:val="clear" w:color="auto" w:fill="FFFFFF"/>
                <w:lang w:val="zh-CN" w:bidi="zh-CN"/>
              </w:rPr>
              <w:br w:type="textWrapping"/>
            </w:r>
            <w:r>
              <w:rPr>
                <w:rFonts w:hint="eastAsia" w:ascii="宋体" w:hAnsi="宋体" w:cs="宋体"/>
                <w:b/>
                <w:bCs/>
                <w:sz w:val="24"/>
                <w:shd w:val="clear" w:color="auto" w:fill="FFFFFF"/>
                <w:lang w:val="zh-CN" w:bidi="zh-CN"/>
              </w:rPr>
              <w:t> </w:t>
            </w:r>
            <w:r>
              <w:rPr>
                <w:rFonts w:hint="eastAsia" w:ascii="宋体" w:hAnsi="宋体" w:cs="宋体"/>
                <w:b/>
                <w:bCs/>
                <w:szCs w:val="21"/>
                <w:shd w:val="clear" w:color="auto" w:fill="FFFFFF"/>
                <w:lang w:val="zh-CN" w:bidi="zh-CN"/>
              </w:rPr>
              <w:t>1.大型、中型和小型企业须同时满足所列指标的下限，否则下划一档；微型企业只须满足所列指标中的一项即可。 　　</w:t>
            </w:r>
            <w:r>
              <w:rPr>
                <w:rFonts w:hint="eastAsia" w:ascii="宋体" w:hAnsi="宋体" w:cs="宋体"/>
                <w:b/>
                <w:bCs/>
                <w:szCs w:val="21"/>
                <w:shd w:val="clear" w:color="auto" w:fill="FFFFFF"/>
                <w:lang w:val="zh-CN" w:bidi="zh-CN"/>
              </w:rPr>
              <w:br w:type="textWrapping"/>
            </w:r>
            <w:r>
              <w:rPr>
                <w:rFonts w:hint="eastAsia" w:ascii="宋体" w:hAnsi="宋体" w:cs="宋体"/>
                <w:b/>
                <w:bCs/>
                <w:szCs w:val="21"/>
                <w:shd w:val="clear" w:color="auto" w:fill="FFFFFF"/>
                <w:lang w:val="zh-CN" w:bidi="zh-CN"/>
              </w:rPr>
              <w:t> 2.附表中各行业的范围以《国民经济行业分类》（GB/T4754-2017）为准。    </w:t>
            </w:r>
          </w:p>
          <w:p>
            <w:pPr>
              <w:tabs>
                <w:tab w:val="left" w:pos="1070"/>
              </w:tabs>
              <w:spacing w:line="360" w:lineRule="auto"/>
              <w:ind w:right="52" w:firstLine="211" w:firstLineChars="100"/>
              <w:jc w:val="left"/>
              <w:rPr>
                <w:rFonts w:ascii="宋体" w:hAnsi="宋体" w:cs="宋体"/>
                <w:b/>
                <w:bCs/>
                <w:szCs w:val="21"/>
                <w:shd w:val="clear" w:color="auto" w:fill="FFFFFF"/>
                <w:lang w:val="zh-CN" w:bidi="zh-CN"/>
              </w:rPr>
            </w:pPr>
            <w:r>
              <w:rPr>
                <w:rFonts w:hint="eastAsia" w:ascii="宋体" w:hAnsi="宋体" w:cs="宋体"/>
                <w:b/>
                <w:bCs/>
                <w:szCs w:val="21"/>
                <w:shd w:val="clear" w:color="auto" w:fill="FFFFFF"/>
                <w:lang w:val="zh-CN" w:bidi="zh-CN"/>
              </w:rPr>
              <w:t>3.企业划分指标以现行统计制度为准。</w:t>
            </w:r>
            <w:r>
              <w:rPr>
                <w:rFonts w:hint="eastAsia" w:ascii="宋体" w:hAnsi="宋体" w:cs="宋体"/>
                <w:b/>
                <w:bCs/>
                <w:szCs w:val="21"/>
                <w:shd w:val="clear" w:color="auto" w:fill="FFFFFF"/>
                <w:lang w:val="zh-CN" w:bidi="zh-CN"/>
              </w:rPr>
              <w:br w:type="textWrapping"/>
            </w:r>
            <w:r>
              <w:rPr>
                <w:rFonts w:hint="eastAsia" w:ascii="宋体" w:hAnsi="宋体" w:cs="宋体"/>
                <w:b/>
                <w:bCs/>
                <w:szCs w:val="21"/>
                <w:shd w:val="clear" w:color="auto" w:fill="FFFFFF"/>
                <w:lang w:val="zh-CN" w:bidi="zh-CN"/>
              </w:rPr>
              <w:t> 1）从业人员，是指期末从业人员数，没有期末从业人员数的，采用全年平均人员数代替。</w:t>
            </w:r>
            <w:r>
              <w:rPr>
                <w:rFonts w:hint="eastAsia" w:ascii="宋体" w:hAnsi="宋体" w:cs="宋体"/>
                <w:b/>
                <w:bCs/>
                <w:szCs w:val="21"/>
                <w:shd w:val="clear" w:color="auto" w:fill="FFFFFF"/>
                <w:lang w:val="zh-CN" w:bidi="zh-CN"/>
              </w:rPr>
              <w:br w:type="textWrapping"/>
            </w:r>
            <w:r>
              <w:rPr>
                <w:rFonts w:hint="eastAsia" w:ascii="宋体" w:hAnsi="宋体" w:cs="宋体"/>
                <w:b/>
                <w:bCs/>
                <w:szCs w:val="21"/>
                <w:shd w:val="clear" w:color="auto" w:fill="FFFFFF"/>
                <w:lang w:val="zh-CN" w:bidi="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宋体" w:hAnsi="宋体" w:cs="宋体"/>
                <w:b/>
                <w:bCs/>
                <w:szCs w:val="21"/>
                <w:shd w:val="clear" w:color="auto" w:fill="FFFFFF"/>
                <w:lang w:val="zh-CN" w:bidi="zh-CN"/>
              </w:rPr>
              <w:br w:type="textWrapping"/>
            </w:r>
            <w:r>
              <w:rPr>
                <w:rFonts w:hint="eastAsia" w:ascii="宋体" w:hAnsi="宋体" w:cs="宋体"/>
                <w:b/>
                <w:bCs/>
                <w:szCs w:val="21"/>
                <w:shd w:val="clear" w:color="auto" w:fill="FFFFFF"/>
                <w:lang w:val="zh-CN" w:bidi="zh-CN"/>
              </w:rPr>
              <w:t> 3）资产总额，采用资产总计代替。</w:t>
            </w:r>
          </w:p>
          <w:p>
            <w:pPr>
              <w:pStyle w:val="307"/>
              <w:tabs>
                <w:tab w:val="left" w:pos="1070"/>
              </w:tabs>
              <w:spacing w:line="360" w:lineRule="auto"/>
              <w:ind w:right="52" w:firstLine="240" w:firstLineChars="100"/>
              <w:jc w:val="left"/>
              <w:rPr>
                <w:rFonts w:ascii="Calibri" w:hAnsi="Calibri" w:cs="Times New Roman"/>
                <w:sz w:val="24"/>
                <w:szCs w:val="22"/>
                <w:lang w:val="en-US"/>
              </w:rPr>
            </w:pPr>
            <w:r>
              <w:rPr>
                <w:rFonts w:hint="eastAsia" w:ascii="Calibri" w:hAnsi="Calibri" w:cs="Times New Roman"/>
                <w:sz w:val="24"/>
                <w:szCs w:val="22"/>
                <w:lang w:val="en-US"/>
              </w:rPr>
              <w:t>(5)以联合体形式参加政府采购活动，联合体各方均为小微企业的，联合体视同小微企业。本项目不接受联合体投标。</w:t>
            </w:r>
          </w:p>
          <w:p>
            <w:pPr>
              <w:pStyle w:val="307"/>
              <w:tabs>
                <w:tab w:val="left" w:pos="1070"/>
              </w:tabs>
              <w:spacing w:line="360" w:lineRule="auto"/>
              <w:ind w:right="52" w:firstLine="240" w:firstLineChars="100"/>
              <w:jc w:val="left"/>
              <w:rPr>
                <w:rFonts w:ascii="Calibri" w:hAnsi="Calibri" w:cs="Times New Roman"/>
                <w:sz w:val="24"/>
                <w:szCs w:val="22"/>
              </w:rPr>
            </w:pPr>
            <w:r>
              <w:rPr>
                <w:rFonts w:hint="eastAsia" w:ascii="Calibri" w:hAnsi="Calibri" w:cs="Times New Roman"/>
                <w:sz w:val="24"/>
                <w:szCs w:val="22"/>
                <w:lang w:val="en-US"/>
              </w:rPr>
              <w:t>(6)</w:t>
            </w:r>
            <w:r>
              <w:rPr>
                <w:rFonts w:ascii="Calibri" w:hAnsi="Calibri" w:cs="Times New Roman"/>
                <w:sz w:val="24"/>
                <w:szCs w:val="22"/>
              </w:rPr>
              <w:t>参加本次采购活动的供应商（服务承接商）为</w:t>
            </w:r>
            <w:r>
              <w:rPr>
                <w:rFonts w:ascii="Calibri" w:hAnsi="Calibri" w:cs="Times New Roman"/>
                <w:b/>
                <w:bCs/>
                <w:sz w:val="24"/>
                <w:szCs w:val="22"/>
              </w:rPr>
              <w:t>小微企</w:t>
            </w:r>
            <w:r>
              <w:rPr>
                <w:rFonts w:ascii="Calibri" w:hAnsi="Calibri" w:cs="Times New Roman"/>
                <w:b/>
                <w:bCs/>
                <w:spacing w:val="-13"/>
                <w:sz w:val="24"/>
                <w:szCs w:val="22"/>
              </w:rPr>
              <w:t>业的</w:t>
            </w:r>
            <w:r>
              <w:rPr>
                <w:rFonts w:ascii="Calibri" w:hAnsi="Calibri" w:cs="Times New Roman"/>
                <w:spacing w:val="-13"/>
                <w:sz w:val="24"/>
                <w:szCs w:val="22"/>
              </w:rPr>
              <w:t xml:space="preserve">，其报价给予 </w:t>
            </w:r>
            <w:r>
              <w:rPr>
                <w:rFonts w:hint="eastAsia" w:ascii="Calibri" w:hAnsi="Calibri" w:cs="Times New Roman"/>
                <w:b/>
                <w:spacing w:val="3"/>
                <w:sz w:val="24"/>
                <w:szCs w:val="22"/>
                <w:u w:val="single"/>
                <w:lang w:val="en-US"/>
              </w:rPr>
              <w:t>10</w:t>
            </w:r>
            <w:r>
              <w:rPr>
                <w:rFonts w:ascii="Calibri" w:hAnsi="Calibri" w:cs="Times New Roman"/>
                <w:b/>
                <w:spacing w:val="3"/>
                <w:sz w:val="24"/>
                <w:szCs w:val="22"/>
                <w:u w:val="single"/>
              </w:rPr>
              <w:t>%</w:t>
            </w:r>
            <w:r>
              <w:rPr>
                <w:rFonts w:ascii="Calibri" w:hAnsi="Calibri" w:cs="Times New Roman"/>
                <w:spacing w:val="-9"/>
                <w:sz w:val="24"/>
                <w:szCs w:val="22"/>
              </w:rPr>
              <w:t>的扣除，用扣除后的价格参加评审。小微</w:t>
            </w:r>
            <w:r>
              <w:rPr>
                <w:rFonts w:ascii="Calibri" w:hAnsi="Calibri" w:cs="Times New Roman"/>
                <w:sz w:val="24"/>
                <w:szCs w:val="22"/>
              </w:rPr>
              <w:t>企业将合同分包给大中型企业的，其报价不予扣除。</w:t>
            </w:r>
          </w:p>
          <w:p>
            <w:pPr>
              <w:pStyle w:val="307"/>
              <w:tabs>
                <w:tab w:val="left" w:pos="1070"/>
              </w:tabs>
              <w:spacing w:line="360" w:lineRule="auto"/>
              <w:ind w:right="52" w:firstLine="236" w:firstLineChars="100"/>
              <w:jc w:val="left"/>
              <w:rPr>
                <w:rFonts w:ascii="Calibri" w:hAnsi="Calibri" w:cs="Times New Roman"/>
                <w:sz w:val="24"/>
                <w:szCs w:val="22"/>
              </w:rPr>
            </w:pPr>
            <w:r>
              <w:rPr>
                <w:rFonts w:hint="eastAsia" w:ascii="Calibri" w:hAnsi="Calibri" w:cs="Times New Roman"/>
                <w:spacing w:val="-2"/>
                <w:sz w:val="24"/>
                <w:szCs w:val="22"/>
                <w:lang w:val="en-US"/>
              </w:rPr>
              <w:t>(7)</w:t>
            </w:r>
            <w:r>
              <w:rPr>
                <w:rFonts w:ascii="Calibri" w:hAnsi="Calibri" w:cs="Times New Roman"/>
                <w:spacing w:val="-2"/>
                <w:sz w:val="24"/>
                <w:szCs w:val="22"/>
              </w:rPr>
              <w:t>符合小微企业划分标准的个体工商户，视同小微企业</w:t>
            </w:r>
            <w:r>
              <w:rPr>
                <w:rFonts w:ascii="Calibri" w:hAnsi="Calibri" w:cs="Times New Roman"/>
                <w:spacing w:val="-13"/>
                <w:sz w:val="24"/>
                <w:szCs w:val="22"/>
              </w:rPr>
              <w:t>。</w:t>
            </w:r>
          </w:p>
          <w:p>
            <w:pPr>
              <w:pStyle w:val="307"/>
              <w:tabs>
                <w:tab w:val="left" w:pos="1070"/>
              </w:tabs>
              <w:spacing w:line="360" w:lineRule="auto"/>
              <w:ind w:right="52" w:firstLine="240" w:firstLineChars="100"/>
              <w:jc w:val="left"/>
              <w:rPr>
                <w:rFonts w:ascii="Calibri" w:hAnsi="Calibri" w:cs="Times New Roman"/>
                <w:sz w:val="24"/>
                <w:szCs w:val="22"/>
              </w:rPr>
            </w:pPr>
            <w:r>
              <w:rPr>
                <w:rFonts w:hint="eastAsia" w:ascii="Calibri" w:hAnsi="Calibri" w:cs="Times New Roman"/>
                <w:sz w:val="24"/>
                <w:szCs w:val="22"/>
                <w:lang w:val="en-US"/>
              </w:rPr>
              <w:t>(8)</w:t>
            </w:r>
            <w:r>
              <w:rPr>
                <w:rFonts w:ascii="Calibri" w:hAnsi="Calibri" w:cs="Times New Roman"/>
                <w:sz w:val="24"/>
                <w:szCs w:val="22"/>
              </w:rPr>
              <w:t>本项目不接受大中型企业与小微企业组成联合体。</w:t>
            </w:r>
          </w:p>
          <w:p>
            <w:pPr>
              <w:pStyle w:val="307"/>
              <w:tabs>
                <w:tab w:val="left" w:pos="1070"/>
              </w:tabs>
              <w:spacing w:line="360" w:lineRule="auto"/>
              <w:ind w:right="52" w:firstLine="240" w:firstLineChars="100"/>
              <w:jc w:val="left"/>
              <w:rPr>
                <w:rFonts w:ascii="Calibri" w:hAnsi="Calibri" w:cs="Times New Roman"/>
                <w:sz w:val="24"/>
                <w:szCs w:val="22"/>
              </w:rPr>
            </w:pPr>
            <w:r>
              <w:rPr>
                <w:rFonts w:hint="eastAsia" w:ascii="Calibri" w:hAnsi="Calibri" w:cs="Times New Roman"/>
                <w:sz w:val="24"/>
                <w:szCs w:val="22"/>
                <w:lang w:val="en-US"/>
              </w:rPr>
              <w:t>(9)</w:t>
            </w:r>
            <w:r>
              <w:rPr>
                <w:rFonts w:ascii="Calibri" w:hAnsi="Calibri" w:cs="Times New Roman"/>
                <w:sz w:val="24"/>
                <w:szCs w:val="22"/>
              </w:rPr>
              <w:t>本项目不允许大中型企业向一家或者多家小微企业分包。</w:t>
            </w:r>
          </w:p>
          <w:p>
            <w:pPr>
              <w:pStyle w:val="307"/>
              <w:tabs>
                <w:tab w:val="left" w:pos="1070"/>
              </w:tabs>
              <w:spacing w:line="360" w:lineRule="auto"/>
              <w:ind w:right="52" w:firstLine="241" w:firstLineChars="100"/>
              <w:jc w:val="left"/>
              <w:rPr>
                <w:rFonts w:ascii="Calibri" w:hAnsi="Calibri" w:cs="Times New Roman"/>
                <w:b/>
                <w:bCs/>
                <w:sz w:val="24"/>
                <w:szCs w:val="22"/>
              </w:rPr>
            </w:pPr>
            <w:r>
              <w:rPr>
                <w:rFonts w:hint="eastAsia" w:ascii="Calibri" w:hAnsi="Calibri" w:cs="Times New Roman"/>
                <w:b/>
                <w:bCs/>
                <w:sz w:val="24"/>
                <w:szCs w:val="22"/>
                <w:lang w:val="en-US"/>
              </w:rPr>
              <w:t>(10)</w:t>
            </w:r>
            <w:r>
              <w:rPr>
                <w:rFonts w:ascii="Calibri" w:hAnsi="Calibri" w:cs="Times New Roman"/>
                <w:b/>
                <w:bCs/>
                <w:sz w:val="24"/>
                <w:szCs w:val="22"/>
              </w:rPr>
              <w:t>小微企业参加政府采购活动，应当出具《中小企业声明函》，否则其报价不予扣除。</w:t>
            </w:r>
          </w:p>
          <w:p>
            <w:pPr>
              <w:pStyle w:val="307"/>
              <w:tabs>
                <w:tab w:val="left" w:pos="1070"/>
              </w:tabs>
              <w:spacing w:line="360" w:lineRule="auto"/>
              <w:ind w:right="52" w:firstLine="238" w:firstLineChars="100"/>
              <w:jc w:val="left"/>
              <w:rPr>
                <w:b/>
                <w:color w:val="000000"/>
                <w:kern w:val="10"/>
                <w:sz w:val="24"/>
              </w:rPr>
            </w:pPr>
            <w:r>
              <w:rPr>
                <w:rFonts w:hint="eastAsia" w:ascii="Calibri" w:hAnsi="Calibri" w:cs="Times New Roman"/>
                <w:spacing w:val="-1"/>
                <w:sz w:val="24"/>
                <w:szCs w:val="22"/>
                <w:lang w:val="en-US"/>
              </w:rPr>
              <w:t>(11)</w:t>
            </w:r>
            <w:r>
              <w:rPr>
                <w:rFonts w:ascii="Calibri" w:hAnsi="Calibri" w:cs="Times New Roman"/>
                <w:spacing w:val="-1"/>
                <w:sz w:val="24"/>
                <w:szCs w:val="22"/>
              </w:rPr>
              <w:t xml:space="preserve">监狱企业和残疾人福利性单位视同小型、微型企业， </w:t>
            </w:r>
            <w:r>
              <w:rPr>
                <w:rFonts w:ascii="Calibri" w:hAnsi="Calibri" w:cs="Times New Roman"/>
                <w:sz w:val="24"/>
                <w:szCs w:val="22"/>
              </w:rPr>
              <w:t>按《财政部 司法部关于政府采购支持监狱企业发展有关问题的通知》(财库〔2014〕68 号)、《财政部 民政部  中国残</w:t>
            </w:r>
            <w:r>
              <w:rPr>
                <w:rFonts w:ascii="Calibri" w:hAnsi="Calibri" w:cs="Times New Roman"/>
                <w:spacing w:val="-2"/>
                <w:sz w:val="24"/>
                <w:szCs w:val="22"/>
              </w:rPr>
              <w:t>疾人联合会关于促进残疾人就业政府采购政策的通知》</w:t>
            </w:r>
            <w:r>
              <w:rPr>
                <w:rFonts w:ascii="Calibri" w:hAnsi="Calibri" w:cs="Times New Roman"/>
                <w:sz w:val="24"/>
                <w:szCs w:val="22"/>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97"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kern w:val="0"/>
                <w:sz w:val="24"/>
              </w:rPr>
            </w:pPr>
            <w:r>
              <w:rPr>
                <w:rFonts w:hint="eastAsia" w:ascii="宋体" w:hAnsi="宋体" w:cs="宋体"/>
                <w:b/>
                <w:bCs/>
                <w:color w:val="000000"/>
                <w:kern w:val="0"/>
                <w:sz w:val="24"/>
              </w:rPr>
              <w:t>29</w:t>
            </w:r>
          </w:p>
        </w:tc>
        <w:tc>
          <w:tcPr>
            <w:tcW w:w="1703"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sz w:val="24"/>
              </w:rPr>
              <w:t>信用查询</w:t>
            </w:r>
          </w:p>
        </w:tc>
        <w:tc>
          <w:tcPr>
            <w:tcW w:w="7754"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根据《关于在政府采购活动中查询及使用信用记录有关问题的通知》财库[2016]125号的规定：</w:t>
            </w:r>
          </w:p>
          <w:p>
            <w:pPr>
              <w:snapToGrid w:val="0"/>
              <w:spacing w:line="360" w:lineRule="auto"/>
              <w:ind w:left="105" w:leftChars="5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1）采购人或采购代理机构将对本项目供应商的信用记录进行查询。查询渠道为信用中国网站、中国政府采购网；</w:t>
            </w:r>
          </w:p>
          <w:p>
            <w:pPr>
              <w:snapToGrid w:val="0"/>
              <w:spacing w:line="360" w:lineRule="auto"/>
              <w:ind w:firstLine="120" w:firstLineChars="5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2）截止时点：提交投标文件（响应文件）截止时间前3年内；</w:t>
            </w:r>
          </w:p>
          <w:p>
            <w:pPr>
              <w:snapToGrid w:val="0"/>
              <w:spacing w:line="360" w:lineRule="auto"/>
              <w:ind w:left="105" w:leftChars="5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3）查询记录和证据的留存：信用信息查询记录和证据以网页截图等方式留存；</w:t>
            </w:r>
          </w:p>
          <w:p>
            <w:pPr>
              <w:snapToGrid w:val="0"/>
              <w:spacing w:line="360" w:lineRule="auto"/>
              <w:ind w:left="105" w:leftChars="5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kern w:val="0"/>
                <w:sz w:val="24"/>
              </w:rPr>
            </w:pPr>
            <w:r>
              <w:rPr>
                <w:rFonts w:hint="eastAsia" w:ascii="宋体" w:hAnsi="宋体" w:cs="宋体"/>
                <w:b/>
                <w:bCs/>
                <w:color w:val="000000"/>
                <w:kern w:val="0"/>
                <w:sz w:val="24"/>
              </w:rPr>
              <w:t>30</w:t>
            </w:r>
          </w:p>
        </w:tc>
        <w:tc>
          <w:tcPr>
            <w:tcW w:w="1703"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sz w:val="24"/>
              </w:rPr>
              <w:t>信用融资</w:t>
            </w:r>
          </w:p>
        </w:tc>
        <w:tc>
          <w:tcPr>
            <w:tcW w:w="7754"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ind w:firstLine="480" w:firstLineChars="200"/>
              <w:rPr>
                <w:rFonts w:ascii="宋体" w:hAnsi="宋体" w:cs="宋体"/>
                <w:color w:val="000000"/>
                <w:kern w:val="0"/>
                <w:sz w:val="24"/>
              </w:rPr>
            </w:pPr>
            <w:r>
              <w:rPr>
                <w:rFonts w:hint="eastAsia" w:ascii="宋体" w:hAnsi="宋体" w:cs="宋体"/>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19"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kern w:val="0"/>
                <w:sz w:val="24"/>
              </w:rPr>
            </w:pPr>
            <w:r>
              <w:rPr>
                <w:rFonts w:hint="eastAsia" w:ascii="宋体" w:hAnsi="宋体" w:cs="宋体"/>
                <w:b/>
                <w:bCs/>
                <w:color w:val="000000"/>
                <w:kern w:val="0"/>
                <w:sz w:val="24"/>
              </w:rPr>
              <w:t>31</w:t>
            </w:r>
          </w:p>
        </w:tc>
        <w:tc>
          <w:tcPr>
            <w:tcW w:w="1703"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sz w:val="24"/>
              </w:rPr>
              <w:t>招标服务费</w:t>
            </w:r>
          </w:p>
        </w:tc>
        <w:tc>
          <w:tcPr>
            <w:tcW w:w="7754" w:type="dxa"/>
            <w:tcBorders>
              <w:top w:val="single" w:color="000000" w:sz="2" w:space="0"/>
              <w:left w:val="single" w:color="000000" w:sz="2" w:space="0"/>
              <w:bottom w:val="single" w:color="000000" w:sz="2" w:space="0"/>
              <w:right w:val="single" w:color="000000" w:sz="8" w:space="0"/>
            </w:tcBorders>
            <w:vAlign w:val="center"/>
          </w:tcPr>
          <w:p>
            <w:pPr>
              <w:spacing w:line="360" w:lineRule="auto"/>
              <w:ind w:firstLine="482" w:firstLineChars="200"/>
              <w:rPr>
                <w:rFonts w:ascii="宋体" w:hAnsi="宋体" w:cs="宋体"/>
                <w:color w:val="000000"/>
                <w:sz w:val="24"/>
              </w:rPr>
            </w:pPr>
            <w:r>
              <w:rPr>
                <w:rFonts w:hint="eastAsia" w:ascii="宋体" w:hAnsi="宋体" w:cs="宋体"/>
                <w:b/>
                <w:bCs/>
                <w:sz w:val="24"/>
              </w:rPr>
              <w:t>根据财库【2018】2号文件通知，本</w:t>
            </w:r>
            <w:r>
              <w:rPr>
                <w:rFonts w:hint="eastAsia" w:ascii="宋体" w:hAnsi="宋体" w:cs="宋体"/>
                <w:b/>
                <w:bCs/>
                <w:sz w:val="24"/>
                <w:lang w:val="zh-CN"/>
              </w:rPr>
              <w:t>项目</w:t>
            </w:r>
            <w:r>
              <w:rPr>
                <w:rFonts w:hint="eastAsia" w:ascii="宋体" w:hAnsi="宋体" w:cs="宋体"/>
                <w:b/>
                <w:bCs/>
                <w:sz w:val="24"/>
              </w:rPr>
              <w:t>委托代理费用中标单位支付。支付标准按余财政〔2018〕24号文件计取，计算时</w:t>
            </w:r>
            <w:r>
              <w:rPr>
                <w:rFonts w:hint="eastAsia" w:ascii="宋体" w:hAnsi="宋体" w:cs="宋体"/>
                <w:b/>
                <w:bCs/>
                <w:color w:val="000000"/>
                <w:sz w:val="24"/>
              </w:rPr>
              <w:t>按预算价作为成交金额再乘以累计费率直接支付给分散采购招标代理单位，投标人在报价时应综合考虑该笔费用，但不单列进投标总价。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6"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kern w:val="0"/>
                <w:sz w:val="24"/>
              </w:rPr>
            </w:pPr>
            <w:r>
              <w:rPr>
                <w:rFonts w:hint="eastAsia" w:ascii="宋体" w:hAnsi="宋体" w:cs="宋体"/>
                <w:b/>
                <w:bCs/>
                <w:color w:val="000000"/>
                <w:kern w:val="0"/>
                <w:sz w:val="24"/>
              </w:rPr>
              <w:t>32</w:t>
            </w:r>
          </w:p>
        </w:tc>
        <w:tc>
          <w:tcPr>
            <w:tcW w:w="1703"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kern w:val="10"/>
                <w:sz w:val="24"/>
              </w:rPr>
              <w:t>供应商注册要求</w:t>
            </w:r>
          </w:p>
        </w:tc>
        <w:tc>
          <w:tcPr>
            <w:tcW w:w="7754"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ind w:firstLine="480" w:firstLineChars="200"/>
              <w:rPr>
                <w:rFonts w:ascii="宋体" w:hAnsi="宋体" w:cs="宋体"/>
                <w:color w:val="000000"/>
                <w:sz w:val="24"/>
              </w:rPr>
            </w:pPr>
            <w:r>
              <w:rPr>
                <w:rFonts w:hint="eastAsia" w:ascii="宋体" w:hAnsi="宋体" w:cs="宋体"/>
                <w:color w:val="000000"/>
                <w:kern w:val="10"/>
                <w:sz w:val="24"/>
              </w:rPr>
              <w:t>潜在供应商需在浙江政府采购网进行注册，具体详见浙江政府采购网供应商注册要求。</w:t>
            </w:r>
          </w:p>
        </w:tc>
      </w:tr>
    </w:tbl>
    <w:p>
      <w:pPr>
        <w:shd w:val="clear" w:color="auto" w:fill="FFFFFF"/>
        <w:snapToGrid w:val="0"/>
        <w:spacing w:line="360" w:lineRule="auto"/>
        <w:jc w:val="center"/>
        <w:outlineLvl w:val="1"/>
        <w:rPr>
          <w:rFonts w:ascii="宋体" w:hAnsi="宋体" w:cs="宋体"/>
          <w:b/>
          <w:bCs/>
          <w:color w:val="000000"/>
          <w:sz w:val="24"/>
        </w:rPr>
      </w:pPr>
      <w:r>
        <w:rPr>
          <w:rFonts w:hint="eastAsia" w:ascii="宋体" w:hAnsi="宋体" w:cs="宋体"/>
          <w:color w:val="000000"/>
          <w:kern w:val="0"/>
          <w:sz w:val="24"/>
        </w:rPr>
        <w:br w:type="page"/>
      </w:r>
      <w:bookmarkEnd w:id="83"/>
      <w:bookmarkStart w:id="92" w:name="_Toc14390"/>
      <w:bookmarkStart w:id="93" w:name="_Toc2995"/>
      <w:bookmarkStart w:id="94" w:name="_Toc233618972"/>
      <w:bookmarkStart w:id="95" w:name="_Toc25924"/>
      <w:bookmarkStart w:id="96" w:name="_Toc354996696"/>
      <w:bookmarkStart w:id="97" w:name="_Toc11373"/>
      <w:bookmarkStart w:id="98" w:name="_Toc17384"/>
      <w:bookmarkStart w:id="99" w:name="_Toc19546"/>
      <w:bookmarkStart w:id="100" w:name="_Toc226106467"/>
      <w:bookmarkStart w:id="101" w:name="_Toc226521904"/>
      <w:bookmarkStart w:id="102" w:name="_Toc225840109"/>
      <w:bookmarkStart w:id="103" w:name="_Toc226106516"/>
      <w:r>
        <w:rPr>
          <w:rFonts w:hint="eastAsia" w:ascii="宋体" w:hAnsi="宋体" w:cs="宋体"/>
          <w:b/>
          <w:bCs/>
          <w:color w:val="000000"/>
          <w:sz w:val="24"/>
        </w:rPr>
        <w:t>一、总 则</w:t>
      </w:r>
      <w:bookmarkEnd w:id="92"/>
      <w:bookmarkEnd w:id="93"/>
      <w:bookmarkEnd w:id="94"/>
      <w:bookmarkEnd w:id="95"/>
      <w:bookmarkEnd w:id="96"/>
      <w:bookmarkEnd w:id="97"/>
      <w:bookmarkEnd w:id="98"/>
      <w:bookmarkEnd w:id="99"/>
    </w:p>
    <w:p>
      <w:pPr>
        <w:snapToGrid w:val="0"/>
        <w:spacing w:line="360" w:lineRule="auto"/>
        <w:rPr>
          <w:rFonts w:ascii="宋体" w:hAnsi="宋体" w:cs="宋体"/>
          <w:b/>
          <w:color w:val="000000"/>
          <w:sz w:val="24"/>
        </w:rPr>
      </w:pPr>
      <w:bookmarkStart w:id="104" w:name="_Toc91899872"/>
      <w:bookmarkStart w:id="105" w:name="_Hlt74730208"/>
      <w:bookmarkStart w:id="106" w:name="_Hlt74730112"/>
      <w:bookmarkStart w:id="107" w:name="_Toc233618973"/>
      <w:bookmarkStart w:id="108" w:name="_Toc354996697"/>
      <w:r>
        <w:rPr>
          <w:rFonts w:hint="eastAsia" w:ascii="宋体" w:hAnsi="宋体" w:cs="宋体"/>
          <w:b/>
          <w:color w:val="000000"/>
          <w:sz w:val="24"/>
        </w:rPr>
        <w:t>（一）项目说明</w:t>
      </w:r>
      <w:bookmarkEnd w:id="104"/>
    </w:p>
    <w:p>
      <w:pPr>
        <w:pStyle w:val="392"/>
        <w:snapToGrid w:val="0"/>
        <w:ind w:firstLine="480"/>
        <w:rPr>
          <w:color w:val="000000"/>
        </w:rPr>
      </w:pPr>
      <w:r>
        <w:rPr>
          <w:rFonts w:hint="eastAsia"/>
          <w:color w:val="000000"/>
        </w:rPr>
        <w:t>1、项目说明见投标须知前附表(以下称“前附表”)第1项所述。</w:t>
      </w:r>
    </w:p>
    <w:p>
      <w:pPr>
        <w:pStyle w:val="392"/>
        <w:tabs>
          <w:tab w:val="left" w:pos="6510"/>
        </w:tabs>
        <w:snapToGrid w:val="0"/>
        <w:ind w:firstLine="480"/>
        <w:rPr>
          <w:color w:val="000000"/>
        </w:rPr>
      </w:pPr>
      <w:r>
        <w:rPr>
          <w:rFonts w:hint="eastAsia"/>
          <w:color w:val="000000"/>
        </w:rPr>
        <w:t>2、采购单位</w:t>
      </w:r>
      <w:r>
        <w:rPr>
          <w:rFonts w:hint="eastAsia"/>
          <w:b/>
          <w:bCs/>
          <w:u w:val="single"/>
        </w:rPr>
        <w:t>杭州市规划和自然资源局余杭分局</w:t>
      </w:r>
      <w:r>
        <w:rPr>
          <w:rFonts w:hint="eastAsia"/>
          <w:color w:val="000000"/>
        </w:rPr>
        <w:t>为本项目的招标人（即合同中的甲方），</w:t>
      </w:r>
      <w:r>
        <w:rPr>
          <w:rFonts w:hint="eastAsia"/>
          <w:b/>
          <w:bCs/>
          <w:color w:val="000000"/>
          <w:u w:val="single"/>
        </w:rPr>
        <w:t>耀华建设管理有限公司</w:t>
      </w:r>
      <w:r>
        <w:rPr>
          <w:rFonts w:hint="eastAsia"/>
          <w:color w:val="000000"/>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392"/>
        <w:snapToGrid w:val="0"/>
        <w:ind w:firstLine="480"/>
        <w:rPr>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109" w:name="_Toc91899873"/>
    </w:p>
    <w:p>
      <w:pPr>
        <w:tabs>
          <w:tab w:val="left" w:pos="3780"/>
        </w:tabs>
        <w:snapToGrid w:val="0"/>
        <w:spacing w:line="360" w:lineRule="auto"/>
        <w:rPr>
          <w:rFonts w:ascii="宋体" w:hAnsi="宋体" w:cs="宋体"/>
          <w:b/>
          <w:color w:val="000000"/>
          <w:sz w:val="24"/>
        </w:rPr>
      </w:pPr>
      <w:r>
        <w:rPr>
          <w:rFonts w:hint="eastAsia" w:ascii="宋体" w:hAnsi="宋体" w:cs="宋体"/>
          <w:b/>
          <w:color w:val="000000"/>
          <w:sz w:val="24"/>
        </w:rPr>
        <w:t>（二）采购方式</w:t>
      </w:r>
      <w:bookmarkEnd w:id="109"/>
    </w:p>
    <w:p>
      <w:pPr>
        <w:pStyle w:val="392"/>
        <w:snapToGrid w:val="0"/>
        <w:ind w:firstLine="480"/>
        <w:rPr>
          <w:color w:val="000000"/>
        </w:rPr>
      </w:pPr>
      <w:r>
        <w:rPr>
          <w:rFonts w:hint="eastAsia"/>
          <w:color w:val="000000"/>
        </w:rPr>
        <w:t>公开招标。</w:t>
      </w:r>
      <w:bookmarkEnd w:id="105"/>
      <w:bookmarkEnd w:id="106"/>
      <w:bookmarkStart w:id="110" w:name="_Hlt68516771"/>
      <w:bookmarkEnd w:id="110"/>
      <w:bookmarkStart w:id="111" w:name="_Hlt74388212"/>
      <w:bookmarkEnd w:id="111"/>
    </w:p>
    <w:p>
      <w:pPr>
        <w:snapToGrid w:val="0"/>
        <w:spacing w:line="360" w:lineRule="auto"/>
        <w:rPr>
          <w:rFonts w:ascii="宋体" w:hAnsi="宋体" w:cs="宋体"/>
          <w:b/>
          <w:color w:val="000000"/>
          <w:sz w:val="24"/>
        </w:rPr>
      </w:pPr>
      <w:bookmarkStart w:id="112" w:name="_Toc91899877"/>
      <w:bookmarkStart w:id="113" w:name="_Hlt74730303"/>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2、内容</w:t>
      </w:r>
    </w:p>
    <w:p>
      <w:pPr>
        <w:spacing w:line="360" w:lineRule="auto"/>
        <w:ind w:firstLine="482" w:firstLineChars="200"/>
        <w:rPr>
          <w:rFonts w:ascii="宋体" w:hAnsi="宋体" w:cs="宋体"/>
          <w:color w:val="000000"/>
          <w:sz w:val="24"/>
        </w:rPr>
      </w:pPr>
      <w:r>
        <w:rPr>
          <w:rFonts w:hint="eastAsia"/>
          <w:b/>
          <w:bCs/>
          <w:sz w:val="24"/>
          <w:u w:val="single"/>
        </w:rPr>
        <w:t>杭州市规划和自然资源局余杭分局</w:t>
      </w:r>
      <w:r>
        <w:rPr>
          <w:rFonts w:hint="eastAsia" w:ascii="宋体" w:hAnsi="宋体" w:cs="宋体"/>
          <w:color w:val="000000"/>
          <w:sz w:val="24"/>
        </w:rPr>
        <w:t>的</w:t>
      </w:r>
      <w:r>
        <w:rPr>
          <w:rFonts w:hint="eastAsia" w:ascii="宋体" w:hAnsi="宋体" w:cs="宋体"/>
          <w:b/>
          <w:bCs/>
          <w:sz w:val="24"/>
          <w:u w:val="single"/>
        </w:rPr>
        <w:t>余杭区综合交通专项规划</w:t>
      </w:r>
      <w:r>
        <w:rPr>
          <w:rFonts w:hint="eastAsia" w:ascii="宋体" w:hAnsi="宋体" w:cs="宋体"/>
          <w:color w:val="000000"/>
          <w:sz w:val="24"/>
        </w:rPr>
        <w:t>，具体详见“第三部分——项目技术规范和服务要求”。</w:t>
      </w:r>
    </w:p>
    <w:p>
      <w:pPr>
        <w:pStyle w:val="40"/>
        <w:snapToGrid w:val="0"/>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bookmarkEnd w:id="112"/>
      <w:bookmarkEnd w:id="113"/>
    </w:p>
    <w:p>
      <w:pPr>
        <w:shd w:val="clear" w:color="auto" w:fill="FFFFFF"/>
        <w:snapToGrid w:val="0"/>
        <w:spacing w:line="360" w:lineRule="auto"/>
        <w:jc w:val="center"/>
        <w:outlineLvl w:val="1"/>
        <w:rPr>
          <w:rFonts w:ascii="宋体" w:hAnsi="宋体" w:cs="宋体"/>
          <w:b/>
          <w:bCs/>
          <w:color w:val="000000"/>
          <w:sz w:val="24"/>
        </w:rPr>
      </w:pPr>
      <w:bookmarkStart w:id="114" w:name="_Toc22969"/>
      <w:bookmarkStart w:id="115" w:name="_Toc1199"/>
      <w:bookmarkStart w:id="116" w:name="_Toc27905"/>
      <w:bookmarkStart w:id="117" w:name="_Toc31909"/>
      <w:bookmarkStart w:id="118" w:name="_Toc15611"/>
      <w:bookmarkStart w:id="119" w:name="_Toc27736"/>
      <w:r>
        <w:rPr>
          <w:rFonts w:hint="eastAsia" w:ascii="宋体" w:hAnsi="宋体" w:cs="宋体"/>
          <w:b/>
          <w:bCs/>
          <w:color w:val="000000"/>
          <w:sz w:val="24"/>
        </w:rPr>
        <w:t>二、招标文件</w:t>
      </w:r>
      <w:bookmarkEnd w:id="107"/>
      <w:bookmarkEnd w:id="108"/>
      <w:bookmarkEnd w:id="114"/>
      <w:bookmarkEnd w:id="115"/>
      <w:bookmarkEnd w:id="116"/>
      <w:bookmarkEnd w:id="117"/>
      <w:bookmarkEnd w:id="118"/>
      <w:bookmarkEnd w:id="119"/>
    </w:p>
    <w:p>
      <w:pPr>
        <w:shd w:val="clear" w:color="auto" w:fill="FFFFFF"/>
        <w:snapToGrid w:val="0"/>
        <w:spacing w:line="360" w:lineRule="auto"/>
        <w:rPr>
          <w:rFonts w:ascii="宋体" w:hAnsi="宋体" w:cs="宋体"/>
          <w:b/>
          <w:bCs/>
          <w:color w:val="000000"/>
          <w:sz w:val="24"/>
        </w:rPr>
      </w:pPr>
      <w:bookmarkStart w:id="120" w:name="_Toc91899880"/>
      <w:bookmarkStart w:id="121" w:name="_Hlt74730307"/>
      <w:r>
        <w:rPr>
          <w:rFonts w:hint="eastAsia" w:ascii="宋体" w:hAnsi="宋体" w:cs="宋体"/>
          <w:b/>
          <w:bCs/>
          <w:color w:val="000000"/>
          <w:sz w:val="24"/>
        </w:rPr>
        <w:t>（一）招标文件的构成</w:t>
      </w:r>
      <w:bookmarkEnd w:id="120"/>
    </w:p>
    <w:bookmarkEnd w:id="121"/>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、招标文件包括下列文件及附件</w:t>
      </w:r>
    </w:p>
    <w:p>
      <w:pPr>
        <w:shd w:val="clear" w:color="auto" w:fill="FFFFFF"/>
        <w:snapToGrid w:val="0"/>
        <w:spacing w:line="360" w:lineRule="auto"/>
        <w:ind w:left="480"/>
        <w:rPr>
          <w:rFonts w:ascii="宋体" w:hAnsi="宋体" w:cs="宋体"/>
          <w:color w:val="000000"/>
          <w:sz w:val="24"/>
        </w:rPr>
      </w:pPr>
      <w:r>
        <w:rPr>
          <w:rFonts w:hint="eastAsia" w:ascii="宋体" w:hAnsi="宋体" w:cs="宋体"/>
          <w:color w:val="000000"/>
          <w:sz w:val="24"/>
        </w:rPr>
        <w:t>第一部分  招标公告</w:t>
      </w:r>
    </w:p>
    <w:p>
      <w:pPr>
        <w:shd w:val="clear" w:color="auto" w:fill="FFFFFF"/>
        <w:snapToGrid w:val="0"/>
        <w:spacing w:line="360" w:lineRule="auto"/>
        <w:ind w:left="480"/>
        <w:rPr>
          <w:rFonts w:ascii="宋体" w:hAnsi="宋体" w:cs="宋体"/>
          <w:color w:val="000000"/>
          <w:sz w:val="24"/>
        </w:rPr>
      </w:pPr>
      <w:r>
        <w:rPr>
          <w:rFonts w:hint="eastAsia" w:ascii="宋体" w:hAnsi="宋体" w:cs="宋体"/>
          <w:color w:val="000000"/>
          <w:sz w:val="24"/>
        </w:rPr>
        <w:t>第二部分  编制和提交投标文件须知</w:t>
      </w:r>
    </w:p>
    <w:p>
      <w:pPr>
        <w:shd w:val="clear" w:color="auto" w:fill="FFFFFF"/>
        <w:snapToGrid w:val="0"/>
        <w:spacing w:line="360" w:lineRule="auto"/>
        <w:ind w:left="480"/>
        <w:rPr>
          <w:rFonts w:ascii="宋体" w:hAnsi="宋体" w:cs="宋体"/>
          <w:color w:val="000000"/>
          <w:sz w:val="24"/>
        </w:rPr>
      </w:pPr>
      <w:r>
        <w:rPr>
          <w:rFonts w:hint="eastAsia" w:ascii="宋体" w:hAnsi="宋体" w:cs="宋体"/>
          <w:color w:val="000000"/>
          <w:sz w:val="24"/>
        </w:rPr>
        <w:t>第三部分  项目技术规范和服务要求</w:t>
      </w:r>
    </w:p>
    <w:p>
      <w:pPr>
        <w:shd w:val="clear" w:color="auto" w:fill="FFFFFF"/>
        <w:snapToGrid w:val="0"/>
        <w:spacing w:line="360" w:lineRule="auto"/>
        <w:ind w:left="480"/>
        <w:rPr>
          <w:rFonts w:ascii="宋体" w:hAnsi="宋体" w:cs="宋体"/>
          <w:color w:val="000000"/>
          <w:sz w:val="24"/>
        </w:rPr>
      </w:pPr>
      <w:r>
        <w:rPr>
          <w:rFonts w:hint="eastAsia" w:ascii="宋体" w:hAnsi="宋体" w:cs="宋体"/>
          <w:color w:val="000000"/>
          <w:sz w:val="24"/>
        </w:rPr>
        <w:t>第四部分  合同主要条款</w:t>
      </w:r>
    </w:p>
    <w:p>
      <w:pPr>
        <w:shd w:val="clear" w:color="auto" w:fill="FFFFFF"/>
        <w:snapToGrid w:val="0"/>
        <w:spacing w:line="360" w:lineRule="auto"/>
        <w:ind w:left="480"/>
        <w:rPr>
          <w:rFonts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0"/>
        <w:snapToGrid w:val="0"/>
        <w:spacing w:line="360" w:lineRule="auto"/>
        <w:rPr>
          <w:rFonts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tabs>
          <w:tab w:val="left" w:pos="3780"/>
        </w:tabs>
        <w:snapToGrid w:val="0"/>
        <w:spacing w:line="360" w:lineRule="auto"/>
        <w:ind w:firstLine="600" w:firstLineChars="25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tabs>
          <w:tab w:val="left" w:pos="3780"/>
        </w:tabs>
        <w:snapToGrid w:val="0"/>
        <w:spacing w:line="360" w:lineRule="auto"/>
        <w:ind w:firstLine="600" w:firstLineChars="25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、投标人一旦参与本次采购活动，即被视为接受了本招标文件的所有内容，如有任何异议，均已在答疑截止时间前提出。</w:t>
      </w: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ascii="宋体" w:hAnsi="宋体" w:cs="宋体"/>
          <w:color w:val="000000"/>
          <w:sz w:val="24"/>
          <w:lang w:val="zh-CN"/>
        </w:rPr>
      </w:pPr>
      <w:r>
        <w:rPr>
          <w:rFonts w:ascii="宋体" w:hAnsi="宋体" w:cs="宋体"/>
          <w:color w:val="000000"/>
          <w:sz w:val="24"/>
        </w:rPr>
        <w:t>2</w:t>
      </w:r>
      <w:r>
        <w:rPr>
          <w:rFonts w:hint="eastAsia" w:ascii="宋体" w:hAnsi="宋体" w:cs="宋体"/>
          <w:color w:val="000000"/>
          <w:sz w:val="24"/>
        </w:rPr>
        <w:t>、若有必要，招标代理机构将酌情延长递交投标文件的截止日期。</w:t>
      </w: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（四）投标报价</w:t>
      </w:r>
    </w:p>
    <w:p>
      <w:pPr>
        <w:pStyle w:val="148"/>
        <w:snapToGrid w:val="0"/>
        <w:spacing w:before="0"/>
        <w:ind w:firstLine="480"/>
        <w:rPr>
          <w:rFonts w:ascii="宋体" w:hAnsi="宋体" w:eastAsia="宋体" w:cs="宋体"/>
          <w:color w:val="000000"/>
        </w:rPr>
      </w:pPr>
      <w:r>
        <w:rPr>
          <w:rFonts w:ascii="宋体" w:hAnsi="宋体" w:eastAsia="宋体" w:cs="宋体"/>
          <w:color w:val="000000"/>
        </w:rPr>
        <w:t>1</w:t>
      </w:r>
      <w:r>
        <w:rPr>
          <w:rFonts w:hint="eastAsia" w:ascii="宋体" w:hAnsi="宋体" w:eastAsia="宋体" w:cs="宋体"/>
          <w:color w:val="000000"/>
        </w:rPr>
        <w:t>、报价</w:t>
      </w:r>
    </w:p>
    <w:p>
      <w:pPr>
        <w:pStyle w:val="148"/>
        <w:snapToGrid w:val="0"/>
        <w:spacing w:before="0"/>
        <w:ind w:firstLine="480"/>
        <w:rPr>
          <w:rFonts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、其它费用处理</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、投标货币</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ascii="宋体" w:hAnsi="宋体" w:cs="宋体"/>
          <w:b/>
          <w:bCs/>
          <w:color w:val="000000"/>
          <w:sz w:val="24"/>
        </w:rPr>
      </w:pPr>
      <w:r>
        <w:rPr>
          <w:rFonts w:ascii="宋体" w:hAnsi="宋体" w:cs="宋体"/>
          <w:color w:val="000000"/>
          <w:sz w:val="24"/>
        </w:rPr>
        <w:t>5</w:t>
      </w:r>
      <w:r>
        <w:rPr>
          <w:rFonts w:hint="eastAsia" w:ascii="宋体" w:hAnsi="宋体" w:cs="宋体"/>
          <w:color w:val="000000"/>
          <w:sz w:val="24"/>
        </w:rPr>
        <w:t>、其他注意事项：</w:t>
      </w:r>
      <w:r>
        <w:rPr>
          <w:rFonts w:hint="eastAsia" w:ascii="宋体" w:hAnsi="宋体" w:cs="宋体"/>
          <w:color w:val="000000"/>
          <w:sz w:val="24"/>
        </w:rPr>
        <w:br w:type="textWrapping"/>
      </w:r>
      <w:r>
        <w:rPr>
          <w:rFonts w:hint="eastAsia" w:ascii="宋体" w:hAnsi="宋体" w:cs="宋体"/>
          <w:b/>
          <w:bCs/>
          <w:color w:val="000000"/>
          <w:sz w:val="24"/>
        </w:rPr>
        <w:t xml:space="preserve">    5.1投标人在投标活动中提供任何虚假材料，其投标无效，并上报监管部门。</w:t>
      </w:r>
    </w:p>
    <w:p>
      <w:pPr>
        <w:snapToGrid w:val="0"/>
        <w:spacing w:line="360" w:lineRule="auto"/>
        <w:ind w:firstLine="480"/>
        <w:rPr>
          <w:rFonts w:ascii="宋体" w:hAnsi="宋体" w:cs="宋体"/>
          <w:b/>
          <w:bCs/>
          <w:color w:val="000000"/>
          <w:sz w:val="24"/>
        </w:rPr>
      </w:pPr>
      <w:r>
        <w:rPr>
          <w:rFonts w:hint="eastAsia" w:ascii="宋体" w:hAnsi="宋体" w:cs="宋体"/>
          <w:b/>
          <w:bCs/>
          <w:color w:val="000000"/>
          <w:sz w:val="24"/>
        </w:rPr>
        <w:t>5.2中小企业参加政府采购活动，应当出具本办法规定的《中小企业声明函》（见附件），否则不得享受相关中小企业扶持政策。</w:t>
      </w:r>
    </w:p>
    <w:p>
      <w:pPr>
        <w:tabs>
          <w:tab w:val="left" w:pos="3780"/>
        </w:tabs>
        <w:snapToGrid w:val="0"/>
        <w:spacing w:line="360" w:lineRule="auto"/>
        <w:ind w:firstLine="532" w:firstLineChars="222"/>
        <w:rPr>
          <w:rFonts w:ascii="宋体" w:hAnsi="宋体" w:cs="宋体"/>
          <w:color w:val="000000"/>
          <w:sz w:val="24"/>
        </w:rPr>
      </w:pPr>
      <w:r>
        <w:rPr>
          <w:rFonts w:hint="eastAsia" w:ascii="宋体" w:hAnsi="宋体" w:cs="宋体"/>
          <w:color w:val="000000"/>
          <w:sz w:val="24"/>
        </w:rPr>
        <w:t>5.3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5.4残疾人福利性单位：符合《财政部 民政部 中国残疾人联合会关于促进残疾人就业政府采购政策的通知》（财库（2017）141号）的规定单位。</w:t>
      </w:r>
    </w:p>
    <w:p>
      <w:pPr>
        <w:shd w:val="clear" w:color="auto" w:fill="FFFFFF"/>
        <w:snapToGrid w:val="0"/>
        <w:spacing w:line="360" w:lineRule="auto"/>
        <w:jc w:val="center"/>
        <w:outlineLvl w:val="1"/>
        <w:rPr>
          <w:rFonts w:ascii="宋体" w:hAnsi="宋体" w:cs="宋体"/>
          <w:b/>
          <w:bCs/>
          <w:color w:val="000000"/>
          <w:sz w:val="24"/>
        </w:rPr>
      </w:pPr>
      <w:bookmarkStart w:id="122" w:name="_Toc10416"/>
      <w:bookmarkStart w:id="123" w:name="_Toc9251"/>
      <w:bookmarkStart w:id="124" w:name="_Toc18768"/>
      <w:bookmarkStart w:id="125" w:name="_Toc7948"/>
      <w:bookmarkStart w:id="126" w:name="_Toc32717"/>
      <w:bookmarkStart w:id="127" w:name="_Toc26497"/>
      <w:bookmarkStart w:id="128" w:name="_Toc91899903"/>
      <w:bookmarkStart w:id="129" w:name="_Toc354996702"/>
      <w:bookmarkStart w:id="130" w:name="_Toc86216994"/>
      <w:bookmarkStart w:id="131" w:name="_Toc233618978"/>
      <w:r>
        <w:rPr>
          <w:rFonts w:hint="eastAsia" w:ascii="宋体" w:hAnsi="宋体" w:cs="宋体"/>
          <w:b/>
          <w:bCs/>
          <w:color w:val="000000"/>
          <w:sz w:val="24"/>
        </w:rPr>
        <w:t>三、</w:t>
      </w:r>
      <w:bookmarkStart w:id="132" w:name="_Hlt75236011"/>
      <w:bookmarkEnd w:id="132"/>
      <w:bookmarkStart w:id="133" w:name="_Toc91899884"/>
      <w:bookmarkStart w:id="134" w:name="_Toc233618974"/>
      <w:bookmarkStart w:id="135" w:name="_Toc354996698"/>
      <w:r>
        <w:rPr>
          <w:rFonts w:hint="eastAsia" w:ascii="宋体" w:hAnsi="宋体" w:cs="宋体"/>
          <w:b/>
          <w:bCs/>
          <w:color w:val="000000"/>
          <w:sz w:val="24"/>
        </w:rPr>
        <w:t>投标文件</w:t>
      </w:r>
      <w:bookmarkEnd w:id="122"/>
      <w:bookmarkEnd w:id="123"/>
      <w:bookmarkEnd w:id="124"/>
      <w:bookmarkEnd w:id="125"/>
      <w:bookmarkEnd w:id="126"/>
      <w:bookmarkEnd w:id="127"/>
      <w:bookmarkEnd w:id="133"/>
      <w:bookmarkEnd w:id="134"/>
      <w:bookmarkEnd w:id="135"/>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（一）投标文件的语言</w:t>
      </w:r>
    </w:p>
    <w:p>
      <w:pPr>
        <w:shd w:val="clear" w:color="auto" w:fill="FFFFFF"/>
        <w:snapToGrid w:val="0"/>
        <w:spacing w:line="360" w:lineRule="auto"/>
        <w:ind w:firstLine="480" w:firstLineChars="200"/>
        <w:rPr>
          <w:rFonts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5"/>
        <w:numPr>
          <w:ilvl w:val="2"/>
          <w:numId w:val="0"/>
        </w:numPr>
        <w:spacing w:before="0" w:after="0"/>
        <w:ind w:left="720" w:hanging="720"/>
        <w:jc w:val="both"/>
        <w:rPr>
          <w:rFonts w:ascii="宋体" w:hAnsi="宋体" w:eastAsia="宋体" w:cs="宋体"/>
          <w:sz w:val="24"/>
          <w:szCs w:val="24"/>
        </w:rPr>
      </w:pPr>
      <w:bookmarkStart w:id="136" w:name="_Toc91899887"/>
      <w:r>
        <w:rPr>
          <w:rFonts w:hint="eastAsia" w:ascii="宋体" w:hAnsi="宋体" w:eastAsia="宋体" w:cs="宋体"/>
          <w:sz w:val="24"/>
          <w:szCs w:val="24"/>
        </w:rPr>
        <w:t>（二）投标文件的组成</w:t>
      </w:r>
    </w:p>
    <w:p>
      <w:pPr>
        <w:snapToGrid w:val="0"/>
        <w:spacing w:line="360" w:lineRule="auto"/>
        <w:ind w:firstLine="480" w:firstLineChars="200"/>
        <w:rPr>
          <w:rFonts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ascii="宋体" w:hAnsi="宋体" w:cs="宋体"/>
          <w:color w:val="000000"/>
          <w:sz w:val="24"/>
        </w:rPr>
      </w:pPr>
      <w:r>
        <w:rPr>
          <w:rFonts w:ascii="宋体" w:hAnsi="宋体" w:cs="宋体"/>
          <w:color w:val="000000"/>
          <w:kern w:val="0"/>
          <w:sz w:val="24"/>
          <w:lang w:val="zh-CN"/>
        </w:rPr>
        <w:t>1</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包括：</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（1）法人或者其他组织机构的</w:t>
      </w:r>
      <w:r>
        <w:rPr>
          <w:rFonts w:hint="eastAsia" w:ascii="宋体" w:hAnsi="宋体" w:cs="宋体"/>
          <w:b/>
          <w:color w:val="000000"/>
          <w:sz w:val="24"/>
          <w:szCs w:val="21"/>
        </w:rPr>
        <w:t>营业执照（扫描件或复印件加盖公章）</w:t>
      </w:r>
      <w:r>
        <w:rPr>
          <w:rFonts w:hint="eastAsia" w:ascii="宋体" w:hAnsi="宋体" w:cs="宋体"/>
          <w:color w:val="000000"/>
          <w:sz w:val="24"/>
          <w:szCs w:val="21"/>
        </w:rPr>
        <w:t xml:space="preserve">或事业法人登记证书或其他工商等登记证明材料； </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olor w:val="000000"/>
          <w:sz w:val="24"/>
        </w:rPr>
      </w:pPr>
      <w:r>
        <w:rPr>
          <w:rFonts w:hint="eastAsia" w:ascii="宋体" w:hAnsi="宋体" w:cs="宋体"/>
          <w:sz w:val="24"/>
        </w:rPr>
        <w:t>▲</w:t>
      </w:r>
      <w:r>
        <w:rPr>
          <w:rFonts w:hint="eastAsia" w:ascii="宋体" w:hAnsi="宋体"/>
          <w:color w:val="000000"/>
          <w:sz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sz w:val="24"/>
        </w:rPr>
      </w:pPr>
      <w:r>
        <w:rPr>
          <w:rFonts w:hint="eastAsia" w:ascii="宋体" w:hAnsi="宋体" w:cs="宋体"/>
          <w:sz w:val="24"/>
        </w:rPr>
        <w:t>包括但不限于以下资料：</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sz w:val="24"/>
        </w:rPr>
      </w:pPr>
      <w:r>
        <w:rPr>
          <w:rFonts w:hint="eastAsia" w:ascii="宋体" w:hAnsi="宋体" w:cs="宋体"/>
          <w:sz w:val="24"/>
        </w:rPr>
        <w:t>a.最近一个年度资产负债表等财务报表资料文件 或 其基本开户银行开标日前六个月内出具的资信证明 或 其他能证明其财务情况的材料 （新成立的公司，提供情况说明）；</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sz w:val="24"/>
        </w:rPr>
      </w:pPr>
      <w:r>
        <w:rPr>
          <w:rFonts w:hint="eastAsia" w:ascii="宋体" w:hAnsi="宋体" w:cs="宋体"/>
          <w:sz w:val="24"/>
        </w:rPr>
        <w:t>b.税费和社保费缴纳凭证复印件 或 依法缴纳税费或依法免缴税费的证明材料 （新成立的公司，提供情况说明）；</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（3）具有履行合同所必需的设备和专业技术能力的承诺函；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（4）依法缴纳税收和社会保障资金的承诺函；</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（5）参加政府采购活动前3年内在经营活动中没有重大违法记录的声明函；</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（6）单位负责人为同一人或者存在直接控股、管理关系的不同供应商，不得参加同一合同项下的政府采购活动承诺函；</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（7）投标供应商没有失信记录承诺函；</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0" w:firstLineChars="200"/>
        <w:textAlignment w:val="auto"/>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（8）投标供应商不属于公益一类事业单位承诺函；</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2" w:firstLineChars="200"/>
        <w:textAlignment w:val="auto"/>
        <w:rPr>
          <w:rFonts w:hint="eastAsia" w:ascii="宋体" w:hAnsi="宋体" w:eastAsia="宋体" w:cs="宋体"/>
          <w:b/>
          <w:bCs/>
          <w:sz w:val="24"/>
          <w:lang w:eastAsia="zh-CN"/>
        </w:rPr>
      </w:pPr>
      <w:r>
        <w:rPr>
          <w:rFonts w:hint="eastAsia" w:ascii="宋体" w:hAnsi="宋体" w:cs="宋体"/>
          <w:b/>
          <w:bCs/>
          <w:sz w:val="24"/>
        </w:rPr>
        <w:t>▲（9）具备城乡规划编制单位甲级及以上资质（扫描件或复印件加盖公章）</w:t>
      </w:r>
      <w:r>
        <w:rPr>
          <w:rFonts w:hint="eastAsia" w:ascii="宋体" w:hAnsi="宋体" w:cs="宋体"/>
          <w:b/>
          <w:bCs/>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2" w:firstLineChars="200"/>
        <w:textAlignment w:val="auto"/>
      </w:pPr>
      <w:r>
        <w:rPr>
          <w:rFonts w:hint="eastAsia" w:ascii="宋体" w:hAnsi="宋体" w:eastAsia="宋体" w:cs="宋体"/>
          <w:b/>
          <w:bCs/>
          <w:color w:val="000000"/>
          <w:kern w:val="0"/>
          <w:sz w:val="24"/>
          <w:lang w:val="en-US" w:eastAsia="zh-CN"/>
        </w:rPr>
        <w:t>▲</w:t>
      </w:r>
      <w:r>
        <w:rPr>
          <w:rFonts w:hint="eastAsia" w:ascii="宋体" w:hAnsi="宋体" w:cs="宋体"/>
          <w:color w:val="000000"/>
          <w:sz w:val="24"/>
          <w:szCs w:val="21"/>
        </w:rPr>
        <w:t>（</w:t>
      </w:r>
      <w:r>
        <w:rPr>
          <w:rFonts w:hint="eastAsia" w:ascii="宋体" w:hAnsi="宋体" w:cs="宋体"/>
          <w:color w:val="000000"/>
          <w:sz w:val="24"/>
          <w:szCs w:val="21"/>
          <w:lang w:val="en-US" w:eastAsia="zh-CN"/>
        </w:rPr>
        <w:t>10</w:t>
      </w:r>
      <w:r>
        <w:rPr>
          <w:rFonts w:hint="eastAsia" w:ascii="宋体" w:hAnsi="宋体" w:cs="宋体"/>
          <w:color w:val="000000"/>
          <w:sz w:val="24"/>
          <w:szCs w:val="21"/>
        </w:rPr>
        <w:t>）</w:t>
      </w:r>
      <w:r>
        <w:rPr>
          <w:rFonts w:hint="eastAsia" w:ascii="宋体" w:hAnsi="宋体" w:eastAsia="宋体" w:cs="宋体"/>
          <w:b w:val="0"/>
          <w:bCs w:val="0"/>
          <w:color w:val="000000"/>
          <w:kern w:val="0"/>
          <w:sz w:val="24"/>
          <w:lang w:val="en-US" w:eastAsia="zh-CN"/>
        </w:rPr>
        <w:t>供应商承诺未联合体投标情况说明函。</w:t>
      </w:r>
    </w:p>
    <w:p>
      <w:pPr>
        <w:keepNext w:val="0"/>
        <w:keepLines w:val="0"/>
        <w:pageBreakBefore w:val="0"/>
        <w:widowControl w:val="0"/>
        <w:kinsoku/>
        <w:wordWrap/>
        <w:overflowPunct/>
        <w:topLinePunct w:val="0"/>
        <w:autoSpaceDE/>
        <w:autoSpaceDN/>
        <w:bidi w:val="0"/>
        <w:adjustRightInd/>
        <w:snapToGrid w:val="0"/>
        <w:spacing w:line="360" w:lineRule="auto"/>
        <w:ind w:left="105" w:leftChars="50" w:firstLine="482" w:firstLineChars="200"/>
        <w:textAlignment w:val="auto"/>
        <w:rPr>
          <w:rFonts w:ascii="宋体" w:hAnsi="宋体" w:cs="宋体"/>
          <w:b/>
          <w:bCs/>
          <w:color w:val="000000"/>
          <w:sz w:val="24"/>
          <w:szCs w:val="21"/>
        </w:rPr>
      </w:pPr>
      <w:r>
        <w:rPr>
          <w:rFonts w:hint="eastAsia" w:ascii="宋体" w:hAnsi="宋体" w:cs="宋体"/>
          <w:b/>
          <w:bCs/>
          <w:color w:val="000000"/>
          <w:sz w:val="24"/>
          <w:szCs w:val="21"/>
        </w:rPr>
        <w:t>注：上述资格条件审查材料有一项不提供的，视为资格审查不通过。上述内容部分格式及内容详见第五部分。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u w:val="single"/>
          <w:lang w:val="zh-CN"/>
        </w:rPr>
      </w:pPr>
      <w:bookmarkStart w:id="137" w:name="_Toc500208478"/>
      <w:r>
        <w:rPr>
          <w:rFonts w:ascii="宋体" w:hAnsi="宋体" w:cs="宋体"/>
          <w:color w:val="000000"/>
          <w:kern w:val="0"/>
          <w:sz w:val="24"/>
          <w:lang w:val="zh-CN"/>
        </w:rPr>
        <w:t>2</w:t>
      </w:r>
      <w:r>
        <w:rPr>
          <w:rFonts w:hint="eastAsia" w:ascii="宋体" w:hAnsi="宋体" w:cs="宋体"/>
          <w:color w:val="000000"/>
          <w:kern w:val="0"/>
          <w:sz w:val="24"/>
          <w:lang w:val="zh-CN"/>
        </w:rPr>
        <w:t>、</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至少应包括以下内容： </w:t>
      </w: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rPr>
          <w:rFonts w:ascii="宋体" w:hAnsi="宋体" w:cs="宋体"/>
          <w:color w:val="000000"/>
          <w:sz w:val="24"/>
        </w:rPr>
      </w:pPr>
      <w:r>
        <w:rPr>
          <w:rFonts w:hint="eastAsia" w:ascii="宋体" w:hAnsi="宋体" w:cs="宋体"/>
          <w:sz w:val="24"/>
        </w:rPr>
        <w:t>▲</w:t>
      </w:r>
      <w:r>
        <w:rPr>
          <w:rFonts w:hint="eastAsia" w:ascii="宋体" w:hAnsi="宋体" w:cs="宋体"/>
          <w:color w:val="000000"/>
          <w:sz w:val="24"/>
        </w:rPr>
        <w:t>（1）</w:t>
      </w:r>
      <w:r>
        <w:rPr>
          <w:rFonts w:hint="eastAsia" w:ascii="宋体" w:hAnsi="宋体" w:cs="宋体"/>
          <w:color w:val="000000"/>
          <w:kern w:val="0"/>
          <w:sz w:val="24"/>
        </w:rPr>
        <w:t>投标响应函</w:t>
      </w:r>
      <w:r>
        <w:rPr>
          <w:sz w:val="24"/>
        </w:rPr>
        <w:t>（格式见第</w:t>
      </w:r>
      <w:r>
        <w:rPr>
          <w:rFonts w:hint="eastAsia"/>
          <w:sz w:val="24"/>
        </w:rPr>
        <w:t>五部分）</w:t>
      </w:r>
      <w:r>
        <w:rPr>
          <w:rFonts w:hint="eastAsia" w:ascii="宋体" w:hAnsi="宋体" w:cs="宋体"/>
          <w:color w:val="000000"/>
          <w:sz w:val="24"/>
        </w:rPr>
        <w:t>；</w:t>
      </w:r>
    </w:p>
    <w:p>
      <w:pPr>
        <w:pStyle w:val="40"/>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rPr>
          <w:rFonts w:ascii="宋体" w:hAnsi="宋体" w:eastAsia="宋体" w:cs="宋体"/>
          <w:color w:val="000000"/>
          <w:sz w:val="24"/>
          <w:szCs w:val="24"/>
        </w:rPr>
      </w:pPr>
      <w:r>
        <w:rPr>
          <w:rFonts w:hint="eastAsia" w:ascii="宋体" w:hAnsi="宋体" w:cs="宋体"/>
          <w:sz w:val="24"/>
        </w:rPr>
        <w:t>▲</w:t>
      </w:r>
      <w:r>
        <w:rPr>
          <w:rFonts w:hint="eastAsia" w:ascii="宋体" w:hAnsi="宋体" w:eastAsia="宋体" w:cs="宋体"/>
          <w:color w:val="000000"/>
          <w:sz w:val="24"/>
          <w:szCs w:val="24"/>
        </w:rPr>
        <w:t>（2）开标一览表</w:t>
      </w:r>
      <w:r>
        <w:rPr>
          <w:sz w:val="24"/>
        </w:rPr>
        <w:t>（格式见第</w:t>
      </w:r>
      <w:r>
        <w:rPr>
          <w:rFonts w:hint="eastAsia"/>
          <w:sz w:val="24"/>
        </w:rPr>
        <w:t>五部分）</w:t>
      </w:r>
      <w:r>
        <w:rPr>
          <w:rFonts w:hint="eastAsia" w:ascii="宋体" w:hAnsi="宋体" w:cs="宋体"/>
          <w:color w:val="000000"/>
          <w:sz w:val="24"/>
        </w:rPr>
        <w:t>；</w:t>
      </w:r>
    </w:p>
    <w:p>
      <w:pPr>
        <w:pStyle w:val="40"/>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rPr>
          <w:rFonts w:ascii="宋体" w:hAnsi="宋体" w:eastAsia="宋体" w:cs="宋体"/>
          <w:color w:val="000000"/>
          <w:kern w:val="0"/>
          <w:sz w:val="24"/>
          <w:szCs w:val="24"/>
        </w:rPr>
      </w:pPr>
      <w:r>
        <w:rPr>
          <w:rFonts w:hint="eastAsia" w:ascii="宋体" w:hAnsi="宋体" w:cs="宋体"/>
          <w:sz w:val="24"/>
        </w:rPr>
        <w:t>▲</w:t>
      </w:r>
      <w:r>
        <w:rPr>
          <w:rFonts w:hint="eastAsia" w:ascii="宋体" w:hAnsi="宋体" w:eastAsia="宋体" w:cs="宋体"/>
          <w:color w:val="000000"/>
          <w:sz w:val="24"/>
          <w:szCs w:val="24"/>
        </w:rPr>
        <w:t>（3）报价明细清单</w:t>
      </w:r>
      <w:r>
        <w:rPr>
          <w:sz w:val="24"/>
        </w:rPr>
        <w:t>（格式见第</w:t>
      </w:r>
      <w:r>
        <w:rPr>
          <w:rFonts w:hint="eastAsia"/>
          <w:sz w:val="24"/>
        </w:rPr>
        <w:t>五部分）</w:t>
      </w:r>
      <w:r>
        <w:rPr>
          <w:rFonts w:hint="eastAsia" w:ascii="宋体" w:hAnsi="宋体" w:cs="宋体"/>
          <w:color w:val="000000"/>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hAnsi="宋体" w:cs="宋体"/>
          <w:b/>
          <w:bCs/>
          <w:color w:val="000000"/>
          <w:kern w:val="0"/>
          <w:sz w:val="24"/>
        </w:rPr>
      </w:pPr>
      <w:r>
        <w:rPr>
          <w:rFonts w:hint="eastAsia" w:ascii="宋体" w:hAnsi="宋体" w:cs="宋体"/>
          <w:b/>
          <w:bCs/>
          <w:color w:val="000000"/>
          <w:kern w:val="0"/>
          <w:sz w:val="24"/>
        </w:rPr>
        <w:t>（4）中小企业声明函（如有提供）；</w:t>
      </w:r>
    </w:p>
    <w:p>
      <w:pPr>
        <w:keepNext w:val="0"/>
        <w:keepLines w:val="0"/>
        <w:pageBreakBefore w:val="0"/>
        <w:widowControl w:val="0"/>
        <w:kinsoku/>
        <w:wordWrap/>
        <w:overflowPunct/>
        <w:topLinePunct w:val="0"/>
        <w:autoSpaceDE/>
        <w:autoSpaceDN/>
        <w:bidi w:val="0"/>
        <w:adjustRightInd/>
        <w:snapToGrid w:val="0"/>
        <w:spacing w:line="360" w:lineRule="auto"/>
        <w:ind w:left="479" w:leftChars="228"/>
        <w:textAlignment w:val="auto"/>
        <w:rPr>
          <w:rFonts w:ascii="宋体" w:hAnsi="宋体" w:cs="宋体"/>
          <w:b/>
          <w:bCs/>
          <w:color w:val="000000"/>
          <w:kern w:val="0"/>
          <w:sz w:val="24"/>
        </w:rPr>
      </w:pPr>
      <w:r>
        <w:rPr>
          <w:rFonts w:hint="eastAsia" w:ascii="宋体" w:hAnsi="宋体" w:cs="宋体"/>
          <w:b/>
          <w:bCs/>
          <w:color w:val="000000"/>
          <w:kern w:val="0"/>
          <w:sz w:val="24"/>
        </w:rPr>
        <w:t>（5）监狱企业、残疾人福利性单位及其他相关的充分的证明材料（如有提供）。</w:t>
      </w:r>
    </w:p>
    <w:p>
      <w:pPr>
        <w:keepNext w:val="0"/>
        <w:keepLines w:val="0"/>
        <w:pageBreakBefore w:val="0"/>
        <w:widowControl w:val="0"/>
        <w:kinsoku/>
        <w:wordWrap/>
        <w:overflowPunct/>
        <w:topLinePunct w:val="0"/>
        <w:autoSpaceDE/>
        <w:autoSpaceDN/>
        <w:bidi w:val="0"/>
        <w:adjustRightInd/>
        <w:snapToGrid w:val="0"/>
        <w:spacing w:line="360" w:lineRule="auto"/>
        <w:ind w:left="479" w:leftChars="228"/>
        <w:textAlignment w:val="auto"/>
        <w:rPr>
          <w:rFonts w:ascii="宋体" w:hAnsi="宋体" w:eastAsia="??" w:cs="宋体"/>
          <w:sz w:val="24"/>
          <w:szCs w:val="21"/>
        </w:rPr>
      </w:pPr>
      <w:r>
        <w:rPr>
          <w:rFonts w:hint="eastAsia" w:ascii="宋体" w:hAnsi="宋体" w:eastAsia="??" w:cs="宋体"/>
          <w:sz w:val="24"/>
          <w:szCs w:val="21"/>
        </w:rPr>
        <w:t>（</w:t>
      </w:r>
      <w:r>
        <w:rPr>
          <w:rFonts w:hint="eastAsia" w:ascii="宋体" w:hAnsi="宋体" w:cs="宋体"/>
          <w:sz w:val="24"/>
          <w:szCs w:val="21"/>
        </w:rPr>
        <w:t>6</w:t>
      </w:r>
      <w:r>
        <w:rPr>
          <w:rFonts w:hint="eastAsia" w:ascii="宋体" w:hAnsi="宋体" w:eastAsia="??" w:cs="宋体"/>
          <w:sz w:val="24"/>
          <w:szCs w:val="21"/>
        </w:rPr>
        <w:t>）投标人针对报价需要说明的其他文件和说明；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kern w:val="0"/>
          <w:sz w:val="24"/>
          <w:lang w:val="zh-CN"/>
        </w:rPr>
      </w:pPr>
      <w:r>
        <w:rPr>
          <w:rFonts w:ascii="宋体" w:hAnsi="宋体" w:cs="宋体"/>
          <w:color w:val="000000"/>
          <w:kern w:val="0"/>
          <w:sz w:val="24"/>
          <w:lang w:val="zh-CN"/>
        </w:rPr>
        <w:t>3</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至少应包括以下内容：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（1）目录；</w:t>
      </w:r>
    </w:p>
    <w:bookmarkEnd w:id="137"/>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rPr>
          <w:rFonts w:ascii="宋体" w:hAnsi="宋体" w:cs="宋体"/>
          <w:color w:val="000000"/>
          <w:sz w:val="24"/>
        </w:rPr>
      </w:pPr>
      <w:r>
        <w:rPr>
          <w:rFonts w:hint="eastAsia" w:ascii="宋体" w:hAnsi="宋体" w:cs="宋体"/>
          <w:sz w:val="24"/>
        </w:rPr>
        <w:t>▲</w:t>
      </w:r>
      <w:r>
        <w:rPr>
          <w:rFonts w:hint="eastAsia" w:ascii="宋体" w:hAnsi="宋体" w:cs="宋体"/>
          <w:color w:val="000000"/>
          <w:sz w:val="24"/>
        </w:rPr>
        <w:t>（2）法定代表人授权委托书</w:t>
      </w:r>
      <w:r>
        <w:rPr>
          <w:sz w:val="24"/>
        </w:rPr>
        <w:t>（格式见第</w:t>
      </w:r>
      <w:r>
        <w:rPr>
          <w:rFonts w:hint="eastAsia"/>
          <w:sz w:val="24"/>
        </w:rPr>
        <w:t>五部分）</w:t>
      </w:r>
      <w:r>
        <w:rPr>
          <w:rFonts w:hint="eastAsia" w:ascii="宋体" w:hAnsi="宋体" w:cs="宋体"/>
          <w:color w:val="000000"/>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rPr>
          <w:rFonts w:ascii="宋体" w:hAnsi="宋体" w:cs="宋体"/>
          <w:color w:val="000000"/>
          <w:sz w:val="24"/>
        </w:rPr>
      </w:pPr>
      <w:r>
        <w:rPr>
          <w:rFonts w:hint="eastAsia" w:ascii="宋体" w:hAnsi="宋体" w:cs="宋体"/>
          <w:sz w:val="24"/>
        </w:rPr>
        <w:t>▲</w:t>
      </w:r>
      <w:r>
        <w:rPr>
          <w:rFonts w:hint="eastAsia" w:ascii="宋体" w:hAnsi="宋体" w:cs="宋体"/>
          <w:color w:val="000000"/>
          <w:sz w:val="24"/>
        </w:rPr>
        <w:t>（3）法定代表人及授权委托人的身份证(扫描件或复印件加盖公章)；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w:t>
      </w:r>
      <w:r>
        <w:rPr>
          <w:rFonts w:hint="eastAsia" w:ascii="宋体" w:hAnsi="宋体"/>
          <w:color w:val="000000"/>
          <w:sz w:val="24"/>
          <w:u w:color="000000"/>
        </w:rPr>
        <w:t>资质文件（如有）；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（5）公司介绍；</w:t>
      </w:r>
    </w:p>
    <w:p>
      <w:pPr>
        <w:pStyle w:val="40"/>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宋体" w:hAnsi="宋体" w:eastAsia="宋体" w:cs="宋体"/>
          <w:color w:val="000000"/>
          <w:kern w:val="0"/>
          <w:sz w:val="24"/>
        </w:rPr>
      </w:pPr>
      <w:r>
        <w:rPr>
          <w:rFonts w:hint="eastAsia" w:ascii="宋体" w:hAnsi="宋体" w:cs="宋体"/>
          <w:color w:val="000000"/>
          <w:sz w:val="24"/>
        </w:rPr>
        <w:t>（</w:t>
      </w:r>
      <w:r>
        <w:rPr>
          <w:rFonts w:hint="eastAsia" w:ascii="宋体" w:hAnsi="宋体" w:eastAsia="宋体" w:cs="宋体"/>
          <w:color w:val="000000"/>
          <w:sz w:val="24"/>
        </w:rPr>
        <w:t>6</w:t>
      </w:r>
      <w:r>
        <w:rPr>
          <w:rFonts w:hint="eastAsia" w:ascii="宋体" w:hAnsi="宋体" w:cs="宋体"/>
          <w:color w:val="000000"/>
          <w:sz w:val="24"/>
        </w:rPr>
        <w:t>）</w:t>
      </w:r>
      <w:r>
        <w:rPr>
          <w:rFonts w:hint="eastAsia" w:ascii="宋体" w:hAnsi="宋体" w:cs="宋体"/>
          <w:color w:val="000000"/>
          <w:kern w:val="0"/>
          <w:sz w:val="24"/>
        </w:rPr>
        <w:t>针对本项目详细服务实施计划</w:t>
      </w:r>
      <w:r>
        <w:rPr>
          <w:rFonts w:hint="eastAsia" w:ascii="宋体" w:hAnsi="宋体" w:eastAsia="宋体" w:cs="宋体"/>
          <w:color w:val="000000"/>
          <w:kern w:val="0"/>
          <w:sz w:val="24"/>
        </w:rPr>
        <w:t>方案等；</w:t>
      </w:r>
    </w:p>
    <w:p>
      <w:pPr>
        <w:pStyle w:val="40"/>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rPr>
        <w:t>（7）服务承诺；</w:t>
      </w:r>
    </w:p>
    <w:p>
      <w:pPr>
        <w:pStyle w:val="40"/>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ascii="宋体" w:hAnsi="宋体" w:eastAsia="宋体" w:cs="宋体"/>
          <w:color w:val="000000"/>
          <w:kern w:val="0"/>
          <w:sz w:val="24"/>
        </w:rPr>
      </w:pPr>
      <w:r>
        <w:rPr>
          <w:rFonts w:hint="eastAsia" w:ascii="宋体" w:hAnsi="宋体" w:cs="宋体"/>
          <w:sz w:val="24"/>
        </w:rPr>
        <w:t>▲</w:t>
      </w:r>
      <w:r>
        <w:rPr>
          <w:rFonts w:hint="eastAsia" w:ascii="宋体" w:hAnsi="宋体" w:cs="宋体"/>
          <w:color w:val="000000"/>
          <w:sz w:val="24"/>
        </w:rPr>
        <w:t>（</w:t>
      </w:r>
      <w:r>
        <w:rPr>
          <w:rFonts w:hint="eastAsia" w:ascii="宋体" w:hAnsi="宋体" w:eastAsia="宋体" w:cs="宋体"/>
          <w:color w:val="000000"/>
          <w:sz w:val="24"/>
        </w:rPr>
        <w:t>8</w:t>
      </w:r>
      <w:r>
        <w:rPr>
          <w:rFonts w:hint="eastAsia" w:ascii="宋体" w:hAnsi="宋体" w:cs="宋体"/>
          <w:color w:val="000000"/>
          <w:sz w:val="24"/>
        </w:rPr>
        <w:t>）</w:t>
      </w:r>
      <w:r>
        <w:rPr>
          <w:rFonts w:hint="eastAsia" w:ascii="宋体" w:hAnsi="宋体" w:eastAsia="宋体" w:cs="宋体"/>
          <w:color w:val="000000"/>
          <w:kern w:val="0"/>
          <w:sz w:val="24"/>
        </w:rPr>
        <w:t>商务技术偏离表</w:t>
      </w:r>
      <w:r>
        <w:rPr>
          <w:sz w:val="24"/>
        </w:rPr>
        <w:t>（格式见第</w:t>
      </w:r>
      <w:r>
        <w:rPr>
          <w:rFonts w:hint="eastAsia"/>
          <w:sz w:val="24"/>
        </w:rPr>
        <w:t>五部分）</w:t>
      </w:r>
      <w:r>
        <w:rPr>
          <w:rFonts w:hint="eastAsia" w:ascii="宋体" w:hAnsi="宋体" w:eastAsia="宋体" w:cs="宋体"/>
          <w:color w:val="000000"/>
          <w:kern w:val="0"/>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rPr>
        <w:t>（9）同类项目业绩经验案例</w:t>
      </w:r>
      <w:r>
        <w:rPr>
          <w:rFonts w:hint="eastAsia" w:ascii="宋体" w:hAnsi="宋体" w:cs="宋体"/>
          <w:color w:val="000000"/>
          <w:sz w:val="24"/>
          <w:lang w:val="zh-CN"/>
        </w:rPr>
        <w:t>（</w:t>
      </w:r>
      <w:r>
        <w:rPr>
          <w:rFonts w:hint="eastAsia" w:ascii="宋体" w:hAnsi="宋体" w:cs="宋体"/>
          <w:color w:val="000000"/>
          <w:sz w:val="24"/>
        </w:rPr>
        <w:t>根据评审要求提供</w:t>
      </w:r>
      <w:r>
        <w:rPr>
          <w:rFonts w:hint="eastAsia" w:ascii="宋体" w:hAnsi="宋体" w:cs="宋体"/>
          <w:color w:val="000000"/>
          <w:sz w:val="24"/>
          <w:lang w:val="zh-CN"/>
        </w:rPr>
        <w:t>）；</w:t>
      </w:r>
    </w:p>
    <w:p>
      <w:pPr>
        <w:pStyle w:val="40"/>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color w:val="000000"/>
          <w:sz w:val="24"/>
          <w:szCs w:val="24"/>
        </w:rPr>
      </w:pPr>
      <w:r>
        <w:rPr>
          <w:rFonts w:hint="eastAsia" w:ascii="宋体" w:hAnsi="宋体" w:eastAsia="宋体" w:cs="宋体"/>
          <w:color w:val="000000"/>
          <w:sz w:val="24"/>
          <w:szCs w:val="24"/>
        </w:rPr>
        <w:t>（10）其他必要提供的资料；</w:t>
      </w:r>
    </w:p>
    <w:p>
      <w:pPr>
        <w:pStyle w:val="40"/>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hAnsi="宋体" w:eastAsia="宋体" w:cs="宋体"/>
          <w:b/>
          <w:bCs/>
          <w:color w:val="000000"/>
          <w:sz w:val="24"/>
          <w:szCs w:val="24"/>
        </w:rPr>
      </w:pPr>
      <w:r>
        <w:rPr>
          <w:rFonts w:hint="eastAsia" w:ascii="宋体" w:hAnsi="宋体" w:eastAsia="宋体" w:cs="宋体"/>
          <w:b/>
          <w:bCs/>
          <w:color w:val="000000"/>
          <w:sz w:val="24"/>
          <w:szCs w:val="24"/>
        </w:rPr>
        <w:t>（11）对应商务技术评分细则提供相关证明资料（格式内容自拟）；</w:t>
      </w:r>
    </w:p>
    <w:p>
      <w:pPr>
        <w:pStyle w:val="40"/>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Ansi="宋体"/>
          <w:color w:val="000000"/>
          <w:sz w:val="24"/>
          <w:szCs w:val="24"/>
        </w:rPr>
      </w:pPr>
      <w:r>
        <w:rPr>
          <w:rFonts w:hint="eastAsia" w:ascii="宋体" w:hAnsi="宋体" w:eastAsia="宋体" w:cs="宋体"/>
          <w:color w:val="000000"/>
          <w:sz w:val="24"/>
          <w:szCs w:val="24"/>
        </w:rPr>
        <w:t>（12）</w:t>
      </w:r>
      <w:r>
        <w:rPr>
          <w:rFonts w:hint="eastAsia" w:hAnsi="宋体"/>
          <w:color w:val="000000"/>
          <w:sz w:val="24"/>
          <w:szCs w:val="24"/>
        </w:rPr>
        <w:t>关于对招标文件中有关条款的拒绝声明（如果有的话）；</w:t>
      </w:r>
    </w:p>
    <w:p>
      <w:pPr>
        <w:pStyle w:val="40"/>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（1</w:t>
      </w:r>
      <w:r>
        <w:rPr>
          <w:rFonts w:hint="eastAsia" w:ascii="宋体" w:hAnsi="宋体" w:eastAsia="宋体"/>
          <w:color w:val="000000"/>
          <w:sz w:val="24"/>
          <w:szCs w:val="24"/>
        </w:rPr>
        <w:t>3</w:t>
      </w:r>
      <w:r>
        <w:rPr>
          <w:rFonts w:hint="eastAsia" w:ascii="宋体" w:hAnsi="宋体"/>
          <w:color w:val="000000"/>
          <w:sz w:val="24"/>
          <w:szCs w:val="24"/>
        </w:rPr>
        <w:t>）</w:t>
      </w:r>
      <w:r>
        <w:rPr>
          <w:rFonts w:ascii="宋体" w:hAnsi="宋体"/>
          <w:color w:val="000000"/>
          <w:sz w:val="24"/>
          <w:szCs w:val="24"/>
        </w:rPr>
        <w:t>投标人</w:t>
      </w:r>
      <w:r>
        <w:rPr>
          <w:rFonts w:hint="eastAsia" w:ascii="宋体" w:hAnsi="宋体"/>
          <w:color w:val="000000"/>
          <w:sz w:val="24"/>
          <w:szCs w:val="24"/>
        </w:rPr>
        <w:t>认为</w:t>
      </w:r>
      <w:r>
        <w:rPr>
          <w:rFonts w:ascii="宋体" w:hAnsi="宋体"/>
          <w:color w:val="000000"/>
          <w:sz w:val="24"/>
          <w:szCs w:val="24"/>
        </w:rPr>
        <w:t>需要</w:t>
      </w:r>
      <w:r>
        <w:rPr>
          <w:rFonts w:hint="eastAsia" w:ascii="宋体" w:hAnsi="宋体"/>
          <w:color w:val="000000"/>
          <w:sz w:val="24"/>
          <w:szCs w:val="24"/>
        </w:rPr>
        <w:t>提供</w:t>
      </w:r>
      <w:r>
        <w:rPr>
          <w:rFonts w:ascii="宋体" w:hAnsi="宋体"/>
          <w:color w:val="000000"/>
          <w:sz w:val="24"/>
          <w:szCs w:val="24"/>
        </w:rPr>
        <w:t>的</w:t>
      </w:r>
      <w:r>
        <w:rPr>
          <w:rFonts w:hint="eastAsia" w:ascii="宋体" w:hAnsi="宋体"/>
          <w:color w:val="000000"/>
          <w:sz w:val="24"/>
          <w:szCs w:val="24"/>
        </w:rPr>
        <w:t>与本项目有关的</w:t>
      </w:r>
      <w:r>
        <w:rPr>
          <w:rFonts w:ascii="宋体" w:hAnsi="宋体"/>
          <w:color w:val="000000"/>
          <w:sz w:val="24"/>
          <w:szCs w:val="24"/>
        </w:rPr>
        <w:t>其他文件和说明</w:t>
      </w:r>
      <w:r>
        <w:rPr>
          <w:rFonts w:hint="eastAsia" w:ascii="宋体" w:hAnsi="宋体" w:eastAsia="宋体"/>
          <w:color w:val="000000"/>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sz w:val="24"/>
        </w:rPr>
      </w:pPr>
      <w:r>
        <w:rPr>
          <w:rFonts w:hint="eastAsia" w:ascii="宋体" w:hAnsi="宋体"/>
          <w:color w:val="000000"/>
          <w:sz w:val="24"/>
        </w:rPr>
        <w:t>（14）评分对应表</w:t>
      </w:r>
      <w:r>
        <w:rPr>
          <w:sz w:val="24"/>
        </w:rPr>
        <w:t>（格式见第</w:t>
      </w:r>
      <w:r>
        <w:rPr>
          <w:rFonts w:hint="eastAsia"/>
          <w:sz w:val="24"/>
        </w:rPr>
        <w:t>五部分）。</w:t>
      </w:r>
    </w:p>
    <w:p>
      <w:pPr>
        <w:spacing w:line="360" w:lineRule="auto"/>
        <w:ind w:firstLine="482" w:firstLineChars="200"/>
        <w:rPr>
          <w:rFonts w:ascii="宋体" w:hAnsi="宋体" w:cs="宋体"/>
          <w:b/>
          <w:bCs/>
          <w:color w:val="000000"/>
          <w:sz w:val="24"/>
          <w:lang w:val="zh-CN"/>
        </w:rPr>
      </w:pPr>
      <w:r>
        <w:rPr>
          <w:rFonts w:hint="eastAsia" w:ascii="宋体" w:hAnsi="宋体" w:cs="宋体"/>
          <w:b/>
          <w:bCs/>
          <w:color w:val="000000"/>
          <w:sz w:val="24"/>
          <w:lang w:val="zh-CN"/>
        </w:rPr>
        <w:t>注：投标文件中所需的各种证书、证件、证明资料，须加盖有效公章（含电子公章）。</w:t>
      </w:r>
    </w:p>
    <w:p>
      <w:pPr>
        <w:pStyle w:val="2"/>
        <w:numPr>
          <w:ilvl w:val="255"/>
          <w:numId w:val="0"/>
        </w:numPr>
        <w:ind w:left="560"/>
        <w:rPr>
          <w:rFonts w:ascii="宋体" w:hAnsi="宋体" w:eastAsia="宋体" w:cs="宋体"/>
          <w:sz w:val="24"/>
          <w:szCs w:val="24"/>
        </w:rPr>
      </w:pPr>
      <w:r>
        <w:rPr>
          <w:rFonts w:hint="eastAsia" w:ascii="宋体" w:hAnsi="宋体" w:eastAsia="宋体" w:cs="宋体"/>
          <w:sz w:val="24"/>
          <w:szCs w:val="24"/>
          <w:lang w:val="zh-CN"/>
        </w:rPr>
        <w:t>以上目录投标单位须自行根据采购需求和评审办法自行编制响应目录。目录内容包括不限于上述内容。</w:t>
      </w:r>
    </w:p>
    <w:p>
      <w:pPr>
        <w:pStyle w:val="5"/>
        <w:numPr>
          <w:ilvl w:val="2"/>
          <w:numId w:val="0"/>
        </w:numPr>
        <w:tabs>
          <w:tab w:val="clear" w:pos="720"/>
        </w:tabs>
        <w:spacing w:before="0" w:after="0"/>
        <w:jc w:val="left"/>
        <w:rPr>
          <w:rFonts w:ascii="宋体" w:hAnsi="宋体" w:eastAsia="宋体" w:cs="宋体"/>
          <w:sz w:val="24"/>
          <w:szCs w:val="24"/>
        </w:rPr>
      </w:pPr>
      <w:r>
        <w:rPr>
          <w:rFonts w:hint="eastAsia" w:ascii="宋体" w:hAnsi="宋体" w:eastAsia="宋体" w:cs="宋体"/>
          <w:sz w:val="24"/>
          <w:szCs w:val="24"/>
        </w:rPr>
        <w:t>（三）投标有效期</w:t>
      </w:r>
    </w:p>
    <w:p>
      <w:pPr>
        <w:shd w:val="clear" w:color="auto" w:fill="FFFFFF"/>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、投标文件合格投递后，自投标截止日期起，至前附表所列的日期内有效。</w:t>
      </w:r>
    </w:p>
    <w:p>
      <w:pPr>
        <w:shd w:val="clear" w:color="auto" w:fill="FFFFFF"/>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、在原定投标有效期之前，如果出现特殊情况，招标代理机构可以以书面形式通知投标人延长投标有效期。</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（四）投标保证金</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无。</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（五）</w:t>
      </w:r>
      <w:bookmarkEnd w:id="136"/>
      <w:bookmarkStart w:id="138" w:name="_Hlt68072998"/>
      <w:bookmarkEnd w:id="138"/>
      <w:bookmarkStart w:id="139" w:name="_Hlt68403820"/>
      <w:bookmarkEnd w:id="139"/>
      <w:bookmarkStart w:id="140" w:name="_Hlt68073093"/>
      <w:bookmarkEnd w:id="140"/>
      <w:bookmarkStart w:id="141" w:name="_Toc233618975"/>
      <w:bookmarkStart w:id="142" w:name="_Toc91899892"/>
      <w:bookmarkStart w:id="143" w:name="_Toc86216991"/>
      <w:r>
        <w:rPr>
          <w:rFonts w:hint="eastAsia" w:ascii="宋体" w:hAnsi="宋体" w:eastAsia="宋体" w:cs="宋体"/>
          <w:sz w:val="24"/>
          <w:szCs w:val="24"/>
        </w:rPr>
        <w:t>投标文件编制</w:t>
      </w:r>
    </w:p>
    <w:p>
      <w:pPr>
        <w:spacing w:line="360" w:lineRule="auto"/>
        <w:ind w:firstLine="482" w:firstLineChars="200"/>
        <w:rPr>
          <w:rFonts w:ascii="宋体" w:hAnsi="宋体" w:cs="Arial"/>
          <w:b/>
          <w:color w:val="000000"/>
          <w:sz w:val="24"/>
        </w:rPr>
      </w:pPr>
      <w:r>
        <w:rPr>
          <w:rFonts w:ascii="宋体" w:hAnsi="宋体" w:cs="Arial"/>
          <w:b/>
          <w:color w:val="000000"/>
          <w:kern w:val="0"/>
          <w:sz w:val="24"/>
        </w:rPr>
        <w:t>5</w:t>
      </w:r>
      <w:r>
        <w:rPr>
          <w:rFonts w:hint="eastAsia" w:ascii="宋体" w:hAnsi="宋体" w:cs="Arial"/>
          <w:b/>
          <w:color w:val="000000"/>
          <w:kern w:val="0"/>
          <w:sz w:val="24"/>
        </w:rPr>
        <w:t>.1</w:t>
      </w:r>
      <w:r>
        <w:rPr>
          <w:rFonts w:hint="eastAsia" w:ascii="宋体" w:hAnsi="宋体" w:cs="Arial"/>
          <w:b/>
          <w:color w:val="000000"/>
          <w:sz w:val="24"/>
        </w:rPr>
        <w:t>本项目通过“政府采购云平台（</w:t>
      </w:r>
      <w:r>
        <w:rPr>
          <w:rFonts w:ascii="宋体" w:hAnsi="宋体" w:cs="Arial"/>
          <w:b/>
          <w:color w:val="000000"/>
          <w:sz w:val="24"/>
        </w:rPr>
        <w:t>www.</w:t>
      </w:r>
      <w:r>
        <w:rPr>
          <w:rFonts w:hint="eastAsia" w:ascii="宋体" w:hAnsi="宋体" w:cs="Arial"/>
          <w:b/>
          <w:color w:val="000000"/>
          <w:sz w:val="24"/>
        </w:rPr>
        <w:t>zcy</w:t>
      </w:r>
      <w:r>
        <w:rPr>
          <w:rFonts w:ascii="宋体" w:hAnsi="宋体" w:cs="Arial"/>
          <w:b/>
          <w:color w:val="000000"/>
          <w:sz w:val="24"/>
        </w:rPr>
        <w:t>gov.cn</w:t>
      </w:r>
      <w:r>
        <w:rPr>
          <w:rFonts w:hint="eastAsia" w:ascii="宋体" w:hAnsi="宋体" w:cs="Arial"/>
          <w:b/>
          <w:color w:val="000000"/>
          <w:sz w:val="24"/>
        </w:rPr>
        <w:t>）”实行在线投标响应（电子投标）。供应商应通过“政采云电子交易客户端”，并按照本招标文件和“政府采购云平台”的要求编制并加密投标文件。</w:t>
      </w:r>
    </w:p>
    <w:p>
      <w:pPr>
        <w:spacing w:line="360" w:lineRule="auto"/>
        <w:ind w:firstLine="422" w:firstLineChars="175"/>
        <w:rPr>
          <w:rFonts w:ascii="宋体" w:hAnsi="宋体" w:cs="Arial"/>
          <w:b/>
          <w:color w:val="000000"/>
          <w:kern w:val="0"/>
          <w:sz w:val="24"/>
        </w:rPr>
      </w:pPr>
      <w:r>
        <w:rPr>
          <w:rFonts w:ascii="宋体" w:hAnsi="宋体" w:cs="Arial"/>
          <w:b/>
          <w:color w:val="000000"/>
          <w:kern w:val="0"/>
          <w:sz w:val="24"/>
        </w:rPr>
        <w:t>5</w:t>
      </w:r>
      <w:r>
        <w:rPr>
          <w:rFonts w:hint="eastAsia" w:ascii="宋体" w:hAnsi="宋体" w:cs="Arial"/>
          <w:b/>
          <w:color w:val="000000"/>
          <w:kern w:val="0"/>
          <w:sz w:val="24"/>
        </w:rPr>
        <w:t>.2投标供应商应当按照</w:t>
      </w:r>
      <w:r>
        <w:rPr>
          <w:rFonts w:ascii="宋体" w:hAnsi="宋体" w:cs="Arial"/>
          <w:b/>
          <w:color w:val="000000"/>
          <w:kern w:val="0"/>
          <w:sz w:val="24"/>
        </w:rPr>
        <w:t>本</w:t>
      </w:r>
      <w:r>
        <w:rPr>
          <w:rFonts w:hint="eastAsia" w:ascii="宋体" w:hAnsi="宋体" w:cs="Arial"/>
          <w:b/>
          <w:color w:val="000000"/>
          <w:kern w:val="0"/>
          <w:sz w:val="24"/>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ascii="宋体" w:hAnsi="宋体"/>
          <w:b/>
          <w:color w:val="000000"/>
          <w:sz w:val="24"/>
        </w:rPr>
      </w:pPr>
      <w:r>
        <w:rPr>
          <w:rFonts w:ascii="宋体" w:hAnsi="宋体"/>
          <w:b/>
          <w:color w:val="000000"/>
          <w:sz w:val="24"/>
        </w:rPr>
        <w:t>5</w:t>
      </w:r>
      <w:r>
        <w:rPr>
          <w:rFonts w:hint="eastAsia" w:ascii="宋体" w:hAnsi="宋体"/>
          <w:b/>
          <w:color w:val="000000"/>
          <w:sz w:val="24"/>
        </w:rPr>
        <w:t>.3本文件《第五部分  应提交的有关格式范例》中有</w:t>
      </w:r>
      <w:r>
        <w:rPr>
          <w:rFonts w:ascii="宋体" w:hAnsi="宋体"/>
          <w:b/>
          <w:color w:val="000000"/>
          <w:sz w:val="24"/>
        </w:rPr>
        <w:t>提供格式的，投标</w:t>
      </w:r>
      <w:r>
        <w:rPr>
          <w:rFonts w:hint="eastAsia" w:ascii="宋体" w:hAnsi="宋体"/>
          <w:b/>
          <w:color w:val="000000"/>
          <w:sz w:val="24"/>
        </w:rPr>
        <w:t>供应商须参</w:t>
      </w:r>
      <w:r>
        <w:rPr>
          <w:rFonts w:ascii="宋体" w:hAnsi="宋体"/>
          <w:b/>
          <w:color w:val="000000"/>
          <w:sz w:val="24"/>
        </w:rPr>
        <w:t>照格式</w:t>
      </w:r>
      <w:r>
        <w:rPr>
          <w:rFonts w:hint="eastAsia" w:ascii="宋体" w:hAnsi="宋体"/>
          <w:b/>
          <w:color w:val="000000"/>
          <w:sz w:val="24"/>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000000"/>
          <w:sz w:val="24"/>
        </w:rPr>
        <w:t>未提供格式的，请各投标单位自行拟定格式</w:t>
      </w:r>
      <w:r>
        <w:rPr>
          <w:rFonts w:hint="eastAsia" w:ascii="宋体" w:hAnsi="宋体"/>
          <w:b/>
          <w:color w:val="000000"/>
          <w:sz w:val="24"/>
        </w:rPr>
        <w:t>，并加盖单位公章并由法定代表人或其授权代表签署（签字或盖章），否则视为未提供。</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4《投标文件》内容不完整、编排混乱导致《投标文件》被误读、漏读或者查找不到相关内容的，是投标供应商的责任。</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w:t>
      </w:r>
      <w:r>
        <w:rPr>
          <w:rFonts w:ascii="宋体" w:hAnsi="宋体" w:cs="Arial"/>
          <w:color w:val="000000"/>
          <w:kern w:val="0"/>
          <w:sz w:val="24"/>
        </w:rPr>
        <w:t>因字迹潦草或表达不清所引起的后果由投标供应商负责。</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6投标供应商没有按照本</w:t>
      </w:r>
      <w:r>
        <w:rPr>
          <w:rFonts w:hint="eastAsia" w:ascii="宋体" w:hAnsi="宋体" w:cs="Arial"/>
          <w:color w:val="000000"/>
          <w:kern w:val="0"/>
          <w:sz w:val="24"/>
        </w:rPr>
        <w:t>章节“投标文件组成”</w:t>
      </w:r>
      <w:r>
        <w:rPr>
          <w:rFonts w:ascii="宋体" w:hAnsi="宋体" w:cs="Arial"/>
          <w:color w:val="000000"/>
          <w:kern w:val="0"/>
          <w:sz w:val="24"/>
        </w:rPr>
        <w:t>要求提供全部资料，</w:t>
      </w:r>
      <w:r>
        <w:rPr>
          <w:rFonts w:hint="eastAsia" w:ascii="宋体" w:hAnsi="宋体" w:cs="Arial"/>
          <w:color w:val="000000"/>
          <w:kern w:val="0"/>
          <w:sz w:val="24"/>
        </w:rPr>
        <w:t>或者没有仔细阅读招标文件，</w:t>
      </w:r>
      <w:r>
        <w:rPr>
          <w:rFonts w:ascii="宋体" w:hAnsi="宋体" w:cs="Arial"/>
          <w:color w:val="000000"/>
          <w:kern w:val="0"/>
          <w:sz w:val="24"/>
        </w:rPr>
        <w:t>或者没有对招标文件在各方面的要求作出实质性响应是投标供应商的风险</w:t>
      </w:r>
      <w:r>
        <w:rPr>
          <w:rFonts w:hint="eastAsia" w:ascii="宋体" w:hAnsi="宋体" w:cs="Arial"/>
          <w:color w:val="000000"/>
          <w:kern w:val="0"/>
          <w:sz w:val="24"/>
        </w:rPr>
        <w:t>，由此造成的一切后果由投标供应商自行承担。</w:t>
      </w:r>
    </w:p>
    <w:p>
      <w:pPr>
        <w:pStyle w:val="277"/>
        <w:spacing w:line="360" w:lineRule="auto"/>
        <w:ind w:firstLine="482" w:firstLineChars="200"/>
        <w:rPr>
          <w:b/>
          <w:bCs/>
        </w:rPr>
      </w:pPr>
      <w:r>
        <w:rPr>
          <w:rFonts w:hint="eastAsia" w:ascii="宋体" w:hAnsi="宋体" w:cs="Arial"/>
          <w:b/>
          <w:bCs/>
          <w:color w:val="000000"/>
          <w:kern w:val="0"/>
          <w:sz w:val="24"/>
        </w:rPr>
        <w:t>5.7</w:t>
      </w:r>
      <w:r>
        <w:rPr>
          <w:rFonts w:hint="eastAsia" w:ascii="宋体" w:hAnsi="宋体" w:cs="宋体"/>
          <w:b/>
          <w:bCs/>
          <w:sz w:val="24"/>
          <w:szCs w:val="24"/>
        </w:rPr>
        <w:t>联合体投标，须提供联合体协议。联合体各方应当签订共同投标协议，明确约定各方拟承但的工作和责任，同时协议内须明确牵头单位，并将共同投标协议联同投标文件一并提交给招标人，联合体中标的，联合体各方应当共同与招标人签订合同，就中标项目向招标人承担连带责任（本项目不采用）。</w:t>
      </w:r>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投标文件的签章</w:t>
      </w:r>
    </w:p>
    <w:p>
      <w:pPr>
        <w:spacing w:line="360" w:lineRule="auto"/>
        <w:ind w:firstLine="463" w:firstLineChars="192"/>
        <w:rPr>
          <w:rFonts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.1《</w:t>
      </w:r>
      <w:r>
        <w:rPr>
          <w:rFonts w:ascii="宋体" w:hAnsi="宋体" w:cs="Arial"/>
          <w:b/>
          <w:color w:val="000000"/>
          <w:kern w:val="0"/>
          <w:sz w:val="24"/>
        </w:rPr>
        <w:t>投标文件</w:t>
      </w:r>
      <w:r>
        <w:rPr>
          <w:rFonts w:hint="eastAsia" w:ascii="宋体" w:hAnsi="宋体" w:cs="Arial"/>
          <w:b/>
          <w:color w:val="000000"/>
          <w:kern w:val="0"/>
          <w:sz w:val="24"/>
        </w:rPr>
        <w:t>》的签章：</w:t>
      </w:r>
      <w:r>
        <w:rPr>
          <w:rFonts w:hint="eastAsia" w:ascii="宋体" w:hAnsi="宋体"/>
          <w:b/>
          <w:color w:val="000000"/>
          <w:sz w:val="24"/>
        </w:rPr>
        <w:t>见《前附表》；</w:t>
      </w:r>
    </w:p>
    <w:p>
      <w:pPr>
        <w:spacing w:line="360" w:lineRule="auto"/>
        <w:ind w:firstLine="463" w:firstLineChars="192"/>
        <w:rPr>
          <w:rFonts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.2《</w:t>
      </w:r>
      <w:r>
        <w:rPr>
          <w:rFonts w:ascii="宋体" w:hAnsi="宋体" w:cs="Arial"/>
          <w:b/>
          <w:color w:val="000000"/>
          <w:kern w:val="0"/>
          <w:sz w:val="24"/>
        </w:rPr>
        <w:t>投标文件</w:t>
      </w:r>
      <w:r>
        <w:rPr>
          <w:rFonts w:hint="eastAsia" w:ascii="宋体" w:hAnsi="宋体" w:cs="Arial"/>
          <w:b/>
          <w:color w:val="000000"/>
          <w:kern w:val="0"/>
          <w:sz w:val="24"/>
        </w:rPr>
        <w:t>》应由投标供应商法定代表人或其授权代表签字（或盖章），并加盖投标供应商公章。</w:t>
      </w:r>
    </w:p>
    <w:p>
      <w:pPr>
        <w:spacing w:line="360" w:lineRule="auto"/>
        <w:ind w:firstLine="424" w:firstLineChars="176"/>
        <w:rPr>
          <w:rFonts w:ascii="宋体" w:hAnsi="宋体" w:cs="Arial"/>
          <w:color w:val="000000"/>
          <w:sz w:val="24"/>
        </w:rPr>
      </w:pPr>
      <w:r>
        <w:rPr>
          <w:rFonts w:ascii="宋体" w:hAnsi="宋体" w:cs="Arial"/>
          <w:b/>
          <w:color w:val="000000"/>
          <w:kern w:val="0"/>
          <w:sz w:val="24"/>
        </w:rPr>
        <w:t>6</w:t>
      </w:r>
      <w:r>
        <w:rPr>
          <w:rFonts w:hint="eastAsia" w:ascii="宋体" w:hAnsi="宋体" w:cs="Arial"/>
          <w:b/>
          <w:color w:val="000000"/>
          <w:kern w:val="0"/>
          <w:sz w:val="24"/>
        </w:rPr>
        <w:t>.</w:t>
      </w:r>
      <w:r>
        <w:rPr>
          <w:rFonts w:ascii="宋体" w:hAnsi="宋体" w:cs="Arial"/>
          <w:b/>
          <w:color w:val="000000"/>
          <w:kern w:val="0"/>
          <w:sz w:val="24"/>
        </w:rPr>
        <w:t>3</w:t>
      </w:r>
      <w:r>
        <w:rPr>
          <w:rFonts w:hint="eastAsia" w:ascii="宋体" w:hAnsi="宋体" w:cs="Arial"/>
          <w:b/>
          <w:color w:val="000000"/>
          <w:kern w:val="0"/>
          <w:sz w:val="24"/>
        </w:rPr>
        <w:t>电子签章操作指南详见政采云平台</w:t>
      </w:r>
      <w:r>
        <w:rPr>
          <w:rFonts w:hint="eastAsia" w:ascii="宋体" w:hAnsi="宋体" w:cs="Arial"/>
          <w:b/>
          <w:color w:val="000000"/>
          <w:sz w:val="24"/>
        </w:rPr>
        <w:t>《供应商项目采购-电子招投标操作指南》</w:t>
      </w:r>
      <w:r>
        <w:rPr>
          <w:rFonts w:hint="eastAsia" w:ascii="宋体" w:hAnsi="宋体" w:cs="Arial"/>
          <w:color w:val="000000"/>
          <w:sz w:val="24"/>
        </w:rPr>
        <w:t>。</w:t>
      </w:r>
    </w:p>
    <w:p>
      <w:pPr>
        <w:spacing w:line="360" w:lineRule="auto"/>
        <w:ind w:firstLine="424" w:firstLineChars="176"/>
        <w:rPr>
          <w:rFonts w:ascii="宋体" w:hAnsi="宋体" w:cs="Arial"/>
          <w:color w:val="000000"/>
          <w:sz w:val="24"/>
        </w:rPr>
      </w:pPr>
      <w:r>
        <w:rPr>
          <w:rFonts w:ascii="宋体" w:hAnsi="宋体" w:cs="Arial"/>
          <w:b/>
          <w:color w:val="000000"/>
          <w:kern w:val="0"/>
          <w:sz w:val="24"/>
        </w:rPr>
        <w:t>6</w:t>
      </w:r>
      <w:r>
        <w:rPr>
          <w:rFonts w:hint="eastAsia" w:ascii="宋体" w:hAnsi="宋体" w:cs="Arial"/>
          <w:b/>
          <w:color w:val="000000"/>
          <w:kern w:val="0"/>
          <w:sz w:val="24"/>
        </w:rPr>
        <w:t>.4</w:t>
      </w:r>
      <w:r>
        <w:rPr>
          <w:rFonts w:hint="eastAsia" w:ascii="宋体" w:hAnsi="宋体" w:cs="宋体"/>
          <w:sz w:val="24"/>
        </w:rPr>
        <w:t>如采用联合体投标的，除投标文件中联合体各方的资格、资信、业绩等文件（如营业执照、荣誉证书、资质证书、人员证书、业绩等）由相应联合体成员加盖各自公章外，其余均由联合体牵头人及其法定代表人（或法定代表人的授权委托人）代表联合体各方签署投标文件。</w:t>
      </w:r>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（七）</w:t>
      </w:r>
      <w:r>
        <w:rPr>
          <w:rFonts w:hint="eastAsia" w:ascii="宋体" w:hAnsi="宋体" w:eastAsia="宋体"/>
          <w:sz w:val="24"/>
          <w:szCs w:val="24"/>
        </w:rPr>
        <w:t>投标文件的形式</w:t>
      </w:r>
    </w:p>
    <w:p>
      <w:pPr>
        <w:spacing w:line="360" w:lineRule="auto"/>
        <w:ind w:firstLine="424" w:firstLineChars="176"/>
        <w:rPr>
          <w:rFonts w:ascii="宋体" w:hAnsi="宋体" w:cs="Arial"/>
          <w:color w:val="000000"/>
          <w:sz w:val="24"/>
        </w:rPr>
      </w:pPr>
      <w:r>
        <w:rPr>
          <w:rFonts w:ascii="宋体" w:hAnsi="宋体" w:cs="Arial"/>
          <w:b/>
          <w:color w:val="000000"/>
          <w:sz w:val="24"/>
        </w:rPr>
        <w:t>7</w:t>
      </w:r>
      <w:r>
        <w:rPr>
          <w:rFonts w:hint="eastAsia" w:ascii="宋体" w:hAnsi="宋体" w:cs="Arial"/>
          <w:b/>
          <w:color w:val="000000"/>
          <w:sz w:val="24"/>
        </w:rPr>
        <w:t>.1投标文件的形式：</w:t>
      </w:r>
      <w:r>
        <w:rPr>
          <w:rFonts w:hint="eastAsia" w:ascii="宋体" w:hAnsi="宋体"/>
          <w:b/>
          <w:color w:val="000000"/>
          <w:sz w:val="24"/>
        </w:rPr>
        <w:t>见《前附表》；</w:t>
      </w:r>
    </w:p>
    <w:p>
      <w:pPr>
        <w:spacing w:line="360" w:lineRule="auto"/>
        <w:ind w:firstLine="424" w:firstLineChars="176"/>
        <w:rPr>
          <w:rFonts w:ascii="宋体" w:hAnsi="宋体" w:cs="Arial"/>
          <w:b/>
          <w:color w:val="000000"/>
          <w:sz w:val="24"/>
        </w:rPr>
      </w:pPr>
      <w:r>
        <w:rPr>
          <w:rFonts w:ascii="宋体" w:hAnsi="宋体" w:cs="Arial"/>
          <w:b/>
          <w:color w:val="000000"/>
          <w:sz w:val="24"/>
        </w:rPr>
        <w:t>7</w:t>
      </w:r>
      <w:r>
        <w:rPr>
          <w:rFonts w:hint="eastAsia" w:ascii="宋体" w:hAnsi="宋体" w:cs="Arial"/>
          <w:b/>
          <w:color w:val="000000"/>
          <w:sz w:val="24"/>
        </w:rPr>
        <w:t>.2“电子加密投标文件”：“电子加密投标文件”是指通过“政采云电子交易客户端”完成投标文件编制后生成并加密的数据电文形式的投标文件。</w:t>
      </w:r>
    </w:p>
    <w:p>
      <w:pPr>
        <w:spacing w:line="360" w:lineRule="auto"/>
        <w:ind w:firstLine="424" w:firstLineChars="176"/>
        <w:rPr>
          <w:rFonts w:ascii="宋体" w:hAnsi="宋体" w:cs="Arial"/>
          <w:b/>
          <w:color w:val="000000"/>
          <w:sz w:val="24"/>
        </w:rPr>
      </w:pPr>
      <w:r>
        <w:rPr>
          <w:rFonts w:ascii="宋体" w:hAnsi="宋体" w:cs="Arial"/>
          <w:b/>
          <w:color w:val="000000"/>
          <w:sz w:val="24"/>
        </w:rPr>
        <w:t>7</w:t>
      </w:r>
      <w:r>
        <w:rPr>
          <w:rFonts w:hint="eastAsia" w:ascii="宋体" w:hAnsi="宋体" w:cs="Arial"/>
          <w:b/>
          <w:color w:val="000000"/>
          <w:sz w:val="24"/>
        </w:rPr>
        <w:t>.3“备份投标文件”：“备份投标文件”是指与“电子加密投标文件”同时生成的数据电文形式的电子文件（备份标书），其他方式编制的“备份投标文件”视为无效的“备份投标文件”。</w:t>
      </w:r>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（八）</w:t>
      </w:r>
      <w:r>
        <w:rPr>
          <w:rFonts w:hint="eastAsia" w:ascii="宋体" w:hAnsi="宋体" w:eastAsia="宋体"/>
          <w:sz w:val="24"/>
          <w:szCs w:val="24"/>
        </w:rPr>
        <w:t>投标文件的份数</w:t>
      </w:r>
    </w:p>
    <w:p>
      <w:pPr>
        <w:spacing w:line="360" w:lineRule="auto"/>
        <w:ind w:firstLine="424" w:firstLineChars="176"/>
        <w:rPr>
          <w:rFonts w:ascii="宋体" w:hAnsi="宋体" w:cs="Arial"/>
          <w:b/>
          <w:color w:val="000000"/>
          <w:kern w:val="0"/>
          <w:sz w:val="24"/>
        </w:rPr>
      </w:pPr>
      <w:r>
        <w:rPr>
          <w:rFonts w:ascii="宋体" w:hAnsi="宋体" w:cs="Arial"/>
          <w:b/>
          <w:color w:val="000000"/>
          <w:sz w:val="24"/>
        </w:rPr>
        <w:t>8</w:t>
      </w:r>
      <w:r>
        <w:rPr>
          <w:rFonts w:hint="eastAsia" w:ascii="宋体" w:hAnsi="宋体" w:cs="Arial"/>
          <w:b/>
          <w:color w:val="000000"/>
          <w:sz w:val="24"/>
        </w:rPr>
        <w:t>.1投标文件的份数：</w:t>
      </w:r>
      <w:r>
        <w:rPr>
          <w:rFonts w:hint="eastAsia" w:ascii="宋体" w:hAnsi="宋体"/>
          <w:b/>
          <w:color w:val="000000"/>
          <w:sz w:val="24"/>
        </w:rPr>
        <w:t>见《前附表》</w:t>
      </w:r>
      <w:r>
        <w:rPr>
          <w:rFonts w:hint="eastAsia" w:ascii="宋体" w:hAnsi="宋体" w:cs="Arial"/>
          <w:b/>
          <w:color w:val="000000"/>
          <w:sz w:val="24"/>
        </w:rPr>
        <w:t>。</w:t>
      </w:r>
    </w:p>
    <w:p>
      <w:pPr>
        <w:snapToGrid w:val="0"/>
        <w:spacing w:line="360" w:lineRule="auto"/>
        <w:jc w:val="center"/>
        <w:outlineLvl w:val="1"/>
        <w:rPr>
          <w:rFonts w:ascii="宋体" w:hAnsi="宋体" w:cs="宋体"/>
          <w:b/>
          <w:color w:val="000000"/>
          <w:sz w:val="24"/>
        </w:rPr>
      </w:pPr>
      <w:bookmarkStart w:id="144" w:name="_Toc5407"/>
      <w:bookmarkStart w:id="145" w:name="_Toc462229099"/>
      <w:bookmarkStart w:id="146" w:name="_Toc24981"/>
      <w:bookmarkStart w:id="147" w:name="_Toc4652"/>
      <w:bookmarkStart w:id="148" w:name="_Toc12606"/>
      <w:bookmarkStart w:id="149" w:name="_Toc412730341"/>
      <w:bookmarkStart w:id="150" w:name="_Toc19427"/>
      <w:bookmarkStart w:id="151" w:name="_Toc23885"/>
      <w:bookmarkStart w:id="152" w:name="_Toc354996699"/>
      <w:r>
        <w:rPr>
          <w:rFonts w:hint="eastAsia" w:ascii="宋体" w:hAnsi="宋体" w:cs="宋体"/>
          <w:b/>
          <w:color w:val="000000"/>
          <w:sz w:val="24"/>
        </w:rPr>
        <w:t>四、投标</w:t>
      </w:r>
      <w:bookmarkEnd w:id="144"/>
      <w:bookmarkEnd w:id="145"/>
      <w:bookmarkEnd w:id="146"/>
      <w:bookmarkEnd w:id="147"/>
      <w:bookmarkEnd w:id="148"/>
      <w:bookmarkEnd w:id="149"/>
      <w:bookmarkEnd w:id="150"/>
      <w:bookmarkEnd w:id="151"/>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投标文件的上传和递交</w:t>
      </w:r>
    </w:p>
    <w:p>
      <w:pPr>
        <w:spacing w:line="360" w:lineRule="auto"/>
        <w:ind w:firstLine="426" w:firstLineChars="177"/>
        <w:rPr>
          <w:rFonts w:ascii="宋体" w:hAnsi="宋体"/>
          <w:b/>
          <w:color w:val="000000"/>
          <w:sz w:val="24"/>
        </w:rPr>
      </w:pPr>
      <w:r>
        <w:rPr>
          <w:rFonts w:ascii="宋体" w:hAnsi="宋体" w:cs="Arial"/>
          <w:b/>
          <w:color w:val="000000"/>
          <w:kern w:val="0"/>
          <w:sz w:val="24"/>
        </w:rPr>
        <w:t>1</w:t>
      </w:r>
      <w:r>
        <w:rPr>
          <w:rFonts w:hint="eastAsia" w:ascii="宋体" w:hAnsi="宋体" w:cs="Arial"/>
          <w:b/>
          <w:color w:val="000000"/>
          <w:kern w:val="0"/>
          <w:sz w:val="24"/>
        </w:rPr>
        <w:t>.1“投标文件”的上传、递交：</w:t>
      </w:r>
      <w:r>
        <w:rPr>
          <w:rFonts w:hint="eastAsia" w:ascii="宋体" w:hAnsi="宋体"/>
          <w:b/>
          <w:color w:val="000000"/>
          <w:sz w:val="24"/>
        </w:rPr>
        <w:t>见《前附表》。</w:t>
      </w:r>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“电子加密投标文件”解密和异常情况处理</w:t>
      </w:r>
    </w:p>
    <w:p>
      <w:pPr>
        <w:spacing w:line="360" w:lineRule="auto"/>
        <w:ind w:firstLine="426" w:firstLineChars="177"/>
        <w:rPr>
          <w:rFonts w:ascii="宋体" w:hAnsi="宋体"/>
          <w:color w:val="000000"/>
          <w:sz w:val="24"/>
        </w:rPr>
      </w:pPr>
      <w:r>
        <w:rPr>
          <w:rFonts w:ascii="宋体" w:hAnsi="宋体" w:cs="Arial"/>
          <w:b/>
          <w:color w:val="000000"/>
          <w:kern w:val="0"/>
          <w:sz w:val="24"/>
        </w:rPr>
        <w:t>2</w:t>
      </w:r>
      <w:r>
        <w:rPr>
          <w:rFonts w:hint="eastAsia" w:ascii="宋体" w:hAnsi="宋体" w:cs="Arial"/>
          <w:b/>
          <w:color w:val="000000"/>
          <w:kern w:val="0"/>
          <w:sz w:val="24"/>
        </w:rPr>
        <w:t>.1“电子加密投标文件”解密：</w:t>
      </w:r>
      <w:r>
        <w:rPr>
          <w:rFonts w:hint="eastAsia" w:ascii="宋体" w:hAnsi="宋体"/>
          <w:b/>
          <w:color w:val="000000"/>
          <w:sz w:val="24"/>
        </w:rPr>
        <w:t>见《前附表》。</w:t>
      </w:r>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投标文件的补充、修改或撤回</w:t>
      </w:r>
    </w:p>
    <w:p>
      <w:pPr>
        <w:spacing w:line="360" w:lineRule="auto"/>
        <w:ind w:firstLine="426" w:firstLineChars="177"/>
        <w:rPr>
          <w:rFonts w:ascii="宋体" w:hAnsi="宋体" w:cs="Arial"/>
          <w:color w:val="000000"/>
          <w:kern w:val="0"/>
          <w:sz w:val="24"/>
        </w:rPr>
      </w:pPr>
      <w:r>
        <w:rPr>
          <w:rFonts w:ascii="宋体" w:hAnsi="宋体" w:cs="Arial"/>
          <w:b/>
          <w:color w:val="000000"/>
          <w:kern w:val="0"/>
          <w:sz w:val="24"/>
        </w:rPr>
        <w:t>3</w:t>
      </w:r>
      <w:r>
        <w:rPr>
          <w:rFonts w:hint="eastAsia" w:ascii="宋体" w:hAnsi="宋体" w:cs="Arial"/>
          <w:b/>
          <w:color w:val="000000"/>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ascii="宋体" w:hAnsi="宋体" w:cs="Arial"/>
          <w:b/>
          <w:color w:val="000000"/>
          <w:kern w:val="0"/>
          <w:sz w:val="24"/>
        </w:rPr>
      </w:pPr>
      <w:r>
        <w:rPr>
          <w:rFonts w:ascii="宋体" w:hAnsi="宋体" w:cs="Arial"/>
          <w:b/>
          <w:color w:val="000000"/>
          <w:kern w:val="0"/>
          <w:sz w:val="24"/>
        </w:rPr>
        <w:t>3</w:t>
      </w:r>
      <w:r>
        <w:rPr>
          <w:rFonts w:hint="eastAsia" w:ascii="宋体" w:hAnsi="宋体" w:cs="Arial"/>
          <w:b/>
          <w:color w:val="000000"/>
          <w:kern w:val="0"/>
          <w:sz w:val="24"/>
        </w:rPr>
        <w:t>.2</w:t>
      </w:r>
      <w:r>
        <w:rPr>
          <w:rFonts w:ascii="宋体" w:hAnsi="宋体" w:cs="Arial"/>
          <w:b/>
          <w:color w:val="000000"/>
          <w:kern w:val="0"/>
          <w:sz w:val="24"/>
        </w:rPr>
        <w:t>投标截止时间后，投标供应商不得撤回、修改《投标文件》</w:t>
      </w:r>
      <w:r>
        <w:rPr>
          <w:rFonts w:hint="eastAsia" w:ascii="宋体" w:hAnsi="宋体" w:cs="Arial"/>
          <w:b/>
          <w:color w:val="000000"/>
          <w:kern w:val="0"/>
          <w:sz w:val="24"/>
        </w:rPr>
        <w:t>。</w:t>
      </w:r>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投标文件的备选方案</w:t>
      </w:r>
    </w:p>
    <w:p>
      <w:pPr>
        <w:spacing w:line="360" w:lineRule="auto"/>
        <w:ind w:firstLine="426" w:firstLineChars="177"/>
        <w:rPr>
          <w:rFonts w:ascii="宋体" w:hAnsi="宋体"/>
          <w:b/>
          <w:color w:val="000000"/>
          <w:sz w:val="24"/>
        </w:rPr>
      </w:pPr>
      <w:r>
        <w:rPr>
          <w:rFonts w:ascii="宋体" w:hAnsi="宋体"/>
          <w:b/>
          <w:color w:val="000000"/>
          <w:sz w:val="24"/>
        </w:rPr>
        <w:t>4.1</w:t>
      </w:r>
      <w:r>
        <w:rPr>
          <w:rFonts w:hint="eastAsia" w:ascii="宋体" w:hAnsi="宋体"/>
          <w:b/>
          <w:color w:val="000000"/>
          <w:sz w:val="24"/>
        </w:rPr>
        <w:t>投标供应商不得递交任何的</w:t>
      </w:r>
      <w:r>
        <w:rPr>
          <w:rFonts w:ascii="宋体" w:hAnsi="宋体" w:cs="Arial"/>
          <w:b/>
          <w:color w:val="000000"/>
          <w:kern w:val="0"/>
          <w:sz w:val="24"/>
        </w:rPr>
        <w:t>投标备选（替代）方案</w:t>
      </w:r>
      <w:r>
        <w:rPr>
          <w:rFonts w:hint="eastAsia" w:ascii="宋体" w:hAnsi="宋体"/>
          <w:b/>
          <w:color w:val="000000"/>
          <w:sz w:val="24"/>
        </w:rPr>
        <w:t>，否则其投标文件将作无效标处理。与“电子加密投标文件”同时生成的“备份投标文件”不是投标备选（替代）方案。</w:t>
      </w:r>
    </w:p>
    <w:p>
      <w:pPr>
        <w:snapToGrid w:val="0"/>
        <w:spacing w:line="360" w:lineRule="auto"/>
        <w:jc w:val="center"/>
        <w:outlineLvl w:val="1"/>
        <w:rPr>
          <w:rFonts w:ascii="宋体" w:hAnsi="宋体" w:cs="宋体"/>
          <w:b/>
          <w:color w:val="000000"/>
          <w:sz w:val="24"/>
        </w:rPr>
      </w:pPr>
      <w:bookmarkStart w:id="153" w:name="_Toc6672"/>
      <w:bookmarkStart w:id="154" w:name="_Toc19031"/>
      <w:bookmarkStart w:id="155" w:name="_Toc462229100"/>
      <w:bookmarkStart w:id="156" w:name="_Toc12973"/>
      <w:bookmarkStart w:id="157" w:name="_Toc449"/>
      <w:bookmarkStart w:id="158" w:name="_Toc21037"/>
      <w:bookmarkStart w:id="159" w:name="_Toc31675"/>
      <w:r>
        <w:rPr>
          <w:rFonts w:hint="eastAsia" w:ascii="宋体" w:hAnsi="宋体" w:cs="宋体"/>
          <w:b/>
          <w:color w:val="000000"/>
          <w:sz w:val="24"/>
        </w:rPr>
        <w:t>五、开 标</w:t>
      </w:r>
      <w:bookmarkEnd w:id="153"/>
      <w:bookmarkEnd w:id="154"/>
      <w:bookmarkEnd w:id="155"/>
      <w:bookmarkEnd w:id="156"/>
      <w:bookmarkEnd w:id="157"/>
      <w:bookmarkEnd w:id="158"/>
      <w:bookmarkEnd w:id="159"/>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开标</w:t>
      </w:r>
      <w:r>
        <w:rPr>
          <w:rFonts w:hint="eastAsia" w:ascii="宋体" w:hAnsi="宋体" w:eastAsia="宋体" w:cs="宋体"/>
          <w:sz w:val="24"/>
          <w:szCs w:val="24"/>
        </w:rPr>
        <w:t>形式</w:t>
      </w:r>
    </w:p>
    <w:p>
      <w:pPr>
        <w:spacing w:line="360" w:lineRule="auto"/>
        <w:ind w:firstLine="426" w:firstLineChars="177"/>
        <w:rPr>
          <w:rFonts w:ascii="宋体" w:hAnsi="宋体"/>
          <w:b/>
          <w:color w:val="000000"/>
          <w:sz w:val="24"/>
        </w:rPr>
      </w:pPr>
      <w:r>
        <w:rPr>
          <w:rFonts w:hint="eastAsia" w:ascii="宋体" w:hAnsi="宋体"/>
          <w:b/>
          <w:color w:val="000000"/>
          <w:sz w:val="24"/>
        </w:rPr>
        <w:t>1.1 采购组织机构将按照招标文件规定的时间通过“政府采购云平台”组织开标、开启投标文件，所有供应商均应当准时在线参加。</w:t>
      </w:r>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 xml:space="preserve"> </w:t>
      </w:r>
      <w:r>
        <w:rPr>
          <w:rFonts w:ascii="宋体" w:hAnsi="宋体" w:eastAsia="宋体"/>
          <w:sz w:val="24"/>
          <w:szCs w:val="24"/>
        </w:rPr>
        <w:t>开标准备</w:t>
      </w:r>
    </w:p>
    <w:p>
      <w:pPr>
        <w:spacing w:line="360" w:lineRule="auto"/>
        <w:ind w:firstLine="422" w:firstLineChars="176"/>
        <w:rPr>
          <w:rFonts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.1开标的准备工作由采购组织机构负责落实；</w:t>
      </w:r>
    </w:p>
    <w:p>
      <w:pPr>
        <w:spacing w:line="360" w:lineRule="auto"/>
        <w:ind w:firstLine="422" w:firstLineChars="176"/>
        <w:rPr>
          <w:rFonts w:ascii="宋体" w:hAnsi="宋体" w:cs="Arial"/>
          <w:b/>
          <w:color w:val="000000"/>
          <w:kern w:val="0"/>
          <w:sz w:val="24"/>
        </w:rPr>
      </w:pPr>
      <w:r>
        <w:rPr>
          <w:rFonts w:ascii="宋体" w:hAnsi="宋体" w:cs="Arial"/>
          <w:color w:val="000000"/>
          <w:kern w:val="0"/>
          <w:sz w:val="24"/>
        </w:rPr>
        <w:t>2</w:t>
      </w:r>
      <w:r>
        <w:rPr>
          <w:rFonts w:hint="eastAsia" w:ascii="宋体" w:hAnsi="宋体" w:cs="Arial"/>
          <w:color w:val="000000"/>
          <w:kern w:val="0"/>
          <w:sz w:val="24"/>
        </w:rPr>
        <w:t>.2</w:t>
      </w:r>
      <w:r>
        <w:rPr>
          <w:rFonts w:hint="eastAsia" w:ascii="宋体" w:hAnsi="宋体"/>
          <w:b/>
          <w:color w:val="000000"/>
          <w:sz w:val="24"/>
        </w:rPr>
        <w:t>采购组织机构将按照招标文件规定的时间通过“政府采购云平台”组织开标、开启投标文件，所有供应商均应当准时在线参加。</w:t>
      </w:r>
      <w:r>
        <w:rPr>
          <w:rFonts w:hint="eastAsia" w:ascii="宋体" w:hAnsi="宋体" w:cs="Arial"/>
          <w:b/>
          <w:color w:val="000000"/>
          <w:kern w:val="0"/>
          <w:sz w:val="24"/>
        </w:rPr>
        <w:t>投标供应商</w:t>
      </w:r>
      <w:r>
        <w:rPr>
          <w:rFonts w:ascii="宋体" w:hAnsi="宋体" w:cs="Arial"/>
          <w:b/>
          <w:color w:val="000000"/>
          <w:kern w:val="0"/>
          <w:sz w:val="24"/>
        </w:rPr>
        <w:t>如不</w:t>
      </w:r>
      <w:r>
        <w:rPr>
          <w:rFonts w:hint="eastAsia" w:ascii="宋体" w:hAnsi="宋体" w:cs="Arial"/>
          <w:b/>
          <w:color w:val="000000"/>
          <w:kern w:val="0"/>
          <w:sz w:val="24"/>
        </w:rPr>
        <w:t>参加</w:t>
      </w:r>
      <w:r>
        <w:rPr>
          <w:rFonts w:ascii="宋体" w:hAnsi="宋体" w:cs="Arial"/>
          <w:b/>
          <w:color w:val="000000"/>
          <w:kern w:val="0"/>
          <w:sz w:val="24"/>
        </w:rPr>
        <w:t>开标大会的，</w:t>
      </w:r>
      <w:r>
        <w:rPr>
          <w:rFonts w:hint="eastAsia" w:ascii="宋体" w:hAnsi="宋体" w:cs="Arial"/>
          <w:b/>
          <w:color w:val="000000"/>
          <w:kern w:val="0"/>
          <w:sz w:val="24"/>
        </w:rPr>
        <w:t>视同认可开标结果，</w:t>
      </w:r>
      <w:r>
        <w:rPr>
          <w:rFonts w:ascii="宋体" w:hAnsi="宋体" w:cs="Arial"/>
          <w:b/>
          <w:color w:val="000000"/>
          <w:kern w:val="0"/>
          <w:sz w:val="24"/>
        </w:rPr>
        <w:t>事后不得对采购相关人员、开标过程和开标结果提出异议</w:t>
      </w:r>
      <w:r>
        <w:rPr>
          <w:rFonts w:hint="eastAsia" w:ascii="宋体" w:hAnsi="宋体" w:cs="Arial"/>
          <w:b/>
          <w:color w:val="000000"/>
          <w:kern w:val="0"/>
          <w:sz w:val="24"/>
        </w:rPr>
        <w:t>，同时投标供应商因未在线参加开标而导致投标文件无法按时解密等一切后果由供应商自己承担。</w:t>
      </w:r>
    </w:p>
    <w:p>
      <w:pPr>
        <w:spacing w:line="360" w:lineRule="auto"/>
        <w:ind w:firstLine="422" w:firstLineChars="176"/>
        <w:rPr>
          <w:rFonts w:ascii="宋体" w:hAnsi="宋体" w:cs="Arial"/>
          <w:b/>
          <w:bCs/>
          <w:color w:val="000000"/>
          <w:kern w:val="0"/>
          <w:sz w:val="24"/>
        </w:rPr>
      </w:pPr>
      <w:r>
        <w:rPr>
          <w:rFonts w:hint="eastAsia" w:ascii="宋体" w:hAnsi="宋体" w:cs="Arial"/>
          <w:color w:val="000000"/>
          <w:kern w:val="0"/>
          <w:sz w:val="24"/>
        </w:rPr>
        <w:t>2.3</w:t>
      </w:r>
      <w:r>
        <w:rPr>
          <w:rFonts w:hint="eastAsia" w:ascii="宋体" w:hAnsi="宋体" w:cs="Arial"/>
          <w:b/>
          <w:bCs/>
          <w:color w:val="000000"/>
          <w:kern w:val="0"/>
          <w:sz w:val="24"/>
        </w:rPr>
        <w:t>开标期间，投标人等交易主体应使用数字证书(CA)在各自的电脑终端上登录不见面开标大厅，并进行相关操作。各电脑终端上的所有操作均被视为各交易主体的行为，并各自承担相应的法律责任。</w:t>
      </w:r>
    </w:p>
    <w:p>
      <w:pPr>
        <w:pStyle w:val="77"/>
        <w:spacing w:line="360" w:lineRule="auto"/>
        <w:ind w:left="0" w:leftChars="0" w:firstLine="480"/>
        <w:rPr>
          <w:sz w:val="24"/>
          <w:szCs w:val="24"/>
        </w:rPr>
      </w:pPr>
      <w:r>
        <w:rPr>
          <w:rFonts w:hint="eastAsia" w:ascii="宋体" w:hAnsi="宋体" w:cs="Arial"/>
          <w:color w:val="000000"/>
          <w:kern w:val="0"/>
          <w:sz w:val="24"/>
          <w:szCs w:val="24"/>
        </w:rPr>
        <w:t>2.4</w:t>
      </w:r>
      <w:r>
        <w:rPr>
          <w:rFonts w:hint="eastAsia" w:ascii="宋体" w:hAnsi="宋体" w:cs="Arial"/>
          <w:b/>
          <w:bCs/>
          <w:color w:val="000000"/>
          <w:kern w:val="0"/>
          <w:sz w:val="24"/>
          <w:szCs w:val="24"/>
        </w:rPr>
        <w:t>投标人应在投标截止时间之前使用数字证书(CA)自行登录不见面开标大厅，在线等待开标，并在开标期间保持通讯畅通。</w:t>
      </w:r>
    </w:p>
    <w:p>
      <w:pPr>
        <w:pStyle w:val="5"/>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（三）</w:t>
      </w:r>
      <w:r>
        <w:rPr>
          <w:rFonts w:ascii="宋体" w:hAnsi="宋体" w:eastAsia="宋体"/>
          <w:sz w:val="24"/>
          <w:szCs w:val="24"/>
        </w:rPr>
        <w:t>开标</w:t>
      </w:r>
      <w:r>
        <w:rPr>
          <w:rFonts w:hint="eastAsia" w:ascii="宋体" w:hAnsi="宋体" w:eastAsia="宋体"/>
          <w:sz w:val="24"/>
          <w:szCs w:val="24"/>
        </w:rPr>
        <w:t>流程（两阶段）</w:t>
      </w:r>
    </w:p>
    <w:bookmarkEnd w:id="141"/>
    <w:bookmarkEnd w:id="142"/>
    <w:bookmarkEnd w:id="143"/>
    <w:bookmarkEnd w:id="152"/>
    <w:p>
      <w:pPr>
        <w:spacing w:line="360" w:lineRule="auto"/>
        <w:ind w:firstLine="426" w:firstLineChars="177"/>
        <w:jc w:val="left"/>
        <w:rPr>
          <w:rFonts w:ascii="宋体" w:hAnsi="宋体" w:cs="Arial"/>
          <w:b/>
          <w:bCs/>
          <w:color w:val="000000"/>
          <w:kern w:val="0"/>
          <w:sz w:val="24"/>
        </w:rPr>
      </w:pPr>
      <w:bookmarkStart w:id="160" w:name="_Toc412730343"/>
      <w:bookmarkStart w:id="161" w:name="_Toc462229101"/>
      <w:r>
        <w:rPr>
          <w:rFonts w:hint="eastAsia" w:ascii="宋体" w:hAnsi="宋体" w:cs="Arial"/>
          <w:b/>
          <w:bCs/>
          <w:color w:val="000000"/>
          <w:kern w:val="0"/>
          <w:sz w:val="24"/>
        </w:rPr>
        <w:t>3.1开标第一阶段</w:t>
      </w:r>
    </w:p>
    <w:p>
      <w:pPr>
        <w:spacing w:line="360" w:lineRule="auto"/>
        <w:ind w:firstLine="424" w:firstLineChars="177"/>
        <w:jc w:val="left"/>
        <w:rPr>
          <w:rFonts w:ascii="宋体" w:hAnsi="宋体" w:cs="Arial"/>
          <w:color w:val="000000"/>
          <w:kern w:val="0"/>
          <w:sz w:val="24"/>
        </w:rPr>
      </w:pPr>
      <w:r>
        <w:rPr>
          <w:rFonts w:hint="eastAsia" w:ascii="宋体" w:hAnsi="宋体" w:cs="Arial"/>
          <w:color w:val="000000"/>
          <w:kern w:val="0"/>
          <w:sz w:val="24"/>
        </w:rPr>
        <w:t>（1）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ascii="宋体" w:hAnsi="宋体" w:cs="Arial"/>
          <w:color w:val="000000"/>
          <w:kern w:val="0"/>
          <w:sz w:val="24"/>
        </w:rPr>
      </w:pPr>
      <w:r>
        <w:rPr>
          <w:rFonts w:hint="eastAsia" w:ascii="宋体" w:hAnsi="宋体" w:cs="Arial"/>
          <w:color w:val="000000"/>
          <w:kern w:val="0"/>
          <w:sz w:val="24"/>
        </w:rPr>
        <w:t>（2）投标文件解密结束，</w:t>
      </w:r>
      <w:r>
        <w:rPr>
          <w:rFonts w:hint="eastAsia" w:ascii="宋体" w:hAnsi="宋体" w:cs="Arial"/>
          <w:b/>
          <w:bCs/>
          <w:color w:val="000000"/>
          <w:kern w:val="0"/>
          <w:sz w:val="24"/>
        </w:rPr>
        <w:t>通过邮件形式</w:t>
      </w:r>
      <w:r>
        <w:rPr>
          <w:rFonts w:hint="eastAsia" w:ascii="宋体" w:hAnsi="宋体" w:cs="Arial"/>
          <w:color w:val="000000"/>
          <w:kern w:val="0"/>
          <w:sz w:val="24"/>
        </w:rPr>
        <w:t>发送各投标人组织签署《政府采购活动现场确认声明书》；</w:t>
      </w:r>
    </w:p>
    <w:p>
      <w:pPr>
        <w:spacing w:line="360" w:lineRule="auto"/>
        <w:ind w:firstLine="424" w:firstLineChars="177"/>
        <w:jc w:val="left"/>
        <w:rPr>
          <w:rFonts w:ascii="宋体" w:hAnsi="宋体" w:cs="Arial"/>
          <w:color w:val="000000"/>
          <w:kern w:val="0"/>
          <w:sz w:val="24"/>
        </w:rPr>
      </w:pPr>
      <w:r>
        <w:rPr>
          <w:rFonts w:hint="eastAsia" w:ascii="宋体" w:hAnsi="宋体" w:cs="Arial"/>
          <w:color w:val="000000"/>
          <w:kern w:val="0"/>
          <w:sz w:val="24"/>
        </w:rPr>
        <w:t>（3）开启投标文件，进入资格审查；</w:t>
      </w:r>
    </w:p>
    <w:p>
      <w:pPr>
        <w:spacing w:line="360" w:lineRule="auto"/>
        <w:ind w:firstLine="424" w:firstLineChars="177"/>
        <w:jc w:val="left"/>
        <w:rPr>
          <w:rFonts w:ascii="宋体" w:hAnsi="宋体" w:cs="Arial"/>
          <w:color w:val="000000"/>
          <w:kern w:val="0"/>
          <w:sz w:val="24"/>
        </w:rPr>
      </w:pPr>
      <w:r>
        <w:rPr>
          <w:rFonts w:hint="eastAsia" w:ascii="宋体" w:hAnsi="宋体" w:cs="Arial"/>
          <w:color w:val="000000"/>
          <w:kern w:val="0"/>
          <w:sz w:val="24"/>
        </w:rPr>
        <w:t>（4）开启资格审查通过的投标供应商的商务技术文件进入符合性审查、商务技术评审；</w:t>
      </w:r>
    </w:p>
    <w:p>
      <w:pPr>
        <w:spacing w:line="360" w:lineRule="auto"/>
        <w:ind w:firstLine="424" w:firstLineChars="177"/>
        <w:jc w:val="left"/>
        <w:rPr>
          <w:rFonts w:ascii="宋体" w:hAnsi="宋体" w:cs="Arial"/>
          <w:color w:val="000000"/>
          <w:kern w:val="0"/>
          <w:sz w:val="24"/>
        </w:rPr>
      </w:pPr>
      <w:r>
        <w:rPr>
          <w:rFonts w:hint="eastAsia" w:ascii="宋体" w:hAnsi="宋体" w:cs="Arial"/>
          <w:color w:val="000000"/>
          <w:kern w:val="0"/>
          <w:sz w:val="24"/>
        </w:rPr>
        <w:t>（5）第一阶段开标结束。</w:t>
      </w:r>
    </w:p>
    <w:p>
      <w:pPr>
        <w:spacing w:line="360" w:lineRule="auto"/>
        <w:ind w:firstLine="426" w:firstLineChars="177"/>
        <w:jc w:val="left"/>
        <w:rPr>
          <w:rFonts w:ascii="宋体" w:hAnsi="宋体" w:cs="Arial"/>
          <w:b/>
          <w:bCs/>
          <w:color w:val="000000"/>
          <w:kern w:val="0"/>
          <w:sz w:val="24"/>
        </w:rPr>
      </w:pPr>
      <w:r>
        <w:rPr>
          <w:rFonts w:hint="eastAsia" w:ascii="宋体" w:hAnsi="宋体" w:cs="Arial"/>
          <w:b/>
          <w:bCs/>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ascii="宋体" w:hAnsi="宋体" w:cs="Arial"/>
          <w:b/>
          <w:bCs/>
          <w:color w:val="000000"/>
          <w:kern w:val="0"/>
          <w:sz w:val="24"/>
        </w:rPr>
      </w:pPr>
      <w:r>
        <w:rPr>
          <w:rFonts w:hint="eastAsia" w:ascii="宋体" w:hAnsi="宋体" w:cs="Arial"/>
          <w:b/>
          <w:bCs/>
          <w:color w:val="000000"/>
          <w:kern w:val="0"/>
          <w:sz w:val="24"/>
        </w:rPr>
        <w:t>3.2开标大会第二阶段</w:t>
      </w:r>
    </w:p>
    <w:p>
      <w:pPr>
        <w:spacing w:line="360" w:lineRule="auto"/>
        <w:ind w:firstLine="424" w:firstLineChars="177"/>
        <w:jc w:val="left"/>
        <w:rPr>
          <w:rFonts w:ascii="宋体" w:hAnsi="宋体" w:cs="Arial"/>
          <w:kern w:val="0"/>
          <w:sz w:val="24"/>
        </w:rPr>
      </w:pPr>
      <w:r>
        <w:rPr>
          <w:rFonts w:hint="eastAsia" w:ascii="宋体" w:hAnsi="宋体" w:cs="Arial"/>
          <w:kern w:val="0"/>
          <w:sz w:val="24"/>
        </w:rPr>
        <w:t>（1）符合性审查、商务技术评审结束后，举行开标大会第二阶段会议。首先通过发送邮件形式公布符合性审查、商务技术评审无效供应商名称及理由（如有）；并在线</w:t>
      </w:r>
      <w:r>
        <w:rPr>
          <w:rFonts w:hint="eastAsia" w:ascii="宋体" w:hAnsi="宋体" w:cs="Arial"/>
          <w:b/>
          <w:bCs/>
          <w:kern w:val="0"/>
          <w:sz w:val="24"/>
        </w:rPr>
        <w:t>公布经商务技术评审后有效投标供应商的名单，同时通过</w:t>
      </w:r>
      <w:r>
        <w:rPr>
          <w:rFonts w:hint="eastAsia" w:ascii="宋体" w:hAnsi="宋体" w:cs="Arial"/>
          <w:b/>
          <w:bCs/>
          <w:color w:val="000000"/>
          <w:kern w:val="0"/>
          <w:sz w:val="24"/>
        </w:rPr>
        <w:t>“政府采购云平台”</w:t>
      </w:r>
      <w:r>
        <w:rPr>
          <w:rFonts w:hint="eastAsia" w:ascii="宋体" w:hAnsi="宋体" w:cs="Arial"/>
          <w:b/>
          <w:bCs/>
          <w:kern w:val="0"/>
          <w:sz w:val="24"/>
        </w:rPr>
        <w:t>在线公布其商务技术部分得分情况。</w:t>
      </w:r>
    </w:p>
    <w:p>
      <w:pPr>
        <w:spacing w:line="360" w:lineRule="auto"/>
        <w:ind w:firstLine="424" w:firstLineChars="177"/>
        <w:jc w:val="left"/>
        <w:rPr>
          <w:rFonts w:ascii="宋体" w:hAnsi="宋体" w:cs="Arial"/>
          <w:kern w:val="0"/>
          <w:sz w:val="24"/>
        </w:rPr>
      </w:pPr>
      <w:r>
        <w:rPr>
          <w:rFonts w:hint="eastAsia" w:ascii="宋体" w:hAnsi="宋体" w:cs="Arial"/>
          <w:kern w:val="0"/>
          <w:sz w:val="24"/>
        </w:rPr>
        <w:t>（2）开启符合性审查、商务技术评审有效投标供应商的《报价文件》，</w:t>
      </w:r>
      <w:r>
        <w:rPr>
          <w:rFonts w:hint="eastAsia" w:ascii="宋体" w:hAnsi="宋体" w:cs="Arial"/>
          <w:color w:val="000000"/>
          <w:kern w:val="0"/>
          <w:sz w:val="24"/>
        </w:rPr>
        <w:t>由招标代理机构登陆“政府采购云平台”在线</w:t>
      </w:r>
      <w:r>
        <w:rPr>
          <w:rFonts w:hint="eastAsia" w:ascii="宋体" w:hAnsi="宋体" w:cs="Arial"/>
          <w:kern w:val="0"/>
          <w:sz w:val="24"/>
        </w:rPr>
        <w:t>公布开标一览表有关内容，同时制作开标记录表，发送各投标人在线开启签字确认（不予确认的应说明理由，否则视为无异议）。同时，由评标委员会对报价的合理性、准确性等进行审查核实。</w:t>
      </w:r>
    </w:p>
    <w:p>
      <w:pPr>
        <w:spacing w:line="360" w:lineRule="auto"/>
        <w:ind w:firstLine="424" w:firstLineChars="177"/>
        <w:jc w:val="left"/>
        <w:rPr>
          <w:rFonts w:ascii="宋体" w:hAnsi="宋体" w:cs="Arial"/>
          <w:kern w:val="0"/>
          <w:sz w:val="24"/>
        </w:rPr>
      </w:pPr>
      <w:r>
        <w:rPr>
          <w:rFonts w:hint="eastAsia" w:ascii="宋体" w:hAnsi="宋体" w:cs="Arial"/>
          <w:kern w:val="0"/>
          <w:sz w:val="24"/>
        </w:rPr>
        <w:t>（3）评审结束后，</w:t>
      </w:r>
      <w:r>
        <w:rPr>
          <w:rFonts w:hint="eastAsia" w:ascii="宋体" w:hAnsi="宋体" w:cs="Arial"/>
          <w:b/>
          <w:bCs/>
          <w:kern w:val="0"/>
          <w:sz w:val="24"/>
        </w:rPr>
        <w:t>通过</w:t>
      </w:r>
      <w:r>
        <w:rPr>
          <w:rFonts w:hint="eastAsia" w:ascii="宋体" w:hAnsi="宋体" w:cs="Arial"/>
          <w:color w:val="000000"/>
          <w:kern w:val="0"/>
          <w:sz w:val="24"/>
        </w:rPr>
        <w:t>“政府采购云平台”</w:t>
      </w:r>
      <w:r>
        <w:rPr>
          <w:rFonts w:hint="eastAsia" w:ascii="宋体" w:hAnsi="宋体" w:cs="Arial"/>
          <w:kern w:val="0"/>
          <w:sz w:val="24"/>
        </w:rPr>
        <w:t>公布中标（成交）候选供应商名单，及采购人最终确定中标或成交供应商名单的时间和公告方式等。</w:t>
      </w:r>
    </w:p>
    <w:p>
      <w:pPr>
        <w:spacing w:line="360" w:lineRule="auto"/>
        <w:ind w:firstLine="426" w:firstLineChars="177"/>
        <w:jc w:val="left"/>
        <w:rPr>
          <w:rFonts w:ascii="宋体" w:hAnsi="宋体" w:cs="Arial"/>
          <w:b/>
          <w:bCs/>
          <w:color w:val="000000"/>
          <w:kern w:val="0"/>
          <w:sz w:val="24"/>
        </w:rPr>
      </w:pPr>
      <w:r>
        <w:rPr>
          <w:rFonts w:hint="eastAsia" w:ascii="宋体" w:hAnsi="宋体" w:cs="Arial"/>
          <w:b/>
          <w:bCs/>
          <w:color w:val="000000"/>
          <w:kern w:val="0"/>
          <w:sz w:val="24"/>
        </w:rPr>
        <w:t>特别说明：如遇“政府采购云平台”电子化开标或评审程序调整的，按调整后程序执行。</w:t>
      </w:r>
    </w:p>
    <w:p>
      <w:pPr>
        <w:pStyle w:val="5"/>
        <w:numPr>
          <w:ilvl w:val="2"/>
          <w:numId w:val="0"/>
        </w:numPr>
        <w:spacing w:before="0" w:after="0"/>
        <w:ind w:left="720" w:hanging="720"/>
        <w:jc w:val="both"/>
        <w:rPr>
          <w:rFonts w:ascii="宋体" w:hAnsi="宋体" w:eastAsia="宋体" w:cs="宋体"/>
          <w:sz w:val="24"/>
          <w:szCs w:val="24"/>
        </w:rPr>
      </w:pPr>
      <w:bookmarkStart w:id="162" w:name="_Toc18090"/>
      <w:bookmarkStart w:id="163" w:name="_Toc29116"/>
      <w:bookmarkStart w:id="164" w:name="_Toc7250"/>
      <w:bookmarkStart w:id="165" w:name="_Toc24917"/>
      <w:r>
        <w:rPr>
          <w:rFonts w:hint="eastAsia" w:ascii="宋体" w:hAnsi="宋体" w:eastAsia="宋体" w:cs="宋体"/>
          <w:sz w:val="24"/>
          <w:szCs w:val="24"/>
        </w:rPr>
        <w:t>（四）投标供应商资格审查</w:t>
      </w:r>
      <w:bookmarkEnd w:id="162"/>
      <w:bookmarkEnd w:id="163"/>
      <w:bookmarkEnd w:id="164"/>
      <w:bookmarkEnd w:id="165"/>
    </w:p>
    <w:p>
      <w:pPr>
        <w:spacing w:line="360" w:lineRule="auto"/>
        <w:ind w:firstLine="426" w:firstLineChars="177"/>
        <w:rPr>
          <w:rFonts w:ascii="宋体" w:hAnsi="宋体"/>
          <w:color w:val="000000"/>
          <w:sz w:val="24"/>
        </w:rPr>
      </w:pPr>
      <w:r>
        <w:rPr>
          <w:rFonts w:hint="eastAsia" w:ascii="宋体" w:hAnsi="宋体"/>
          <w:b/>
          <w:bCs/>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ascii="宋体" w:hAnsi="宋体" w:cs="Arial"/>
          <w:b/>
          <w:bCs/>
          <w:color w:val="000000"/>
          <w:kern w:val="0"/>
          <w:sz w:val="24"/>
        </w:rPr>
      </w:pPr>
      <w:r>
        <w:rPr>
          <w:rFonts w:hint="eastAsia" w:ascii="宋体" w:hAnsi="宋体"/>
          <w:b/>
          <w:bCs/>
          <w:color w:val="000000"/>
          <w:sz w:val="24"/>
        </w:rPr>
        <w:t>4.2投标供应商提交的资格证明材料无法证明其符合招标文件规定的“投标供应商资格要求”的，采购人或采购代理机构</w:t>
      </w:r>
      <w:r>
        <w:rPr>
          <w:rFonts w:hint="eastAsia" w:ascii="宋体" w:hAnsi="宋体" w:cs="Arial"/>
          <w:b/>
          <w:bCs/>
          <w:color w:val="000000"/>
          <w:kern w:val="0"/>
          <w:sz w:val="24"/>
        </w:rPr>
        <w:t>将对其作资格审查不通过处理（无效投标），并不再将其投标提交评标委员会进行后续评审。</w:t>
      </w:r>
    </w:p>
    <w:p>
      <w:pPr>
        <w:spacing w:line="360" w:lineRule="auto"/>
        <w:ind w:firstLine="426" w:firstLineChars="177"/>
        <w:rPr>
          <w:rFonts w:ascii="宋体" w:hAnsi="宋体" w:cs="Arial"/>
          <w:b/>
          <w:bCs/>
          <w:color w:val="000000"/>
          <w:kern w:val="0"/>
          <w:sz w:val="24"/>
        </w:rPr>
      </w:pPr>
      <w:r>
        <w:rPr>
          <w:rFonts w:hint="eastAsia" w:ascii="宋体" w:hAnsi="宋体"/>
          <w:b/>
          <w:bCs/>
          <w:color w:val="000000"/>
          <w:sz w:val="24"/>
        </w:rPr>
        <w:t>4</w:t>
      </w:r>
      <w:r>
        <w:rPr>
          <w:rFonts w:hint="eastAsia" w:ascii="宋体" w:hAnsi="宋体" w:cs="Arial"/>
          <w:b/>
          <w:bCs/>
          <w:color w:val="000000"/>
          <w:kern w:val="0"/>
          <w:sz w:val="24"/>
        </w:rPr>
        <w:t>.3单位负责人为同一人或者存在直接控股、管理关系的不同供应商参加同一合同项下的政府采购活动的，相关投标供应商均作资格无效处理。</w:t>
      </w:r>
    </w:p>
    <w:p>
      <w:pPr>
        <w:snapToGrid w:val="0"/>
        <w:spacing w:line="360" w:lineRule="auto"/>
        <w:jc w:val="center"/>
        <w:outlineLvl w:val="1"/>
        <w:rPr>
          <w:rFonts w:ascii="宋体" w:hAnsi="宋体" w:cs="宋体"/>
          <w:b/>
          <w:color w:val="000000"/>
          <w:sz w:val="24"/>
        </w:rPr>
      </w:pPr>
      <w:bookmarkStart w:id="166" w:name="_Toc19766"/>
      <w:bookmarkStart w:id="167" w:name="_Toc11437"/>
      <w:bookmarkStart w:id="168" w:name="_Toc24657"/>
      <w:bookmarkStart w:id="169" w:name="_Toc24254"/>
      <w:bookmarkStart w:id="170" w:name="_Toc18205"/>
      <w:bookmarkStart w:id="171" w:name="_Toc2796"/>
      <w:r>
        <w:rPr>
          <w:rFonts w:hint="eastAsia" w:ascii="宋体" w:hAnsi="宋体" w:cs="宋体"/>
          <w:b/>
          <w:color w:val="000000"/>
          <w:sz w:val="24"/>
        </w:rPr>
        <w:t>六、评 标</w:t>
      </w:r>
      <w:bookmarkEnd w:id="160"/>
      <w:bookmarkEnd w:id="161"/>
      <w:bookmarkEnd w:id="166"/>
      <w:bookmarkEnd w:id="167"/>
      <w:bookmarkEnd w:id="168"/>
      <w:bookmarkEnd w:id="169"/>
      <w:bookmarkEnd w:id="170"/>
      <w:bookmarkEnd w:id="171"/>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（一）评审工作的组织</w:t>
      </w:r>
    </w:p>
    <w:p>
      <w:pPr>
        <w:pStyle w:val="72"/>
        <w:spacing w:beforeAutospacing="0" w:afterAutospacing="0" w:line="360" w:lineRule="auto"/>
        <w:ind w:firstLine="480" w:firstLineChars="200"/>
        <w:jc w:val="both"/>
        <w:rPr>
          <w:rFonts w:ascii="宋体" w:hAnsi="宋体" w:eastAsia="宋体"/>
          <w:b/>
          <w:color w:val="000000"/>
        </w:rPr>
      </w:pPr>
      <w:r>
        <w:rPr>
          <w:rFonts w:hint="eastAsia" w:ascii="宋体" w:hAnsi="宋体" w:eastAsia="宋体"/>
          <w:color w:val="000000"/>
        </w:rPr>
        <w:t>1.1采购人或采购代理机构负责组织本项目的评审工作，并依据《政府采购货物和服务招标投标管理办法（财政部第87号令）》第四十五条的相关规定履行职责。</w:t>
      </w:r>
      <w:r>
        <w:rPr>
          <w:rFonts w:hint="eastAsia" w:ascii="宋体" w:hAnsi="宋体" w:eastAsia="宋体"/>
          <w:b/>
          <w:color w:val="000000"/>
        </w:rPr>
        <w:t>根据财政部令第87号</w:t>
      </w:r>
      <w:r>
        <w:rPr>
          <w:rFonts w:hint="eastAsia" w:ascii="宋体" w:hAnsi="宋体" w:eastAsia="宋体"/>
          <w:color w:val="000000"/>
          <w:sz w:val="22"/>
          <w:szCs w:val="22"/>
        </w:rPr>
        <w:t>　</w:t>
      </w:r>
      <w:r>
        <w:rPr>
          <w:rFonts w:hint="eastAsia" w:ascii="宋体" w:hAnsi="宋体" w:eastAsia="宋体"/>
          <w:b/>
          <w:color w:val="000000"/>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（二）评标委员会的组建</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2.1评标委员会由采购人或采购代理机构依法组建，成员包括采购人代表和评审专家，成员人数为五人或以上单数，其中评审专家不少于成员总数的三分之二。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2.2评标委员会成员名单在评审结果（采购结果）公告前保密。</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（三）评标委员会的职责</w:t>
      </w:r>
    </w:p>
    <w:p>
      <w:pPr>
        <w:spacing w:line="360" w:lineRule="auto"/>
        <w:ind w:firstLine="424" w:firstLineChars="176"/>
        <w:rPr>
          <w:rFonts w:ascii="宋体" w:hAnsi="宋体" w:cs="宋体"/>
          <w:b/>
          <w:color w:val="000000"/>
          <w:kern w:val="0"/>
          <w:sz w:val="24"/>
        </w:rPr>
      </w:pPr>
      <w:r>
        <w:rPr>
          <w:rFonts w:hint="eastAsia" w:ascii="宋体" w:hAnsi="宋体" w:cs="宋体"/>
          <w:b/>
          <w:color w:val="000000"/>
          <w:kern w:val="0"/>
          <w:sz w:val="24"/>
        </w:rPr>
        <w:t>3.1评标委员会负责具体评审事务，并独立履行下列职责：</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（1）审查、评价投标文件是否符合招标文件的商务、技术等实质性要求；</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（2）要求投标人对投标文件有关事项作出澄清或者说明；</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（3）对投标文件进行比较和评价；</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（4）确定中标候选人名单，以及根据采购人委托直接确定中标人；</w:t>
      </w:r>
    </w:p>
    <w:p>
      <w:pPr>
        <w:spacing w:line="360" w:lineRule="auto"/>
        <w:ind w:firstLine="422" w:firstLineChars="176"/>
        <w:rPr>
          <w:rFonts w:ascii="宋体" w:hAnsi="宋体" w:cs="宋体"/>
          <w:color w:val="000000"/>
          <w:kern w:val="0"/>
          <w:sz w:val="24"/>
        </w:rPr>
      </w:pPr>
      <w:r>
        <w:rPr>
          <w:rFonts w:hint="eastAsia" w:ascii="宋体" w:hAnsi="宋体" w:cs="宋体"/>
          <w:color w:val="000000"/>
          <w:kern w:val="0"/>
          <w:sz w:val="24"/>
        </w:rPr>
        <w:t>（5）向采购人、采购代理机构或者有关部门报告评审中发现的违法行为。</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（四）评审原则</w:t>
      </w:r>
    </w:p>
    <w:p>
      <w:pPr>
        <w:spacing w:line="360" w:lineRule="auto"/>
        <w:ind w:firstLine="424" w:firstLineChars="177"/>
        <w:rPr>
          <w:rFonts w:ascii="宋体" w:hAnsi="宋体" w:cs="宋体"/>
          <w:color w:val="000000"/>
          <w:sz w:val="24"/>
        </w:rPr>
      </w:pPr>
      <w:r>
        <w:rPr>
          <w:rFonts w:hint="eastAsia" w:ascii="宋体" w:hAnsi="宋体" w:cs="宋体"/>
          <w:color w:val="000000"/>
          <w:sz w:val="24"/>
        </w:rPr>
        <w:t>4.1评审原则：</w:t>
      </w:r>
      <w:r>
        <w:rPr>
          <w:rFonts w:hint="eastAsia" w:ascii="宋体" w:hAnsi="宋体" w:cs="宋体"/>
          <w:color w:val="000000"/>
          <w:kern w:val="0"/>
          <w:sz w:val="24"/>
        </w:rPr>
        <w:t>评标委员会</w:t>
      </w:r>
      <w:r>
        <w:rPr>
          <w:rFonts w:hint="eastAsia" w:ascii="宋体" w:hAnsi="宋体" w:cs="宋体"/>
          <w:color w:val="000000"/>
          <w:sz w:val="24"/>
        </w:rPr>
        <w:t>按照客观、公正、审慎、择优的原则，根据招标文件规定的评审程序、评审方法和评审标准进行独立评审。</w:t>
      </w:r>
    </w:p>
    <w:p>
      <w:pPr>
        <w:spacing w:line="360" w:lineRule="auto"/>
        <w:ind w:firstLine="424" w:firstLineChars="177"/>
        <w:rPr>
          <w:rFonts w:ascii="宋体" w:hAnsi="宋体" w:cs="宋体"/>
          <w:color w:val="000000"/>
          <w:sz w:val="24"/>
        </w:rPr>
      </w:pPr>
      <w:r>
        <w:rPr>
          <w:rFonts w:hint="eastAsia" w:ascii="宋体" w:hAnsi="宋体" w:cs="宋体"/>
          <w:color w:val="000000"/>
          <w:sz w:val="24"/>
        </w:rPr>
        <w:t>4.2评审工作将依据</w:t>
      </w:r>
      <w:r>
        <w:rPr>
          <w:rFonts w:hint="eastAsia" w:ascii="宋体" w:hAnsi="宋体" w:cs="宋体"/>
          <w:color w:val="000000"/>
          <w:kern w:val="0"/>
          <w:sz w:val="24"/>
        </w:rPr>
        <w:t>招标文件、投标文件及招标文件中事先已列明的内容进行（如现场方案讲解、演示等）。</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（五）评审意见的争议处理</w:t>
      </w:r>
    </w:p>
    <w:p>
      <w:pPr>
        <w:spacing w:line="360" w:lineRule="auto"/>
        <w:ind w:firstLine="424" w:firstLineChars="177"/>
        <w:rPr>
          <w:rFonts w:ascii="宋体" w:hAnsi="宋体" w:cs="宋体"/>
          <w:bCs/>
          <w:color w:val="000000"/>
          <w:sz w:val="24"/>
        </w:rPr>
      </w:pPr>
      <w:r>
        <w:rPr>
          <w:rFonts w:hint="eastAsia" w:ascii="宋体" w:hAnsi="宋体" w:cs="宋体"/>
          <w:bCs/>
          <w:color w:val="000000"/>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（六）评委纪律</w:t>
      </w:r>
    </w:p>
    <w:p>
      <w:pPr>
        <w:spacing w:line="360" w:lineRule="auto"/>
        <w:ind w:firstLine="424" w:firstLineChars="177"/>
        <w:rPr>
          <w:rFonts w:ascii="宋体" w:hAnsi="宋体" w:cs="宋体"/>
          <w:color w:val="000000"/>
          <w:kern w:val="0"/>
          <w:sz w:val="24"/>
        </w:rPr>
      </w:pPr>
      <w:r>
        <w:rPr>
          <w:rFonts w:hint="eastAsia" w:ascii="宋体" w:hAnsi="宋体" w:cs="宋体"/>
          <w:color w:val="000000"/>
          <w:sz w:val="24"/>
        </w:rPr>
        <w:t>6.1评标委员会成员必须严格遵守保密规定，不得泄露评审的有关情况</w:t>
      </w:r>
      <w:r>
        <w:rPr>
          <w:rFonts w:hint="eastAsia" w:ascii="宋体" w:hAnsi="宋体" w:cs="宋体"/>
          <w:color w:val="000000"/>
          <w:kern w:val="0"/>
          <w:sz w:val="24"/>
        </w:rPr>
        <w:t>，任何单位和个人不得干扰、影响评标的正常进行，评标委员会成员不得私下与投标供应商接触，不得出现浙江省政府采购活动现场组织管理办法中规定的其他禁止行为。</w:t>
      </w:r>
    </w:p>
    <w:p>
      <w:pPr>
        <w:pStyle w:val="5"/>
        <w:numPr>
          <w:ilvl w:val="2"/>
          <w:numId w:val="0"/>
        </w:numPr>
        <w:spacing w:before="0" w:after="0"/>
        <w:ind w:left="720" w:hanging="720"/>
        <w:jc w:val="both"/>
        <w:rPr>
          <w:rFonts w:ascii="宋体" w:hAnsi="宋体" w:eastAsia="宋体" w:cs="宋体"/>
          <w:sz w:val="24"/>
          <w:szCs w:val="24"/>
        </w:rPr>
      </w:pPr>
      <w:bookmarkStart w:id="172" w:name="_Toc24550043"/>
      <w:bookmarkStart w:id="173" w:name="_Toc9222"/>
      <w:bookmarkStart w:id="174" w:name="_Toc33194395"/>
      <w:bookmarkStart w:id="175" w:name="_Toc32209"/>
      <w:bookmarkStart w:id="176" w:name="_Toc20515"/>
      <w:bookmarkStart w:id="177" w:name="_Toc5549"/>
      <w:r>
        <w:rPr>
          <w:rFonts w:hint="eastAsia" w:ascii="宋体" w:hAnsi="宋体" w:eastAsia="宋体" w:cs="宋体"/>
          <w:sz w:val="24"/>
          <w:szCs w:val="24"/>
        </w:rPr>
        <w:t>（七）</w:t>
      </w:r>
      <w:bookmarkEnd w:id="172"/>
      <w:bookmarkStart w:id="178" w:name="_Toc24550044"/>
      <w:r>
        <w:rPr>
          <w:rFonts w:hint="eastAsia" w:ascii="宋体" w:hAnsi="宋体" w:eastAsia="宋体" w:cs="宋体"/>
          <w:sz w:val="24"/>
          <w:szCs w:val="24"/>
        </w:rPr>
        <w:t>评审流程及内容</w:t>
      </w:r>
      <w:bookmarkEnd w:id="173"/>
      <w:bookmarkEnd w:id="174"/>
      <w:bookmarkEnd w:id="175"/>
      <w:bookmarkEnd w:id="176"/>
      <w:bookmarkEnd w:id="177"/>
      <w:bookmarkEnd w:id="178"/>
    </w:p>
    <w:p>
      <w:pPr>
        <w:spacing w:line="360" w:lineRule="auto"/>
        <w:ind w:firstLine="424" w:firstLineChars="176"/>
        <w:rPr>
          <w:rFonts w:ascii="宋体" w:hAnsi="宋体" w:cs="宋体"/>
          <w:color w:val="000000"/>
          <w:sz w:val="24"/>
        </w:rPr>
      </w:pPr>
      <w:r>
        <w:rPr>
          <w:rFonts w:hint="eastAsia" w:ascii="宋体" w:hAnsi="宋体" w:cs="宋体"/>
          <w:b/>
          <w:color w:val="000000"/>
          <w:kern w:val="0"/>
          <w:sz w:val="24"/>
        </w:rPr>
        <w:t>本项目具体的评审事务由评标委员会负责，评审流程及内容如下：</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7.1 评审前准备</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7.1.1由评审专家推选评审小组组长，采购人代表不得担任评审小组组长。</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7.2投标文件的初步审查、符合性审查</w:t>
      </w:r>
    </w:p>
    <w:p>
      <w:pPr>
        <w:spacing w:line="360" w:lineRule="auto"/>
        <w:ind w:firstLine="426" w:firstLineChars="177"/>
        <w:rPr>
          <w:rFonts w:ascii="宋体" w:hAnsi="宋体" w:cs="Arial"/>
          <w:b/>
          <w:color w:val="000000"/>
          <w:kern w:val="0"/>
          <w:sz w:val="24"/>
        </w:rPr>
      </w:pPr>
      <w:r>
        <w:rPr>
          <w:rFonts w:hint="eastAsia" w:ascii="宋体" w:hAnsi="宋体" w:cs="Arial"/>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ascii="宋体" w:hAnsi="宋体"/>
          <w:color w:val="000000"/>
          <w:sz w:val="24"/>
        </w:rPr>
      </w:pPr>
      <w:r>
        <w:rPr>
          <w:rFonts w:ascii="宋体" w:hAnsi="宋体"/>
          <w:color w:val="000000"/>
          <w:sz w:val="24"/>
        </w:rPr>
        <w:t>7</w:t>
      </w:r>
      <w:r>
        <w:rPr>
          <w:rFonts w:hint="eastAsia" w:ascii="宋体" w:hAnsi="宋体"/>
          <w:color w:val="000000"/>
          <w:sz w:val="24"/>
        </w:rPr>
        <w:t>.2.1评标委员会</w:t>
      </w:r>
      <w:r>
        <w:rPr>
          <w:rFonts w:ascii="宋体" w:hAnsi="宋体"/>
          <w:color w:val="000000"/>
          <w:sz w:val="24"/>
        </w:rPr>
        <w:t>首先</w:t>
      </w:r>
      <w:r>
        <w:rPr>
          <w:rFonts w:hint="eastAsia" w:ascii="宋体" w:hAnsi="宋体"/>
          <w:color w:val="000000"/>
          <w:sz w:val="24"/>
        </w:rPr>
        <w:t>对所有通过资格审查的投标供应商的</w:t>
      </w:r>
      <w:r>
        <w:rPr>
          <w:rFonts w:ascii="宋体" w:hAnsi="宋体"/>
          <w:color w:val="000000"/>
          <w:sz w:val="24"/>
        </w:rPr>
        <w:t>投标文件</w:t>
      </w:r>
      <w:r>
        <w:rPr>
          <w:rFonts w:hint="eastAsia" w:ascii="宋体" w:hAnsi="宋体"/>
          <w:color w:val="000000"/>
          <w:sz w:val="24"/>
        </w:rPr>
        <w:t>进行符合性审查，审查每份投标文件</w:t>
      </w:r>
      <w:r>
        <w:rPr>
          <w:rFonts w:ascii="宋体" w:hAnsi="宋体"/>
          <w:color w:val="000000"/>
          <w:sz w:val="24"/>
        </w:rPr>
        <w:t>是否实质上响应了招标文件的要求</w:t>
      </w:r>
      <w:r>
        <w:rPr>
          <w:rFonts w:hint="eastAsia" w:ascii="宋体" w:hAnsi="宋体"/>
          <w:color w:val="000000"/>
          <w:sz w:val="24"/>
        </w:rPr>
        <w:t>（</w:t>
      </w:r>
      <w:r>
        <w:rPr>
          <w:rFonts w:ascii="宋体" w:hAnsi="宋体"/>
          <w:color w:val="000000"/>
          <w:sz w:val="24"/>
        </w:rPr>
        <w:t>实质性响应的投标文件是指投标文件符合招标文件规定的实质性内容、条件和规定</w:t>
      </w:r>
      <w:r>
        <w:rPr>
          <w:rFonts w:hint="eastAsia" w:ascii="宋体" w:hAnsi="宋体"/>
          <w:color w:val="000000"/>
          <w:sz w:val="24"/>
        </w:rPr>
        <w:t>）</w:t>
      </w:r>
      <w:r>
        <w:rPr>
          <w:rFonts w:ascii="宋体" w:hAnsi="宋体"/>
          <w:color w:val="000000"/>
          <w:sz w:val="24"/>
        </w:rPr>
        <w:t>。</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7.3 投标文件的澄清、说明或补正</w:t>
      </w:r>
    </w:p>
    <w:p>
      <w:pPr>
        <w:spacing w:line="360" w:lineRule="auto"/>
        <w:ind w:firstLine="424" w:firstLineChars="177"/>
        <w:rPr>
          <w:rFonts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.3.1对于投标文件中含义不明确、同类问题表述不一致或者有明显文字和计算错误的内容，评标委员会将以书面形式</w:t>
      </w:r>
      <w:r>
        <w:rPr>
          <w:rFonts w:hint="eastAsia" w:ascii="宋体" w:hAnsi="宋体" w:cs="Arial"/>
          <w:b/>
          <w:bCs/>
          <w:color w:val="000000"/>
          <w:kern w:val="0"/>
          <w:sz w:val="24"/>
        </w:rPr>
        <w:t>（或通过“政府采购云平台”在线询标）</w:t>
      </w:r>
      <w:r>
        <w:rPr>
          <w:rFonts w:hint="eastAsia" w:ascii="宋体" w:hAnsi="宋体" w:cs="Arial"/>
          <w:color w:val="000000"/>
          <w:kern w:val="0"/>
          <w:sz w:val="24"/>
        </w:rPr>
        <w:t>的形式要求</w:t>
      </w:r>
      <w:r>
        <w:rPr>
          <w:rFonts w:ascii="宋体" w:hAnsi="宋体" w:cs="Arial"/>
          <w:color w:val="000000"/>
          <w:kern w:val="0"/>
          <w:sz w:val="24"/>
        </w:rPr>
        <w:t>投标供应商</w:t>
      </w:r>
      <w:r>
        <w:rPr>
          <w:rFonts w:hint="eastAsia" w:ascii="宋体" w:hAnsi="宋体" w:cs="Arial"/>
          <w:color w:val="000000"/>
          <w:kern w:val="0"/>
          <w:sz w:val="24"/>
        </w:rPr>
        <w:t>在规定的时间内作出必要的澄清、说明或者补正，投标供应商澄清、说明或补正时间为30分钟。</w:t>
      </w:r>
    </w:p>
    <w:p>
      <w:pPr>
        <w:spacing w:line="360" w:lineRule="auto"/>
        <w:ind w:firstLine="424" w:firstLineChars="177"/>
        <w:rPr>
          <w:rFonts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.3.2</w:t>
      </w:r>
      <w:r>
        <w:rPr>
          <w:rFonts w:ascii="宋体" w:hAnsi="宋体" w:cs="Arial"/>
          <w:color w:val="000000"/>
          <w:kern w:val="0"/>
          <w:sz w:val="24"/>
        </w:rPr>
        <w:t>投标供应商</w:t>
      </w:r>
      <w:r>
        <w:rPr>
          <w:rFonts w:hint="eastAsia" w:ascii="宋体" w:hAnsi="宋体" w:cs="Arial"/>
          <w:color w:val="000000"/>
          <w:kern w:val="0"/>
          <w:sz w:val="24"/>
        </w:rPr>
        <w:t>的澄清、说明或者补正应当采用书面（或通过“政府采购云平台”在线答复）形式提交，并加盖公章，或者由法定代表人或其授权的代表签字。</w:t>
      </w:r>
      <w:r>
        <w:rPr>
          <w:rFonts w:ascii="宋体" w:hAnsi="宋体" w:cs="Arial"/>
          <w:color w:val="000000"/>
          <w:kern w:val="0"/>
          <w:sz w:val="24"/>
        </w:rPr>
        <w:t>投标供应商</w:t>
      </w:r>
      <w:r>
        <w:rPr>
          <w:rFonts w:hint="eastAsia" w:ascii="宋体" w:hAnsi="宋体" w:cs="Arial"/>
          <w:color w:val="000000"/>
          <w:kern w:val="0"/>
          <w:sz w:val="24"/>
        </w:rPr>
        <w:t>的澄清、说明或者补正不得超出投标文件的范围或者改变投标文件的实质性内容。</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7.4 投标文件的错误修正</w:t>
      </w:r>
    </w:p>
    <w:p>
      <w:pPr>
        <w:spacing w:line="360" w:lineRule="auto"/>
        <w:ind w:firstLine="422" w:firstLineChars="175"/>
        <w:rPr>
          <w:rFonts w:ascii="宋体" w:hAnsi="宋体" w:cs="Arial"/>
          <w:b/>
          <w:color w:val="000000"/>
          <w:kern w:val="0"/>
          <w:sz w:val="24"/>
        </w:rPr>
      </w:pPr>
      <w:r>
        <w:rPr>
          <w:rFonts w:ascii="宋体" w:hAnsi="宋体" w:cs="Arial"/>
          <w:b/>
          <w:color w:val="000000"/>
          <w:kern w:val="0"/>
          <w:sz w:val="24"/>
        </w:rPr>
        <w:t>7</w:t>
      </w:r>
      <w:r>
        <w:rPr>
          <w:rFonts w:hint="eastAsia" w:ascii="宋体" w:hAnsi="宋体" w:cs="Arial"/>
          <w:b/>
          <w:color w:val="000000"/>
          <w:kern w:val="0"/>
          <w:sz w:val="24"/>
        </w:rPr>
        <w:t>.4.1</w:t>
      </w:r>
      <w:r>
        <w:rPr>
          <w:rFonts w:ascii="宋体" w:hAnsi="宋体" w:cs="Arial"/>
          <w:b/>
          <w:color w:val="000000"/>
          <w:kern w:val="0"/>
          <w:sz w:val="24"/>
        </w:rPr>
        <w:t>《投标文件》如果出现计算或表达上的错误，修正错误的原则如下：</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（1）</w:t>
      </w:r>
      <w:r>
        <w:rPr>
          <w:rFonts w:hint="eastAsia" w:ascii="宋体" w:hAnsi="宋体" w:cs="Arial"/>
          <w:color w:val="000000"/>
          <w:kern w:val="0"/>
          <w:sz w:val="24"/>
        </w:rPr>
        <w:t>投标文件中</w:t>
      </w:r>
      <w:r>
        <w:rPr>
          <w:rFonts w:ascii="宋体" w:hAnsi="宋体" w:cs="Arial"/>
          <w:color w:val="000000"/>
          <w:kern w:val="0"/>
          <w:sz w:val="24"/>
        </w:rPr>
        <w:t>开标一览表</w:t>
      </w:r>
      <w:r>
        <w:rPr>
          <w:rFonts w:hint="eastAsia" w:ascii="宋体" w:hAnsi="宋体" w:cs="Arial"/>
          <w:color w:val="000000"/>
          <w:kern w:val="0"/>
          <w:sz w:val="24"/>
        </w:rPr>
        <w:t>（报价表）内容</w:t>
      </w:r>
      <w:r>
        <w:rPr>
          <w:rFonts w:ascii="宋体" w:hAnsi="宋体" w:cs="Arial"/>
          <w:color w:val="000000"/>
          <w:kern w:val="0"/>
          <w:sz w:val="24"/>
        </w:rPr>
        <w:t>与</w:t>
      </w:r>
      <w:r>
        <w:rPr>
          <w:rFonts w:hint="eastAsia" w:ascii="宋体" w:hAnsi="宋体" w:cs="Arial"/>
          <w:color w:val="000000"/>
          <w:kern w:val="0"/>
          <w:sz w:val="24"/>
        </w:rPr>
        <w:t>投标文件中相应内容不一致的</w:t>
      </w:r>
      <w:r>
        <w:rPr>
          <w:rFonts w:ascii="宋体" w:hAnsi="宋体" w:cs="Arial"/>
          <w:color w:val="000000"/>
          <w:kern w:val="0"/>
          <w:sz w:val="24"/>
        </w:rPr>
        <w:t>，以开标一览表</w:t>
      </w:r>
      <w:r>
        <w:rPr>
          <w:rFonts w:hint="eastAsia" w:ascii="宋体" w:hAnsi="宋体" w:cs="Arial"/>
          <w:color w:val="000000"/>
          <w:kern w:val="0"/>
          <w:sz w:val="24"/>
        </w:rPr>
        <w:t>（报价表）</w:t>
      </w:r>
      <w:r>
        <w:rPr>
          <w:rFonts w:ascii="宋体" w:hAnsi="宋体" w:cs="Arial"/>
          <w:color w:val="000000"/>
          <w:kern w:val="0"/>
          <w:sz w:val="24"/>
        </w:rPr>
        <w:t>为准。</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（2）《投标文件》的大写金额和小写金额不一致的，以大写金额为准；</w:t>
      </w:r>
    </w:p>
    <w:p>
      <w:pPr>
        <w:spacing w:line="360" w:lineRule="auto"/>
        <w:ind w:firstLine="420" w:firstLineChars="175"/>
        <w:rPr>
          <w:rFonts w:ascii="宋体" w:hAnsi="宋体" w:cs="Arial"/>
          <w:color w:val="000000"/>
          <w:kern w:val="0"/>
          <w:sz w:val="24"/>
        </w:rPr>
      </w:pPr>
      <w:r>
        <w:rPr>
          <w:rFonts w:hint="eastAsia" w:ascii="宋体" w:hAnsi="宋体" w:cs="Arial"/>
          <w:color w:val="000000"/>
          <w:kern w:val="0"/>
          <w:sz w:val="24"/>
        </w:rPr>
        <w:t>（3）单价金额小数点或者百分比有明显错位的，应以</w:t>
      </w:r>
      <w:r>
        <w:rPr>
          <w:rFonts w:ascii="宋体" w:hAnsi="宋体" w:cs="Arial"/>
          <w:color w:val="000000"/>
          <w:kern w:val="0"/>
          <w:sz w:val="24"/>
        </w:rPr>
        <w:t>开标一览表</w:t>
      </w:r>
      <w:r>
        <w:rPr>
          <w:rFonts w:hint="eastAsia" w:ascii="宋体" w:hAnsi="宋体" w:cs="Arial"/>
          <w:color w:val="000000"/>
          <w:kern w:val="0"/>
          <w:sz w:val="24"/>
        </w:rPr>
        <w:t>（报价表）的总价为准，并修改单价；</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w:t>
      </w:r>
      <w:r>
        <w:rPr>
          <w:rFonts w:hint="eastAsia" w:ascii="宋体" w:hAnsi="宋体" w:cs="Arial"/>
          <w:color w:val="000000"/>
          <w:kern w:val="0"/>
          <w:sz w:val="24"/>
        </w:rPr>
        <w:t>4</w:t>
      </w:r>
      <w:r>
        <w:rPr>
          <w:rFonts w:ascii="宋体" w:hAnsi="宋体" w:cs="Arial"/>
          <w:color w:val="000000"/>
          <w:kern w:val="0"/>
          <w:sz w:val="24"/>
        </w:rPr>
        <w:t>）总价金额与按单价汇总金额不一致的，以单价金额计算结果为准</w:t>
      </w:r>
      <w:r>
        <w:rPr>
          <w:rFonts w:hint="eastAsia" w:ascii="宋体" w:hAnsi="宋体" w:cs="Arial"/>
          <w:color w:val="000000"/>
          <w:kern w:val="0"/>
          <w:sz w:val="24"/>
        </w:rPr>
        <w:t>。</w:t>
      </w:r>
    </w:p>
    <w:p>
      <w:pPr>
        <w:spacing w:line="360" w:lineRule="auto"/>
        <w:ind w:firstLine="420" w:firstLineChars="175"/>
      </w:pPr>
      <w:r>
        <w:rPr>
          <w:rFonts w:ascii="宋体" w:hAnsi="宋体" w:cs="Arial"/>
          <w:color w:val="000000"/>
          <w:kern w:val="0"/>
          <w:sz w:val="24"/>
        </w:rPr>
        <w:t>7</w:t>
      </w:r>
      <w:r>
        <w:rPr>
          <w:rFonts w:hint="eastAsia" w:ascii="宋体" w:hAnsi="宋体" w:cs="Arial"/>
          <w:color w:val="000000"/>
          <w:kern w:val="0"/>
          <w:sz w:val="24"/>
        </w:rPr>
        <w:t>.4.2</w:t>
      </w:r>
      <w:r>
        <w:rPr>
          <w:rFonts w:ascii="宋体" w:hAnsi="宋体" w:cs="Arial"/>
          <w:color w:val="000000"/>
          <w:kern w:val="0"/>
          <w:sz w:val="24"/>
        </w:rPr>
        <w:t>对不同文字文本《投标文件》的解释发生异议的，以中文文本为准。</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（八）投标文件有下列情况之一者将视为无效：</w:t>
      </w:r>
    </w:p>
    <w:p>
      <w:pPr>
        <w:spacing w:line="360" w:lineRule="auto"/>
        <w:ind w:firstLine="424" w:firstLineChars="176"/>
        <w:rPr>
          <w:rFonts w:ascii="宋体" w:hAnsi="宋体" w:cs="Arial"/>
          <w:b/>
          <w:color w:val="000000"/>
          <w:kern w:val="0"/>
          <w:sz w:val="24"/>
        </w:rPr>
      </w:pPr>
      <w:bookmarkStart w:id="179" w:name="_Hlk33211013"/>
      <w:r>
        <w:rPr>
          <w:rFonts w:ascii="宋体" w:hAnsi="宋体" w:cs="Arial"/>
          <w:b/>
          <w:color w:val="000000"/>
          <w:kern w:val="0"/>
          <w:sz w:val="24"/>
        </w:rPr>
        <w:t>8</w:t>
      </w:r>
      <w:r>
        <w:rPr>
          <w:rFonts w:hint="eastAsia" w:ascii="宋体" w:hAnsi="宋体" w:cs="Arial"/>
          <w:b/>
          <w:color w:val="000000"/>
          <w:kern w:val="0"/>
          <w:sz w:val="24"/>
        </w:rPr>
        <w:t>.</w:t>
      </w:r>
      <w:r>
        <w:rPr>
          <w:rFonts w:ascii="宋体" w:hAnsi="宋体" w:cs="Arial"/>
          <w:b/>
          <w:color w:val="000000"/>
          <w:kern w:val="0"/>
          <w:sz w:val="24"/>
        </w:rPr>
        <w:t>1</w:t>
      </w:r>
      <w:r>
        <w:rPr>
          <w:rFonts w:hint="eastAsia" w:ascii="宋体" w:hAnsi="宋体" w:cs="Arial"/>
          <w:b/>
          <w:color w:val="000000"/>
          <w:kern w:val="0"/>
          <w:sz w:val="24"/>
        </w:rPr>
        <w:t>商务、技术文件符合性审查中，存在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bookmarkStart w:id="180" w:name="_Toc11810"/>
      <w:bookmarkStart w:id="181" w:name="_Toc10380"/>
      <w:bookmarkStart w:id="182" w:name="_Toc33194396"/>
      <w:bookmarkStart w:id="183" w:name="_Toc32574"/>
      <w:bookmarkStart w:id="184" w:name="_Toc25773"/>
    </w:p>
    <w:p>
      <w:pPr>
        <w:spacing w:line="360" w:lineRule="auto"/>
        <w:ind w:firstLine="424" w:firstLineChars="176"/>
        <w:rPr>
          <w:rFonts w:ascii="宋体" w:hAnsi="宋体"/>
          <w:b/>
          <w:sz w:val="24"/>
        </w:rPr>
      </w:pPr>
      <w:r>
        <w:rPr>
          <w:rFonts w:hint="eastAsia" w:ascii="宋体" w:hAnsi="宋体" w:cs="宋体"/>
          <w:b/>
          <w:color w:val="000000"/>
          <w:sz w:val="24"/>
        </w:rPr>
        <w:t>（1）投标文件未有效授权，法定代表人授权委托书等填写不完整或有涂改的；</w:t>
      </w:r>
      <w:bookmarkEnd w:id="180"/>
      <w:bookmarkEnd w:id="181"/>
      <w:bookmarkEnd w:id="182"/>
      <w:bookmarkEnd w:id="183"/>
      <w:bookmarkEnd w:id="184"/>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3</w:t>
      </w:r>
      <w:r>
        <w:rPr>
          <w:rFonts w:hint="eastAsia" w:ascii="宋体" w:hAnsi="宋体"/>
          <w:b/>
          <w:sz w:val="24"/>
        </w:rPr>
        <w:t>）投标文件存在一个或一个以上备选（替代）投标方案的；</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4</w:t>
      </w:r>
      <w:r>
        <w:rPr>
          <w:rFonts w:hint="eastAsia" w:ascii="宋体" w:hAnsi="宋体"/>
          <w:b/>
          <w:sz w:val="24"/>
        </w:rPr>
        <w:t>）仅提交“备份投标文件”的；</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）文件组成内容不齐全，本招标文件规定必须提供而未提供的（属于资格审查范围的除外）；</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6</w:t>
      </w:r>
      <w:r>
        <w:rPr>
          <w:rFonts w:hint="eastAsia" w:ascii="宋体" w:hAnsi="宋体"/>
          <w:b/>
          <w:sz w:val="24"/>
        </w:rPr>
        <w:t>）投标文件标注的响应或偏离情况与事实不符，或提供了虚假材料的；</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7</w:t>
      </w:r>
      <w:r>
        <w:rPr>
          <w:rFonts w:hint="eastAsia" w:ascii="宋体" w:hAnsi="宋体"/>
          <w:b/>
          <w:sz w:val="24"/>
        </w:rPr>
        <w:t>）不响应或擅自改变本招标文件要求或投标文件有采购人不能接受的附加条件的；</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8</w:t>
      </w:r>
      <w:r>
        <w:rPr>
          <w:rFonts w:hint="eastAsia" w:ascii="宋体" w:hAnsi="宋体"/>
          <w:b/>
          <w:sz w:val="24"/>
        </w:rPr>
        <w:t>）参加同一合同项下政府采购活动的不同供应商之间存在利害关系并且存在影响政府采购公平竞争行为的；</w:t>
      </w:r>
      <w:bookmarkStart w:id="185" w:name="_Toc33194397"/>
    </w:p>
    <w:p>
      <w:pPr>
        <w:spacing w:line="360" w:lineRule="auto"/>
        <w:ind w:firstLine="426" w:firstLineChars="177"/>
        <w:rPr>
          <w:rFonts w:ascii="宋体" w:hAnsi="宋体"/>
          <w:bCs/>
          <w:sz w:val="24"/>
        </w:rPr>
      </w:pPr>
      <w:r>
        <w:rPr>
          <w:rFonts w:hint="eastAsia" w:ascii="宋体" w:hAnsi="宋体" w:cs="宋体"/>
          <w:b/>
          <w:sz w:val="24"/>
        </w:rPr>
        <w:t>（9）</w:t>
      </w:r>
      <w:r>
        <w:rPr>
          <w:rFonts w:hint="eastAsia" w:ascii="宋体" w:hAnsi="宋体" w:cs="宋体"/>
          <w:b/>
          <w:color w:val="000000"/>
          <w:sz w:val="24"/>
        </w:rPr>
        <w:t>招标人拟采购的产品如属于品目清单范围内的强制采购品目的，投标人未</w:t>
      </w:r>
      <w:bookmarkEnd w:id="185"/>
      <w:bookmarkStart w:id="186" w:name="_Toc7461"/>
      <w:bookmarkStart w:id="187" w:name="_Toc27126"/>
      <w:bookmarkStart w:id="188" w:name="_Toc18324"/>
      <w:bookmarkStart w:id="189" w:name="_Toc1556"/>
      <w:bookmarkStart w:id="190" w:name="_Toc33194398"/>
      <w:r>
        <w:rPr>
          <w:rFonts w:hint="eastAsia" w:ascii="宋体" w:hAnsi="宋体" w:cs="宋体"/>
          <w:b/>
          <w:color w:val="000000"/>
          <w:sz w:val="24"/>
        </w:rPr>
        <w:t>能在响应文件中提供国家确定的认证机构出具的、处于有效期之内的该产品节能产品、环境标志产品认证证书；</w:t>
      </w:r>
      <w:bookmarkEnd w:id="186"/>
      <w:bookmarkEnd w:id="187"/>
      <w:bookmarkEnd w:id="188"/>
      <w:bookmarkEnd w:id="189"/>
      <w:bookmarkEnd w:id="190"/>
    </w:p>
    <w:p>
      <w:pPr>
        <w:spacing w:line="360" w:lineRule="auto"/>
        <w:ind w:firstLine="426" w:firstLineChars="177"/>
        <w:rPr>
          <w:rFonts w:ascii="宋体" w:hAnsi="宋体"/>
          <w:b/>
          <w:sz w:val="24"/>
        </w:rPr>
      </w:pPr>
      <w:r>
        <w:rPr>
          <w:rFonts w:hint="eastAsia" w:ascii="宋体" w:hAnsi="宋体"/>
          <w:b/>
          <w:sz w:val="24"/>
        </w:rPr>
        <w:t>（1</w:t>
      </w:r>
      <w:r>
        <w:rPr>
          <w:rFonts w:ascii="宋体" w:hAnsi="宋体"/>
          <w:b/>
          <w:sz w:val="24"/>
        </w:rPr>
        <w:t>0</w:t>
      </w:r>
      <w:r>
        <w:rPr>
          <w:rFonts w:hint="eastAsia" w:ascii="宋体" w:hAnsi="宋体"/>
          <w:b/>
          <w:sz w:val="24"/>
        </w:rPr>
        <w:t>）违反国家或政府部门相关法律、法规、文件规定的。</w:t>
      </w:r>
    </w:p>
    <w:bookmarkEnd w:id="179"/>
    <w:p>
      <w:pPr>
        <w:spacing w:line="360" w:lineRule="auto"/>
        <w:ind w:firstLine="426" w:firstLineChars="177"/>
        <w:rPr>
          <w:rFonts w:ascii="宋体" w:hAnsi="宋体" w:cs="Arial"/>
          <w:b/>
          <w:color w:val="000000"/>
          <w:kern w:val="0"/>
          <w:sz w:val="24"/>
        </w:rPr>
      </w:pPr>
      <w:r>
        <w:rPr>
          <w:rFonts w:ascii="宋体" w:hAnsi="宋体" w:cs="Arial"/>
          <w:b/>
          <w:color w:val="000000"/>
          <w:kern w:val="0"/>
          <w:sz w:val="24"/>
        </w:rPr>
        <w:t>8.2</w:t>
      </w:r>
      <w:r>
        <w:rPr>
          <w:rFonts w:hint="eastAsia" w:ascii="宋体" w:hAnsi="宋体" w:cs="Arial"/>
          <w:b/>
          <w:color w:val="000000"/>
          <w:kern w:val="0"/>
          <w:sz w:val="24"/>
        </w:rPr>
        <w:t>报价文件符合性审查中，存在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spacing w:line="360" w:lineRule="auto"/>
        <w:ind w:firstLine="426" w:firstLineChars="177"/>
        <w:rPr>
          <w:rFonts w:ascii="宋体" w:hAnsi="宋体"/>
          <w:b/>
          <w:sz w:val="24"/>
        </w:rPr>
      </w:pPr>
      <w:r>
        <w:rPr>
          <w:rFonts w:hint="eastAsia" w:ascii="宋体" w:hAnsi="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ascii="宋体" w:hAnsi="宋体"/>
          <w:b/>
          <w:sz w:val="24"/>
        </w:rPr>
      </w:pPr>
      <w:r>
        <w:rPr>
          <w:rFonts w:hint="eastAsia" w:ascii="宋体" w:hAnsi="宋体"/>
          <w:b/>
          <w:sz w:val="24"/>
        </w:rPr>
        <w:t>（2）投标文件存在一个或一个以上备选（替代）投标方案的；</w:t>
      </w:r>
    </w:p>
    <w:p>
      <w:pPr>
        <w:spacing w:line="360" w:lineRule="auto"/>
        <w:ind w:firstLine="426" w:firstLineChars="177"/>
        <w:rPr>
          <w:rFonts w:ascii="宋体" w:hAnsi="宋体"/>
          <w:b/>
          <w:sz w:val="24"/>
        </w:rPr>
      </w:pPr>
      <w:r>
        <w:rPr>
          <w:rFonts w:hint="eastAsia" w:ascii="宋体" w:hAnsi="宋体"/>
          <w:b/>
          <w:sz w:val="24"/>
        </w:rPr>
        <w:t>（3）未按照招标文件标明的币种报价的，或者投标报价涵盖的内容不符合招标文件要求的；</w:t>
      </w:r>
    </w:p>
    <w:p>
      <w:pPr>
        <w:spacing w:line="360" w:lineRule="auto"/>
        <w:ind w:firstLine="426" w:firstLineChars="177"/>
        <w:rPr>
          <w:rFonts w:ascii="宋体" w:hAnsi="宋体"/>
          <w:b/>
          <w:sz w:val="24"/>
        </w:rPr>
      </w:pPr>
      <w:r>
        <w:rPr>
          <w:rFonts w:hint="eastAsia" w:ascii="宋体" w:hAnsi="宋体"/>
          <w:b/>
          <w:sz w:val="24"/>
        </w:rPr>
        <w:t>（4）《开标一览表》内容与《投标报价明细表》内容不一致且拒不接受修正的；</w:t>
      </w:r>
    </w:p>
    <w:p>
      <w:pPr>
        <w:spacing w:line="360" w:lineRule="auto"/>
        <w:ind w:firstLine="426" w:firstLineChars="177"/>
        <w:rPr>
          <w:rFonts w:ascii="宋体" w:hAnsi="宋体"/>
          <w:b/>
          <w:sz w:val="24"/>
        </w:rPr>
      </w:pPr>
      <w:r>
        <w:rPr>
          <w:rFonts w:hint="eastAsia" w:ascii="宋体" w:hAnsi="宋体"/>
          <w:b/>
          <w:sz w:val="24"/>
        </w:rPr>
        <w:t>（5）投标报价具有选择性，唱标价格与《投标文件》承诺的优惠（折扣）后价格不一致的；</w:t>
      </w:r>
    </w:p>
    <w:p>
      <w:pPr>
        <w:spacing w:line="360" w:lineRule="auto"/>
        <w:ind w:firstLine="426" w:firstLineChars="177"/>
        <w:rPr>
          <w:rFonts w:ascii="宋体" w:hAnsi="宋体"/>
          <w:b/>
          <w:sz w:val="24"/>
        </w:rPr>
      </w:pPr>
      <w:r>
        <w:rPr>
          <w:rFonts w:hint="eastAsia" w:ascii="宋体" w:hAnsi="宋体"/>
          <w:b/>
          <w:sz w:val="24"/>
        </w:rPr>
        <w:t>（6）投标报价超过采购预算（或最高限价）的；</w:t>
      </w:r>
    </w:p>
    <w:p>
      <w:pPr>
        <w:spacing w:line="360" w:lineRule="auto"/>
        <w:ind w:firstLine="426" w:firstLineChars="177"/>
        <w:rPr>
          <w:rFonts w:ascii="宋体" w:hAnsi="宋体"/>
          <w:b/>
          <w:sz w:val="24"/>
        </w:rPr>
      </w:pPr>
      <w:r>
        <w:rPr>
          <w:rFonts w:hint="eastAsia" w:ascii="宋体" w:hAnsi="宋体"/>
          <w:b/>
          <w:sz w:val="24"/>
        </w:rPr>
        <w:t>（7）仅提交“备份投标文件”的；</w:t>
      </w:r>
    </w:p>
    <w:p>
      <w:pPr>
        <w:spacing w:line="360" w:lineRule="auto"/>
        <w:ind w:firstLine="426" w:firstLineChars="177"/>
        <w:rPr>
          <w:rFonts w:ascii="宋体" w:hAnsi="宋体"/>
          <w:b/>
          <w:sz w:val="24"/>
        </w:rPr>
      </w:pPr>
      <w:r>
        <w:rPr>
          <w:rFonts w:hint="eastAsia" w:ascii="宋体" w:hAnsi="宋体"/>
          <w:b/>
          <w:sz w:val="24"/>
        </w:rPr>
        <w:t>（8）投标文件组成内容不齐全，本招标文件规定必须提供而未提供的（属于资格审查范围的除外）；</w:t>
      </w:r>
    </w:p>
    <w:p>
      <w:pPr>
        <w:spacing w:line="360" w:lineRule="auto"/>
        <w:ind w:firstLine="426" w:firstLineChars="177"/>
        <w:rPr>
          <w:rFonts w:ascii="宋体" w:hAnsi="宋体"/>
          <w:b/>
          <w:sz w:val="24"/>
        </w:rPr>
      </w:pPr>
      <w:r>
        <w:rPr>
          <w:rFonts w:hint="eastAsia" w:ascii="宋体" w:hAnsi="宋体"/>
          <w:b/>
          <w:sz w:val="24"/>
        </w:rPr>
        <w:t>（9）投标文件标注的响应或偏离情况与事实不符，或提供了虚假材料的；</w:t>
      </w:r>
    </w:p>
    <w:p>
      <w:pPr>
        <w:spacing w:line="360" w:lineRule="auto"/>
        <w:ind w:firstLine="426" w:firstLineChars="177"/>
        <w:rPr>
          <w:rFonts w:ascii="宋体" w:hAnsi="宋体"/>
          <w:b/>
          <w:sz w:val="24"/>
        </w:rPr>
      </w:pPr>
      <w:r>
        <w:rPr>
          <w:rFonts w:hint="eastAsia" w:ascii="宋体" w:hAnsi="宋体"/>
          <w:b/>
          <w:sz w:val="24"/>
        </w:rPr>
        <w:t>（10）不响应或擅自改变本招标文件要求或投标文件有采购人不能接受的附加条件的；</w:t>
      </w:r>
    </w:p>
    <w:p>
      <w:pPr>
        <w:spacing w:line="360" w:lineRule="auto"/>
        <w:ind w:firstLine="426" w:firstLineChars="177"/>
        <w:rPr>
          <w:rFonts w:ascii="宋体" w:hAnsi="宋体" w:cs="宋体"/>
          <w:b/>
          <w:color w:val="000000"/>
          <w:sz w:val="24"/>
        </w:rPr>
      </w:pPr>
      <w:r>
        <w:rPr>
          <w:rFonts w:hint="eastAsia" w:ascii="宋体" w:hAnsi="宋体" w:cs="宋体"/>
          <w:b/>
          <w:sz w:val="24"/>
        </w:rPr>
        <w:t>（1</w:t>
      </w:r>
      <w:r>
        <w:rPr>
          <w:rFonts w:ascii="宋体" w:hAnsi="宋体" w:cs="宋体"/>
          <w:b/>
          <w:sz w:val="24"/>
        </w:rPr>
        <w:t>1</w:t>
      </w:r>
      <w:r>
        <w:rPr>
          <w:rFonts w:hint="eastAsia" w:ascii="宋体" w:hAnsi="宋体" w:cs="宋体"/>
          <w:b/>
          <w:sz w:val="24"/>
        </w:rPr>
        <w:t>）</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ascii="宋体" w:hAnsi="宋体" w:cs="Arial"/>
          <w:b/>
          <w:color w:val="000000"/>
          <w:kern w:val="0"/>
          <w:sz w:val="24"/>
        </w:rPr>
      </w:pPr>
      <w:r>
        <w:rPr>
          <w:rFonts w:hint="eastAsia" w:ascii="宋体" w:hAnsi="宋体"/>
          <w:b/>
          <w:sz w:val="24"/>
        </w:rPr>
        <w:t>（1</w:t>
      </w:r>
      <w:r>
        <w:rPr>
          <w:rFonts w:ascii="宋体" w:hAnsi="宋体"/>
          <w:b/>
          <w:sz w:val="24"/>
        </w:rPr>
        <w:t>2</w:t>
      </w:r>
      <w:r>
        <w:rPr>
          <w:rFonts w:hint="eastAsia" w:ascii="宋体" w:hAnsi="宋体"/>
          <w:b/>
          <w:sz w:val="24"/>
        </w:rPr>
        <w:t>）违反国家或政府部门相关法律、法规、文件规定的。</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（九）投标文件的评估、比较、评分</w:t>
      </w:r>
    </w:p>
    <w:p>
      <w:pPr>
        <w:spacing w:line="360" w:lineRule="auto"/>
        <w:ind w:firstLine="424" w:firstLineChars="177"/>
        <w:rPr>
          <w:rFonts w:ascii="宋体" w:hAnsi="宋体" w:cs="Arial"/>
          <w:color w:val="000000"/>
          <w:kern w:val="0"/>
          <w:sz w:val="24"/>
        </w:rPr>
      </w:pPr>
      <w:r>
        <w:rPr>
          <w:rFonts w:hint="eastAsia" w:ascii="宋体" w:hAnsi="宋体" w:cs="Arial"/>
          <w:color w:val="000000"/>
          <w:kern w:val="0"/>
          <w:sz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ascii="宋体" w:hAnsi="宋体" w:cs="Arial"/>
          <w:color w:val="000000"/>
          <w:kern w:val="0"/>
          <w:sz w:val="24"/>
        </w:rPr>
      </w:pPr>
      <w:r>
        <w:rPr>
          <w:rFonts w:hint="eastAsia" w:ascii="宋体" w:hAnsi="宋体" w:cs="Arial"/>
          <w:color w:val="000000"/>
          <w:kern w:val="0"/>
          <w:sz w:val="24"/>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（十）修改评审结果</w:t>
      </w:r>
    </w:p>
    <w:p>
      <w:pPr>
        <w:spacing w:line="360" w:lineRule="auto"/>
        <w:ind w:firstLine="487" w:firstLineChars="202"/>
        <w:rPr>
          <w:rFonts w:ascii="宋体" w:hAnsi="宋体"/>
          <w:b/>
          <w:color w:val="000000"/>
          <w:sz w:val="24"/>
        </w:rPr>
      </w:pPr>
      <w:r>
        <w:rPr>
          <w:rFonts w:hint="eastAsia" w:ascii="宋体" w:hAnsi="宋体"/>
          <w:b/>
          <w:color w:val="000000"/>
          <w:sz w:val="24"/>
        </w:rPr>
        <w:t>10.1评标结果汇总完成后，除下列情形外，任何人不得修改评标结果：</w:t>
      </w:r>
    </w:p>
    <w:p>
      <w:pPr>
        <w:spacing w:line="360" w:lineRule="auto"/>
        <w:ind w:firstLine="484" w:firstLineChars="202"/>
        <w:rPr>
          <w:rFonts w:ascii="宋体" w:hAnsi="宋体"/>
          <w:color w:val="000000"/>
          <w:sz w:val="24"/>
        </w:rPr>
      </w:pPr>
      <w:r>
        <w:rPr>
          <w:rFonts w:hint="eastAsia" w:ascii="宋体" w:hAnsi="宋体"/>
          <w:color w:val="000000"/>
          <w:sz w:val="24"/>
        </w:rPr>
        <w:t>（1）分值汇总计算错误的；</w:t>
      </w:r>
    </w:p>
    <w:p>
      <w:pPr>
        <w:spacing w:line="360" w:lineRule="auto"/>
        <w:ind w:firstLine="484" w:firstLineChars="202"/>
        <w:rPr>
          <w:rFonts w:ascii="宋体" w:hAnsi="宋体"/>
          <w:color w:val="000000"/>
          <w:sz w:val="24"/>
        </w:rPr>
      </w:pPr>
      <w:r>
        <w:rPr>
          <w:rFonts w:hint="eastAsia" w:ascii="宋体" w:hAnsi="宋体"/>
          <w:color w:val="000000"/>
          <w:sz w:val="24"/>
        </w:rPr>
        <w:t>（2）分项评分超出评分标准范围的；</w:t>
      </w:r>
    </w:p>
    <w:p>
      <w:pPr>
        <w:spacing w:line="360" w:lineRule="auto"/>
        <w:ind w:firstLine="484" w:firstLineChars="202"/>
        <w:rPr>
          <w:rFonts w:ascii="宋体" w:hAnsi="宋体"/>
          <w:color w:val="000000"/>
          <w:sz w:val="24"/>
        </w:rPr>
      </w:pPr>
      <w:r>
        <w:rPr>
          <w:rFonts w:hint="eastAsia" w:ascii="宋体" w:hAnsi="宋体"/>
          <w:color w:val="000000"/>
          <w:sz w:val="24"/>
        </w:rPr>
        <w:t>（3）评标委员会成员对客观评审因素评分不一致的；</w:t>
      </w:r>
    </w:p>
    <w:p>
      <w:pPr>
        <w:spacing w:line="360" w:lineRule="auto"/>
        <w:ind w:firstLine="484" w:firstLineChars="202"/>
        <w:rPr>
          <w:rFonts w:ascii="宋体" w:hAnsi="宋体"/>
          <w:color w:val="000000"/>
          <w:sz w:val="24"/>
        </w:rPr>
      </w:pPr>
      <w:r>
        <w:rPr>
          <w:rFonts w:hint="eastAsia" w:ascii="宋体" w:hAnsi="宋体"/>
          <w:color w:val="000000"/>
          <w:sz w:val="24"/>
        </w:rPr>
        <w:t>（4）经评标委员会认定评分畸高、畸低的</w:t>
      </w:r>
    </w:p>
    <w:p>
      <w:pPr>
        <w:spacing w:line="360" w:lineRule="auto"/>
        <w:ind w:firstLine="487" w:firstLineChars="202"/>
        <w:rPr>
          <w:rFonts w:ascii="宋体" w:hAnsi="宋体"/>
          <w:b/>
          <w:color w:val="000000"/>
          <w:sz w:val="24"/>
        </w:rPr>
      </w:pPr>
      <w:r>
        <w:rPr>
          <w:rFonts w:hint="eastAsia" w:ascii="宋体" w:hAnsi="宋体"/>
          <w:b/>
          <w:color w:val="000000"/>
          <w:sz w:val="24"/>
        </w:rPr>
        <w:t>10.2评标报告签署前，经复核发现存在以上情形之一的，评标委员会将当场修改评标结果，并在评标报告中记载。</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（十一）供应商排序及推荐中标（成交）候选供应商</w:t>
      </w:r>
    </w:p>
    <w:p>
      <w:pPr>
        <w:spacing w:line="360" w:lineRule="auto"/>
        <w:ind w:firstLine="426" w:firstLineChars="177"/>
        <w:rPr>
          <w:rFonts w:ascii="宋体" w:hAnsi="宋体"/>
          <w:b/>
          <w:color w:val="000000"/>
          <w:sz w:val="24"/>
        </w:rPr>
      </w:pPr>
      <w:r>
        <w:rPr>
          <w:rFonts w:hint="eastAsia" w:ascii="宋体" w:hAnsi="宋体"/>
          <w:b/>
          <w:color w:val="000000"/>
          <w:sz w:val="24"/>
        </w:rPr>
        <w:t>评标委员会根据以下规定确定供应商排名并推荐中标（成交）候选供应商。</w:t>
      </w:r>
    </w:p>
    <w:p>
      <w:pPr>
        <w:spacing w:line="360" w:lineRule="auto"/>
        <w:ind w:firstLine="465" w:firstLineChars="193"/>
        <w:rPr>
          <w:rFonts w:ascii="宋体" w:hAnsi="宋体" w:cs="Arial"/>
          <w:color w:val="000000"/>
          <w:kern w:val="0"/>
          <w:sz w:val="24"/>
        </w:rPr>
      </w:pPr>
      <w:r>
        <w:rPr>
          <w:rFonts w:ascii="宋体" w:hAnsi="宋体" w:cs="Arial"/>
          <w:b/>
          <w:color w:val="000000"/>
          <w:sz w:val="24"/>
        </w:rPr>
        <w:t>1</w:t>
      </w:r>
      <w:r>
        <w:rPr>
          <w:rFonts w:hint="eastAsia" w:ascii="宋体" w:hAnsi="宋体" w:cs="Arial"/>
          <w:b/>
          <w:color w:val="000000"/>
          <w:sz w:val="24"/>
        </w:rPr>
        <w:t>1.1评标委员会根据</w:t>
      </w:r>
      <w:r>
        <w:rPr>
          <w:rFonts w:ascii="宋体" w:hAnsi="宋体" w:cs="Arial"/>
          <w:b/>
          <w:color w:val="000000"/>
          <w:sz w:val="24"/>
        </w:rPr>
        <w:t>各投标供应商的</w:t>
      </w:r>
      <w:r>
        <w:rPr>
          <w:rFonts w:hint="eastAsia" w:ascii="宋体" w:hAnsi="宋体" w:cs="Arial"/>
          <w:b/>
          <w:color w:val="000000"/>
          <w:sz w:val="24"/>
        </w:rPr>
        <w:t>综合得分（商务技术分与报价得分之和）从高到低依次进行排名排序。特殊情形按以下原则处理：</w:t>
      </w:r>
    </w:p>
    <w:p>
      <w:pPr>
        <w:spacing w:line="360" w:lineRule="auto"/>
        <w:ind w:firstLine="463" w:firstLineChars="193"/>
        <w:rPr>
          <w:rFonts w:ascii="宋体" w:hAnsi="宋体" w:cs="Arial"/>
          <w:color w:val="000000"/>
          <w:sz w:val="24"/>
        </w:rPr>
      </w:pPr>
      <w:r>
        <w:rPr>
          <w:rFonts w:hint="eastAsia" w:ascii="宋体" w:hAnsi="宋体" w:cs="Arial"/>
          <w:color w:val="000000"/>
          <w:sz w:val="24"/>
        </w:rPr>
        <w:t>（1）综合得分</w:t>
      </w:r>
      <w:r>
        <w:rPr>
          <w:rFonts w:ascii="宋体" w:hAnsi="宋体" w:cs="Arial"/>
          <w:color w:val="000000"/>
          <w:sz w:val="24"/>
        </w:rPr>
        <w:t>相同的，按投标报价</w:t>
      </w:r>
      <w:r>
        <w:rPr>
          <w:rFonts w:hint="eastAsia" w:ascii="宋体" w:hAnsi="宋体" w:cs="Arial"/>
          <w:color w:val="000000"/>
          <w:sz w:val="24"/>
        </w:rPr>
        <w:t>低的优先原则确定排名；</w:t>
      </w:r>
    </w:p>
    <w:p>
      <w:pPr>
        <w:spacing w:line="360" w:lineRule="auto"/>
        <w:ind w:firstLine="463" w:firstLineChars="193"/>
        <w:rPr>
          <w:rFonts w:ascii="宋体" w:hAnsi="宋体" w:cs="Arial"/>
          <w:color w:val="000000"/>
          <w:sz w:val="24"/>
        </w:rPr>
      </w:pPr>
      <w:r>
        <w:rPr>
          <w:rFonts w:hint="eastAsia" w:ascii="宋体" w:hAnsi="宋体" w:cs="Arial"/>
          <w:color w:val="000000"/>
          <w:sz w:val="24"/>
        </w:rPr>
        <w:t>（2）综合得分和</w:t>
      </w:r>
      <w:r>
        <w:rPr>
          <w:rFonts w:ascii="宋体" w:hAnsi="宋体" w:cs="Arial"/>
          <w:color w:val="000000"/>
          <w:sz w:val="24"/>
        </w:rPr>
        <w:t>投标报价</w:t>
      </w:r>
      <w:r>
        <w:rPr>
          <w:rFonts w:hint="eastAsia" w:ascii="宋体" w:hAnsi="宋体" w:cs="Arial"/>
          <w:color w:val="000000"/>
          <w:sz w:val="24"/>
        </w:rPr>
        <w:t>均</w:t>
      </w:r>
      <w:r>
        <w:rPr>
          <w:rFonts w:ascii="宋体" w:hAnsi="宋体" w:cs="Arial"/>
          <w:color w:val="000000"/>
          <w:sz w:val="24"/>
        </w:rPr>
        <w:t>相同的，按</w:t>
      </w:r>
      <w:r>
        <w:rPr>
          <w:rFonts w:hint="eastAsia" w:ascii="宋体" w:hAnsi="宋体" w:cs="Arial"/>
          <w:color w:val="000000"/>
          <w:sz w:val="24"/>
        </w:rPr>
        <w:t>商务技术得分从高到低确定排名；</w:t>
      </w:r>
    </w:p>
    <w:p>
      <w:pPr>
        <w:spacing w:line="360" w:lineRule="auto"/>
        <w:ind w:firstLine="463" w:firstLineChars="193"/>
        <w:rPr>
          <w:rFonts w:ascii="宋体" w:hAnsi="宋体" w:cs="Arial"/>
          <w:color w:val="000000"/>
          <w:sz w:val="24"/>
        </w:rPr>
      </w:pPr>
      <w:r>
        <w:rPr>
          <w:rFonts w:hint="eastAsia" w:ascii="宋体" w:hAnsi="宋体" w:cs="Arial"/>
          <w:color w:val="000000"/>
          <w:sz w:val="24"/>
        </w:rPr>
        <w:t>（3）综合得分、</w:t>
      </w:r>
      <w:r>
        <w:rPr>
          <w:rFonts w:ascii="宋体" w:hAnsi="宋体" w:cs="Arial"/>
          <w:color w:val="000000"/>
          <w:sz w:val="24"/>
        </w:rPr>
        <w:t>投标报价</w:t>
      </w:r>
      <w:r>
        <w:rPr>
          <w:rFonts w:hint="eastAsia" w:ascii="宋体" w:hAnsi="宋体" w:cs="Arial"/>
          <w:color w:val="000000"/>
          <w:sz w:val="24"/>
        </w:rPr>
        <w:t>和商务技术得分均</w:t>
      </w:r>
      <w:r>
        <w:rPr>
          <w:rFonts w:ascii="宋体" w:hAnsi="宋体" w:cs="Arial"/>
          <w:color w:val="000000"/>
          <w:sz w:val="24"/>
        </w:rPr>
        <w:t>相同的</w:t>
      </w:r>
      <w:r>
        <w:rPr>
          <w:rFonts w:hint="eastAsia" w:ascii="宋体" w:hAnsi="宋体" w:cs="Arial"/>
          <w:color w:val="000000"/>
          <w:sz w:val="24"/>
        </w:rPr>
        <w:t>由评标委员会全体成员记名投票按少数服从多数的原则确定排名。</w:t>
      </w:r>
    </w:p>
    <w:p>
      <w:pPr>
        <w:spacing w:line="360" w:lineRule="auto"/>
        <w:ind w:firstLine="426" w:firstLineChars="177"/>
        <w:rPr>
          <w:rFonts w:ascii="宋体" w:hAnsi="宋体"/>
          <w:b/>
          <w:bCs/>
          <w:sz w:val="24"/>
        </w:rPr>
      </w:pPr>
      <w:r>
        <w:rPr>
          <w:rFonts w:ascii="宋体" w:hAnsi="宋体" w:cs="Arial"/>
          <w:b/>
          <w:color w:val="000000"/>
          <w:sz w:val="24"/>
        </w:rPr>
        <w:t>1</w:t>
      </w:r>
      <w:r>
        <w:rPr>
          <w:rFonts w:hint="eastAsia" w:ascii="宋体" w:hAnsi="宋体" w:cs="Arial"/>
          <w:b/>
          <w:color w:val="000000"/>
          <w:sz w:val="24"/>
        </w:rPr>
        <w:t>1.2根据最终得分排序，通过书面评审报告的形式，向采购人推荐</w:t>
      </w:r>
      <w:r>
        <w:rPr>
          <w:rFonts w:ascii="宋体" w:hAnsi="宋体" w:cs="Arial"/>
          <w:b/>
          <w:color w:val="000000"/>
          <w:kern w:val="0"/>
          <w:sz w:val="24"/>
        </w:rPr>
        <w:t>排名第一的投标供应商为中标（成交）</w:t>
      </w:r>
      <w:r>
        <w:rPr>
          <w:rFonts w:hint="eastAsia" w:ascii="宋体" w:hAnsi="宋体" w:cs="Arial"/>
          <w:b/>
          <w:color w:val="000000"/>
          <w:kern w:val="0"/>
          <w:sz w:val="24"/>
        </w:rPr>
        <w:t>候选供应商</w:t>
      </w:r>
      <w:r>
        <w:rPr>
          <w:rFonts w:ascii="宋体" w:hAnsi="宋体" w:cs="Arial"/>
          <w:b/>
          <w:color w:val="000000"/>
          <w:sz w:val="24"/>
        </w:rPr>
        <w:t>。</w:t>
      </w:r>
    </w:p>
    <w:p>
      <w:pPr>
        <w:pStyle w:val="5"/>
        <w:numPr>
          <w:ilvl w:val="2"/>
          <w:numId w:val="0"/>
        </w:numPr>
        <w:spacing w:before="0" w:after="0"/>
        <w:jc w:val="both"/>
        <w:rPr>
          <w:rFonts w:ascii="宋体" w:hAnsi="宋体" w:eastAsia="宋体" w:cs="宋体"/>
          <w:sz w:val="24"/>
          <w:szCs w:val="24"/>
        </w:rPr>
      </w:pPr>
      <w:r>
        <w:rPr>
          <w:rFonts w:hint="eastAsia" w:ascii="宋体" w:hAnsi="宋体" w:eastAsia="宋体" w:cs="宋体"/>
          <w:sz w:val="24"/>
          <w:szCs w:val="24"/>
        </w:rPr>
        <w:t>（十二）起草、签署评审报告</w:t>
      </w:r>
    </w:p>
    <w:p>
      <w:pPr>
        <w:spacing w:line="360" w:lineRule="auto"/>
        <w:ind w:firstLine="463" w:firstLineChars="193"/>
        <w:rPr>
          <w:rFonts w:ascii="宋体" w:hAnsi="宋体"/>
          <w:color w:val="000000"/>
          <w:sz w:val="24"/>
        </w:rPr>
      </w:pPr>
      <w:r>
        <w:rPr>
          <w:rFonts w:hint="eastAsia" w:ascii="宋体" w:hAnsi="宋体" w:cs="Arial"/>
          <w:color w:val="000000"/>
          <w:sz w:val="24"/>
        </w:rPr>
        <w:t>评审结束后，评标委员会将通过“政府采购云平台”</w:t>
      </w:r>
      <w:r>
        <w:rPr>
          <w:rFonts w:ascii="宋体" w:hAnsi="宋体" w:cs="Arial"/>
          <w:color w:val="000000"/>
          <w:sz w:val="24"/>
        </w:rPr>
        <w:t>起草评审报告，</w:t>
      </w:r>
      <w:r>
        <w:rPr>
          <w:rFonts w:hint="eastAsia" w:ascii="宋体" w:hAnsi="宋体"/>
          <w:color w:val="000000"/>
          <w:sz w:val="24"/>
        </w:rPr>
        <w:t>评标委员会成员应当在评审报告上签字，对自己的评审意见承担法律责任。对评审报告有异议的，应当在评审报告上签署不同意见，并说明理由，否则视为同意评审报告。</w:t>
      </w:r>
    </w:p>
    <w:p>
      <w:pPr>
        <w:pStyle w:val="5"/>
        <w:numPr>
          <w:ilvl w:val="0"/>
          <w:numId w:val="13"/>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评标办法</w:t>
      </w:r>
    </w:p>
    <w:p>
      <w:pPr>
        <w:pStyle w:val="148"/>
        <w:spacing w:before="0"/>
        <w:ind w:firstLine="482"/>
        <w:rPr>
          <w:rFonts w:ascii="宋体" w:hAnsi="宋体" w:cs="宋体"/>
          <w:color w:val="000000"/>
          <w:szCs w:val="24"/>
        </w:rPr>
      </w:pPr>
      <w:r>
        <w:rPr>
          <w:rFonts w:hint="eastAsia" w:ascii="宋体" w:hAnsi="宋体" w:eastAsia="宋体" w:cs="宋体"/>
          <w:b/>
          <w:color w:val="000000"/>
          <w:szCs w:val="24"/>
        </w:rPr>
        <w:t>1、</w:t>
      </w:r>
      <w:r>
        <w:rPr>
          <w:rFonts w:hint="eastAsia" w:ascii="宋体" w:hAnsi="宋体" w:cs="宋体"/>
          <w:b/>
          <w:color w:val="000000"/>
          <w:szCs w:val="24"/>
        </w:rPr>
        <w:t>本次评标采用综合评分法，总分为100分。</w:t>
      </w:r>
      <w:r>
        <w:rPr>
          <w:rFonts w:hint="eastAsia" w:ascii="宋体" w:hAnsi="宋体" w:cs="宋体"/>
          <w:color w:val="000000"/>
          <w:szCs w:val="24"/>
        </w:rPr>
        <w:t>合格投标人的评标得分为各项目汇总得分，中标候选资格按评标得分由高到低顺序排列，得分相同的，按投标报价由低到高顺序排列；得分且投标报价相同的，按技术指标优劣顺序排列。</w:t>
      </w:r>
      <w:r>
        <w:rPr>
          <w:rFonts w:hint="eastAsia" w:ascii="宋体" w:hAnsi="宋体" w:eastAsia="宋体" w:cs="宋体"/>
          <w:color w:val="000000"/>
          <w:szCs w:val="24"/>
        </w:rPr>
        <w:t>标段</w:t>
      </w:r>
      <w:r>
        <w:rPr>
          <w:rFonts w:hint="eastAsia" w:ascii="宋体" w:hAnsi="宋体" w:cs="宋体"/>
          <w:color w:val="000000"/>
          <w:szCs w:val="24"/>
        </w:rPr>
        <w:t>排名第一的投标人为第一中标候选人。评分过程中采用四舍五入法，并保留小数2位。</w:t>
      </w:r>
    </w:p>
    <w:p>
      <w:pPr>
        <w:pStyle w:val="148"/>
        <w:spacing w:before="0"/>
        <w:ind w:firstLine="482"/>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各投标人的综合得分为：投标价格得分+技术商务得分之和，总和为100分，其中：投标价格得分</w:t>
      </w:r>
      <w:r>
        <w:rPr>
          <w:rFonts w:hint="eastAsia" w:ascii="宋体" w:hAnsi="宋体" w:eastAsia="宋体" w:cs="宋体"/>
          <w:b/>
          <w:color w:val="000000" w:themeColor="text1"/>
          <w:szCs w:val="24"/>
          <w14:textFill>
            <w14:solidFill>
              <w14:schemeClr w14:val="tx1"/>
            </w14:solidFill>
          </w14:textFill>
        </w:rPr>
        <w:t>10分</w:t>
      </w:r>
      <w:r>
        <w:rPr>
          <w:rFonts w:hint="eastAsia" w:ascii="宋体" w:hAnsi="宋体" w:cs="宋体"/>
          <w:b/>
          <w:color w:val="000000" w:themeColor="text1"/>
          <w:szCs w:val="24"/>
          <w14:textFill>
            <w14:solidFill>
              <w14:schemeClr w14:val="tx1"/>
            </w14:solidFill>
          </w14:textFill>
        </w:rPr>
        <w:t>，商务技术得分</w:t>
      </w:r>
      <w:r>
        <w:rPr>
          <w:rFonts w:hint="eastAsia" w:ascii="宋体" w:hAnsi="宋体" w:eastAsia="宋体" w:cs="宋体"/>
          <w:b/>
          <w:color w:val="000000" w:themeColor="text1"/>
          <w:szCs w:val="24"/>
          <w14:textFill>
            <w14:solidFill>
              <w14:schemeClr w14:val="tx1"/>
            </w14:solidFill>
          </w14:textFill>
        </w:rPr>
        <w:t>90分</w:t>
      </w:r>
      <w:r>
        <w:rPr>
          <w:rFonts w:hint="eastAsia" w:ascii="宋体" w:hAnsi="宋体" w:cs="宋体"/>
          <w:b/>
          <w:color w:val="000000" w:themeColor="text1"/>
          <w:szCs w:val="24"/>
          <w14:textFill>
            <w14:solidFill>
              <w14:schemeClr w14:val="tx1"/>
            </w14:solidFill>
          </w14:textFill>
        </w:rPr>
        <w:t>。</w:t>
      </w:r>
    </w:p>
    <w:p>
      <w:pPr>
        <w:snapToGrid w:val="0"/>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2、商务技术评标细则（90分）</w:t>
      </w:r>
    </w:p>
    <w:p>
      <w:pPr>
        <w:snapToGrid w:val="0"/>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评标标准如下：</w:t>
      </w:r>
    </w:p>
    <w:tbl>
      <w:tblPr>
        <w:tblStyle w:val="78"/>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01"/>
        <w:gridCol w:w="1230"/>
        <w:gridCol w:w="5962"/>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dxa"/>
            <w:vAlign w:val="center"/>
          </w:tcPr>
          <w:p>
            <w:pPr>
              <w:jc w:val="center"/>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序号</w:t>
            </w:r>
          </w:p>
        </w:tc>
        <w:tc>
          <w:tcPr>
            <w:tcW w:w="8193" w:type="dxa"/>
            <w:gridSpan w:val="3"/>
            <w:vAlign w:val="center"/>
          </w:tcPr>
          <w:p>
            <w:pPr>
              <w:jc w:val="center"/>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评分</w:t>
            </w:r>
            <w:r>
              <w:rPr>
                <w:rFonts w:hint="eastAsia" w:ascii="宋体" w:hAnsi="宋体" w:cs="宋体"/>
                <w:b/>
                <w:color w:val="000000" w:themeColor="text1"/>
                <w:sz w:val="24"/>
                <w14:textFill>
                  <w14:solidFill>
                    <w14:schemeClr w14:val="tx1"/>
                  </w14:solidFill>
                </w14:textFill>
              </w:rPr>
              <w:t>细则</w:t>
            </w:r>
          </w:p>
        </w:tc>
        <w:tc>
          <w:tcPr>
            <w:tcW w:w="1057"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25"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001"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项目解读</w:t>
            </w:r>
          </w:p>
          <w:p>
            <w:pPr>
              <w:pStyle w:val="88"/>
              <w:jc w:val="center"/>
              <w:rPr>
                <w:color w:val="000000" w:themeColor="text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w:t>
            </w:r>
            <w:r>
              <w:rPr>
                <w:color w:val="000000" w:themeColor="text1"/>
                <w:sz w:val="21"/>
                <w:szCs w:val="21"/>
                <w:highlight w:val="none"/>
                <w:lang w:val="en-US"/>
                <w14:textFill>
                  <w14:solidFill>
                    <w14:schemeClr w14:val="tx1"/>
                  </w14:solidFill>
                </w14:textFill>
              </w:rPr>
              <w:t>14分）</w:t>
            </w:r>
          </w:p>
        </w:tc>
        <w:tc>
          <w:tcPr>
            <w:tcW w:w="12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背景概述</w:t>
            </w: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分析本项目研究背景。根据资料数据详实准确、分析透彻、认识全面情况进行打分0-</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25" w:type="dxa"/>
            <w:vMerge w:val="continue"/>
            <w:vAlign w:val="center"/>
          </w:tcPr>
          <w:p>
            <w:pPr>
              <w:jc w:val="center"/>
              <w:rPr>
                <w:rFonts w:ascii="宋体" w:hAnsi="宋体"/>
                <w:color w:val="000000" w:themeColor="text1"/>
                <w:szCs w:val="21"/>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现状解读</w:t>
            </w: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对综合交通现状发展情况进行分析（包括对外交通、城市路网、轨道</w:t>
            </w:r>
            <w:r>
              <w:rPr>
                <w:rFonts w:ascii="宋体" w:hAnsi="宋体" w:cs="宋体"/>
                <w:color w:val="000000" w:themeColor="text1"/>
                <w:szCs w:val="21"/>
                <w14:textFill>
                  <w14:solidFill>
                    <w14:schemeClr w14:val="tx1"/>
                  </w14:solidFill>
                </w14:textFill>
              </w:rPr>
              <w:t>交通、</w:t>
            </w:r>
            <w:r>
              <w:rPr>
                <w:rFonts w:hint="eastAsia" w:ascii="宋体" w:hAnsi="宋体" w:cs="宋体"/>
                <w:color w:val="000000" w:themeColor="text1"/>
                <w:szCs w:val="21"/>
                <w14:textFill>
                  <w14:solidFill>
                    <w14:schemeClr w14:val="tx1"/>
                  </w14:solidFill>
                </w14:textFill>
              </w:rPr>
              <w:t>公共交通、交通模式），根据分析和研判是否准确、到位打分0-5分。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highlight w:val="none"/>
                <w14:textFill>
                  <w14:solidFill>
                    <w14:schemeClr w14:val="tx1"/>
                  </w14:solidFill>
                </w14:textFill>
              </w:rPr>
            </w:pPr>
          </w:p>
        </w:tc>
        <w:tc>
          <w:tcPr>
            <w:tcW w:w="12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规划衔接</w:t>
            </w: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分析规划范围及周边的规划建设情况，与区域性规划、市区层面规划、以及相邻区域规划研究做好规划衔接。根据资料详实、衔接到位情况进行打分0-5分。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23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目标定位</w:t>
            </w:r>
          </w:p>
        </w:tc>
        <w:tc>
          <w:tcPr>
            <w:tcW w:w="5962"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合理分析</w:t>
            </w:r>
            <w:r>
              <w:rPr>
                <w:rFonts w:ascii="宋体" w:hAnsi="宋体" w:cs="宋体"/>
                <w:color w:val="000000" w:themeColor="text1"/>
                <w:szCs w:val="21"/>
                <w14:textFill>
                  <w14:solidFill>
                    <w14:schemeClr w14:val="tx1"/>
                  </w14:solidFill>
                </w14:textFill>
              </w:rPr>
              <w:t>项目工作任务，提出科学明确的目标定位，根据合理性、科学性</w:t>
            </w:r>
            <w:r>
              <w:rPr>
                <w:rFonts w:hint="eastAsia" w:ascii="宋体" w:hAnsi="宋体" w:cs="宋体"/>
                <w:color w:val="000000" w:themeColor="text1"/>
                <w:szCs w:val="21"/>
                <w14:textFill>
                  <w14:solidFill>
                    <w14:schemeClr w14:val="tx1"/>
                  </w14:solidFill>
                </w14:textFill>
              </w:rPr>
              <w:t>进行</w:t>
            </w:r>
            <w:r>
              <w:rPr>
                <w:rFonts w:ascii="宋体" w:hAnsi="宋体" w:cs="宋体"/>
                <w:color w:val="000000" w:themeColor="text1"/>
                <w:szCs w:val="21"/>
                <w14:textFill>
                  <w14:solidFill>
                    <w14:schemeClr w14:val="tx1"/>
                  </w14:solidFill>
                </w14:textFill>
              </w:rPr>
              <w:t>打分</w:t>
            </w:r>
            <w:r>
              <w:rPr>
                <w:rFonts w:hint="eastAsia" w:ascii="宋体" w:hAnsi="宋体" w:cs="宋体"/>
                <w:color w:val="000000" w:themeColor="text1"/>
                <w:szCs w:val="21"/>
                <w14:textFill>
                  <w14:solidFill>
                    <w14:schemeClr w14:val="tx1"/>
                  </w14:solidFill>
                </w14:textFill>
              </w:rPr>
              <w:t>0</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00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技术路线和</w:t>
            </w:r>
            <w:r>
              <w:rPr>
                <w:rFonts w:ascii="宋体" w:hAnsi="宋体"/>
                <w:color w:val="000000" w:themeColor="text1"/>
                <w:szCs w:val="21"/>
                <w14:textFill>
                  <w14:solidFill>
                    <w14:schemeClr w14:val="tx1"/>
                  </w14:solidFill>
                </w14:textFill>
              </w:rPr>
              <w:t>时间进度</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w:t>
            </w:r>
          </w:p>
        </w:tc>
        <w:tc>
          <w:tcPr>
            <w:tcW w:w="7192" w:type="dxa"/>
            <w:gridSpan w:val="2"/>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制定科学</w:t>
            </w:r>
            <w:r>
              <w:rPr>
                <w:rFonts w:ascii="宋体" w:hAnsi="宋体" w:cs="宋体"/>
                <w:color w:val="000000" w:themeColor="text1"/>
                <w:szCs w:val="21"/>
                <w14:textFill>
                  <w14:solidFill>
                    <w14:schemeClr w14:val="tx1"/>
                  </w14:solidFill>
                </w14:textFill>
              </w:rPr>
              <w:t>合理</w:t>
            </w:r>
            <w:r>
              <w:rPr>
                <w:rFonts w:hint="eastAsia" w:ascii="宋体" w:hAnsi="宋体" w:cs="宋体"/>
                <w:color w:val="000000" w:themeColor="text1"/>
                <w:szCs w:val="21"/>
                <w14:textFill>
                  <w14:solidFill>
                    <w14:schemeClr w14:val="tx1"/>
                  </w14:solidFill>
                </w14:textFill>
              </w:rPr>
              <w:t>的技术路线和</w:t>
            </w:r>
            <w:r>
              <w:rPr>
                <w:rFonts w:ascii="宋体" w:hAnsi="宋体" w:cs="宋体"/>
                <w:color w:val="000000" w:themeColor="text1"/>
                <w:szCs w:val="21"/>
                <w14:textFill>
                  <w14:solidFill>
                    <w14:schemeClr w14:val="tx1"/>
                  </w14:solidFill>
                </w14:textFill>
              </w:rPr>
              <w:t>内容框架，合理安排规划设计时间</w:t>
            </w:r>
            <w:r>
              <w:rPr>
                <w:rFonts w:hint="eastAsia" w:ascii="宋体" w:hAnsi="宋体" w:cs="宋体"/>
                <w:color w:val="000000" w:themeColor="text1"/>
                <w:szCs w:val="21"/>
                <w14:textFill>
                  <w14:solidFill>
                    <w14:schemeClr w14:val="tx1"/>
                  </w14:solidFill>
                </w14:textFill>
              </w:rPr>
              <w:t>。根据技术路线的研究思路是否合理并契合项目要求进行打分0-</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25"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001"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内容要求</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48</w:t>
            </w:r>
            <w:r>
              <w:rPr>
                <w:rFonts w:hint="eastAsia" w:ascii="宋体" w:hAnsi="宋体"/>
                <w:color w:val="000000" w:themeColor="text1"/>
                <w:szCs w:val="21"/>
                <w14:textFill>
                  <w14:solidFill>
                    <w14:schemeClr w14:val="tx1"/>
                  </w14:solidFill>
                </w14:textFill>
              </w:rPr>
              <w:t>分）</w:t>
            </w:r>
          </w:p>
        </w:tc>
        <w:tc>
          <w:tcPr>
            <w:tcW w:w="1230"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交通调查研究</w:t>
            </w:r>
          </w:p>
        </w:tc>
        <w:tc>
          <w:tcPr>
            <w:tcW w:w="5962" w:type="dxa"/>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根据《城市综合交通调查技术标准》（GB/T51334-2018）及余杭区实际情况，制定调查内容与方案，根据调查方案的</w:t>
            </w:r>
            <w:r>
              <w:rPr>
                <w:rFonts w:hint="eastAsia" w:asciiTheme="minorEastAsia" w:hAnsiTheme="minorEastAsia" w:eastAsiaTheme="minorEastAsia"/>
                <w:color w:val="000000" w:themeColor="text1"/>
                <w14:textFill>
                  <w14:solidFill>
                    <w14:schemeClr w14:val="tx1"/>
                  </w14:solidFill>
                </w14:textFill>
              </w:rPr>
              <w:t>科学</w:t>
            </w:r>
            <w:r>
              <w:rPr>
                <w:rFonts w:asciiTheme="minorEastAsia" w:hAnsiTheme="minorEastAsia" w:eastAsiaTheme="minorEastAsia"/>
                <w:color w:val="000000" w:themeColor="text1"/>
                <w14:textFill>
                  <w14:solidFill>
                    <w14:schemeClr w14:val="tx1"/>
                  </w14:solidFill>
                </w14:textFill>
              </w:rPr>
              <w:t>性与合理性进行打分0-4分。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25" w:type="dxa"/>
            <w:vMerge w:val="continue"/>
            <w:vAlign w:val="center"/>
          </w:tcPr>
          <w:p>
            <w:pPr>
              <w:jc w:val="center"/>
              <w:rPr>
                <w:rFonts w:ascii="宋体" w:hAnsi="宋体"/>
                <w:color w:val="000000" w:themeColor="text1"/>
                <w:szCs w:val="21"/>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5962" w:type="dxa"/>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运用传统调查与大数据分析手段，根据大数据分析手段的多样性及与传统方式的协同</w:t>
            </w:r>
            <w:r>
              <w:rPr>
                <w:rFonts w:hint="eastAsia" w:asciiTheme="minorEastAsia" w:hAnsiTheme="minorEastAsia" w:eastAsiaTheme="minorEastAsia"/>
                <w:color w:val="000000" w:themeColor="text1"/>
                <w14:textFill>
                  <w14:solidFill>
                    <w14:schemeClr w14:val="tx1"/>
                  </w14:solidFill>
                </w14:textFill>
              </w:rPr>
              <w:t>性</w:t>
            </w:r>
            <w:r>
              <w:rPr>
                <w:rFonts w:asciiTheme="minorEastAsia" w:hAnsiTheme="minorEastAsia" w:eastAsiaTheme="minorEastAsia"/>
                <w:color w:val="000000" w:themeColor="text1"/>
                <w14:textFill>
                  <w14:solidFill>
                    <w14:schemeClr w14:val="tx1"/>
                  </w14:solidFill>
                </w14:textFill>
              </w:rPr>
              <w:t>进行打分0-2分。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25" w:type="dxa"/>
            <w:vMerge w:val="continue"/>
            <w:vAlign w:val="center"/>
          </w:tcPr>
          <w:p>
            <w:pPr>
              <w:jc w:val="center"/>
              <w:rPr>
                <w:rFonts w:ascii="宋体" w:hAnsi="宋体"/>
                <w:color w:val="000000" w:themeColor="text1"/>
                <w:szCs w:val="21"/>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5962" w:type="dxa"/>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制定调查组织方案与保障措施，根据组织方案的经济性与合理性进行打分0-2分。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25" w:type="dxa"/>
            <w:vMerge w:val="continue"/>
            <w:vAlign w:val="center"/>
          </w:tcPr>
          <w:p>
            <w:pPr>
              <w:jc w:val="center"/>
              <w:rPr>
                <w:rFonts w:ascii="宋体" w:hAnsi="宋体"/>
                <w:color w:val="000000" w:themeColor="text1"/>
                <w:szCs w:val="21"/>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发展战略研究</w:t>
            </w: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进行发展趋势分析和需求预测。结合相关规划和交通调查分析工作，研判余杭区未来发展趋势，对余杭区未来交通系统发展进行定量需求分析，根据趋势分析和需求预测分析工作的合理性和完整性进行打分</w:t>
            </w:r>
            <w:r>
              <w:rPr>
                <w:rFonts w:ascii="宋体" w:hAnsi="宋体" w:cs="宋体"/>
                <w:color w:val="000000" w:themeColor="text1"/>
                <w:szCs w:val="21"/>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25" w:type="dxa"/>
            <w:vMerge w:val="continue"/>
            <w:vAlign w:val="center"/>
          </w:tcPr>
          <w:p>
            <w:pPr>
              <w:jc w:val="center"/>
              <w:rPr>
                <w:rFonts w:ascii="宋体" w:hAnsi="宋体"/>
                <w:color w:val="000000" w:themeColor="text1"/>
                <w:szCs w:val="21"/>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制定余杭区综合交通发展战略。提出新形势下余杭区综合交通体系发展模式和系统功能，制定中长期发展战略，根据发展战略是否能够反应余杭区实际情况和未来发展需求进行打分</w:t>
            </w:r>
            <w:r>
              <w:rPr>
                <w:rFonts w:ascii="宋体" w:hAnsi="宋体" w:cs="宋体"/>
                <w:color w:val="000000" w:themeColor="text1"/>
                <w:szCs w:val="21"/>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骨架交通系统方案</w:t>
            </w: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提出余杭区区域交通总体策略</w:t>
            </w:r>
            <w:r>
              <w:rPr>
                <w:rFonts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14:textFill>
                  <w14:solidFill>
                    <w14:schemeClr w14:val="tx1"/>
                  </w14:solidFill>
                </w14:textFill>
              </w:rPr>
              <w:t>规划设计方案。根据规划方案的合理性和完整性进行打分</w:t>
            </w:r>
            <w:r>
              <w:rPr>
                <w:rFonts w:ascii="宋体" w:hAnsi="宋体" w:cs="宋体"/>
                <w:color w:val="000000" w:themeColor="text1"/>
                <w:szCs w:val="21"/>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提出余杭区轨道交通总体策略</w:t>
            </w:r>
            <w:r>
              <w:rPr>
                <w:rFonts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14:textFill>
                  <w14:solidFill>
                    <w14:schemeClr w14:val="tx1"/>
                  </w14:solidFill>
                </w14:textFill>
              </w:rPr>
              <w:t>规划设计方案。根据规划方案的合理性和完整性进行打分</w:t>
            </w:r>
            <w:r>
              <w:rPr>
                <w:rFonts w:ascii="宋体" w:hAnsi="宋体" w:cs="宋体"/>
                <w:color w:val="000000" w:themeColor="text1"/>
                <w:szCs w:val="21"/>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提出余杭区骨架路网总体策略</w:t>
            </w:r>
            <w:r>
              <w:rPr>
                <w:rFonts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14:textFill>
                  <w14:solidFill>
                    <w14:schemeClr w14:val="tx1"/>
                  </w14:solidFill>
                </w14:textFill>
              </w:rPr>
              <w:t>规划设计方案。根据规划方案的合理性和完整性进行打分</w:t>
            </w:r>
            <w:r>
              <w:rPr>
                <w:rFonts w:ascii="宋体" w:hAnsi="宋体" w:cs="宋体"/>
                <w:color w:val="000000" w:themeColor="text1"/>
                <w:szCs w:val="21"/>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提出余杭区客运枢纽总体策略</w:t>
            </w:r>
            <w:r>
              <w:rPr>
                <w:rFonts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14:textFill>
                  <w14:solidFill>
                    <w14:schemeClr w14:val="tx1"/>
                  </w14:solidFill>
                </w14:textFill>
              </w:rPr>
              <w:t>规划设计方案。根据规划方案的合理性和完整性进行打分</w:t>
            </w:r>
            <w:r>
              <w:rPr>
                <w:rFonts w:ascii="宋体" w:hAnsi="宋体" w:cs="宋体"/>
                <w:color w:val="000000" w:themeColor="text1"/>
                <w:szCs w:val="21"/>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特色交通系统方案</w:t>
            </w: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提出余杭区慢行交通总体策略</w:t>
            </w:r>
            <w:r>
              <w:rPr>
                <w:rFonts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14:textFill>
                  <w14:solidFill>
                    <w14:schemeClr w14:val="tx1"/>
                  </w14:solidFill>
                </w14:textFill>
              </w:rPr>
              <w:t>规划设计方案。根据规划方案的合理性和完整性进行打分</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提出余杭区特色公交总体策略</w:t>
            </w:r>
            <w:r>
              <w:rPr>
                <w:rFonts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14:textFill>
                  <w14:solidFill>
                    <w14:schemeClr w14:val="tx1"/>
                  </w14:solidFill>
                </w14:textFill>
              </w:rPr>
              <w:t>规划设计方案。根据规划方案的合理性和完整性进行打分</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25" w:type="dxa"/>
            <w:vMerge w:val="continue"/>
            <w:vAlign w:val="center"/>
          </w:tcPr>
          <w:p>
            <w:pPr>
              <w:jc w:val="center"/>
              <w:rPr>
                <w:rFonts w:ascii="宋体" w:hAnsi="宋体"/>
                <w:color w:val="000000" w:themeColor="text1"/>
                <w:szCs w:val="21"/>
                <w:highlight w:val="yellow"/>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123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596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提出余杭区智慧交通总体策略</w:t>
            </w:r>
            <w:r>
              <w:rPr>
                <w:rFonts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14:textFill>
                  <w14:solidFill>
                    <w14:schemeClr w14:val="tx1"/>
                  </w14:solidFill>
                </w14:textFill>
              </w:rPr>
              <w:t>规划设计方案。根据规划方案的合理性和完整性进行打分</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2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100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项目业绩</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6分）</w:t>
            </w:r>
          </w:p>
        </w:tc>
        <w:tc>
          <w:tcPr>
            <w:tcW w:w="7192" w:type="dxa"/>
            <w:gridSpan w:val="2"/>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投标人自</w:t>
            </w:r>
            <w:r>
              <w:rPr>
                <w:rFonts w:ascii="宋体" w:hAnsi="宋体" w:cs="宋体"/>
                <w:color w:val="000000" w:themeColor="text1"/>
                <w:szCs w:val="21"/>
                <w14:textFill>
                  <w14:solidFill>
                    <w14:schemeClr w14:val="tx1"/>
                  </w14:solidFill>
                </w14:textFill>
              </w:rPr>
              <w:t>2018年1月1日（以合同签订时间为准）以来，承担</w:t>
            </w:r>
            <w:r>
              <w:rPr>
                <w:rFonts w:hint="eastAsia" w:ascii="宋体" w:hAnsi="宋体" w:cs="宋体"/>
                <w:color w:val="000000" w:themeColor="text1"/>
                <w:szCs w:val="21"/>
                <w14:textFill>
                  <w14:solidFill>
                    <w14:schemeClr w14:val="tx1"/>
                  </w14:solidFill>
                </w14:textFill>
              </w:rPr>
              <w:t>过综合交通规划相关项目（包括综合性交通规划研究等），区（县）级项目得</w:t>
            </w:r>
            <w:r>
              <w:rPr>
                <w:rFonts w:ascii="宋体" w:hAnsi="宋体" w:cs="宋体"/>
                <w:color w:val="000000" w:themeColor="text1"/>
                <w:szCs w:val="21"/>
                <w14:textFill>
                  <w14:solidFill>
                    <w14:schemeClr w14:val="tx1"/>
                  </w14:solidFill>
                </w14:textFill>
              </w:rPr>
              <w:t>1分，地市级项目得2</w:t>
            </w:r>
            <w:r>
              <w:rPr>
                <w:rFonts w:hint="eastAsia" w:ascii="宋体" w:hAnsi="宋体" w:cs="宋体"/>
                <w:color w:val="000000" w:themeColor="text1"/>
                <w:szCs w:val="21"/>
                <w14:textFill>
                  <w14:solidFill>
                    <w14:schemeClr w14:val="tx1"/>
                  </w14:solidFill>
                </w14:textFill>
              </w:rPr>
              <w:t>分，</w:t>
            </w:r>
            <w:r>
              <w:rPr>
                <w:rFonts w:hint="eastAsia"/>
                <w:color w:val="000000" w:themeColor="text1"/>
                <w14:textFill>
                  <w14:solidFill>
                    <w14:schemeClr w14:val="tx1"/>
                  </w14:solidFill>
                </w14:textFill>
              </w:rPr>
              <w:t>累计</w:t>
            </w:r>
            <w:r>
              <w:rPr>
                <w:rFonts w:hint="eastAsia" w:ascii="宋体" w:hAnsi="宋体" w:cs="宋体"/>
                <w:color w:val="000000" w:themeColor="text1"/>
                <w:szCs w:val="21"/>
                <w14:textFill>
                  <w14:solidFill>
                    <w14:schemeClr w14:val="tx1"/>
                  </w14:solidFill>
                </w14:textFill>
              </w:rPr>
              <w:t>最高得</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分。【需提供合同（证明材料应能体现投标人、项目类型）复印件加盖公章，未提供不得分】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0-6</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62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100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投标人获奖情况</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（5分）</w:t>
            </w:r>
          </w:p>
        </w:tc>
        <w:tc>
          <w:tcPr>
            <w:tcW w:w="7192" w:type="dxa"/>
            <w:gridSpan w:val="2"/>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投标人自</w:t>
            </w:r>
            <w:r>
              <w:rPr>
                <w:rFonts w:ascii="宋体" w:hAnsi="宋体" w:cs="宋体"/>
                <w:color w:val="000000" w:themeColor="text1"/>
                <w:szCs w:val="21"/>
                <w:highlight w:val="none"/>
                <w14:textFill>
                  <w14:solidFill>
                    <w14:schemeClr w14:val="tx1"/>
                  </w14:solidFill>
                </w14:textFill>
              </w:rPr>
              <w:t>2018年1月1日以来</w:t>
            </w:r>
            <w:r>
              <w:rPr>
                <w:rFonts w:hint="eastAsia" w:ascii="宋体" w:hAnsi="宋体"/>
                <w:color w:val="000000" w:themeColor="text1"/>
                <w:highlight w:val="none"/>
                <w14:textFill>
                  <w14:solidFill>
                    <w14:schemeClr w14:val="tx1"/>
                  </w14:solidFill>
                </w14:textFill>
              </w:rPr>
              <w:t>（计算时间以获奖时间为准）</w:t>
            </w:r>
            <w:r>
              <w:rPr>
                <w:rFonts w:ascii="宋体" w:hAnsi="宋体" w:cs="宋体"/>
                <w:color w:val="000000" w:themeColor="text1"/>
                <w:szCs w:val="21"/>
                <w:highlight w:val="none"/>
                <w14:textFill>
                  <w14:solidFill>
                    <w14:schemeClr w14:val="tx1"/>
                  </w14:solidFill>
                </w14:textFill>
              </w:rPr>
              <w:t>，承担的综合交通规划相关项目（包括综合性交通规划研究等），获得城乡规划（城市规划）设计类奖项，省级得1分，国家级得2分，</w:t>
            </w:r>
            <w:r>
              <w:rPr>
                <w:rFonts w:hint="eastAsia"/>
                <w:color w:val="000000" w:themeColor="text1"/>
                <w:highlight w:val="none"/>
                <w14:textFill>
                  <w14:solidFill>
                    <w14:schemeClr w14:val="tx1"/>
                  </w14:solidFill>
                </w14:textFill>
              </w:rPr>
              <w:t>累计</w:t>
            </w:r>
            <w:r>
              <w:rPr>
                <w:rFonts w:ascii="宋体" w:hAnsi="宋体" w:cs="宋体"/>
                <w:color w:val="000000" w:themeColor="text1"/>
                <w:szCs w:val="21"/>
                <w:highlight w:val="none"/>
                <w14:textFill>
                  <w14:solidFill>
                    <w14:schemeClr w14:val="tx1"/>
                  </w14:solidFill>
                </w14:textFill>
              </w:rPr>
              <w:t>最高得5分。</w:t>
            </w:r>
            <w:r>
              <w:rPr>
                <w:rFonts w:hint="eastAsia" w:ascii="宋体" w:hAnsi="宋体" w:cs="宋体"/>
                <w:color w:val="000000" w:themeColor="text1"/>
                <w:szCs w:val="21"/>
                <w:highlight w:val="none"/>
                <w14:textFill>
                  <w14:solidFill>
                    <w14:schemeClr w14:val="tx1"/>
                  </w14:solidFill>
                </w14:textFill>
              </w:rPr>
              <w:t>【提供获奖文件或荣誉证书复印件加盖公章，</w:t>
            </w:r>
            <w:r>
              <w:rPr>
                <w:rFonts w:hint="eastAsia" w:ascii="宋体" w:hAnsi="宋体" w:cs="宋体"/>
                <w:color w:val="000000" w:themeColor="text1"/>
                <w:szCs w:val="21"/>
                <w:highlight w:val="none"/>
                <w:lang w:eastAsia="zh-CN"/>
                <w14:textFill>
                  <w14:solidFill>
                    <w14:schemeClr w14:val="tx1"/>
                  </w14:solidFill>
                </w14:textFill>
              </w:rPr>
              <w:t>如</w:t>
            </w:r>
            <w:r>
              <w:rPr>
                <w:rFonts w:hint="eastAsia" w:ascii="宋体" w:hAnsi="宋体" w:cs="宋体"/>
                <w:color w:val="000000" w:themeColor="text1"/>
                <w:szCs w:val="21"/>
                <w:highlight w:val="none"/>
                <w14:textFill>
                  <w14:solidFill>
                    <w14:schemeClr w14:val="tx1"/>
                  </w14:solidFill>
                </w14:textFill>
              </w:rPr>
              <w:t>获奖文件或荣誉证书</w:t>
            </w:r>
            <w:r>
              <w:rPr>
                <w:rFonts w:hint="eastAsia" w:ascii="宋体" w:hAnsi="宋体" w:cs="宋体"/>
                <w:color w:val="000000" w:themeColor="text1"/>
                <w:szCs w:val="21"/>
                <w:highlight w:val="none"/>
                <w:lang w:eastAsia="zh-CN"/>
                <w14:textFill>
                  <w14:solidFill>
                    <w14:schemeClr w14:val="tx1"/>
                  </w14:solidFill>
                </w14:textFill>
              </w:rPr>
              <w:t>未体现项目类型的，须提供</w:t>
            </w:r>
            <w:r>
              <w:rPr>
                <w:rFonts w:hint="eastAsia" w:ascii="宋体" w:hAnsi="宋体" w:cs="宋体"/>
                <w:color w:val="000000" w:themeColor="text1"/>
                <w:kern w:val="2"/>
                <w:sz w:val="21"/>
                <w:szCs w:val="21"/>
                <w:highlight w:val="none"/>
                <w:lang w:eastAsia="zh-CN"/>
                <w14:textFill>
                  <w14:solidFill>
                    <w14:schemeClr w14:val="tx1"/>
                  </w14:solidFill>
                </w14:textFill>
              </w:rPr>
              <w:t>体现项目类型的合理证明材料，</w:t>
            </w:r>
            <w:r>
              <w:rPr>
                <w:rFonts w:hint="eastAsia" w:ascii="宋体" w:hAnsi="宋体" w:cs="宋体"/>
                <w:color w:val="000000" w:themeColor="text1"/>
                <w:szCs w:val="21"/>
                <w:highlight w:val="none"/>
                <w14:textFill>
                  <w14:solidFill>
                    <w14:schemeClr w14:val="tx1"/>
                  </w14:solidFill>
                </w14:textFill>
              </w:rPr>
              <w:t xml:space="preserve">未提供不得分】    </w:t>
            </w:r>
          </w:p>
        </w:tc>
        <w:tc>
          <w:tcPr>
            <w:tcW w:w="1057"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0-5分</w:t>
            </w:r>
          </w:p>
          <w:p>
            <w:pP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625"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1001"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拟投入规划项目人员资历及荣誉</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ascii="宋体" w:hAnsi="宋体"/>
                <w:color w:val="000000" w:themeColor="text1"/>
                <w:szCs w:val="21"/>
                <w14:textFill>
                  <w14:solidFill>
                    <w14:schemeClr w14:val="tx1"/>
                  </w14:solidFill>
                </w14:textFill>
              </w:rPr>
              <w:t>分）</w:t>
            </w:r>
          </w:p>
        </w:tc>
        <w:tc>
          <w:tcPr>
            <w:tcW w:w="7192" w:type="dxa"/>
            <w:gridSpan w:val="2"/>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拟派本项目负责人自2018年1月1日（以合同签订时间为准）以来，主持过综合交通规划相关项目（包括综合性交通规划研究等），区（县）级项目得1分，地市级项目得2分，</w:t>
            </w:r>
            <w:r>
              <w:rPr>
                <w:rFonts w:hint="eastAsia"/>
                <w:color w:val="000000" w:themeColor="text1"/>
                <w14:textFill>
                  <w14:solidFill>
                    <w14:schemeClr w14:val="tx1"/>
                  </w14:solidFill>
                </w14:textFill>
              </w:rPr>
              <w:t>累计</w:t>
            </w:r>
            <w:r>
              <w:rPr>
                <w:rFonts w:hint="eastAsia" w:ascii="宋体" w:hAnsi="宋体" w:cs="宋体"/>
                <w:color w:val="000000" w:themeColor="text1"/>
                <w:szCs w:val="21"/>
                <w14:textFill>
                  <w14:solidFill>
                    <w14:schemeClr w14:val="tx1"/>
                  </w14:solidFill>
                </w14:textFill>
              </w:rPr>
              <w:t>最高得4分。【提供项目合同</w:t>
            </w:r>
            <w:r>
              <w:rPr>
                <w:rFonts w:hint="eastAsia" w:ascii="宋体" w:hAnsi="宋体" w:cs="宋体"/>
                <w:color w:val="000000" w:themeColor="text1"/>
                <w:szCs w:val="21"/>
                <w:lang w:eastAsia="zh-CN"/>
                <w14:textFill>
                  <w14:solidFill>
                    <w14:schemeClr w14:val="tx1"/>
                  </w14:solidFill>
                </w14:textFill>
              </w:rPr>
              <w:t>，如合同内</w:t>
            </w:r>
            <w:r>
              <w:rPr>
                <w:rFonts w:hint="eastAsia" w:ascii="宋体" w:hAnsi="宋体"/>
                <w:color w:val="000000" w:themeColor="text1"/>
                <w:lang w:eastAsia="zh-CN"/>
                <w14:textFill>
                  <w14:solidFill>
                    <w14:schemeClr w14:val="tx1"/>
                  </w14:solidFill>
                </w14:textFill>
              </w:rPr>
              <w:t>未体现项目负责人和项目类型模糊不明确的，</w:t>
            </w:r>
            <w:r>
              <w:rPr>
                <w:rFonts w:hint="eastAsia" w:ascii="宋体" w:hAnsi="宋体" w:cs="宋体"/>
                <w:color w:val="000000" w:themeColor="text1"/>
                <w:kern w:val="2"/>
                <w:sz w:val="21"/>
                <w:szCs w:val="21"/>
                <w:lang w:eastAsia="zh-CN"/>
                <w14:textFill>
                  <w14:solidFill>
                    <w14:schemeClr w14:val="tx1"/>
                  </w14:solidFill>
                </w14:textFill>
              </w:rPr>
              <w:t>须提供体现项目负责人负责项目和体现项目类型的合理证明材料，否则不得分</w:t>
            </w:r>
            <w:r>
              <w:rPr>
                <w:rFonts w:hint="eastAsia" w:ascii="宋体" w:hAnsi="宋体"/>
                <w:color w:val="000000" w:themeColor="text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dxa"/>
            <w:vMerge w:val="continue"/>
            <w:vAlign w:val="center"/>
          </w:tcPr>
          <w:p>
            <w:pPr>
              <w:jc w:val="center"/>
              <w:rPr>
                <w:rFonts w:ascii="宋体" w:hAnsi="宋体"/>
                <w:color w:val="000000" w:themeColor="text1"/>
                <w:szCs w:val="21"/>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7192" w:type="dxa"/>
            <w:gridSpan w:val="2"/>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拟派本项目人员</w:t>
            </w:r>
            <w:r>
              <w:rPr>
                <w:rFonts w:ascii="宋体" w:hAnsi="宋体" w:cs="宋体"/>
                <w:color w:val="000000" w:themeColor="text1"/>
                <w:szCs w:val="21"/>
                <w14:textFill>
                  <w14:solidFill>
                    <w14:schemeClr w14:val="tx1"/>
                  </w14:solidFill>
                </w14:textFill>
              </w:rPr>
              <w:t>自</w:t>
            </w:r>
            <w:r>
              <w:rPr>
                <w:rFonts w:hint="eastAsia" w:ascii="宋体" w:hAnsi="宋体" w:cs="宋体"/>
                <w:color w:val="000000" w:themeColor="text1"/>
                <w:szCs w:val="21"/>
                <w14:textFill>
                  <w14:solidFill>
                    <w14:schemeClr w14:val="tx1"/>
                  </w14:solidFill>
                </w14:textFill>
              </w:rPr>
              <w:t>2018年1月1日（以合同签订时间为准）以来，参与过杭州市内综合交通规划相关项目（包括综合性交通规划研究等），每人次得1分，最高得3分。【提供项目合同</w:t>
            </w:r>
            <w:r>
              <w:rPr>
                <w:rFonts w:hint="eastAsia" w:ascii="宋体" w:hAnsi="宋体" w:cs="宋体"/>
                <w:color w:val="000000" w:themeColor="text1"/>
                <w:szCs w:val="21"/>
                <w:lang w:eastAsia="zh-CN"/>
                <w14:textFill>
                  <w14:solidFill>
                    <w14:schemeClr w14:val="tx1"/>
                  </w14:solidFill>
                </w14:textFill>
              </w:rPr>
              <w:t>，如合同内</w:t>
            </w:r>
            <w:r>
              <w:rPr>
                <w:rFonts w:hint="eastAsia" w:ascii="宋体" w:hAnsi="宋体"/>
                <w:color w:val="000000" w:themeColor="text1"/>
                <w:lang w:eastAsia="zh-CN"/>
                <w14:textFill>
                  <w14:solidFill>
                    <w14:schemeClr w14:val="tx1"/>
                  </w14:solidFill>
                </w14:textFill>
              </w:rPr>
              <w:t>未体现本项目参与人员的，</w:t>
            </w:r>
            <w:r>
              <w:rPr>
                <w:rFonts w:hint="eastAsia" w:ascii="宋体" w:hAnsi="宋体" w:cs="宋体"/>
                <w:color w:val="000000" w:themeColor="text1"/>
                <w:kern w:val="2"/>
                <w:sz w:val="21"/>
                <w:szCs w:val="21"/>
                <w:lang w:eastAsia="zh-CN"/>
                <w14:textFill>
                  <w14:solidFill>
                    <w14:schemeClr w14:val="tx1"/>
                  </w14:solidFill>
                </w14:textFill>
              </w:rPr>
              <w:t>须提供体现人员参与项目的合理证明材料，否则不得分</w:t>
            </w:r>
            <w:r>
              <w:rPr>
                <w:rFonts w:hint="eastAsia" w:ascii="宋体" w:hAnsi="宋体"/>
                <w:color w:val="000000" w:themeColor="text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25" w:type="dxa"/>
            <w:vMerge w:val="continue"/>
            <w:vAlign w:val="center"/>
          </w:tcPr>
          <w:p>
            <w:pPr>
              <w:jc w:val="center"/>
              <w:rPr>
                <w:rFonts w:ascii="宋体" w:hAnsi="宋体"/>
                <w:color w:val="000000" w:themeColor="text1"/>
                <w:szCs w:val="21"/>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7192" w:type="dxa"/>
            <w:gridSpan w:val="2"/>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拟派本项目人员具有高级工程师</w:t>
            </w:r>
            <w:r>
              <w:rPr>
                <w:rFonts w:hint="eastAsia" w:ascii="宋体" w:hAnsi="宋体" w:cs="宋体"/>
                <w:color w:val="000000" w:themeColor="text1"/>
                <w:szCs w:val="21"/>
                <w:lang w:eastAsia="zh-CN"/>
                <w14:textFill>
                  <w14:solidFill>
                    <w14:schemeClr w14:val="tx1"/>
                  </w14:solidFill>
                </w14:textFill>
              </w:rPr>
              <w:t>职称</w:t>
            </w:r>
            <w:r>
              <w:rPr>
                <w:rFonts w:hint="eastAsia" w:ascii="宋体" w:hAnsi="宋体" w:cs="宋体"/>
                <w:color w:val="000000" w:themeColor="text1"/>
                <w:szCs w:val="21"/>
                <w14:textFill>
                  <w14:solidFill>
                    <w14:schemeClr w14:val="tx1"/>
                  </w14:solidFill>
                </w14:textFill>
              </w:rPr>
              <w:t>的，每人次得</w:t>
            </w:r>
            <w:r>
              <w:rPr>
                <w:rFonts w:ascii="宋体" w:hAnsi="宋体" w:cs="宋体"/>
                <w:color w:val="000000" w:themeColor="text1"/>
                <w:szCs w:val="21"/>
                <w14:textFill>
                  <w14:solidFill>
                    <w14:schemeClr w14:val="tx1"/>
                  </w14:solidFill>
                </w14:textFill>
              </w:rPr>
              <w:t>1分，</w:t>
            </w:r>
            <w:r>
              <w:rPr>
                <w:rFonts w:hint="eastAsia" w:ascii="宋体" w:hAnsi="宋体" w:cs="宋体"/>
                <w:color w:val="000000" w:themeColor="text1"/>
                <w:szCs w:val="21"/>
                <w14:textFill>
                  <w14:solidFill>
                    <w14:schemeClr w14:val="tx1"/>
                  </w14:solidFill>
                </w14:textFill>
              </w:rPr>
              <w:t>最高得</w:t>
            </w:r>
            <w:r>
              <w:rPr>
                <w:rFonts w:ascii="宋体" w:hAnsi="宋体" w:cs="宋体"/>
                <w:color w:val="000000" w:themeColor="text1"/>
                <w:szCs w:val="21"/>
                <w14:textFill>
                  <w14:solidFill>
                    <w14:schemeClr w14:val="tx1"/>
                  </w14:solidFill>
                </w14:textFill>
              </w:rPr>
              <w:t>3分</w:t>
            </w:r>
            <w:r>
              <w:rPr>
                <w:rFonts w:hint="eastAsia" w:ascii="宋体" w:hAnsi="宋体" w:cs="宋体"/>
                <w:color w:val="000000" w:themeColor="text1"/>
                <w:szCs w:val="21"/>
                <w14:textFill>
                  <w14:solidFill>
                    <w14:schemeClr w14:val="tx1"/>
                  </w14:solidFill>
                </w14:textFill>
              </w:rPr>
              <w:t>。【提供人员职称证书等相关证明材料及在本单位缴纳的近一年连续社保证明材料复印件加盖公章，未提供不得分】。</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0-3</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25" w:type="dxa"/>
            <w:vMerge w:val="continue"/>
            <w:vAlign w:val="center"/>
          </w:tcPr>
          <w:p>
            <w:pPr>
              <w:jc w:val="center"/>
              <w:rPr>
                <w:rFonts w:ascii="宋体" w:hAnsi="宋体"/>
                <w:color w:val="000000" w:themeColor="text1"/>
                <w:szCs w:val="21"/>
                <w14:textFill>
                  <w14:solidFill>
                    <w14:schemeClr w14:val="tx1"/>
                  </w14:solidFill>
                </w14:textFill>
              </w:rPr>
            </w:pPr>
          </w:p>
        </w:tc>
        <w:tc>
          <w:tcPr>
            <w:tcW w:w="1001" w:type="dxa"/>
            <w:vMerge w:val="continue"/>
            <w:vAlign w:val="center"/>
          </w:tcPr>
          <w:p>
            <w:pPr>
              <w:jc w:val="center"/>
              <w:rPr>
                <w:rFonts w:ascii="宋体" w:hAnsi="宋体"/>
                <w:color w:val="000000" w:themeColor="text1"/>
                <w:szCs w:val="21"/>
                <w14:textFill>
                  <w14:solidFill>
                    <w14:schemeClr w14:val="tx1"/>
                  </w14:solidFill>
                </w14:textFill>
              </w:rPr>
            </w:pPr>
          </w:p>
        </w:tc>
        <w:tc>
          <w:tcPr>
            <w:tcW w:w="7192" w:type="dxa"/>
            <w:gridSpan w:val="2"/>
            <w:vAlign w:val="center"/>
          </w:tcPr>
          <w:p>
            <w:pPr>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拟派本项目负责人自</w:t>
            </w:r>
            <w:r>
              <w:rPr>
                <w:rFonts w:ascii="宋体" w:hAnsi="宋体"/>
                <w:color w:val="000000" w:themeColor="text1"/>
                <w14:textFill>
                  <w14:solidFill>
                    <w14:schemeClr w14:val="tx1"/>
                  </w14:solidFill>
                </w14:textFill>
              </w:rPr>
              <w:t>2018年1月1日以来，</w:t>
            </w:r>
            <w:r>
              <w:rPr>
                <w:rFonts w:hint="eastAsia" w:ascii="宋体" w:hAnsi="宋体"/>
                <w:color w:val="000000" w:themeColor="text1"/>
                <w14:textFill>
                  <w14:solidFill>
                    <w14:schemeClr w14:val="tx1"/>
                  </w14:solidFill>
                </w14:textFill>
              </w:rPr>
              <w:t>主持的综合交通规划相关项目（包括综合性交通规划研究等），获得城乡规划（城市规划）设计类奖项，省级得</w:t>
            </w:r>
            <w:r>
              <w:rPr>
                <w:rFonts w:ascii="宋体" w:hAnsi="宋体"/>
                <w:color w:val="000000" w:themeColor="text1"/>
                <w14:textFill>
                  <w14:solidFill>
                    <w14:schemeClr w14:val="tx1"/>
                  </w14:solidFill>
                </w14:textFill>
              </w:rPr>
              <w:t>1分，国家级得2分，</w:t>
            </w:r>
            <w:r>
              <w:rPr>
                <w:rFonts w:hint="eastAsia" w:ascii="宋体" w:hAnsi="宋体"/>
                <w:color w:val="000000" w:themeColor="text1"/>
                <w14:textFill>
                  <w14:solidFill>
                    <w14:schemeClr w14:val="tx1"/>
                  </w14:solidFill>
                </w14:textFill>
              </w:rPr>
              <w:t>累计</w:t>
            </w:r>
            <w:r>
              <w:rPr>
                <w:rFonts w:ascii="宋体" w:hAnsi="宋体"/>
                <w:color w:val="000000" w:themeColor="text1"/>
                <w14:textFill>
                  <w14:solidFill>
                    <w14:schemeClr w14:val="tx1"/>
                  </w14:solidFill>
                </w14:textFill>
              </w:rPr>
              <w:t>最高得5分。</w:t>
            </w:r>
            <w:r>
              <w:rPr>
                <w:rFonts w:hint="eastAsia" w:ascii="宋体" w:hAnsi="宋体"/>
                <w:color w:val="000000" w:themeColor="text1"/>
                <w14:textFill>
                  <w14:solidFill>
                    <w14:schemeClr w14:val="tx1"/>
                  </w14:solidFill>
                </w14:textFill>
              </w:rPr>
              <w:t>【提供获奖文件或荣誉证书复印件加盖公章（计算时间以获奖时间为准）</w:t>
            </w:r>
            <w:r>
              <w:rPr>
                <w:rFonts w:hint="eastAsia" w:ascii="宋体" w:hAnsi="宋体"/>
                <w:color w:val="000000" w:themeColor="text1"/>
                <w:lang w:eastAsia="zh-CN"/>
                <w14:textFill>
                  <w14:solidFill>
                    <w14:schemeClr w14:val="tx1"/>
                  </w14:solidFill>
                </w14:textFill>
              </w:rPr>
              <w:t>，其中</w:t>
            </w:r>
            <w:r>
              <w:rPr>
                <w:rFonts w:hint="eastAsia" w:ascii="宋体" w:hAnsi="宋体"/>
                <w:color w:val="000000" w:themeColor="text1"/>
                <w14:textFill>
                  <w14:solidFill>
                    <w14:schemeClr w14:val="tx1"/>
                  </w14:solidFill>
                </w14:textFill>
              </w:rPr>
              <w:t>获奖文件或荣誉证书</w:t>
            </w:r>
            <w:r>
              <w:rPr>
                <w:rFonts w:hint="eastAsia" w:ascii="宋体" w:hAnsi="宋体"/>
                <w:color w:val="000000" w:themeColor="text1"/>
                <w:lang w:eastAsia="zh-CN"/>
                <w14:textFill>
                  <w14:solidFill>
                    <w14:schemeClr w14:val="tx1"/>
                  </w14:solidFill>
                </w14:textFill>
              </w:rPr>
              <w:t>未体现项目负责人和项目类型的，</w:t>
            </w:r>
            <w:r>
              <w:rPr>
                <w:rFonts w:hint="eastAsia" w:ascii="宋体" w:hAnsi="宋体" w:cs="宋体"/>
                <w:color w:val="000000" w:themeColor="text1"/>
                <w:kern w:val="2"/>
                <w:sz w:val="21"/>
                <w:szCs w:val="21"/>
                <w:lang w:eastAsia="zh-CN"/>
                <w14:textFill>
                  <w14:solidFill>
                    <w14:schemeClr w14:val="tx1"/>
                  </w14:solidFill>
                </w14:textFill>
              </w:rPr>
              <w:t>须提供体现项目负责人负责项目和项目符合评审要求类型的合理证明材料，否则不得分</w:t>
            </w:r>
            <w:r>
              <w:rPr>
                <w:rFonts w:hint="eastAsia" w:ascii="宋体" w:hAnsi="宋体"/>
                <w:color w:val="000000" w:themeColor="text1"/>
                <w:lang w:eastAsia="zh-CN"/>
                <w14:textFill>
                  <w14:solidFill>
                    <w14:schemeClr w14:val="tx1"/>
                  </w14:solidFill>
                </w14:textFill>
              </w:rPr>
              <w:t>。</w:t>
            </w:r>
          </w:p>
        </w:tc>
        <w:tc>
          <w:tcPr>
            <w:tcW w:w="10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818" w:type="dxa"/>
            <w:gridSpan w:val="4"/>
            <w:vAlign w:val="center"/>
          </w:tcPr>
          <w:p>
            <w:pPr>
              <w:jc w:val="center"/>
              <w:rPr>
                <w:rFonts w:ascii="宋体" w:hAnsi="宋体"/>
                <w:color w:val="000000" w:themeColor="text1"/>
                <w:szCs w:val="21"/>
                <w:highlight w:val="yellow"/>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1057" w:type="dxa"/>
            <w:vAlign w:val="center"/>
          </w:tcPr>
          <w:p>
            <w:pPr>
              <w:jc w:val="center"/>
              <w:rPr>
                <w:rFonts w:ascii="宋体" w:hAnsi="宋体"/>
                <w:color w:val="000000" w:themeColor="text1"/>
                <w:szCs w:val="21"/>
                <w:highlight w:val="yellow"/>
                <w14:textFill>
                  <w14:solidFill>
                    <w14:schemeClr w14:val="tx1"/>
                  </w14:solidFill>
                </w14:textFill>
              </w:rPr>
            </w:pPr>
            <w:r>
              <w:rPr>
                <w:rFonts w:hint="eastAsia" w:ascii="宋体" w:hAnsi="宋体"/>
                <w:color w:val="000000" w:themeColor="text1"/>
                <w:szCs w:val="21"/>
                <w14:textFill>
                  <w14:solidFill>
                    <w14:schemeClr w14:val="tx1"/>
                  </w14:solidFill>
                </w14:textFill>
              </w:rPr>
              <w:t>90分</w:t>
            </w:r>
          </w:p>
        </w:tc>
      </w:tr>
    </w:tbl>
    <w:p>
      <w:pPr>
        <w:pStyle w:val="148"/>
        <w:spacing w:before="0"/>
        <w:ind w:firstLine="480" w:firstLineChars="20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注：以上评审内容制作进投标文件内，并按评审要求提供相关证明材料</w:t>
      </w:r>
      <w:r>
        <w:rPr>
          <w:rFonts w:hint="eastAsia" w:ascii="宋体" w:hAnsi="宋体" w:eastAsia="宋体" w:cs="宋体"/>
          <w:color w:val="000000" w:themeColor="text1"/>
          <w:kern w:val="0"/>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、商务分+技术分=评标委员会所有成员评分合计数/评标委员会组成人员数（精确到小数点后二位）；</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4</w:t>
      </w:r>
      <w:r>
        <w:rPr>
          <w:rFonts w:hint="eastAsia" w:ascii="宋体" w:hAnsi="宋体" w:cs="宋体"/>
          <w:b/>
          <w:bCs/>
          <w:color w:val="000000" w:themeColor="text1"/>
          <w:sz w:val="24"/>
          <w14:textFill>
            <w14:solidFill>
              <w14:schemeClr w14:val="tx1"/>
            </w14:solidFill>
          </w14:textFill>
        </w:rPr>
        <w:t>、价格分（10分）</w:t>
      </w:r>
      <w:r>
        <w:rPr>
          <w:rFonts w:hint="eastAsia" w:ascii="宋体" w:hAnsi="宋体" w:cs="宋体"/>
          <w:color w:val="000000" w:themeColor="text1"/>
          <w:sz w:val="24"/>
          <w14:textFill>
            <w14:solidFill>
              <w14:schemeClr w14:val="tx1"/>
            </w14:solidFill>
          </w14:textFill>
        </w:rPr>
        <w:t>采用低价优先法计算，即满足招标文件要求且投标价格最低的投标报价为评标基准价，其他投标人的价格分按照下列公式计算：</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价格分=（评标基准价/投标报价）×10%×100</w:t>
      </w:r>
      <w:r>
        <w:rPr>
          <w:rFonts w:hint="eastAsia" w:ascii="宋体" w:hAnsi="宋体" w:cs="宋体"/>
          <w:b/>
          <w:bCs/>
          <w:color w:val="000000" w:themeColor="text1"/>
          <w:sz w:val="24"/>
          <w14:textFill>
            <w14:solidFill>
              <w14:schemeClr w14:val="tx1"/>
            </w14:solidFill>
          </w14:textFill>
        </w:rPr>
        <w:t>（精确到小数点后二位）</w:t>
      </w:r>
      <w:r>
        <w:rPr>
          <w:rFonts w:hint="eastAsia" w:ascii="宋体" w:hAnsi="宋体"/>
          <w:b/>
          <w:bCs/>
          <w:color w:val="000000" w:themeColor="text1"/>
          <w:sz w:val="24"/>
          <w14:textFill>
            <w14:solidFill>
              <w14:schemeClr w14:val="tx1"/>
            </w14:solidFill>
          </w14:textFill>
        </w:rPr>
        <w:t>；</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因落实政府采购政策进行价格调整的，以调整后的价格计算评标基准价和投标报价。</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5</w:t>
      </w:r>
      <w:r>
        <w:rPr>
          <w:rFonts w:hint="eastAsia" w:ascii="宋体" w:hAnsi="宋体" w:cs="宋体"/>
          <w:b/>
          <w:bCs/>
          <w:color w:val="000000" w:themeColor="text1"/>
          <w:sz w:val="24"/>
          <w14:textFill>
            <w14:solidFill>
              <w14:schemeClr w14:val="tx1"/>
            </w14:solidFill>
          </w14:textFill>
        </w:rPr>
        <w:t>、投标人评标综合得分=价格分+商务分+技术分（精确到小数点后二位）；</w:t>
      </w:r>
    </w:p>
    <w:p>
      <w:pPr>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报价是中标的一个重要因素，但最低报价不是中标的唯一依据。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themeColor="text1"/>
          <w:sz w:val="24"/>
          <w14:textFill>
            <w14:solidFill>
              <w14:schemeClr w14:val="tx1"/>
            </w14:solidFill>
          </w14:textFill>
        </w:rPr>
        <w:t>5.1</w:t>
      </w:r>
      <w:r>
        <w:rPr>
          <w:rFonts w:hint="eastAsia" w:ascii="宋体" w:hAnsi="宋体" w:cs="宋体"/>
          <w:color w:val="000000" w:themeColor="text1"/>
          <w:kern w:val="0"/>
          <w:sz w:val="24"/>
          <w14:textFill>
            <w14:solidFill>
              <w14:schemeClr w14:val="tx1"/>
            </w14:solidFill>
          </w14:textFill>
        </w:rPr>
        <w:t>为贯彻落实《关于促进中小企业健康发展的指导意见》，发挥政府采购</w:t>
      </w:r>
      <w:r>
        <w:rPr>
          <w:rFonts w:hint="eastAsia" w:ascii="宋体" w:hAnsi="宋体" w:cs="宋体"/>
          <w:color w:val="000000"/>
          <w:kern w:val="0"/>
          <w:sz w:val="24"/>
        </w:rPr>
        <w:t>政策功能，促进中小企业发展，根据《中华人民共和国政府采购法》、《中华人民共和国中小企业促进法》等法律法规，财政部、工业和信息化部制定了《政府采购促进中小企业发展管理办法》，规定小微企业可享受优惠扶持。</w:t>
      </w:r>
    </w:p>
    <w:p>
      <w:pPr>
        <w:widowControl/>
        <w:spacing w:line="360" w:lineRule="auto"/>
        <w:ind w:firstLine="480" w:firstLineChars="200"/>
        <w:rPr>
          <w:rFonts w:ascii="宋体" w:hAnsi="宋体" w:cs="宋体"/>
          <w:b/>
          <w:bCs/>
          <w:color w:val="000000"/>
          <w:sz w:val="24"/>
        </w:rPr>
      </w:pPr>
      <w:r>
        <w:rPr>
          <w:rFonts w:hint="eastAsia" w:ascii="宋体" w:hAnsi="宋体" w:cs="宋体"/>
          <w:color w:val="000000"/>
          <w:kern w:val="0"/>
          <w:sz w:val="24"/>
        </w:rPr>
        <w:t>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本项目为非专门面向中小企业的项目，</w:t>
      </w:r>
      <w:r>
        <w:rPr>
          <w:rFonts w:hint="eastAsia" w:ascii="宋体" w:hAnsi="宋体" w:cs="宋体"/>
          <w:b/>
          <w:bCs/>
          <w:color w:val="000000"/>
          <w:sz w:val="24"/>
        </w:rPr>
        <w:t>对小型或微型企业</w:t>
      </w:r>
      <w:r>
        <w:rPr>
          <w:rFonts w:hint="eastAsia" w:ascii="宋体" w:hAnsi="宋体" w:cs="宋体"/>
          <w:color w:val="000000"/>
          <w:sz w:val="24"/>
        </w:rPr>
        <w:t>的投标报价给予</w:t>
      </w:r>
      <w:r>
        <w:rPr>
          <w:rFonts w:hint="eastAsia" w:ascii="宋体" w:hAnsi="宋体" w:cs="宋体"/>
          <w:b/>
          <w:bCs/>
          <w:color w:val="000000"/>
          <w:sz w:val="24"/>
        </w:rPr>
        <w:t>10%</w:t>
      </w:r>
      <w:r>
        <w:rPr>
          <w:rFonts w:hint="eastAsia" w:ascii="宋体" w:hAnsi="宋体" w:cs="宋体"/>
          <w:color w:val="000000"/>
          <w:sz w:val="24"/>
        </w:rPr>
        <w:t>的扣除，并用扣除后的价格计算价格评分</w:t>
      </w:r>
      <w:r>
        <w:rPr>
          <w:rFonts w:hint="eastAsia" w:ascii="宋体" w:hAnsi="宋体" w:cs="宋体"/>
          <w:b/>
          <w:bCs/>
          <w:color w:val="000000"/>
          <w:sz w:val="24"/>
        </w:rPr>
        <w:t>（</w:t>
      </w:r>
      <w:r>
        <w:rPr>
          <w:rFonts w:hint="eastAsia" w:ascii="宋体" w:hAnsi="宋体" w:cs="宋体"/>
          <w:b/>
          <w:bCs/>
          <w:sz w:val="24"/>
        </w:rPr>
        <w:t>价格扣除只用于评审过程，如中标，中标价格仍按照其投标价格进行公示）</w:t>
      </w:r>
      <w:r>
        <w:rPr>
          <w:rFonts w:hint="eastAsia" w:ascii="宋体" w:hAnsi="宋体" w:cs="宋体"/>
          <w:b/>
          <w:bCs/>
          <w:color w:val="000000"/>
          <w:sz w:val="24"/>
        </w:rPr>
        <w:t>。</w:t>
      </w:r>
    </w:p>
    <w:p>
      <w:pPr>
        <w:pStyle w:val="30"/>
        <w:spacing w:line="360" w:lineRule="auto"/>
        <w:ind w:right="420" w:firstLine="450" w:firstLineChars="200"/>
        <w:rPr>
          <w:rFonts w:ascii="宋体" w:hAnsi="宋体" w:eastAsia="宋体" w:cs="宋体"/>
          <w:b/>
          <w:bCs/>
          <w:szCs w:val="24"/>
        </w:rPr>
      </w:pPr>
      <w:r>
        <w:rPr>
          <w:rFonts w:hint="eastAsia" w:ascii="宋体" w:hAnsi="宋体" w:eastAsia="宋体" w:cs="宋体"/>
          <w:b/>
          <w:bCs/>
          <w:spacing w:val="-8"/>
          <w:szCs w:val="24"/>
        </w:rPr>
        <w:t>5.2在政府采购活动中，供应商提供的货物、工程</w:t>
      </w:r>
      <w:r>
        <w:rPr>
          <w:rFonts w:hint="eastAsia" w:ascii="宋体" w:hAnsi="宋体" w:eastAsia="宋体" w:cs="宋体"/>
          <w:b/>
          <w:bCs/>
          <w:spacing w:val="-2"/>
          <w:szCs w:val="24"/>
        </w:rPr>
        <w:t>或者服务符合下列情形的，享受本办法规定的中小企业扶持政策</w:t>
      </w:r>
      <w:r>
        <w:rPr>
          <w:rFonts w:hint="eastAsia" w:ascii="宋体" w:hAnsi="宋体" w:eastAsia="宋体" w:cs="宋体"/>
          <w:spacing w:val="-2"/>
          <w:szCs w:val="24"/>
        </w:rPr>
        <w:t>（本项目针对小型、微型企业</w:t>
      </w:r>
      <w:r>
        <w:rPr>
          <w:rFonts w:hint="eastAsia" w:ascii="宋体" w:hAnsi="宋体" w:eastAsia="宋体" w:cs="宋体"/>
          <w:color w:val="000000"/>
          <w:szCs w:val="24"/>
        </w:rPr>
        <w:t>投标报价给予</w:t>
      </w:r>
      <w:r>
        <w:rPr>
          <w:rFonts w:hint="eastAsia" w:ascii="宋体" w:hAnsi="宋体" w:eastAsia="宋体" w:cs="宋体"/>
          <w:b/>
          <w:bCs/>
          <w:color w:val="000000"/>
          <w:szCs w:val="24"/>
        </w:rPr>
        <w:t>10%</w:t>
      </w:r>
      <w:r>
        <w:rPr>
          <w:rFonts w:hint="eastAsia" w:ascii="宋体" w:hAnsi="宋体" w:eastAsia="宋体" w:cs="宋体"/>
          <w:color w:val="000000"/>
          <w:szCs w:val="24"/>
        </w:rPr>
        <w:t>的扣除）</w:t>
      </w:r>
      <w:r>
        <w:rPr>
          <w:rFonts w:hint="eastAsia" w:ascii="宋体" w:hAnsi="宋体" w:eastAsia="宋体" w:cs="宋体"/>
          <w:b/>
          <w:bCs/>
          <w:spacing w:val="-2"/>
          <w:szCs w:val="24"/>
        </w:rPr>
        <w:t>：</w:t>
      </w:r>
    </w:p>
    <w:p>
      <w:pPr>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（一）在货物采购项目中，货物由中小企业制造，即货 物由中小企业生产且使用该中小企业商号或者注册商标；</w:t>
      </w:r>
    </w:p>
    <w:p>
      <w:pPr>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（二）在工程采购项目中，工程由中小企业承建，即工程施工单位为中小企业；</w:t>
      </w:r>
    </w:p>
    <w:p>
      <w:pPr>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（三）在服务采购项目中，服务由中小企业承接，即提供服务的人员为中小企业依照《中华人民共和国劳动合同法》订立劳动合同的从业人员。</w:t>
      </w:r>
    </w:p>
    <w:p>
      <w:pPr>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在货物采购项目中，供应商提供的货物既有中小企业制造货物，也有大型企业制造货物的，不享受本办法规定的中小企业扶持政策。</w:t>
      </w:r>
    </w:p>
    <w:p>
      <w:pPr>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以联合体形式参加政府采购活动，联合体各方均为中小企业的，联合体视同中小企业。其中，联合体各方均为小微企业的，联合体视同小微企业。</w:t>
      </w:r>
    </w:p>
    <w:p>
      <w:pPr>
        <w:spacing w:line="360" w:lineRule="auto"/>
        <w:ind w:left="105" w:leftChars="50" w:right="375" w:firstLine="480" w:firstLineChars="200"/>
        <w:rPr>
          <w:rFonts w:ascii="宋体" w:hAnsi="宋体" w:cs="宋体"/>
          <w:color w:val="000000"/>
          <w:sz w:val="24"/>
        </w:rPr>
      </w:pPr>
      <w:r>
        <w:rPr>
          <w:rFonts w:hint="eastAsia" w:ascii="宋体" w:hAnsi="宋体" w:cs="宋体"/>
          <w:sz w:val="24"/>
        </w:rPr>
        <w:t>符合中小企业划分标准的个体工</w:t>
      </w:r>
      <w:r>
        <w:rPr>
          <w:rFonts w:hint="eastAsia" w:ascii="宋体" w:hAnsi="宋体" w:cs="宋体"/>
          <w:color w:val="000000"/>
          <w:sz w:val="24"/>
        </w:rPr>
        <w:t>商户，在政府采购活动中视同中小企业。</w:t>
      </w:r>
    </w:p>
    <w:p>
      <w:pPr>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中小企业参加政府采购活动，应当出具《中小企业声明函》（附 1），否则不得享受相关中小企业扶持政策。</w:t>
      </w:r>
    </w:p>
    <w:p>
      <w:pPr>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5.3投标人按照《关于印发中小企业划型标准规定的通知》（工信部联企业〔2011〕300号）的所属行业规定为小型、微型企业【注：按规定提供《中小企业声明函》】。</w:t>
      </w:r>
    </w:p>
    <w:p>
      <w:pPr>
        <w:pStyle w:val="30"/>
        <w:spacing w:line="360" w:lineRule="auto"/>
        <w:ind w:right="417"/>
        <w:rPr>
          <w:rFonts w:ascii="宋体" w:hAnsi="宋体" w:eastAsia="宋体" w:cs="宋体"/>
          <w:color w:val="000000"/>
          <w:szCs w:val="24"/>
        </w:rPr>
      </w:pPr>
      <w:r>
        <w:rPr>
          <w:rFonts w:hint="eastAsia" w:ascii="宋体" w:hAnsi="宋体" w:eastAsia="宋体" w:cs="宋体"/>
          <w:color w:val="000000"/>
          <w:szCs w:val="24"/>
        </w:rPr>
        <w:t xml:space="preserve">    5.4接受大中型企业与小微企业组成联合体或者允许大中 型企业向一家或者多家小微企业分包的采购项目，对于联合协议或者分包意向协议约定小微企业的合同份额占到合同总金额 30%以上的，投标报价给予</w:t>
      </w:r>
      <w:r>
        <w:rPr>
          <w:rFonts w:hint="eastAsia" w:ascii="宋体" w:hAnsi="宋体" w:eastAsia="宋体" w:cs="宋体"/>
          <w:color w:val="000000"/>
          <w:szCs w:val="24"/>
          <w:u w:val="single"/>
        </w:rPr>
        <w:t xml:space="preserve">2% </w:t>
      </w:r>
      <w:r>
        <w:rPr>
          <w:rFonts w:hint="eastAsia" w:ascii="宋体" w:hAnsi="宋体" w:eastAsia="宋体" w:cs="宋体"/>
          <w:color w:val="000000"/>
          <w:szCs w:val="24"/>
        </w:rPr>
        <w:t>的扣除，并用扣除后的价格计算价格评分；如</w:t>
      </w:r>
      <w:r>
        <w:rPr>
          <w:rFonts w:hint="eastAsia" w:ascii="宋体" w:hAnsi="宋体" w:eastAsia="宋体" w:cs="宋体"/>
          <w:spacing w:val="-7"/>
          <w:szCs w:val="24"/>
        </w:rPr>
        <w:t>以联合体形式参加政府采购活动，联合体各方均为中小</w:t>
      </w:r>
      <w:r>
        <w:rPr>
          <w:rFonts w:hint="eastAsia" w:ascii="宋体" w:hAnsi="宋体" w:eastAsia="宋体" w:cs="宋体"/>
          <w:spacing w:val="-4"/>
          <w:szCs w:val="24"/>
        </w:rPr>
        <w:t>企业的，联合体视同中小企业。其中，联合体各方均为小微企业的，联合体视同小微企业。</w:t>
      </w:r>
      <w:r>
        <w:rPr>
          <w:rFonts w:hint="eastAsia" w:ascii="宋体" w:hAnsi="宋体" w:eastAsia="宋体" w:cs="宋体"/>
          <w:color w:val="000000"/>
          <w:szCs w:val="24"/>
        </w:rPr>
        <w:t>投标报价给予</w:t>
      </w:r>
      <w:r>
        <w:rPr>
          <w:rFonts w:hint="eastAsia" w:ascii="宋体" w:hAnsi="宋体" w:eastAsia="宋体" w:cs="宋体"/>
          <w:b/>
          <w:bCs/>
          <w:color w:val="000000"/>
          <w:szCs w:val="24"/>
          <w:u w:val="single"/>
        </w:rPr>
        <w:t xml:space="preserve">10% </w:t>
      </w:r>
      <w:r>
        <w:rPr>
          <w:rFonts w:hint="eastAsia" w:ascii="宋体" w:hAnsi="宋体" w:eastAsia="宋体" w:cs="宋体"/>
          <w:color w:val="000000"/>
          <w:szCs w:val="24"/>
        </w:rPr>
        <w:t>的扣除，并用扣除后的价格计算价格评分。</w:t>
      </w:r>
    </w:p>
    <w:p>
      <w:pPr>
        <w:pStyle w:val="30"/>
        <w:spacing w:line="360" w:lineRule="auto"/>
        <w:ind w:right="417" w:firstLine="480" w:firstLineChars="200"/>
        <w:rPr>
          <w:rFonts w:ascii="宋体" w:hAnsi="宋体" w:eastAsia="宋体" w:cs="宋体"/>
          <w:color w:val="000000"/>
          <w:szCs w:val="24"/>
        </w:rPr>
      </w:pPr>
      <w:r>
        <w:rPr>
          <w:rFonts w:hint="eastAsia" w:ascii="宋体" w:hAnsi="宋体" w:eastAsia="宋体" w:cs="宋体"/>
          <w:color w:val="000000"/>
          <w:szCs w:val="24"/>
        </w:rPr>
        <w:t>5.5组成联合体或者接受分包的小微企业与联合体内其他企业、分包企业之间存在直接控股、管理关系的，不享受价格扣除优惠政策。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sz w:val="24"/>
        </w:rPr>
      </w:pPr>
      <w:r>
        <w:rPr>
          <w:rFonts w:hint="eastAsia" w:ascii="宋体" w:hAnsi="宋体" w:cs="宋体"/>
          <w:color w:val="000000"/>
          <w:sz w:val="24"/>
        </w:rPr>
        <w:t>5.6监狱企业视同小微企业，参加本项目投标的，享受小微企业同等的价格扣除。【注：提供《监狱企业声明函》】。</w:t>
      </w:r>
    </w:p>
    <w:p>
      <w:pPr>
        <w:pStyle w:val="396"/>
        <w:snapToGrid/>
        <w:spacing w:line="360" w:lineRule="auto"/>
        <w:ind w:firstLine="480"/>
        <w:rPr>
          <w:rFonts w:ascii="宋体" w:hAnsi="宋体" w:eastAsia="宋体" w:cs="宋体"/>
          <w:color w:val="000000"/>
          <w:szCs w:val="24"/>
        </w:rPr>
      </w:pPr>
      <w:r>
        <w:rPr>
          <w:rFonts w:hint="eastAsia" w:ascii="宋体" w:hAnsi="宋体" w:eastAsia="宋体" w:cs="宋体"/>
          <w:color w:val="000000"/>
          <w:szCs w:val="24"/>
        </w:rPr>
        <w:t>5.7残疾人福利性单位参加投标【提供《残疾人福利性单位声明函》】，视为小</w:t>
      </w:r>
    </w:p>
    <w:p>
      <w:pPr>
        <w:pStyle w:val="396"/>
        <w:snapToGrid/>
        <w:spacing w:line="360" w:lineRule="auto"/>
        <w:ind w:firstLine="141" w:firstLineChars="59"/>
        <w:rPr>
          <w:rFonts w:ascii="宋体" w:hAnsi="宋体" w:eastAsia="宋体" w:cs="宋体"/>
          <w:color w:val="000000"/>
          <w:szCs w:val="24"/>
        </w:rPr>
      </w:pPr>
      <w:r>
        <w:rPr>
          <w:rFonts w:hint="eastAsia" w:ascii="宋体" w:hAnsi="宋体" w:eastAsia="宋体" w:cs="宋体"/>
          <w:color w:val="000000"/>
          <w:szCs w:val="24"/>
        </w:rPr>
        <w:t>型、微型企业，享受小微企业政策扶持。</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（十四）评标内容的保密</w:t>
      </w:r>
    </w:p>
    <w:p>
      <w:pPr>
        <w:shd w:val="clear" w:color="auto" w:fill="FFFFFF"/>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、公开开标后，直到宣布中标单位止，凡属于审查、澄清、评价和比较投标的所有资料，都不应向投标人或与评标无关的其他人泄露。</w:t>
      </w:r>
    </w:p>
    <w:p>
      <w:pPr>
        <w:shd w:val="clear" w:color="auto" w:fill="FFFFFF"/>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、在投标文件的审查、澄清、评价和比较以及确定中标人过程中，投标人对招标人、招标代理机构和评标委员会施加影响的任何行为，都将导致取消资格。</w:t>
      </w:r>
    </w:p>
    <w:bookmarkEnd w:id="128"/>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（十五）废标</w:t>
      </w:r>
    </w:p>
    <w:p>
      <w:pPr>
        <w:pStyle w:val="31"/>
        <w:spacing w:line="360" w:lineRule="auto"/>
        <w:rPr>
          <w:rFonts w:ascii="宋体" w:hAnsi="宋体" w:eastAsia="宋体"/>
          <w:b/>
          <w:color w:val="000000"/>
          <w:sz w:val="24"/>
          <w:szCs w:val="24"/>
        </w:rPr>
      </w:pPr>
      <w:r>
        <w:rPr>
          <w:rFonts w:hint="eastAsia" w:ascii="宋体" w:hAnsi="宋体" w:eastAsia="宋体"/>
          <w:b/>
          <w:color w:val="000000"/>
          <w:sz w:val="24"/>
          <w:szCs w:val="24"/>
        </w:rPr>
        <w:t>在采购中，出现下列情形之一的，应予废标：</w:t>
      </w:r>
    </w:p>
    <w:p>
      <w:pPr>
        <w:pStyle w:val="31"/>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(1)符合专业条件的供应商或者对招标文件作实质响应的供应商不足3家的；</w:t>
      </w:r>
    </w:p>
    <w:p>
      <w:pPr>
        <w:pStyle w:val="31"/>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(2)出现影响采购公正的违法、违规行为的；</w:t>
      </w:r>
    </w:p>
    <w:p>
      <w:pPr>
        <w:pStyle w:val="31"/>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(3)报价均超过预算，不能支付的；</w:t>
      </w:r>
    </w:p>
    <w:p>
      <w:pPr>
        <w:shd w:val="clear" w:color="auto" w:fill="FFFFFF"/>
        <w:spacing w:line="360" w:lineRule="auto"/>
        <w:rPr>
          <w:rFonts w:ascii="宋体" w:hAnsi="宋体" w:cs="宋体"/>
          <w:b/>
          <w:bCs/>
          <w:color w:val="000000"/>
          <w:sz w:val="24"/>
        </w:rPr>
      </w:pPr>
      <w:r>
        <w:rPr>
          <w:rFonts w:hint="eastAsia" w:ascii="宋体" w:hAnsi="宋体" w:cs="宋体"/>
          <w:b/>
          <w:color w:val="000000"/>
          <w:sz w:val="24"/>
        </w:rPr>
        <w:t xml:space="preserve">    (4)因重大变故，采购任务取消的。</w:t>
      </w:r>
    </w:p>
    <w:p>
      <w:pPr>
        <w:pStyle w:val="5"/>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（十六）可中止电子交易活动的情形</w:t>
      </w:r>
    </w:p>
    <w:p>
      <w:pPr>
        <w:spacing w:line="360" w:lineRule="auto"/>
        <w:ind w:firstLine="424" w:firstLineChars="176"/>
        <w:rPr>
          <w:rFonts w:ascii="宋体" w:hAnsi="宋体"/>
          <w:color w:val="000000"/>
          <w:sz w:val="24"/>
        </w:rPr>
      </w:pPr>
      <w:r>
        <w:rPr>
          <w:rFonts w:hint="eastAsia" w:ascii="宋体" w:hAnsi="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000000"/>
          <w:sz w:val="24"/>
        </w:rPr>
      </w:pPr>
      <w:r>
        <w:rPr>
          <w:rFonts w:hint="eastAsia" w:ascii="宋体" w:hAnsi="宋体"/>
          <w:color w:val="000000"/>
          <w:sz w:val="24"/>
        </w:rPr>
        <w:t>1、电子交易平台发生故障而无法登录访问的；</w:t>
      </w:r>
    </w:p>
    <w:p>
      <w:pPr>
        <w:spacing w:line="360" w:lineRule="auto"/>
        <w:ind w:firstLine="422" w:firstLineChars="176"/>
        <w:rPr>
          <w:rFonts w:ascii="宋体" w:hAnsi="宋体"/>
          <w:color w:val="000000"/>
          <w:sz w:val="24"/>
        </w:rPr>
      </w:pPr>
      <w:r>
        <w:rPr>
          <w:rFonts w:hint="eastAsia" w:ascii="宋体" w:hAnsi="宋体"/>
          <w:color w:val="000000"/>
          <w:sz w:val="24"/>
        </w:rPr>
        <w:t>2、电子交易平台应用或数据库出现错误，不能进行正常操作的；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3、电子交易平台发现严重安全漏洞，有潜在泄密危险的；</w:t>
      </w:r>
    </w:p>
    <w:p>
      <w:pPr>
        <w:spacing w:line="360" w:lineRule="auto"/>
        <w:ind w:firstLine="422" w:firstLineChars="176"/>
        <w:rPr>
          <w:rFonts w:ascii="宋体" w:hAnsi="宋体"/>
          <w:color w:val="000000"/>
          <w:sz w:val="24"/>
        </w:rPr>
      </w:pPr>
      <w:r>
        <w:rPr>
          <w:rFonts w:hint="eastAsia" w:ascii="宋体" w:hAnsi="宋体"/>
          <w:color w:val="000000"/>
          <w:sz w:val="24"/>
        </w:rPr>
        <w:t>4、病毒发作导致不能进行正常操作的；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5、其他无法保证电子交易的公平、公正和安全的情况。</w:t>
      </w:r>
    </w:p>
    <w:p>
      <w:pPr>
        <w:spacing w:line="360" w:lineRule="auto"/>
        <w:ind w:firstLine="424" w:firstLineChars="176"/>
        <w:rPr>
          <w:rFonts w:ascii="宋体" w:hAnsi="宋体"/>
          <w:color w:val="000000"/>
          <w:sz w:val="24"/>
        </w:rPr>
      </w:pPr>
      <w:r>
        <w:rPr>
          <w:rFonts w:hint="eastAsia" w:ascii="宋体" w:hAnsi="宋体"/>
          <w:b/>
          <w:color w:val="000000"/>
          <w:sz w:val="24"/>
        </w:rPr>
        <w:t>出现前款规定情形，不影响采购公平、公正性的，采购组织机构可以待上述情形消除后继续组织电子交易活动；影响或可能影响采购公平、公正性的，应当重新采购。</w:t>
      </w:r>
    </w:p>
    <w:bookmarkEnd w:id="129"/>
    <w:bookmarkEnd w:id="130"/>
    <w:bookmarkEnd w:id="131"/>
    <w:p>
      <w:pPr>
        <w:shd w:val="clear" w:color="auto" w:fill="FFFFFF"/>
        <w:spacing w:line="360" w:lineRule="auto"/>
        <w:jc w:val="center"/>
        <w:outlineLvl w:val="1"/>
        <w:rPr>
          <w:rFonts w:ascii="宋体" w:hAnsi="宋体" w:cs="宋体"/>
          <w:b/>
          <w:bCs/>
          <w:color w:val="000000"/>
          <w:sz w:val="24"/>
        </w:rPr>
      </w:pPr>
      <w:bookmarkStart w:id="191" w:name="_Toc86216995"/>
      <w:bookmarkStart w:id="192" w:name="_Toc9614"/>
      <w:bookmarkStart w:id="193" w:name="_Toc3162"/>
      <w:bookmarkStart w:id="194" w:name="_Toc233618979"/>
      <w:bookmarkStart w:id="195" w:name="_Toc31551"/>
      <w:bookmarkStart w:id="196" w:name="_Toc31748"/>
      <w:bookmarkStart w:id="197" w:name="_Toc354996703"/>
      <w:bookmarkStart w:id="198" w:name="_Toc14995"/>
      <w:bookmarkStart w:id="199" w:name="_Toc8217"/>
      <w:bookmarkStart w:id="200" w:name="_Toc91899910"/>
      <w:r>
        <w:rPr>
          <w:rFonts w:hint="eastAsia" w:ascii="宋体" w:hAnsi="宋体" w:cs="宋体"/>
          <w:b/>
          <w:bCs/>
          <w:color w:val="000000"/>
          <w:sz w:val="24"/>
        </w:rPr>
        <w:t>七、</w:t>
      </w:r>
      <w:bookmarkEnd w:id="191"/>
      <w:r>
        <w:rPr>
          <w:rFonts w:hint="eastAsia" w:ascii="宋体" w:hAnsi="宋体" w:cs="宋体"/>
          <w:b/>
          <w:bCs/>
          <w:color w:val="000000"/>
          <w:sz w:val="24"/>
        </w:rPr>
        <w:t>合同签订及其他</w:t>
      </w:r>
      <w:bookmarkEnd w:id="192"/>
      <w:bookmarkEnd w:id="193"/>
      <w:bookmarkEnd w:id="194"/>
      <w:bookmarkEnd w:id="195"/>
      <w:bookmarkEnd w:id="196"/>
      <w:bookmarkEnd w:id="197"/>
      <w:bookmarkEnd w:id="198"/>
      <w:bookmarkEnd w:id="199"/>
    </w:p>
    <w:bookmarkEnd w:id="200"/>
    <w:p>
      <w:pPr>
        <w:shd w:val="clear" w:color="auto" w:fill="FFFFFF"/>
        <w:spacing w:line="360" w:lineRule="auto"/>
        <w:rPr>
          <w:rFonts w:ascii="宋体" w:hAnsi="宋体" w:cs="宋体"/>
          <w:b/>
          <w:bCs/>
          <w:color w:val="000000"/>
          <w:sz w:val="24"/>
        </w:rPr>
      </w:pPr>
      <w:r>
        <w:rPr>
          <w:rFonts w:hint="eastAsia" w:ascii="宋体" w:hAnsi="宋体" w:cs="宋体"/>
          <w:b/>
          <w:bCs/>
          <w:color w:val="000000"/>
          <w:sz w:val="24"/>
        </w:rPr>
        <w:t>（一）中标通知书</w:t>
      </w:r>
    </w:p>
    <w:p>
      <w:pPr>
        <w:shd w:val="clear" w:color="auto" w:fill="FFFFFF"/>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、确定中标人后，招标代理机构将在发布招标公告的网站上公布评标结果。</w:t>
      </w:r>
    </w:p>
    <w:p>
      <w:pPr>
        <w:shd w:val="clear" w:color="auto" w:fill="FFFFFF"/>
        <w:tabs>
          <w:tab w:val="left" w:pos="0"/>
        </w:tabs>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pacing w:line="360" w:lineRule="auto"/>
        <w:ind w:firstLine="540"/>
        <w:rPr>
          <w:rFonts w:ascii="宋体" w:hAnsi="宋体" w:cs="宋体"/>
          <w:color w:val="000000"/>
          <w:sz w:val="24"/>
        </w:rPr>
      </w:pPr>
      <w:r>
        <w:rPr>
          <w:rFonts w:hint="eastAsia" w:ascii="宋体" w:hAnsi="宋体" w:cs="宋体"/>
          <w:color w:val="000000"/>
          <w:sz w:val="24"/>
        </w:rPr>
        <w:t>3、如签订合同并生效后，供应商无故拒绝或延期，除按照合同条款处罚外，列入不良行为记录一次，并给予通报。</w:t>
      </w:r>
    </w:p>
    <w:p>
      <w:pPr>
        <w:shd w:val="clear" w:color="auto" w:fill="FFFFFF"/>
        <w:spacing w:line="360" w:lineRule="auto"/>
        <w:rPr>
          <w:rFonts w:ascii="宋体" w:hAnsi="宋体" w:cs="宋体"/>
          <w:b/>
          <w:bCs/>
          <w:color w:val="000000"/>
          <w:sz w:val="24"/>
        </w:rPr>
      </w:pPr>
      <w:r>
        <w:rPr>
          <w:rFonts w:hint="eastAsia" w:ascii="宋体" w:hAnsi="宋体" w:cs="宋体"/>
          <w:b/>
          <w:bCs/>
          <w:color w:val="000000"/>
          <w:sz w:val="24"/>
        </w:rPr>
        <w:t>（二）合同的签订</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pacing w:line="360" w:lineRule="auto"/>
        <w:rPr>
          <w:rFonts w:ascii="宋体" w:hAnsi="宋体" w:cs="宋体"/>
          <w:b/>
          <w:bCs/>
          <w:color w:val="000000"/>
          <w:sz w:val="24"/>
        </w:rPr>
      </w:pPr>
      <w:r>
        <w:rPr>
          <w:rFonts w:hint="eastAsia" w:ascii="宋体" w:hAnsi="宋体" w:cs="宋体"/>
          <w:b/>
          <w:bCs/>
          <w:color w:val="000000"/>
          <w:sz w:val="24"/>
        </w:rPr>
        <w:t>（三）履约保证金</w:t>
      </w:r>
    </w:p>
    <w:p>
      <w:pPr>
        <w:autoSpaceDE w:val="0"/>
        <w:autoSpaceDN w:val="0"/>
        <w:spacing w:line="360" w:lineRule="auto"/>
        <w:ind w:firstLine="480" w:firstLineChars="200"/>
        <w:rPr>
          <w:rFonts w:ascii="宋体" w:hAnsi="宋体" w:cs="仿宋_GB2312"/>
          <w:b/>
          <w:bCs/>
          <w:color w:val="000000"/>
          <w:sz w:val="24"/>
        </w:rPr>
      </w:pPr>
      <w:r>
        <w:rPr>
          <w:rFonts w:ascii="Times New Roman" w:hAnsi="Times New Roman"/>
          <w:color w:val="000000"/>
          <w:sz w:val="24"/>
        </w:rPr>
        <w:t>1、</w:t>
      </w:r>
      <w:r>
        <w:rPr>
          <w:rFonts w:hint="eastAsia" w:ascii="宋体" w:hAnsi="宋体" w:cs="宋体"/>
          <w:color w:val="000000"/>
          <w:sz w:val="24"/>
        </w:rPr>
        <w:t>详见“第三部分——项目技术规范和服务要求”。</w:t>
      </w:r>
      <w:r>
        <w:rPr>
          <w:rFonts w:hint="eastAsia" w:ascii="宋体" w:hAnsi="宋体" w:cs="仿宋_GB2312"/>
          <w:b/>
          <w:bCs/>
          <w:color w:val="000000"/>
          <w:sz w:val="24"/>
        </w:rPr>
        <w:t xml:space="preserve">  </w:t>
      </w:r>
    </w:p>
    <w:p>
      <w:pPr>
        <w:autoSpaceDE w:val="0"/>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2、中标人应以支票、汇票、本票或者金融机构、担保机构出具的保函等非现金形式，提交履约保证金。</w:t>
      </w:r>
    </w:p>
    <w:p>
      <w:pPr>
        <w:autoSpaceDE w:val="0"/>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3、履约保证金在合同专用条款约定期间内或者货物质量保证期内不予退还或者应完全有效，</w:t>
      </w:r>
      <w:r>
        <w:rPr>
          <w:rFonts w:hint="eastAsia" w:ascii="宋体" w:hAnsi="宋体"/>
          <w:color w:val="000000"/>
          <w:sz w:val="24"/>
        </w:rPr>
        <w:t>待服务期满后，无质量、服务问题，由招标人向中标人无息退还</w:t>
      </w:r>
      <w:r>
        <w:rPr>
          <w:rFonts w:hint="eastAsia" w:ascii="宋体" w:hAnsi="宋体" w:cs="仿宋_GB2312"/>
          <w:color w:val="000000"/>
          <w:sz w:val="24"/>
          <w:lang w:val="zh-CN"/>
        </w:rPr>
        <w:t>。</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color w:val="000000"/>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pacing w:line="360" w:lineRule="auto"/>
        <w:rPr>
          <w:rFonts w:ascii="宋体" w:hAnsi="宋体" w:cs="宋体"/>
          <w:b/>
          <w:bCs/>
          <w:color w:val="000000"/>
          <w:sz w:val="24"/>
        </w:rPr>
      </w:pPr>
      <w:r>
        <w:rPr>
          <w:rFonts w:hint="eastAsia" w:ascii="宋体" w:hAnsi="宋体" w:cs="宋体"/>
          <w:b/>
          <w:bCs/>
          <w:color w:val="000000"/>
          <w:sz w:val="24"/>
        </w:rPr>
        <w:t>（四）付款结算方式</w:t>
      </w:r>
    </w:p>
    <w:p>
      <w:pPr>
        <w:shd w:val="clear" w:color="auto" w:fill="FFFFFF"/>
        <w:spacing w:line="360" w:lineRule="auto"/>
        <w:ind w:firstLine="480" w:firstLineChars="200"/>
        <w:rPr>
          <w:rFonts w:ascii="宋体" w:hAnsi="宋体" w:cs="宋体"/>
          <w:b/>
          <w:bCs/>
          <w:color w:val="000000"/>
          <w:sz w:val="24"/>
        </w:rPr>
      </w:pPr>
      <w:r>
        <w:rPr>
          <w:rFonts w:hint="eastAsia" w:ascii="宋体" w:hAnsi="宋体" w:cs="宋体"/>
          <w:color w:val="000000"/>
          <w:sz w:val="24"/>
        </w:rPr>
        <w:t>详见“第三部分——项目技术规范和服务要求”。</w:t>
      </w:r>
    </w:p>
    <w:p>
      <w:pPr>
        <w:numPr>
          <w:ilvl w:val="0"/>
          <w:numId w:val="14"/>
        </w:numPr>
        <w:shd w:val="clear" w:color="auto" w:fill="FFFFFF"/>
        <w:spacing w:line="360" w:lineRule="auto"/>
        <w:rPr>
          <w:rFonts w:ascii="宋体" w:hAnsi="宋体" w:cs="宋体"/>
          <w:b/>
          <w:bCs/>
          <w:color w:val="000000"/>
          <w:sz w:val="24"/>
        </w:rPr>
      </w:pPr>
      <w:r>
        <w:rPr>
          <w:rFonts w:hint="eastAsia" w:ascii="宋体" w:hAnsi="宋体" w:cs="宋体"/>
          <w:b/>
          <w:bCs/>
          <w:color w:val="000000"/>
          <w:sz w:val="24"/>
        </w:rPr>
        <w:t>服务期限</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color w:val="000000"/>
          <w:sz w:val="24"/>
        </w:rPr>
        <w:t>详见“第三部分——项目技术规范和服务要求”。</w:t>
      </w:r>
    </w:p>
    <w:p>
      <w:pPr>
        <w:shd w:val="clear" w:color="auto" w:fill="FFFFFF"/>
        <w:spacing w:line="360" w:lineRule="auto"/>
        <w:rPr>
          <w:rFonts w:ascii="宋体" w:hAnsi="宋体" w:cs="宋体"/>
          <w:color w:val="000000"/>
          <w:kern w:val="0"/>
          <w:sz w:val="24"/>
          <w:lang w:val="zh-CN"/>
        </w:rPr>
      </w:pPr>
      <w:r>
        <w:rPr>
          <w:rFonts w:hint="eastAsia" w:ascii="宋体" w:hAnsi="宋体" w:cs="宋体"/>
          <w:b/>
          <w:bCs/>
          <w:color w:val="000000"/>
          <w:sz w:val="24"/>
        </w:rPr>
        <w:t>（六）采购方式改变</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pacing w:line="360" w:lineRule="auto"/>
        <w:rPr>
          <w:rFonts w:ascii="宋体" w:hAnsi="宋体" w:cs="宋体"/>
          <w:b/>
          <w:bCs/>
          <w:color w:val="000000"/>
          <w:sz w:val="24"/>
        </w:rPr>
      </w:pPr>
      <w:r>
        <w:rPr>
          <w:rFonts w:hint="eastAsia" w:ascii="宋体" w:hAnsi="宋体" w:cs="宋体"/>
          <w:b/>
          <w:bCs/>
          <w:color w:val="000000"/>
          <w:sz w:val="24"/>
        </w:rPr>
        <w:t>（七）售后服务考核</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color w:val="000000"/>
          <w:sz w:val="24"/>
        </w:rPr>
        <w:t>将按照《</w:t>
      </w:r>
      <w:r>
        <w:rPr>
          <w:rFonts w:hint="eastAsia" w:ascii="宋体" w:hAnsi="宋体" w:cs="宋体"/>
          <w:color w:val="000000"/>
          <w:sz w:val="24"/>
          <w:lang w:val="zh-CN"/>
        </w:rPr>
        <w:t>政府采购货物和服务招标投标管理办法</w:t>
      </w:r>
      <w:r>
        <w:rPr>
          <w:rFonts w:hint="eastAsia" w:ascii="宋体" w:hAnsi="宋体" w:cs="宋体"/>
          <w:color w:val="000000"/>
          <w:sz w:val="24"/>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numPr>
          <w:ilvl w:val="255"/>
          <w:numId w:val="0"/>
        </w:numPr>
        <w:shd w:val="clear" w:color="auto" w:fill="FFFFFF"/>
        <w:tabs>
          <w:tab w:val="left" w:pos="0"/>
        </w:tabs>
        <w:spacing w:line="360" w:lineRule="auto"/>
        <w:rPr>
          <w:rFonts w:ascii="宋体" w:hAnsi="宋体"/>
          <w:b/>
          <w:bCs/>
          <w:sz w:val="24"/>
        </w:rPr>
      </w:pPr>
      <w:r>
        <w:rPr>
          <w:rFonts w:hint="eastAsia" w:ascii="宋体" w:hAnsi="宋体" w:cs="宋体"/>
          <w:b/>
          <w:bCs/>
          <w:color w:val="000000"/>
          <w:sz w:val="24"/>
        </w:rPr>
        <w:t>（八）</w:t>
      </w:r>
      <w:r>
        <w:rPr>
          <w:rFonts w:hint="eastAsia" w:ascii="宋体" w:hAnsi="宋体"/>
          <w:b/>
          <w:bCs/>
          <w:sz w:val="24"/>
        </w:rPr>
        <w:t>履约验收</w:t>
      </w:r>
    </w:p>
    <w:p>
      <w:pPr>
        <w:tabs>
          <w:tab w:val="left" w:pos="0"/>
        </w:tabs>
        <w:spacing w:line="360" w:lineRule="auto"/>
        <w:ind w:firstLine="480" w:firstLineChars="200"/>
        <w:jc w:val="left"/>
        <w:rPr>
          <w:rFonts w:ascii="宋体" w:hAnsi="宋体" w:cs="宋体"/>
          <w:sz w:val="24"/>
        </w:rPr>
      </w:pPr>
      <w:r>
        <w:rPr>
          <w:rFonts w:hint="eastAsia" w:ascii="宋体" w:hAnsi="宋体" w:cs="宋体"/>
          <w:sz w:val="24"/>
        </w:rPr>
        <w:t>1、采购人自行组织或委托采购代理机构对供应商进行履约验收，出具验收书，存档备查。如果发现与合同中要求不符，供应商须承担由此发生的一切损失和费用，并承担相应的法律责任。</w:t>
      </w:r>
    </w:p>
    <w:p>
      <w:pPr>
        <w:tabs>
          <w:tab w:val="left" w:pos="0"/>
        </w:tabs>
        <w:spacing w:line="360" w:lineRule="auto"/>
        <w:ind w:firstLine="480" w:firstLineChars="200"/>
        <w:jc w:val="left"/>
        <w:rPr>
          <w:rFonts w:ascii="宋体" w:hAnsi="宋体" w:cs="宋体"/>
          <w:sz w:val="24"/>
        </w:rPr>
      </w:pPr>
      <w:r>
        <w:rPr>
          <w:rFonts w:hint="eastAsia" w:ascii="宋体" w:hAnsi="宋体" w:cs="宋体"/>
          <w:sz w:val="24"/>
        </w:rPr>
        <w:t>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pPr>
        <w:tabs>
          <w:tab w:val="left" w:pos="0"/>
        </w:tabs>
        <w:spacing w:line="360" w:lineRule="auto"/>
        <w:ind w:firstLine="480" w:firstLineChars="200"/>
        <w:jc w:val="left"/>
        <w:rPr>
          <w:rFonts w:ascii="宋体" w:hAnsi="宋体" w:cs="宋体"/>
          <w:sz w:val="24"/>
        </w:rPr>
      </w:pPr>
      <w:r>
        <w:rPr>
          <w:rFonts w:hint="eastAsia" w:ascii="宋体" w:hAnsi="宋体" w:cs="宋体"/>
          <w:sz w:val="24"/>
        </w:rPr>
        <w:t>3、采购人可以邀请参加本项目的其他投标人或者第三方机构参与验收。参与验收的投标人或者第三方机构的意见作为验收书的参考资料一并存档。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jc w:val="left"/>
        <w:rPr>
          <w:rFonts w:ascii="宋体" w:hAnsi="宋体" w:cs="宋体"/>
          <w:sz w:val="24"/>
        </w:rPr>
      </w:pPr>
      <w:r>
        <w:rPr>
          <w:rFonts w:hint="eastAsia" w:ascii="宋体" w:hAnsi="宋体" w:cs="宋体"/>
          <w:sz w:val="24"/>
        </w:rPr>
        <w:t>4、政府向社会公众提供的公共服务项目验收时应当邀请服务对象参与并出具意见，验收结果应当向社会公告。</w:t>
      </w:r>
    </w:p>
    <w:p>
      <w:pPr>
        <w:tabs>
          <w:tab w:val="left" w:pos="0"/>
        </w:tabs>
        <w:spacing w:line="360" w:lineRule="auto"/>
        <w:ind w:firstLine="480" w:firstLineChars="200"/>
        <w:jc w:val="left"/>
        <w:rPr>
          <w:rFonts w:ascii="宋体" w:hAnsi="宋体" w:cs="宋体"/>
          <w:sz w:val="24"/>
        </w:rPr>
      </w:pPr>
      <w:r>
        <w:rPr>
          <w:rFonts w:hint="eastAsia" w:ascii="宋体" w:hAnsi="宋体" w:cs="宋体"/>
          <w:sz w:val="24"/>
        </w:rPr>
        <w:t>5、采购合同的履行、违约责任和解决争议的方式等适用</w:t>
      </w:r>
      <w:r>
        <w:rPr>
          <w:rFonts w:hint="eastAsia" w:ascii="宋体" w:hAnsi="宋体" w:cs="宋体"/>
          <w:color w:val="000000"/>
          <w:sz w:val="24"/>
        </w:rPr>
        <w:t>《中华人民共和国民法典》（第三编合同）</w:t>
      </w:r>
      <w:r>
        <w:rPr>
          <w:rFonts w:hint="eastAsia" w:ascii="宋体" w:hAnsi="宋体" w:cs="宋体"/>
          <w:sz w:val="24"/>
        </w:rPr>
        <w:t>。</w:t>
      </w:r>
    </w:p>
    <w:p>
      <w:pPr>
        <w:tabs>
          <w:tab w:val="left" w:pos="0"/>
        </w:tabs>
        <w:spacing w:line="360" w:lineRule="auto"/>
        <w:ind w:firstLine="480" w:firstLineChars="200"/>
        <w:jc w:val="left"/>
      </w:pPr>
      <w:r>
        <w:rPr>
          <w:rFonts w:hint="eastAsia" w:ascii="宋体" w:hAnsi="宋体" w:cs="宋体"/>
          <w:sz w:val="24"/>
        </w:rPr>
        <w:t>6、供应商在履约过程中有政府采购法律法规规定的违法违规情形的，采购人应当及时报告本级财政部门。</w:t>
      </w:r>
    </w:p>
    <w:p>
      <w:pPr>
        <w:spacing w:line="360" w:lineRule="auto"/>
        <w:rPr>
          <w:rFonts w:ascii="宋体" w:hAnsi="宋体" w:cs="宋体"/>
          <w:b/>
          <w:color w:val="000000"/>
          <w:sz w:val="24"/>
        </w:rPr>
      </w:pPr>
      <w:r>
        <w:rPr>
          <w:rFonts w:hint="eastAsia" w:ascii="宋体" w:hAnsi="宋体" w:cs="宋体"/>
          <w:b/>
          <w:color w:val="000000"/>
          <w:sz w:val="24"/>
        </w:rPr>
        <w:t>（九）质疑和投诉</w:t>
      </w:r>
    </w:p>
    <w:p>
      <w:pPr>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 xml:space="preserve">1、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）投标人如认为招标公告信息使自身的合法权益受到损害的，应于自招标公告发布之日起七个工作日内以书面形式向采购代理机构提出质疑。</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spacing w:line="360" w:lineRule="auto"/>
        <w:ind w:firstLine="480" w:firstLineChars="200"/>
        <w:jc w:val="left"/>
        <w:rPr>
          <w:rFonts w:ascii="宋体" w:cs="宋体"/>
          <w:color w:val="000000"/>
          <w:sz w:val="24"/>
        </w:rPr>
      </w:pPr>
      <w:r>
        <w:rPr>
          <w:rFonts w:hint="eastAsia" w:ascii="宋体" w:hAnsi="宋体" w:cs="宋体"/>
          <w:color w:val="000000"/>
          <w:sz w:val="24"/>
        </w:rPr>
        <w:t>（3）投标人如认为采购过程使自身的合法权益受到损害的，应于自各采购程序环节结束之日起七个工作日内，以书面形式向采购代理机构提出质疑。</w:t>
      </w:r>
    </w:p>
    <w:p>
      <w:pPr>
        <w:spacing w:line="360" w:lineRule="auto"/>
        <w:ind w:firstLine="480" w:firstLineChars="200"/>
        <w:jc w:val="left"/>
        <w:rPr>
          <w:rFonts w:ascii="宋体" w:cs="宋体"/>
          <w:color w:val="000000"/>
          <w:sz w:val="24"/>
        </w:rPr>
      </w:pPr>
      <w:r>
        <w:rPr>
          <w:rFonts w:hint="eastAsia" w:ascii="宋体" w:hAnsi="宋体" w:cs="宋体"/>
          <w:color w:val="000000"/>
          <w:sz w:val="24"/>
        </w:rPr>
        <w:t>（4）投标人如认为中标结果使自身的合法权益受到损害的，应于自中标结果公告期限（公告期限为</w:t>
      </w:r>
      <w:r>
        <w:rPr>
          <w:rFonts w:ascii="宋体" w:hAnsi="宋体" w:cs="宋体"/>
          <w:color w:val="000000"/>
          <w:sz w:val="24"/>
        </w:rPr>
        <w:t>1</w:t>
      </w:r>
      <w:r>
        <w:rPr>
          <w:rFonts w:hint="eastAsia" w:ascii="宋体" w:hAnsi="宋体" w:cs="宋体"/>
          <w:color w:val="000000"/>
          <w:sz w:val="24"/>
        </w:rPr>
        <w:t>个工作日）届满之日起七个工作日内，以书面形式向采购代理机构提出质疑。</w:t>
      </w:r>
    </w:p>
    <w:p>
      <w:pPr>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2、提出质疑的供应商应当是参与本项招标活动的投标人，在法定质疑期内应一次性提出针对同一采购程序环节的质疑。</w:t>
      </w:r>
    </w:p>
    <w:p>
      <w:pPr>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3、采购人或者采购代理机构应当在3个工作日内对供应商依法提出的询问作出答复。</w:t>
      </w:r>
    </w:p>
    <w:p>
      <w:pPr>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snapToGrid w:val="0"/>
          <w:color w:val="000000"/>
          <w:kern w:val="0"/>
          <w:sz w:val="24"/>
        </w:rPr>
        <w:t>4、</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pacing w:line="360" w:lineRule="auto"/>
        <w:rPr>
          <w:rFonts w:ascii="宋体" w:hAnsi="宋体" w:cs="宋体"/>
          <w:b/>
          <w:bCs/>
          <w:color w:val="000000"/>
          <w:sz w:val="24"/>
        </w:rPr>
      </w:pPr>
      <w:r>
        <w:rPr>
          <w:rFonts w:hint="eastAsia" w:ascii="宋体" w:hAnsi="宋体" w:cs="宋体"/>
          <w:b/>
          <w:bCs/>
          <w:color w:val="000000"/>
          <w:kern w:val="0"/>
          <w:sz w:val="24"/>
          <w:lang w:val="zh-CN"/>
        </w:rPr>
        <w:t>（十）</w:t>
      </w:r>
      <w:r>
        <w:rPr>
          <w:rFonts w:hint="eastAsia" w:ascii="宋体" w:hAnsi="宋体" w:cs="宋体"/>
          <w:b/>
          <w:bCs/>
          <w:color w:val="000000"/>
          <w:sz w:val="24"/>
        </w:rPr>
        <w:t>解释权</w:t>
      </w:r>
    </w:p>
    <w:p>
      <w:pPr>
        <w:shd w:val="clear" w:color="auto" w:fill="FFFFFF"/>
        <w:spacing w:line="360" w:lineRule="auto"/>
        <w:ind w:firstLine="480" w:firstLineChars="200"/>
        <w:rPr>
          <w:rFonts w:ascii="宋体" w:hAnsi="宋体" w:cs="宋体"/>
          <w:color w:val="000000"/>
          <w:spacing w:val="-11"/>
          <w:sz w:val="24"/>
        </w:rPr>
      </w:pPr>
      <w:r>
        <w:rPr>
          <w:rFonts w:hint="eastAsia" w:ascii="宋体" w:hAnsi="宋体" w:cs="宋体"/>
          <w:color w:val="000000"/>
          <w:sz w:val="24"/>
        </w:rPr>
        <w:t>招标文件的解释权均属于招标人和委托招标代理机构</w:t>
      </w:r>
      <w:r>
        <w:rPr>
          <w:rFonts w:hint="eastAsia" w:ascii="宋体" w:hAnsi="宋体" w:cs="宋体"/>
          <w:color w:val="000000"/>
          <w:spacing w:val="-11"/>
          <w:sz w:val="24"/>
        </w:rPr>
        <w:t>。</w:t>
      </w:r>
    </w:p>
    <w:p>
      <w:pPr>
        <w:pStyle w:val="77"/>
        <w:ind w:firstLine="436"/>
        <w:rPr>
          <w:rFonts w:ascii="宋体" w:hAnsi="宋体" w:cs="宋体"/>
          <w:color w:val="000000"/>
          <w:spacing w:val="-11"/>
          <w:sz w:val="24"/>
        </w:rPr>
      </w:pPr>
    </w:p>
    <w:p>
      <w:bookmarkStart w:id="201" w:name="_Toc31399"/>
      <w:bookmarkStart w:id="202" w:name="_Toc26111"/>
      <w:bookmarkStart w:id="203" w:name="_Toc9961"/>
      <w:r>
        <w:rPr>
          <w:rFonts w:hint="eastAsia"/>
        </w:rPr>
        <w:br w:type="page"/>
      </w:r>
    </w:p>
    <w:p>
      <w:pPr>
        <w:pStyle w:val="4"/>
        <w:numPr>
          <w:ilvl w:val="0"/>
          <w:numId w:val="9"/>
        </w:numPr>
        <w:rPr>
          <w:sz w:val="36"/>
          <w:szCs w:val="36"/>
        </w:rPr>
      </w:pPr>
      <w:r>
        <w:rPr>
          <w:rFonts w:hint="eastAsia"/>
          <w:sz w:val="36"/>
          <w:szCs w:val="36"/>
        </w:rPr>
        <w:t xml:space="preserve">  </w:t>
      </w:r>
      <w:bookmarkStart w:id="204" w:name="_Toc14881"/>
      <w:bookmarkStart w:id="205" w:name="_Toc27733"/>
      <w:bookmarkStart w:id="206" w:name="_Toc20933"/>
      <w:r>
        <w:rPr>
          <w:rFonts w:hint="eastAsia"/>
          <w:sz w:val="36"/>
          <w:szCs w:val="36"/>
        </w:rPr>
        <w:t>项目技术规范和服务要求</w:t>
      </w:r>
      <w:bookmarkEnd w:id="201"/>
      <w:bookmarkEnd w:id="202"/>
      <w:bookmarkEnd w:id="203"/>
      <w:bookmarkEnd w:id="204"/>
      <w:bookmarkEnd w:id="205"/>
      <w:bookmarkEnd w:id="206"/>
    </w:p>
    <w:p>
      <w:pPr>
        <w:pStyle w:val="2"/>
        <w:numPr>
          <w:ilvl w:val="0"/>
          <w:numId w:val="15"/>
        </w:numPr>
        <w:rPr>
          <w:rFonts w:ascii="宋体" w:hAnsi="宋体" w:eastAsia="宋体" w:cs="宋体"/>
          <w:color w:val="000000" w:themeColor="text1"/>
          <w:sz w:val="24"/>
          <w:szCs w:val="24"/>
          <w14:textFill>
            <w14:solidFill>
              <w14:schemeClr w14:val="tx1"/>
            </w14:solidFill>
          </w14:textFill>
        </w:rPr>
      </w:pPr>
      <w:bookmarkStart w:id="207" w:name="_Toc16096"/>
      <w:bookmarkStart w:id="208" w:name="_Toc27089"/>
      <w:bookmarkStart w:id="209" w:name="_Toc31965"/>
      <w:bookmarkStart w:id="210" w:name="_Toc39844011"/>
      <w:bookmarkStart w:id="211" w:name="_Toc26853"/>
      <w:bookmarkStart w:id="212" w:name="_Toc379811066"/>
      <w:bookmarkStart w:id="213" w:name="_Toc365897805"/>
      <w:bookmarkStart w:id="214" w:name="_Toc274303247"/>
      <w:bookmarkStart w:id="215" w:name="_Toc16157"/>
      <w:bookmarkStart w:id="216" w:name="_Toc351971206"/>
      <w:bookmarkStart w:id="217" w:name="_Toc8772"/>
      <w:bookmarkStart w:id="218" w:name="_Toc2022"/>
      <w:bookmarkStart w:id="219" w:name="_Toc3468"/>
      <w:bookmarkStart w:id="220" w:name="_Toc354996706"/>
      <w:bookmarkStart w:id="221" w:name="_Toc233618986"/>
      <w:bookmarkStart w:id="222" w:name="_Toc86217003"/>
      <w:r>
        <w:rPr>
          <w:rFonts w:hint="eastAsia" w:ascii="宋体" w:hAnsi="宋体" w:eastAsia="宋体" w:cs="宋体"/>
          <w:color w:val="000000" w:themeColor="text1"/>
          <w:sz w:val="24"/>
          <w:szCs w:val="24"/>
          <w14:textFill>
            <w14:solidFill>
              <w14:schemeClr w14:val="tx1"/>
            </w14:solidFill>
          </w14:textFill>
        </w:rPr>
        <w:t>项目背景</w:t>
      </w:r>
      <w:bookmarkEnd w:id="207"/>
      <w:bookmarkEnd w:id="208"/>
      <w:bookmarkEnd w:id="209"/>
    </w:p>
    <w:p>
      <w:pPr>
        <w:pStyle w:val="410"/>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为更好的适应余杭区新的发展形势，推动和配合国土空间规划编制，科学布局余杭区未来交通发展战略，及早谋划和落实重大民生工程，特开展本次规划工作。</w:t>
      </w:r>
    </w:p>
    <w:p>
      <w:pPr>
        <w:pStyle w:val="2"/>
        <w:numPr>
          <w:ilvl w:val="0"/>
          <w:numId w:val="15"/>
        </w:numPr>
        <w:rPr>
          <w:rFonts w:ascii="宋体" w:hAnsi="宋体" w:eastAsia="宋体" w:cs="宋体"/>
          <w:color w:val="000000" w:themeColor="text1"/>
          <w:sz w:val="24"/>
          <w:szCs w:val="24"/>
          <w14:textFill>
            <w14:solidFill>
              <w14:schemeClr w14:val="tx1"/>
            </w14:solidFill>
          </w14:textFill>
        </w:rPr>
      </w:pPr>
      <w:bookmarkStart w:id="223" w:name="_Toc7031"/>
      <w:bookmarkStart w:id="224" w:name="_Toc21379"/>
      <w:bookmarkStart w:id="225" w:name="_Toc16430"/>
      <w:r>
        <w:rPr>
          <w:rFonts w:hint="eastAsia" w:ascii="宋体" w:hAnsi="宋体" w:eastAsia="宋体" w:cs="宋体"/>
          <w:color w:val="000000" w:themeColor="text1"/>
          <w:sz w:val="24"/>
          <w:szCs w:val="24"/>
          <w14:textFill>
            <w14:solidFill>
              <w14:schemeClr w14:val="tx1"/>
            </w14:solidFill>
          </w14:textFill>
        </w:rPr>
        <w:t>规划目标</w:t>
      </w:r>
      <w:bookmarkEnd w:id="223"/>
      <w:bookmarkEnd w:id="224"/>
      <w:bookmarkEnd w:id="225"/>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当前余杭区现状及发展趋势进行评估分析，判断当前及未来余杭区交通系统发展的问题症结，以及面临的机遇与挑战。在对既有规划条件分析基础上，进一步提升综合交通系统功能，落实余杭区国土空间发展重大战略，明确余杭区综合交通系统功能和综合交通设施总体布局。</w:t>
      </w:r>
    </w:p>
    <w:p>
      <w:pPr>
        <w:pStyle w:val="2"/>
        <w:numPr>
          <w:ilvl w:val="0"/>
          <w:numId w:val="15"/>
        </w:numPr>
        <w:rPr>
          <w:rFonts w:ascii="宋体" w:hAnsi="宋体" w:eastAsia="宋体" w:cs="宋体"/>
          <w:color w:val="000000" w:themeColor="text1"/>
          <w:sz w:val="24"/>
          <w:szCs w:val="24"/>
          <w14:textFill>
            <w14:solidFill>
              <w14:schemeClr w14:val="tx1"/>
            </w14:solidFill>
          </w14:textFill>
        </w:rPr>
      </w:pPr>
      <w:bookmarkStart w:id="226" w:name="_Toc24752"/>
      <w:bookmarkStart w:id="227" w:name="_Toc22939"/>
      <w:r>
        <w:rPr>
          <w:rFonts w:hint="eastAsia" w:ascii="宋体" w:hAnsi="宋体" w:eastAsia="宋体" w:cs="宋体"/>
          <w:color w:val="000000" w:themeColor="text1"/>
          <w:sz w:val="24"/>
          <w:szCs w:val="24"/>
          <w14:textFill>
            <w14:solidFill>
              <w14:schemeClr w14:val="tx1"/>
            </w14:solidFill>
          </w14:textFill>
        </w:rPr>
        <w:t>规划范围</w:t>
      </w:r>
      <w:bookmarkEnd w:id="226"/>
      <w:bookmarkEnd w:id="227"/>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项目规划范围为余杭区行政区划</w:t>
      </w:r>
      <w:r>
        <w:rPr>
          <w:rFonts w:ascii="宋体" w:hAnsi="宋体" w:cs="宋体"/>
          <w:color w:val="000000" w:themeColor="text1"/>
          <w:sz w:val="24"/>
          <w:szCs w:val="20"/>
          <w14:textFill>
            <w14:solidFill>
              <w14:schemeClr w14:val="tx1"/>
            </w14:solidFill>
          </w14:textFill>
        </w:rPr>
        <w:t>范围</w:t>
      </w:r>
      <w:r>
        <w:rPr>
          <w:rFonts w:hint="eastAsia" w:ascii="宋体" w:hAnsi="宋体" w:cs="宋体"/>
          <w:color w:val="000000" w:themeColor="text1"/>
          <w:sz w:val="24"/>
          <w:szCs w:val="20"/>
          <w14:textFill>
            <w14:solidFill>
              <w14:schemeClr w14:val="tx1"/>
            </w14:solidFill>
          </w14:textFill>
        </w:rPr>
        <w:t>。研究范围涉及杭州市区及更大范围。具体</w:t>
      </w:r>
    </w:p>
    <w:p>
      <w:pPr>
        <w:spacing w:line="360" w:lineRule="auto"/>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根据规划研究的对象与深度，划分三个空间层次：</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1、区域层次——重点研究区域性交通系统布局以及市级交通系统布局</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具体可细分为城际交通系统、都市区交通系统以及市区交通系统三个层面；</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2、地区层次——重点研究</w:t>
      </w:r>
      <w:r>
        <w:rPr>
          <w:rFonts w:hint="eastAsia" w:ascii="宋体" w:hAnsi="宋体" w:cs="宋体"/>
          <w:color w:val="000000" w:themeColor="text1"/>
          <w:sz w:val="24"/>
          <w:szCs w:val="20"/>
          <w14:textFill>
            <w14:solidFill>
              <w14:schemeClr w14:val="tx1"/>
            </w14:solidFill>
          </w14:textFill>
        </w:rPr>
        <w:t>余杭区</w:t>
      </w:r>
      <w:r>
        <w:rPr>
          <w:rFonts w:ascii="宋体" w:hAnsi="宋体" w:cs="宋体"/>
          <w:color w:val="000000" w:themeColor="text1"/>
          <w:sz w:val="24"/>
          <w:szCs w:val="20"/>
          <w14:textFill>
            <w14:solidFill>
              <w14:schemeClr w14:val="tx1"/>
            </w14:solidFill>
          </w14:textFill>
        </w:rPr>
        <w:t>与周边地区的地域性交通系统整体布局</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具体包括区域层次的跨区交通设施布局衔接，地区内部的跨区交通设施布局以及交通网络衔接组织。</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3、余杭区层次——重点研究余杭区内部交通系统与空间布局的协同，落实交通设施布局以及交通网络组织方案</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具体包括铁路、公路、轨道交通等区域性及地区性交通设施在余杭区内部的总体布局，城市道路网、公交网、慢行网等内部交通网络组织方案。</w:t>
      </w:r>
    </w:p>
    <w:p>
      <w:pPr>
        <w:pStyle w:val="2"/>
        <w:numPr>
          <w:ilvl w:val="0"/>
          <w:numId w:val="15"/>
        </w:numPr>
        <w:rPr>
          <w:rFonts w:ascii="宋体" w:hAnsi="宋体" w:eastAsia="宋体" w:cs="宋体"/>
          <w:color w:val="000000" w:themeColor="text1"/>
          <w:sz w:val="24"/>
          <w:szCs w:val="24"/>
          <w14:textFill>
            <w14:solidFill>
              <w14:schemeClr w14:val="tx1"/>
            </w14:solidFill>
          </w14:textFill>
        </w:rPr>
      </w:pPr>
      <w:bookmarkStart w:id="228" w:name="_Toc18512"/>
      <w:bookmarkStart w:id="229" w:name="_Toc4004"/>
      <w:r>
        <w:rPr>
          <w:rFonts w:hint="eastAsia" w:ascii="宋体" w:hAnsi="宋体" w:eastAsia="宋体" w:cs="宋体"/>
          <w:color w:val="000000" w:themeColor="text1"/>
          <w:sz w:val="24"/>
          <w:szCs w:val="24"/>
          <w14:textFill>
            <w14:solidFill>
              <w14:schemeClr w14:val="tx1"/>
            </w14:solidFill>
          </w14:textFill>
        </w:rPr>
        <w:t>规划期限</w:t>
      </w:r>
      <w:bookmarkEnd w:id="228"/>
      <w:bookmarkEnd w:id="229"/>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1、近期——对应十四五规划期限</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近期重点涉及与相关十四五规划（包括上位规划和周边地区规划）具体规划要求之间的衔接，并针对余杭区自身近期发展要求做出合理安排。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2、远期——对应国土空间规划期限</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远期为本次规划研究的主要时间节点，涉及规划的全部工作内容要求。</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3、远景——展望2050</w:t>
      </w:r>
      <w:r>
        <w:rPr>
          <w:rFonts w:hint="eastAsia" w:ascii="宋体" w:hAnsi="宋体" w:cs="宋体"/>
          <w:color w:val="000000" w:themeColor="text1"/>
          <w:sz w:val="24"/>
          <w:szCs w:val="20"/>
          <w14:textFill>
            <w14:solidFill>
              <w14:schemeClr w14:val="tx1"/>
            </w14:solidFill>
          </w14:textFill>
        </w:rPr>
        <w:t>年</w:t>
      </w:r>
      <w:r>
        <w:rPr>
          <w:rFonts w:ascii="宋体" w:hAnsi="宋体" w:cs="宋体"/>
          <w:color w:val="000000" w:themeColor="text1"/>
          <w:sz w:val="24"/>
          <w:szCs w:val="20"/>
          <w14:textFill>
            <w14:solidFill>
              <w14:schemeClr w14:val="tx1"/>
            </w14:solidFill>
          </w14:textFill>
        </w:rPr>
        <w:t>未来发展场景</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分析研究未来交通发展趋势，交通新理念和新技术的应用前景，探讨未来交通系统在</w:t>
      </w:r>
      <w:r>
        <w:rPr>
          <w:rFonts w:hint="eastAsia" w:ascii="宋体" w:hAnsi="宋体" w:cs="宋体"/>
          <w:color w:val="000000" w:themeColor="text1"/>
          <w:sz w:val="24"/>
          <w:szCs w:val="20"/>
          <w14:textFill>
            <w14:solidFill>
              <w14:schemeClr w14:val="tx1"/>
            </w14:solidFill>
          </w14:textFill>
        </w:rPr>
        <w:t>余杭区</w:t>
      </w:r>
      <w:r>
        <w:rPr>
          <w:rFonts w:ascii="宋体" w:hAnsi="宋体" w:cs="宋体"/>
          <w:color w:val="000000" w:themeColor="text1"/>
          <w:sz w:val="24"/>
          <w:szCs w:val="20"/>
          <w14:textFill>
            <w14:solidFill>
              <w14:schemeClr w14:val="tx1"/>
            </w14:solidFill>
          </w14:textFill>
        </w:rPr>
        <w:t>发展的可行性，研究未来交通发展的预留空间条件。</w:t>
      </w:r>
    </w:p>
    <w:p>
      <w:pPr>
        <w:pStyle w:val="2"/>
        <w:numPr>
          <w:ilvl w:val="0"/>
          <w:numId w:val="15"/>
        </w:numPr>
        <w:rPr>
          <w:rFonts w:ascii="宋体" w:hAnsi="宋体" w:eastAsia="宋体" w:cs="宋体"/>
          <w:color w:val="000000" w:themeColor="text1"/>
          <w:sz w:val="24"/>
          <w:szCs w:val="24"/>
          <w14:textFill>
            <w14:solidFill>
              <w14:schemeClr w14:val="tx1"/>
            </w14:solidFill>
          </w14:textFill>
        </w:rPr>
      </w:pPr>
      <w:bookmarkStart w:id="230" w:name="_Toc23080"/>
      <w:bookmarkStart w:id="231" w:name="_Toc8524"/>
      <w:r>
        <w:rPr>
          <w:rFonts w:hint="eastAsia" w:ascii="宋体" w:hAnsi="宋体" w:eastAsia="宋体" w:cs="宋体"/>
          <w:color w:val="000000" w:themeColor="text1"/>
          <w:sz w:val="24"/>
          <w:szCs w:val="24"/>
          <w14:textFill>
            <w14:solidFill>
              <w14:schemeClr w14:val="tx1"/>
            </w14:solidFill>
          </w14:textFill>
        </w:rPr>
        <w:t>工作内容</w:t>
      </w:r>
      <w:bookmarkEnd w:id="230"/>
      <w:bookmarkEnd w:id="231"/>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项目工作内容应符合城市综合交通规划体系编制要求，包括但不限于以下内容：</w:t>
      </w:r>
    </w:p>
    <w:p>
      <w:pPr>
        <w:spacing w:line="360" w:lineRule="auto"/>
        <w:rPr>
          <w:rFonts w:ascii="宋体" w:hAnsi="宋体" w:cs="宋体"/>
          <w:b/>
          <w:bCs/>
          <w:color w:val="000000" w:themeColor="text1"/>
          <w:sz w:val="24"/>
          <w:szCs w:val="20"/>
          <w14:textFill>
            <w14:solidFill>
              <w14:schemeClr w14:val="tx1"/>
            </w14:solidFill>
          </w14:textFill>
        </w:rPr>
      </w:pPr>
      <w:r>
        <w:rPr>
          <w:rFonts w:hint="eastAsia" w:ascii="宋体" w:hAnsi="宋体" w:cs="宋体"/>
          <w:b/>
          <w:bCs/>
          <w:color w:val="000000" w:themeColor="text1"/>
          <w:sz w:val="24"/>
          <w:szCs w:val="20"/>
          <w14:textFill>
            <w14:solidFill>
              <w14:schemeClr w14:val="tx1"/>
            </w14:solidFill>
          </w14:textFill>
        </w:rPr>
        <w:t>（一）综合交通调查研究</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包括</w:t>
      </w:r>
      <w:r>
        <w:rPr>
          <w:rFonts w:hint="eastAsia" w:ascii="宋体" w:hAnsi="宋体" w:cs="宋体"/>
          <w:color w:val="000000" w:themeColor="text1"/>
          <w:sz w:val="24"/>
          <w:szCs w:val="20"/>
          <w14:textFill>
            <w14:solidFill>
              <w14:schemeClr w14:val="tx1"/>
            </w14:solidFill>
          </w14:textFill>
        </w:rPr>
        <w:t>以下几方面调查工作：</w:t>
      </w:r>
    </w:p>
    <w:p>
      <w:pPr>
        <w:numPr>
          <w:ilvl w:val="0"/>
          <w:numId w:val="16"/>
        </w:num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居民出行特征调查。采用手机信令数据处理等</w:t>
      </w:r>
      <w:r>
        <w:rPr>
          <w:rFonts w:ascii="宋体" w:hAnsi="宋体" w:cs="宋体"/>
          <w:color w:val="000000" w:themeColor="text1"/>
          <w:sz w:val="24"/>
          <w:szCs w:val="20"/>
          <w14:textFill>
            <w14:solidFill>
              <w14:schemeClr w14:val="tx1"/>
            </w14:solidFill>
          </w14:textFill>
        </w:rPr>
        <w:t>大数据分析量化手段，展开居民出行特征调查工作</w:t>
      </w:r>
      <w:r>
        <w:rPr>
          <w:rFonts w:hint="eastAsia" w:ascii="宋体" w:hAnsi="宋体" w:cs="宋体"/>
          <w:color w:val="000000" w:themeColor="text1"/>
          <w:sz w:val="24"/>
          <w:szCs w:val="20"/>
          <w14:textFill>
            <w14:solidFill>
              <w14:schemeClr w14:val="tx1"/>
            </w14:solidFill>
          </w14:textFill>
        </w:rPr>
        <w:t>；</w:t>
      </w:r>
    </w:p>
    <w:p>
      <w:pPr>
        <w:numPr>
          <w:ilvl w:val="0"/>
          <w:numId w:val="16"/>
        </w:num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交通流量调查。主要包括：跨铁路及高速公路的查核线调查（包括绕城高速公路、杭长高速公路、杭徽高速公路、宣杭铁路等）；跨区界的查核线调查（与德清、安吉、临安、临平等辖区的衔接通道）；内部关键节点交通流量调查（根据后续工作制定具体方案）；</w:t>
      </w:r>
    </w:p>
    <w:p>
      <w:pPr>
        <w:numPr>
          <w:ilvl w:val="0"/>
          <w:numId w:val="16"/>
        </w:num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交通吸引点调查。针对主要大型公建、交通枢纽区域等交通吸引点的调查</w:t>
      </w:r>
    </w:p>
    <w:p>
      <w:pPr>
        <w:spacing w:line="360" w:lineRule="auto"/>
        <w:rPr>
          <w:rFonts w:ascii="宋体" w:hAnsi="宋体" w:cs="宋体"/>
          <w:b/>
          <w:bCs/>
          <w:color w:val="000000" w:themeColor="text1"/>
          <w:sz w:val="24"/>
          <w:szCs w:val="20"/>
          <w14:textFill>
            <w14:solidFill>
              <w14:schemeClr w14:val="tx1"/>
            </w14:solidFill>
          </w14:textFill>
        </w:rPr>
      </w:pPr>
      <w:r>
        <w:rPr>
          <w:rFonts w:hint="eastAsia" w:ascii="宋体" w:hAnsi="宋体" w:cs="宋体"/>
          <w:b/>
          <w:bCs/>
          <w:color w:val="000000" w:themeColor="text1"/>
          <w:sz w:val="24"/>
          <w:szCs w:val="20"/>
          <w14:textFill>
            <w14:solidFill>
              <w14:schemeClr w14:val="tx1"/>
            </w14:solidFill>
          </w14:textFill>
        </w:rPr>
        <w:t>（二）</w:t>
      </w:r>
      <w:r>
        <w:rPr>
          <w:rFonts w:ascii="宋体" w:hAnsi="宋体" w:cs="宋体"/>
          <w:b/>
          <w:bCs/>
          <w:color w:val="000000" w:themeColor="text1"/>
          <w:sz w:val="24"/>
          <w:szCs w:val="20"/>
          <w14:textFill>
            <w14:solidFill>
              <w14:schemeClr w14:val="tx1"/>
            </w14:solidFill>
          </w14:textFill>
        </w:rPr>
        <w:t>综合交通战略研究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szCs w:val="20"/>
          <w14:textFill>
            <w14:solidFill>
              <w14:schemeClr w14:val="tx1"/>
            </w14:solidFill>
          </w14:textFill>
        </w:rPr>
        <w:t>1</w:t>
      </w:r>
      <w:r>
        <w:rPr>
          <w:rFonts w:hint="eastAsia" w:ascii="宋体" w:hAnsi="宋体" w:cs="宋体"/>
          <w:color w:val="000000" w:themeColor="text1"/>
          <w:sz w:val="24"/>
          <w:szCs w:val="20"/>
          <w14:textFill>
            <w14:solidFill>
              <w14:schemeClr w14:val="tx1"/>
            </w14:solidFill>
          </w14:textFill>
        </w:rPr>
        <w:t>）交通趋势分析</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结合相关规划和交通调查分析工作，研判余杭区未来发展趋势，对余杭区未来交通系统发展进行定量需求分析。</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2）发展战略与策略</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szCs w:val="20"/>
          <w14:textFill>
            <w14:solidFill>
              <w14:schemeClr w14:val="tx1"/>
            </w14:solidFill>
          </w14:textFill>
        </w:rPr>
        <w:t>根据余杭区及周边地区总体发展战略，结合现状分析及既有规划，</w:t>
      </w:r>
      <w:r>
        <w:rPr>
          <w:rFonts w:hint="eastAsia" w:ascii="宋体" w:hAnsi="宋体" w:cs="宋体"/>
          <w:color w:val="000000" w:themeColor="text1"/>
          <w:sz w:val="24"/>
          <w:szCs w:val="20"/>
          <w14:textFill>
            <w14:solidFill>
              <w14:schemeClr w14:val="tx1"/>
            </w14:solidFill>
          </w14:textFill>
        </w:rPr>
        <w:t>提出新形势下余杭区综合交通体系发展模式和系统功能，</w:t>
      </w:r>
      <w:r>
        <w:rPr>
          <w:rFonts w:ascii="宋体" w:hAnsi="宋体" w:cs="宋体"/>
          <w:color w:val="000000" w:themeColor="text1"/>
          <w:sz w:val="24"/>
          <w:szCs w:val="20"/>
          <w14:textFill>
            <w14:solidFill>
              <w14:schemeClr w14:val="tx1"/>
            </w14:solidFill>
          </w14:textFill>
        </w:rPr>
        <w:t>制定</w:t>
      </w:r>
      <w:r>
        <w:rPr>
          <w:rFonts w:hint="eastAsia" w:ascii="宋体" w:hAnsi="宋体" w:cs="宋体"/>
          <w:color w:val="000000" w:themeColor="text1"/>
          <w:sz w:val="24"/>
          <w:szCs w:val="20"/>
          <w14:textFill>
            <w14:solidFill>
              <w14:schemeClr w14:val="tx1"/>
            </w14:solidFill>
          </w14:textFill>
        </w:rPr>
        <w:t>中长远期</w:t>
      </w:r>
      <w:r>
        <w:rPr>
          <w:rFonts w:ascii="宋体" w:hAnsi="宋体" w:cs="宋体"/>
          <w:color w:val="000000" w:themeColor="text1"/>
          <w:sz w:val="24"/>
          <w:szCs w:val="20"/>
          <w14:textFill>
            <w14:solidFill>
              <w14:schemeClr w14:val="tx1"/>
            </w14:solidFill>
          </w14:textFill>
        </w:rPr>
        <w:t>交通</w:t>
      </w:r>
      <w:r>
        <w:rPr>
          <w:rFonts w:hint="eastAsia" w:ascii="宋体" w:hAnsi="宋体" w:cs="宋体"/>
          <w:color w:val="000000" w:themeColor="text1"/>
          <w:sz w:val="24"/>
          <w:szCs w:val="20"/>
          <w14:textFill>
            <w14:solidFill>
              <w14:schemeClr w14:val="tx1"/>
            </w14:solidFill>
          </w14:textFill>
        </w:rPr>
        <w:t>系统总体发展目标和战略。</w:t>
      </w:r>
    </w:p>
    <w:p>
      <w:pPr>
        <w:spacing w:line="360" w:lineRule="auto"/>
        <w:rPr>
          <w:rFonts w:ascii="宋体" w:hAnsi="宋体" w:cs="宋体"/>
          <w:b/>
          <w:bCs/>
          <w:color w:val="000000" w:themeColor="text1"/>
          <w:sz w:val="24"/>
          <w:szCs w:val="20"/>
          <w14:textFill>
            <w14:solidFill>
              <w14:schemeClr w14:val="tx1"/>
            </w14:solidFill>
          </w14:textFill>
        </w:rPr>
      </w:pPr>
      <w:r>
        <w:rPr>
          <w:rFonts w:hint="eastAsia" w:ascii="宋体" w:hAnsi="宋体" w:cs="宋体"/>
          <w:b/>
          <w:bCs/>
          <w:color w:val="000000" w:themeColor="text1"/>
          <w:sz w:val="24"/>
          <w:szCs w:val="20"/>
          <w14:textFill>
            <w14:solidFill>
              <w14:schemeClr w14:val="tx1"/>
            </w14:solidFill>
          </w14:textFill>
        </w:rPr>
        <w:t>（三）骨架交通系统规划研究</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基于与</w:t>
      </w:r>
      <w:r>
        <w:rPr>
          <w:rFonts w:ascii="宋体" w:hAnsi="宋体" w:cs="宋体"/>
          <w:color w:val="000000" w:themeColor="text1"/>
          <w:sz w:val="24"/>
          <w:szCs w:val="20"/>
          <w14:textFill>
            <w14:solidFill>
              <w14:schemeClr w14:val="tx1"/>
            </w14:solidFill>
          </w14:textFill>
        </w:rPr>
        <w:t>国土空间协同发展、区域与城市交通一体化发展</w:t>
      </w:r>
      <w:r>
        <w:rPr>
          <w:rFonts w:hint="eastAsia" w:ascii="宋体" w:hAnsi="宋体" w:cs="宋体"/>
          <w:color w:val="000000" w:themeColor="text1"/>
          <w:sz w:val="24"/>
          <w:szCs w:val="20"/>
          <w14:textFill>
            <w14:solidFill>
              <w14:schemeClr w14:val="tx1"/>
            </w14:solidFill>
          </w14:textFill>
        </w:rPr>
        <w:t>等理念原则，在与相关规划衔接一致的前提下，进一步完善区域交通系统、公共交通系统、骨架道路系统以及客运枢纽体系等骨架交通系统规划方案：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szCs w:val="20"/>
          <w14:textFill>
            <w14:solidFill>
              <w14:schemeClr w14:val="tx1"/>
            </w14:solidFill>
          </w14:textFill>
        </w:rPr>
        <w:t>1）</w:t>
      </w:r>
      <w:r>
        <w:rPr>
          <w:rFonts w:hint="eastAsia" w:ascii="宋体" w:hAnsi="宋体" w:cs="宋体"/>
          <w:color w:val="000000" w:themeColor="text1"/>
          <w:sz w:val="24"/>
          <w:szCs w:val="20"/>
          <w14:textFill>
            <w14:solidFill>
              <w14:schemeClr w14:val="tx1"/>
            </w14:solidFill>
          </w14:textFill>
        </w:rPr>
        <w:t>区域交通系统规划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适应新的区域发展背景，研究余杭区区域网络总体布局，一体化组织区域与城市重要通道功能，基于余杭区整体发展战略，合理布局和高效利用区域廊道资源，充分预留战略性通道发展条件。</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ascii="宋体" w:hAnsi="宋体" w:cs="宋体"/>
          <w:color w:val="000000" w:themeColor="text1"/>
          <w:sz w:val="24"/>
          <w:szCs w:val="20"/>
          <w14:textFill>
            <w14:solidFill>
              <w14:schemeClr w14:val="tx1"/>
            </w14:solidFill>
          </w14:textFill>
        </w:rPr>
        <w:t>公共交通系统规划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以</w:t>
      </w:r>
      <w:r>
        <w:rPr>
          <w:rFonts w:hint="eastAsia" w:ascii="宋体" w:hAnsi="宋体" w:cs="宋体"/>
          <w:color w:val="000000" w:themeColor="text1"/>
          <w:sz w:val="24"/>
          <w:szCs w:val="20"/>
          <w14:textFill>
            <w14:solidFill>
              <w14:schemeClr w14:val="tx1"/>
            </w14:solidFill>
          </w14:textFill>
        </w:rPr>
        <w:t>余杭区</w:t>
      </w:r>
      <w:r>
        <w:rPr>
          <w:rFonts w:ascii="宋体" w:hAnsi="宋体" w:cs="宋体"/>
          <w:color w:val="000000" w:themeColor="text1"/>
          <w:sz w:val="24"/>
          <w:szCs w:val="20"/>
          <w14:textFill>
            <w14:solidFill>
              <w14:schemeClr w14:val="tx1"/>
            </w14:solidFill>
          </w14:textFill>
        </w:rPr>
        <w:t>及周边地区轨道交通网络规划为</w:t>
      </w:r>
      <w:r>
        <w:rPr>
          <w:rFonts w:hint="eastAsia" w:ascii="宋体" w:hAnsi="宋体" w:cs="宋体"/>
          <w:color w:val="000000" w:themeColor="text1"/>
          <w:sz w:val="24"/>
          <w:szCs w:val="20"/>
          <w14:textFill>
            <w14:solidFill>
              <w14:schemeClr w14:val="tx1"/>
            </w14:solidFill>
          </w14:textFill>
        </w:rPr>
        <w:t>基础</w:t>
      </w:r>
      <w:r>
        <w:rPr>
          <w:rFonts w:ascii="宋体" w:hAnsi="宋体" w:cs="宋体"/>
          <w:color w:val="000000" w:themeColor="text1"/>
          <w:sz w:val="24"/>
          <w:szCs w:val="20"/>
          <w14:textFill>
            <w14:solidFill>
              <w14:schemeClr w14:val="tx1"/>
            </w14:solidFill>
          </w14:textFill>
        </w:rPr>
        <w:t>，以轨道交通为骨架，研究构建主要服务于</w:t>
      </w:r>
      <w:r>
        <w:rPr>
          <w:rFonts w:hint="eastAsia" w:ascii="宋体" w:hAnsi="宋体" w:cs="宋体"/>
          <w:color w:val="000000" w:themeColor="text1"/>
          <w:sz w:val="24"/>
          <w:szCs w:val="20"/>
          <w14:textFill>
            <w14:solidFill>
              <w14:schemeClr w14:val="tx1"/>
            </w14:solidFill>
          </w14:textFill>
        </w:rPr>
        <w:t>余杭区</w:t>
      </w:r>
      <w:r>
        <w:rPr>
          <w:rFonts w:ascii="宋体" w:hAnsi="宋体" w:cs="宋体"/>
          <w:color w:val="000000" w:themeColor="text1"/>
          <w:sz w:val="24"/>
          <w:szCs w:val="20"/>
          <w14:textFill>
            <w14:solidFill>
              <w14:schemeClr w14:val="tx1"/>
            </w14:solidFill>
          </w14:textFill>
        </w:rPr>
        <w:t>及周边地区的公共交通系统网络，制定公共交通网络与设施布局规划方案，结合十四五期间相关规划，落实近期公共交通网络和设施布局建设方案。</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szCs w:val="20"/>
          <w14:textFill>
            <w14:solidFill>
              <w14:schemeClr w14:val="tx1"/>
            </w14:solidFill>
          </w14:textFill>
        </w:rPr>
        <w:t>骨架道路</w:t>
      </w:r>
      <w:r>
        <w:rPr>
          <w:rFonts w:ascii="宋体" w:hAnsi="宋体" w:cs="宋体"/>
          <w:color w:val="000000" w:themeColor="text1"/>
          <w:sz w:val="24"/>
          <w:szCs w:val="20"/>
          <w14:textFill>
            <w14:solidFill>
              <w14:schemeClr w14:val="tx1"/>
            </w14:solidFill>
          </w14:textFill>
        </w:rPr>
        <w:t>系统规划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研究</w:t>
      </w:r>
      <w:r>
        <w:rPr>
          <w:rFonts w:ascii="宋体" w:hAnsi="宋体" w:cs="宋体"/>
          <w:color w:val="000000" w:themeColor="text1"/>
          <w:sz w:val="24"/>
          <w:szCs w:val="20"/>
          <w14:textFill>
            <w14:solidFill>
              <w14:schemeClr w14:val="tx1"/>
            </w14:solidFill>
          </w14:textFill>
        </w:rPr>
        <w:t>适应余杭区</w:t>
      </w:r>
      <w:r>
        <w:rPr>
          <w:rFonts w:hint="eastAsia" w:ascii="宋体" w:hAnsi="宋体" w:cs="宋体"/>
          <w:color w:val="000000" w:themeColor="text1"/>
          <w:sz w:val="24"/>
          <w14:textFill>
            <w14:solidFill>
              <w14:schemeClr w14:val="tx1"/>
            </w14:solidFill>
          </w14:textFill>
        </w:rPr>
        <w:t>“一心三片”</w:t>
      </w:r>
      <w:r>
        <w:rPr>
          <w:rFonts w:hint="eastAsia" w:ascii="宋体" w:hAnsi="宋体" w:cs="宋体"/>
          <w:color w:val="000000" w:themeColor="text1"/>
          <w:sz w:val="24"/>
          <w:szCs w:val="20"/>
          <w14:textFill>
            <w14:solidFill>
              <w14:schemeClr w14:val="tx1"/>
            </w14:solidFill>
          </w14:textFill>
        </w:rPr>
        <w:t>差异化的</w:t>
      </w:r>
      <w:r>
        <w:rPr>
          <w:rFonts w:ascii="宋体" w:hAnsi="宋体" w:cs="宋体"/>
          <w:color w:val="000000" w:themeColor="text1"/>
          <w:sz w:val="24"/>
          <w:szCs w:val="20"/>
          <w14:textFill>
            <w14:solidFill>
              <w14:schemeClr w14:val="tx1"/>
            </w14:solidFill>
          </w14:textFill>
        </w:rPr>
        <w:t>空间布局</w:t>
      </w:r>
      <w:r>
        <w:rPr>
          <w:rFonts w:hint="eastAsia" w:ascii="宋体" w:hAnsi="宋体" w:cs="宋体"/>
          <w:color w:val="000000" w:themeColor="text1"/>
          <w:sz w:val="24"/>
          <w:szCs w:val="20"/>
          <w14:textFill>
            <w14:solidFill>
              <w14:schemeClr w14:val="tx1"/>
            </w14:solidFill>
          </w14:textFill>
        </w:rPr>
        <w:t>方案</w:t>
      </w:r>
      <w:r>
        <w:rPr>
          <w:rFonts w:ascii="宋体" w:hAnsi="宋体" w:cs="宋体"/>
          <w:color w:val="000000" w:themeColor="text1"/>
          <w:sz w:val="24"/>
          <w:szCs w:val="20"/>
          <w14:textFill>
            <w14:solidFill>
              <w14:schemeClr w14:val="tx1"/>
            </w14:solidFill>
          </w14:textFill>
        </w:rPr>
        <w:t>，构建符合</w:t>
      </w:r>
      <w:r>
        <w:rPr>
          <w:rFonts w:hint="eastAsia" w:ascii="宋体" w:hAnsi="宋体" w:cs="宋体"/>
          <w:color w:val="000000" w:themeColor="text1"/>
          <w:sz w:val="24"/>
          <w:szCs w:val="20"/>
          <w14:textFill>
            <w14:solidFill>
              <w14:schemeClr w14:val="tx1"/>
            </w14:solidFill>
          </w14:textFill>
        </w:rPr>
        <w:t>片区</w:t>
      </w:r>
      <w:r>
        <w:rPr>
          <w:rFonts w:ascii="宋体" w:hAnsi="宋体" w:cs="宋体"/>
          <w:color w:val="000000" w:themeColor="text1"/>
          <w:sz w:val="24"/>
          <w:szCs w:val="20"/>
          <w14:textFill>
            <w14:solidFill>
              <w14:schemeClr w14:val="tx1"/>
            </w14:solidFill>
          </w14:textFill>
        </w:rPr>
        <w:t>空间组织理念</w:t>
      </w:r>
      <w:r>
        <w:rPr>
          <w:rFonts w:hint="eastAsia" w:ascii="宋体" w:hAnsi="宋体" w:cs="宋体"/>
          <w:color w:val="000000" w:themeColor="text1"/>
          <w:sz w:val="24"/>
          <w:szCs w:val="20"/>
          <w14:textFill>
            <w14:solidFill>
              <w14:schemeClr w14:val="tx1"/>
            </w14:solidFill>
          </w14:textFill>
        </w:rPr>
        <w:t>的骨架</w:t>
      </w:r>
      <w:r>
        <w:rPr>
          <w:rFonts w:ascii="宋体" w:hAnsi="宋体" w:cs="宋体"/>
          <w:color w:val="000000" w:themeColor="text1"/>
          <w:sz w:val="24"/>
          <w:szCs w:val="20"/>
          <w14:textFill>
            <w14:solidFill>
              <w14:schemeClr w14:val="tx1"/>
            </w14:solidFill>
          </w14:textFill>
        </w:rPr>
        <w:t>道路网络布局，并协调与公共交通系统、慢行交通系统的道路空间资源配置。</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4</w:t>
      </w:r>
      <w:r>
        <w:rPr>
          <w:rFonts w:hint="eastAsia" w:ascii="宋体" w:hAnsi="宋体" w:cs="宋体"/>
          <w:color w:val="000000" w:themeColor="text1"/>
          <w:sz w:val="24"/>
          <w:szCs w:val="20"/>
          <w14:textFill>
            <w14:solidFill>
              <w14:schemeClr w14:val="tx1"/>
            </w14:solidFill>
          </w14:textFill>
        </w:rPr>
        <w:t>）客运枢纽体系规划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以区域性综合交通枢纽、轨道站点为主体，构建分类分级的客运枢纽体系，完善围绕客运枢纽形成的交通组织网络，提升交通出行服务品质。</w:t>
      </w:r>
    </w:p>
    <w:p>
      <w:pPr>
        <w:spacing w:line="360" w:lineRule="auto"/>
        <w:rPr>
          <w:rFonts w:ascii="宋体" w:hAnsi="宋体" w:cs="宋体"/>
          <w:b/>
          <w:bCs/>
          <w:color w:val="000000" w:themeColor="text1"/>
          <w:sz w:val="24"/>
          <w:szCs w:val="20"/>
          <w14:textFill>
            <w14:solidFill>
              <w14:schemeClr w14:val="tx1"/>
            </w14:solidFill>
          </w14:textFill>
        </w:rPr>
      </w:pPr>
      <w:r>
        <w:rPr>
          <w:rFonts w:hint="eastAsia" w:ascii="宋体" w:hAnsi="宋体" w:cs="宋体"/>
          <w:b/>
          <w:bCs/>
          <w:color w:val="000000" w:themeColor="text1"/>
          <w:sz w:val="24"/>
          <w:szCs w:val="20"/>
          <w14:textFill>
            <w14:solidFill>
              <w14:schemeClr w14:val="tx1"/>
            </w14:solidFill>
          </w14:textFill>
        </w:rPr>
        <w:t>（四）特色交通系统规划研究</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1</w:t>
      </w:r>
      <w:r>
        <w:rPr>
          <w:rFonts w:hint="eastAsia" w:ascii="宋体" w:hAnsi="宋体" w:cs="宋体"/>
          <w:color w:val="000000" w:themeColor="text1"/>
          <w:sz w:val="24"/>
          <w:szCs w:val="20"/>
          <w14:textFill>
            <w14:solidFill>
              <w14:schemeClr w14:val="tx1"/>
            </w14:solidFill>
          </w14:textFill>
        </w:rPr>
        <w:t>）</w:t>
      </w:r>
      <w:r>
        <w:rPr>
          <w:rFonts w:ascii="宋体" w:hAnsi="宋体" w:cs="宋体"/>
          <w:color w:val="000000" w:themeColor="text1"/>
          <w:sz w:val="24"/>
          <w:szCs w:val="20"/>
          <w14:textFill>
            <w14:solidFill>
              <w14:schemeClr w14:val="tx1"/>
            </w14:solidFill>
          </w14:textFill>
        </w:rPr>
        <w:t>慢行</w:t>
      </w:r>
      <w:r>
        <w:rPr>
          <w:rFonts w:hint="eastAsia" w:ascii="宋体" w:hAnsi="宋体" w:cs="宋体"/>
          <w:color w:val="000000" w:themeColor="text1"/>
          <w:sz w:val="24"/>
          <w:szCs w:val="20"/>
          <w14:textFill>
            <w14:solidFill>
              <w14:schemeClr w14:val="tx1"/>
            </w14:solidFill>
          </w14:textFill>
        </w:rPr>
        <w:t>交通</w:t>
      </w:r>
      <w:r>
        <w:rPr>
          <w:rFonts w:ascii="宋体" w:hAnsi="宋体" w:cs="宋体"/>
          <w:color w:val="000000" w:themeColor="text1"/>
          <w:sz w:val="24"/>
          <w:szCs w:val="20"/>
          <w14:textFill>
            <w14:solidFill>
              <w14:schemeClr w14:val="tx1"/>
            </w14:solidFill>
          </w14:textFill>
        </w:rPr>
        <w:t>系统规划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基于</w:t>
      </w:r>
      <w:r>
        <w:rPr>
          <w:rFonts w:hint="eastAsia" w:ascii="宋体" w:hAnsi="宋体" w:cs="宋体"/>
          <w:color w:val="000000" w:themeColor="text1"/>
          <w:sz w:val="24"/>
          <w:szCs w:val="20"/>
          <w14:textFill>
            <w14:solidFill>
              <w14:schemeClr w14:val="tx1"/>
            </w14:solidFill>
          </w14:textFill>
        </w:rPr>
        <w:t>地域</w:t>
      </w:r>
      <w:r>
        <w:rPr>
          <w:rFonts w:ascii="宋体" w:hAnsi="宋体" w:cs="宋体"/>
          <w:color w:val="000000" w:themeColor="text1"/>
          <w:sz w:val="24"/>
          <w:szCs w:val="20"/>
          <w14:textFill>
            <w14:solidFill>
              <w14:schemeClr w14:val="tx1"/>
            </w14:solidFill>
          </w14:textFill>
        </w:rPr>
        <w:t>水网密布</w:t>
      </w:r>
      <w:r>
        <w:rPr>
          <w:rFonts w:hint="eastAsia" w:ascii="宋体" w:hAnsi="宋体" w:cs="宋体"/>
          <w:color w:val="000000" w:themeColor="text1"/>
          <w:sz w:val="24"/>
          <w:szCs w:val="20"/>
          <w14:textFill>
            <w14:solidFill>
              <w14:schemeClr w14:val="tx1"/>
            </w14:solidFill>
          </w14:textFill>
        </w:rPr>
        <w:t>、</w:t>
      </w:r>
      <w:r>
        <w:rPr>
          <w:rFonts w:ascii="宋体" w:hAnsi="宋体" w:cs="宋体"/>
          <w:color w:val="000000" w:themeColor="text1"/>
          <w:sz w:val="24"/>
          <w:szCs w:val="20"/>
          <w14:textFill>
            <w14:solidFill>
              <w14:schemeClr w14:val="tx1"/>
            </w14:solidFill>
          </w14:textFill>
        </w:rPr>
        <w:t>蓝绿交织的空间特色，结合道路网络规划布局，研究构建慢行交通网络布局，制定慢行交通空间组织方案。</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2）特色公交系统规划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根据余杭区山水空间资源特征，结合交通新技术新理念，围绕城市重点建设地区（枢纽地区）和山水特色地区（蓝绿地区），构建宜居宜业宜游的特色公交系统布局。</w:t>
      </w:r>
    </w:p>
    <w:p>
      <w:pPr>
        <w:spacing w:line="360" w:lineRule="auto"/>
        <w:ind w:firstLine="480" w:firstLineChars="200"/>
        <w:rPr>
          <w:rFonts w:cs="宋体"/>
          <w:color w:val="000000" w:themeColor="text1"/>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3</w:t>
      </w:r>
      <w:r>
        <w:rPr>
          <w:rFonts w:hint="eastAsia" w:ascii="宋体" w:hAnsi="宋体" w:cs="宋体"/>
          <w:color w:val="000000" w:themeColor="text1"/>
          <w:sz w:val="24"/>
          <w:szCs w:val="20"/>
          <w14:textFill>
            <w14:solidFill>
              <w14:schemeClr w14:val="tx1"/>
            </w14:solidFill>
          </w14:textFill>
        </w:rPr>
        <w:t>）智慧交通规划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基于对未来交通发展场景判断，研究智慧交通系统功能极其发展的适应性，研究余杭区智慧交通规划的初步方案和智慧交通实施试点方案。</w:t>
      </w:r>
    </w:p>
    <w:p>
      <w:pPr>
        <w:spacing w:line="360" w:lineRule="auto"/>
        <w:ind w:firstLine="482" w:firstLineChars="200"/>
        <w:rPr>
          <w:rFonts w:cs="宋体"/>
          <w:b/>
          <w:bCs/>
          <w:color w:val="000000" w:themeColor="text1"/>
          <w:szCs w:val="20"/>
          <w14:textFill>
            <w14:solidFill>
              <w14:schemeClr w14:val="tx1"/>
            </w14:solidFill>
          </w14:textFill>
        </w:rPr>
      </w:pPr>
      <w:r>
        <w:rPr>
          <w:rFonts w:hint="eastAsia" w:ascii="宋体" w:hAnsi="宋体" w:cs="宋体"/>
          <w:b/>
          <w:bCs/>
          <w:color w:val="000000" w:themeColor="text1"/>
          <w:sz w:val="24"/>
          <w:szCs w:val="20"/>
          <w14:textFill>
            <w14:solidFill>
              <w14:schemeClr w14:val="tx1"/>
            </w14:solidFill>
          </w14:textFill>
        </w:rPr>
        <w:t>（五）其他相关内容</w:t>
      </w:r>
    </w:p>
    <w:p>
      <w:pPr>
        <w:spacing w:line="360" w:lineRule="auto"/>
        <w:ind w:firstLine="480" w:firstLineChars="200"/>
        <w:rPr>
          <w:rFonts w:ascii="宋体" w:hAnsi="宋体" w:cs="宋体"/>
          <w:b w:val="0"/>
          <w:bCs/>
          <w:color w:val="000000" w:themeColor="text1"/>
          <w:sz w:val="24"/>
          <w:szCs w:val="20"/>
          <w14:textFill>
            <w14:solidFill>
              <w14:schemeClr w14:val="tx1"/>
            </w14:solidFill>
          </w14:textFill>
        </w:rPr>
      </w:pPr>
      <w:r>
        <w:rPr>
          <w:rFonts w:ascii="宋体" w:hAnsi="宋体" w:cs="宋体"/>
          <w:b w:val="0"/>
          <w:bCs/>
          <w:color w:val="000000" w:themeColor="text1"/>
          <w:sz w:val="24"/>
          <w14:textFill>
            <w14:solidFill>
              <w14:schemeClr w14:val="tx1"/>
            </w14:solidFill>
          </w14:textFill>
        </w:rPr>
        <w:t>1</w:t>
      </w:r>
      <w:r>
        <w:rPr>
          <w:rFonts w:hint="eastAsia" w:ascii="宋体" w:hAnsi="宋体" w:cs="宋体"/>
          <w:b w:val="0"/>
          <w:bCs/>
          <w:color w:val="000000" w:themeColor="text1"/>
          <w:sz w:val="24"/>
          <w14:textFill>
            <w14:solidFill>
              <w14:schemeClr w14:val="tx1"/>
            </w14:solidFill>
          </w14:textFill>
        </w:rPr>
        <w:t>）</w:t>
      </w:r>
      <w:r>
        <w:rPr>
          <w:rFonts w:ascii="宋体" w:hAnsi="宋体" w:cs="宋体"/>
          <w:b w:val="0"/>
          <w:bCs/>
          <w:color w:val="000000" w:themeColor="text1"/>
          <w:sz w:val="24"/>
          <w:szCs w:val="20"/>
          <w14:textFill>
            <w14:solidFill>
              <w14:schemeClr w14:val="tx1"/>
            </w14:solidFill>
          </w14:textFill>
        </w:rPr>
        <w:t>停车系统规划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根据</w:t>
      </w:r>
      <w:r>
        <w:rPr>
          <w:rFonts w:hint="eastAsia" w:ascii="宋体" w:hAnsi="宋体" w:cs="宋体"/>
          <w:color w:val="000000" w:themeColor="text1"/>
          <w:sz w:val="24"/>
          <w:szCs w:val="20"/>
          <w14:textFill>
            <w14:solidFill>
              <w14:schemeClr w14:val="tx1"/>
            </w14:solidFill>
          </w14:textFill>
        </w:rPr>
        <w:t>余杭区</w:t>
      </w:r>
      <w:r>
        <w:rPr>
          <w:rFonts w:ascii="宋体" w:hAnsi="宋体" w:cs="宋体"/>
          <w:color w:val="000000" w:themeColor="text1"/>
          <w:sz w:val="24"/>
          <w:szCs w:val="20"/>
          <w14:textFill>
            <w14:solidFill>
              <w14:schemeClr w14:val="tx1"/>
            </w14:solidFill>
          </w14:textFill>
        </w:rPr>
        <w:t>空间布局，以交通绿色发展为导向，结合</w:t>
      </w:r>
      <w:r>
        <w:rPr>
          <w:rFonts w:hint="eastAsia" w:ascii="宋体" w:hAnsi="宋体" w:cs="宋体"/>
          <w:color w:val="000000" w:themeColor="text1"/>
          <w:sz w:val="24"/>
          <w:szCs w:val="20"/>
          <w14:textFill>
            <w14:solidFill>
              <w14:schemeClr w14:val="tx1"/>
            </w14:solidFill>
          </w14:textFill>
        </w:rPr>
        <w:t>三片区</w:t>
      </w:r>
      <w:r>
        <w:rPr>
          <w:rFonts w:ascii="宋体" w:hAnsi="宋体" w:cs="宋体"/>
          <w:color w:val="000000" w:themeColor="text1"/>
          <w:sz w:val="24"/>
          <w:szCs w:val="20"/>
          <w14:textFill>
            <w14:solidFill>
              <w14:schemeClr w14:val="tx1"/>
            </w14:solidFill>
          </w14:textFill>
        </w:rPr>
        <w:t>发展特征，制定差别化停车设施供给策略和停车设施配置标准，合理布局一般地区停车设施，并结合新能源技术、无人驾驶技术等未来汽车发展趋势，研究停车系统发展新政策和保障机制。</w:t>
      </w:r>
    </w:p>
    <w:p>
      <w:pPr>
        <w:spacing w:line="360" w:lineRule="auto"/>
        <w:ind w:firstLine="480" w:firstLineChars="200"/>
        <w:rPr>
          <w:rFonts w:ascii="宋体" w:hAnsi="宋体" w:cs="宋体"/>
          <w:b w:val="0"/>
          <w:bCs/>
          <w:color w:val="000000" w:themeColor="text1"/>
          <w:sz w:val="24"/>
          <w:szCs w:val="20"/>
          <w14:textFill>
            <w14:solidFill>
              <w14:schemeClr w14:val="tx1"/>
            </w14:solidFill>
          </w14:textFill>
        </w:rPr>
      </w:pPr>
      <w:r>
        <w:rPr>
          <w:rFonts w:ascii="宋体" w:hAnsi="宋体" w:cs="宋体"/>
          <w:b w:val="0"/>
          <w:bCs/>
          <w:color w:val="000000" w:themeColor="text1"/>
          <w:sz w:val="24"/>
          <w14:textFill>
            <w14:solidFill>
              <w14:schemeClr w14:val="tx1"/>
            </w14:solidFill>
          </w14:textFill>
        </w:rPr>
        <w:t>2）</w:t>
      </w:r>
      <w:r>
        <w:rPr>
          <w:rFonts w:ascii="宋体" w:hAnsi="宋体" w:cs="宋体"/>
          <w:b w:val="0"/>
          <w:bCs/>
          <w:color w:val="000000" w:themeColor="text1"/>
          <w:sz w:val="24"/>
          <w:szCs w:val="20"/>
          <w14:textFill>
            <w14:solidFill>
              <w14:schemeClr w14:val="tx1"/>
            </w14:solidFill>
          </w14:textFill>
        </w:rPr>
        <w:t>物流系统规划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以分析研究</w:t>
      </w:r>
      <w:r>
        <w:rPr>
          <w:rFonts w:hint="eastAsia" w:ascii="宋体" w:hAnsi="宋体" w:cs="宋体"/>
          <w:color w:val="000000" w:themeColor="text1"/>
          <w:sz w:val="24"/>
          <w:szCs w:val="20"/>
          <w14:textFill>
            <w14:solidFill>
              <w14:schemeClr w14:val="tx1"/>
            </w14:solidFill>
          </w14:textFill>
        </w:rPr>
        <w:t>余杭区</w:t>
      </w:r>
      <w:r>
        <w:rPr>
          <w:rFonts w:ascii="宋体" w:hAnsi="宋体" w:cs="宋体"/>
          <w:color w:val="000000" w:themeColor="text1"/>
          <w:sz w:val="24"/>
          <w:szCs w:val="20"/>
          <w14:textFill>
            <w14:solidFill>
              <w14:schemeClr w14:val="tx1"/>
            </w14:solidFill>
          </w14:textFill>
        </w:rPr>
        <w:t>及周边地区物流发展的新趋势和新要求为基础，结合铁路、公路等物流网络系统组织条件，构建符合</w:t>
      </w:r>
      <w:r>
        <w:rPr>
          <w:rFonts w:hint="eastAsia" w:ascii="宋体" w:hAnsi="宋体" w:cs="宋体"/>
          <w:color w:val="000000" w:themeColor="text1"/>
          <w:sz w:val="24"/>
          <w:szCs w:val="20"/>
          <w14:textFill>
            <w14:solidFill>
              <w14:schemeClr w14:val="tx1"/>
            </w14:solidFill>
          </w14:textFill>
        </w:rPr>
        <w:t>余杭区</w:t>
      </w:r>
      <w:r>
        <w:rPr>
          <w:rFonts w:ascii="宋体" w:hAnsi="宋体" w:cs="宋体"/>
          <w:color w:val="000000" w:themeColor="text1"/>
          <w:sz w:val="24"/>
          <w:szCs w:val="20"/>
          <w14:textFill>
            <w14:solidFill>
              <w14:schemeClr w14:val="tx1"/>
            </w14:solidFill>
          </w14:textFill>
        </w:rPr>
        <w:t>物流需求特征和空间布局要求的物流系统构架和物流网络设施布局，并同步理顺客货运交通网络的空间组织关系。</w:t>
      </w:r>
    </w:p>
    <w:p>
      <w:pPr>
        <w:spacing w:line="360" w:lineRule="auto"/>
        <w:ind w:firstLine="480" w:firstLineChars="200"/>
        <w:rPr>
          <w:rFonts w:ascii="宋体" w:hAnsi="宋体" w:cs="宋体"/>
          <w:b w:val="0"/>
          <w:bCs/>
          <w:color w:val="000000" w:themeColor="text1"/>
          <w:sz w:val="24"/>
          <w:szCs w:val="20"/>
          <w14:textFill>
            <w14:solidFill>
              <w14:schemeClr w14:val="tx1"/>
            </w14:solidFill>
          </w14:textFill>
        </w:rPr>
      </w:pPr>
      <w:r>
        <w:rPr>
          <w:rFonts w:ascii="宋体" w:hAnsi="宋体" w:cs="宋体"/>
          <w:b w:val="0"/>
          <w:bCs/>
          <w:color w:val="000000" w:themeColor="text1"/>
          <w:sz w:val="24"/>
          <w14:textFill>
            <w14:solidFill>
              <w14:schemeClr w14:val="tx1"/>
            </w14:solidFill>
          </w14:textFill>
        </w:rPr>
        <w:t>3）</w:t>
      </w:r>
      <w:r>
        <w:rPr>
          <w:rFonts w:ascii="宋体" w:hAnsi="宋体" w:cs="宋体"/>
          <w:b w:val="0"/>
          <w:bCs/>
          <w:color w:val="000000" w:themeColor="text1"/>
          <w:sz w:val="24"/>
          <w:szCs w:val="20"/>
          <w14:textFill>
            <w14:solidFill>
              <w14:schemeClr w14:val="tx1"/>
            </w14:solidFill>
          </w14:textFill>
        </w:rPr>
        <w:t>综合交通近期建设规划</w:t>
      </w:r>
    </w:p>
    <w:p>
      <w:pPr>
        <w:spacing w:line="360" w:lineRule="auto"/>
        <w:ind w:firstLine="480" w:firstLineChars="200"/>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szCs w:val="20"/>
          <w14:textFill>
            <w14:solidFill>
              <w14:schemeClr w14:val="tx1"/>
            </w14:solidFill>
          </w14:textFill>
        </w:rPr>
        <w:t>结合相关十四五规划和近期国土空间发展条件，以现状问题导向和远期目标导向相结合，制定近期建设规划。</w:t>
      </w:r>
    </w:p>
    <w:bookmarkEnd w:id="210"/>
    <w:bookmarkEnd w:id="211"/>
    <w:p>
      <w:pPr>
        <w:pStyle w:val="2"/>
        <w:numPr>
          <w:ilvl w:val="0"/>
          <w:numId w:val="17"/>
        </w:numPr>
        <w:rPr>
          <w:rFonts w:ascii="宋体" w:hAnsi="宋体" w:eastAsia="宋体" w:cs="宋体"/>
          <w:color w:val="000000" w:themeColor="text1"/>
          <w:sz w:val="24"/>
          <w:szCs w:val="24"/>
          <w14:textFill>
            <w14:solidFill>
              <w14:schemeClr w14:val="tx1"/>
            </w14:solidFill>
          </w14:textFill>
        </w:rPr>
      </w:pPr>
      <w:bookmarkStart w:id="232" w:name="_Toc5351"/>
      <w:bookmarkStart w:id="233" w:name="_Toc10214"/>
      <w:bookmarkStart w:id="234" w:name="_Toc24828"/>
      <w:r>
        <w:rPr>
          <w:rFonts w:hint="eastAsia" w:ascii="宋体" w:hAnsi="宋体" w:eastAsia="宋体" w:cs="宋体"/>
          <w:color w:val="000000" w:themeColor="text1"/>
          <w:sz w:val="24"/>
          <w:szCs w:val="24"/>
          <w14:textFill>
            <w14:solidFill>
              <w14:schemeClr w14:val="tx1"/>
            </w14:solidFill>
          </w14:textFill>
        </w:rPr>
        <w:t>商务要求</w:t>
      </w:r>
      <w:bookmarkEnd w:id="232"/>
      <w:bookmarkEnd w:id="233"/>
      <w:bookmarkEnd w:id="234"/>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（一）报价要求</w:t>
      </w:r>
    </w:p>
    <w:p>
      <w:pPr>
        <w:numPr>
          <w:ilvl w:val="255"/>
          <w:numId w:val="0"/>
        </w:numPr>
        <w:snapToGrid w:val="0"/>
        <w:spacing w:line="480" w:lineRule="exact"/>
        <w:ind w:left="-73" w:leftChars="-35" w:right="-290" w:rightChars="-138"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）投标人应按招标项目的相关要求，根据项目特点和企业条件确定投标报价。</w:t>
      </w:r>
      <w:r>
        <w:rPr>
          <w:rFonts w:hint="eastAsia" w:ascii="宋体" w:hAnsi="宋体" w:cs="宋体"/>
          <w:b/>
          <w:color w:val="000000" w:themeColor="text1"/>
          <w:sz w:val="24"/>
          <w14:textFill>
            <w14:solidFill>
              <w14:schemeClr w14:val="tx1"/>
            </w14:solidFill>
          </w14:textFill>
        </w:rPr>
        <w:t>投标报价为最终一次性报价。</w:t>
      </w:r>
      <w:r>
        <w:rPr>
          <w:rFonts w:hint="eastAsia" w:ascii="宋体"/>
          <w:color w:val="000000" w:themeColor="text1"/>
          <w:sz w:val="24"/>
          <w14:textFill>
            <w14:solidFill>
              <w14:schemeClr w14:val="tx1"/>
            </w14:solidFill>
          </w14:textFill>
        </w:rPr>
        <w:t>投标报价应包括但不仅限于人员费用（工资、福利、培训等）、材料消耗费用、管理费用、调研费、考察费、打印费、车船费、就餐住宿费、评审费（含会务费、专家劳务费）、利润、税金、政策性文件规定及合同包含的所有风险、责任等合同实施过程中的应预见和不可预见费用。</w:t>
      </w:r>
    </w:p>
    <w:p>
      <w:pPr>
        <w:pStyle w:val="4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）中标后，</w:t>
      </w:r>
      <w:r>
        <w:rPr>
          <w:rFonts w:hint="eastAsia" w:ascii="宋体" w:hAnsi="宋体" w:eastAsia="宋体" w:cs="宋体"/>
          <w:b/>
          <w:color w:val="000000" w:themeColor="text1"/>
          <w:sz w:val="24"/>
          <w:szCs w:val="24"/>
          <w14:textFill>
            <w14:solidFill>
              <w14:schemeClr w14:val="tx1"/>
            </w14:solidFill>
          </w14:textFill>
        </w:rPr>
        <w:t>中标人所填写的单价在合同实施期间不因市场变化因素而变动</w:t>
      </w:r>
      <w:r>
        <w:rPr>
          <w:rFonts w:hint="eastAsia" w:ascii="宋体" w:hAnsi="宋体" w:eastAsia="宋体" w:cs="宋体"/>
          <w:color w:val="000000" w:themeColor="text1"/>
          <w:sz w:val="24"/>
          <w:szCs w:val="24"/>
          <w14:textFill>
            <w14:solidFill>
              <w14:schemeClr w14:val="tx1"/>
            </w14:solidFill>
          </w14:textFill>
        </w:rPr>
        <w:t>，投标人在计算报价时应考虑一定的风险系数。</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（二）履约保证金</w:t>
      </w:r>
    </w:p>
    <w:p>
      <w:pPr>
        <w:pStyle w:val="77"/>
        <w:keepNext w:val="0"/>
        <w:keepLines w:val="0"/>
        <w:pageBreakBefore w:val="0"/>
        <w:kinsoku/>
        <w:wordWrap/>
        <w:overflowPunct/>
        <w:topLinePunct w:val="0"/>
        <w:autoSpaceDE/>
        <w:autoSpaceDN/>
        <w:bidi w:val="0"/>
        <w:adjustRightInd/>
        <w:snapToGrid/>
        <w:spacing w:line="360" w:lineRule="auto"/>
        <w:ind w:left="0" w:leftChars="0" w:firstLine="480"/>
        <w:textAlignment w:val="auto"/>
        <w:rPr>
          <w:rFonts w:hint="eastAsia"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合同签订后，中标单位支付合同总价的2%履约保证金至采购单位，采购方收到中标方提供的履约保证金后合同开始生效。项目完成通过评审验收合格后予以退还。</w:t>
      </w:r>
      <w:r>
        <w:rPr>
          <w:rFonts w:hint="eastAsia" w:ascii="宋体" w:hAnsi="宋体"/>
          <w:b/>
          <w:bCs/>
          <w:color w:val="000000" w:themeColor="text1"/>
          <w:sz w:val="24"/>
          <w14:textFill>
            <w14:solidFill>
              <w14:schemeClr w14:val="tx1"/>
            </w14:solidFill>
          </w14:textFill>
        </w:rPr>
        <w:t>不按时提交成果稿或成果稿不合格的将没收履约保证金。</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（三）付款方式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）合同签订之日起15天内，支付合同总金额的30%；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）完成中间成果稿后，支付合同总金额的20%；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3）经专家审查通过后，支付合同总金额的20%；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4）完成最终成果后履约验收通过后，支付合同总金额的30%。</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（四）时间进度要求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规划中间成果稿：在</w:t>
      </w:r>
      <w:r>
        <w:rPr>
          <w:rFonts w:ascii="宋体" w:hAnsi="宋体" w:cs="宋体"/>
          <w:color w:val="000000" w:themeColor="text1"/>
          <w:sz w:val="24"/>
          <w14:textFill>
            <w14:solidFill>
              <w14:schemeClr w14:val="tx1"/>
            </w14:solidFill>
          </w14:textFill>
        </w:rPr>
        <w:t>2021年12</w:t>
      </w:r>
      <w:r>
        <w:rPr>
          <w:rFonts w:hint="eastAsia" w:ascii="宋体" w:hAnsi="宋体" w:cs="宋体"/>
          <w:color w:val="000000" w:themeColor="text1"/>
          <w:sz w:val="24"/>
          <w14:textFill>
            <w14:solidFill>
              <w14:schemeClr w14:val="tx1"/>
            </w14:solidFill>
          </w14:textFill>
        </w:rPr>
        <w:t>月底之前完成；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规划成果送审稿：在</w:t>
      </w:r>
      <w:r>
        <w:rPr>
          <w:rFonts w:ascii="宋体" w:hAnsi="宋体" w:cs="宋体"/>
          <w:color w:val="000000" w:themeColor="text1"/>
          <w:sz w:val="24"/>
          <w14:textFill>
            <w14:solidFill>
              <w14:schemeClr w14:val="tx1"/>
            </w14:solidFill>
          </w14:textFill>
        </w:rPr>
        <w:t>2022</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月底之前完成；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规划最终成果稿：在</w:t>
      </w:r>
      <w:r>
        <w:rPr>
          <w:rFonts w:ascii="宋体" w:hAnsi="宋体" w:cs="宋体"/>
          <w:color w:val="000000" w:themeColor="text1"/>
          <w:sz w:val="24"/>
          <w14:textFill>
            <w14:solidFill>
              <w14:schemeClr w14:val="tx1"/>
            </w14:solidFill>
          </w14:textFill>
        </w:rPr>
        <w:t>2022年6</w:t>
      </w:r>
      <w:r>
        <w:rPr>
          <w:rFonts w:hint="eastAsia" w:ascii="宋体" w:hAnsi="宋体" w:cs="宋体"/>
          <w:color w:val="000000" w:themeColor="text1"/>
          <w:sz w:val="24"/>
          <w14:textFill>
            <w14:solidFill>
              <w14:schemeClr w14:val="tx1"/>
            </w14:solidFill>
          </w14:textFill>
        </w:rPr>
        <w:t>底之前完成。</w:t>
      </w:r>
    </w:p>
    <w:p>
      <w:pPr>
        <w:pStyle w:val="71"/>
        <w:keepNext w:val="0"/>
        <w:keepLines w:val="0"/>
        <w:pageBreakBefore w:val="0"/>
        <w:kinsoku/>
        <w:wordWrap/>
        <w:overflowPunct/>
        <w:topLinePunct w:val="0"/>
        <w:autoSpaceDE/>
        <w:autoSpaceDN/>
        <w:bidi w:val="0"/>
        <w:adjustRightInd/>
        <w:snapToGrid/>
        <w:spacing w:line="360" w:lineRule="auto"/>
        <w:ind w:firstLine="569" w:firstLineChars="236"/>
        <w:textAlignment w:val="auto"/>
        <w:rPr>
          <w:rFonts w:ascii="宋体" w:hAnsi="宋体" w:eastAsia="宋体" w:cs="宋体"/>
          <w:b/>
          <w:bCs/>
          <w:color w:val="000000" w:themeColor="text1"/>
          <w:kern w:val="2"/>
          <w:sz w:val="24"/>
          <w:szCs w:val="24"/>
          <w14:textFill>
            <w14:solidFill>
              <w14:schemeClr w14:val="tx1"/>
            </w14:solidFill>
          </w14:textFill>
        </w:rPr>
      </w:pPr>
      <w:bookmarkStart w:id="235" w:name="_Toc6270"/>
      <w:r>
        <w:rPr>
          <w:rFonts w:hint="eastAsia" w:ascii="宋体" w:hAnsi="宋体" w:eastAsia="宋体" w:cs="宋体"/>
          <w:b/>
          <w:bCs/>
          <w:color w:val="000000" w:themeColor="text1"/>
          <w:kern w:val="2"/>
          <w:sz w:val="24"/>
          <w:szCs w:val="24"/>
          <w14:textFill>
            <w14:solidFill>
              <w14:schemeClr w14:val="tx1"/>
            </w14:solidFill>
          </w14:textFill>
        </w:rPr>
        <w:t>（五）人员安排</w:t>
      </w:r>
    </w:p>
    <w:p>
      <w:pPr>
        <w:pStyle w:val="71"/>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拟投入本项目主要人员不少于</w:t>
      </w:r>
      <w:r>
        <w:rPr>
          <w:rFonts w:ascii="宋体" w:hAnsi="宋体" w:eastAsia="宋体" w:cs="宋体"/>
          <w:color w:val="000000" w:themeColor="text1"/>
          <w:kern w:val="2"/>
          <w:sz w:val="24"/>
          <w:szCs w:val="24"/>
          <w14:textFill>
            <w14:solidFill>
              <w14:schemeClr w14:val="tx1"/>
            </w14:solidFill>
          </w14:textFill>
        </w:rPr>
        <w:t>8</w:t>
      </w:r>
      <w:r>
        <w:rPr>
          <w:rFonts w:hint="eastAsia" w:ascii="宋体" w:hAnsi="宋体" w:eastAsia="宋体" w:cs="宋体"/>
          <w:color w:val="000000" w:themeColor="text1"/>
          <w:kern w:val="2"/>
          <w:sz w:val="24"/>
          <w:szCs w:val="24"/>
          <w14:textFill>
            <w14:solidFill>
              <w14:schemeClr w14:val="tx1"/>
            </w14:solidFill>
          </w14:textFill>
        </w:rPr>
        <w:t>人，</w:t>
      </w:r>
      <w:r>
        <w:rPr>
          <w:rFonts w:hint="eastAsia" w:ascii="宋体" w:hAnsi="宋体" w:eastAsia="宋体"/>
          <w:color w:val="000000" w:themeColor="text1"/>
          <w:sz w:val="24"/>
          <w:szCs w:val="24"/>
          <w14:textFill>
            <w14:solidFill>
              <w14:schemeClr w14:val="tx1"/>
            </w14:solidFill>
          </w14:textFill>
        </w:rPr>
        <w:t>具有与本项目工作要求的资格或职称能力</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2"/>
          <w:sz w:val="24"/>
          <w:szCs w:val="24"/>
          <w14:textFill>
            <w14:solidFill>
              <w14:schemeClr w14:val="tx1"/>
            </w14:solidFill>
          </w14:textFill>
        </w:rPr>
        <w:t>其中</w:t>
      </w:r>
      <w:r>
        <w:rPr>
          <w:rFonts w:hint="eastAsia" w:ascii="宋体" w:hAnsi="宋体" w:eastAsia="宋体" w:cs="宋体"/>
          <w:color w:val="000000" w:themeColor="text1"/>
          <w:sz w:val="24"/>
          <w:szCs w:val="24"/>
          <w14:textFill>
            <w14:solidFill>
              <w14:schemeClr w14:val="tx1"/>
            </w14:solidFill>
          </w14:textFill>
        </w:rPr>
        <w:t>项目负责人具有地市级综合交通规划项目经验</w:t>
      </w:r>
      <w:r>
        <w:rPr>
          <w:rFonts w:hint="eastAsia" w:ascii="宋体" w:hAnsi="宋体"/>
          <w:color w:val="000000" w:themeColor="text1"/>
          <w:sz w:val="24"/>
          <w:szCs w:val="24"/>
          <w14:textFill>
            <w14:solidFill>
              <w14:schemeClr w14:val="tx1"/>
            </w14:solidFill>
          </w14:textFill>
        </w:rPr>
        <w:t>。</w:t>
      </w:r>
    </w:p>
    <w:p>
      <w:pPr>
        <w:pStyle w:val="2"/>
        <w:numPr>
          <w:ilvl w:val="0"/>
          <w:numId w:val="17"/>
        </w:numPr>
        <w:spacing w:before="120" w:after="12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其他</w:t>
      </w:r>
    </w:p>
    <w:p>
      <w:pPr>
        <w:pStyle w:val="40"/>
        <w:snapToGrid w:val="0"/>
        <w:spacing w:line="360" w:lineRule="auto"/>
        <w:ind w:firstLine="48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1、中标人在签订合同时，若坚持提出附加条件和不合理要求，中标资格将被取消，该中标人对由此产生的一切后果负责。</w:t>
      </w:r>
    </w:p>
    <w:p>
      <w:pPr>
        <w:pStyle w:val="40"/>
        <w:snapToGrid w:val="0"/>
        <w:spacing w:line="360" w:lineRule="auto"/>
        <w:ind w:firstLine="480"/>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质量标准和验收</w:t>
      </w:r>
    </w:p>
    <w:p>
      <w:pPr>
        <w:tabs>
          <w:tab w:val="left" w:pos="706"/>
        </w:tabs>
        <w:spacing w:line="360" w:lineRule="auto"/>
        <w:ind w:left="560" w:firstLine="240" w:firstLineChars="1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投标人提交的规划成果（包括内容、深度和质量）应符合中华人民共和国标准及行政主管部门颁布的现有法规、规程、规范和技术标准，符合规划设计任务书的有关要求和国家、浙江省有关标准，并通过评审。</w:t>
      </w:r>
    </w:p>
    <w:p>
      <w:pPr>
        <w:spacing w:line="360" w:lineRule="auto"/>
        <w:ind w:firstLine="480" w:firstLineChars="200"/>
        <w:rPr>
          <w:rFonts w:ascii="Arial" w:hAnsi="Arial"/>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服务项目可根据项目特点对服务期内的服务实施情况进行分期考核,结合考核情况和服务效果进行验收，具体按合同执行。</w:t>
      </w:r>
    </w:p>
    <w:p>
      <w:pPr>
        <w:pStyle w:val="2"/>
        <w:numPr>
          <w:ilvl w:val="255"/>
          <w:numId w:val="0"/>
        </w:numPr>
        <w:ind w:left="420" w:leftChars="200"/>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3、甲、乙级城市规划编制单位跨省、自治区、直辖市承担规划编制任务时，取得城市</w:t>
      </w:r>
    </w:p>
    <w:p>
      <w:pPr>
        <w:pStyle w:val="2"/>
        <w:numPr>
          <w:ilvl w:val="255"/>
          <w:numId w:val="0"/>
        </w:num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总体规划任务的，向任务所在地的省、自治区、直辖市人民政府城市规划行政主管部门备案；取得其他城市规划编制任务的，向任务所在地的市、县人民政府城市规划行政主管部门备案。</w:t>
      </w:r>
    </w:p>
    <w:p>
      <w:pPr>
        <w:numPr>
          <w:ilvl w:val="0"/>
          <w:numId w:val="17"/>
        </w:numPr>
        <w:tabs>
          <w:tab w:val="left" w:pos="706"/>
        </w:tabs>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成果归属权约定</w:t>
      </w:r>
    </w:p>
    <w:p>
      <w:pPr>
        <w:tabs>
          <w:tab w:val="left" w:pos="378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投标人成果的所有权、使用权和著作权归采购方所有。</w:t>
      </w:r>
    </w:p>
    <w:p>
      <w:pPr>
        <w:tabs>
          <w:tab w:val="left" w:pos="37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关于知识产权：采购人在中华人民共和国境内因使用本招标项目产品和服务中的任何一部分时，采购人免受第三方提出的侵犯其专利权、商标权或其它知识产权的起诉。若出现以上情况，所有责任由投标人承担。</w:t>
      </w:r>
    </w:p>
    <w:p>
      <w:pPr>
        <w:tabs>
          <w:tab w:val="left" w:pos="37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2、投标价格应包括所有应支付的对专利权、版权、设计或其他因知识产权而需要向其他方支付的税费。</w:t>
      </w:r>
    </w:p>
    <w:p>
      <w:pPr>
        <w:pStyle w:val="2"/>
        <w:numPr>
          <w:ilvl w:val="0"/>
          <w:numId w:val="0"/>
        </w:numPr>
        <w:ind w:firstLine="482" w:firstLineChars="2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九、 </w:t>
      </w:r>
      <w:r>
        <w:rPr>
          <w:rFonts w:hint="eastAsia" w:ascii="宋体" w:hAnsi="宋体" w:cs="宋体"/>
          <w:color w:val="000000" w:themeColor="text1"/>
          <w:sz w:val="24"/>
          <w14:textFill>
            <w14:solidFill>
              <w14:schemeClr w14:val="tx1"/>
            </w14:solidFill>
          </w14:textFill>
        </w:rPr>
        <w:t>信息、数据成果所有权及保密规定</w:t>
      </w:r>
    </w:p>
    <w:p>
      <w:pPr>
        <w:tabs>
          <w:tab w:val="left" w:pos="378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息采集数据的成果最终所有权归采购人所有。未经采购人同意中标供应商不得擅自扩散或提供给第三方使用。中标供应商的相关人员，应遵守相关规章、制度等，中标供应商对项目服务过程中所获得的采购人的情报和资料有保密义务，泄露秘密应承担相应的责任。不论本合同是否变更、解除、终止，本条款均有效。中标人须建立严格的保密制度，并加强对工作人员的保密管理及保密知识教育。中标人须承担与此有关的技术情报和数据资料的保密责任。与本项目有关的资料及数据成果中涉及国家秘密的内容，均要求按照《国家保密法》及相关法律法规执行。</w:t>
      </w:r>
    </w:p>
    <w:p>
      <w:pPr>
        <w:tabs>
          <w:tab w:val="left" w:pos="3780"/>
        </w:tabs>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w:t>
      </w:r>
      <w:bookmarkStart w:id="236" w:name="_Toc24728"/>
      <w:bookmarkStart w:id="237" w:name="_Toc21545"/>
      <w:bookmarkStart w:id="238" w:name="_Toc23688"/>
      <w:bookmarkStart w:id="239" w:name="_Toc32011"/>
      <w:r>
        <w:rPr>
          <w:rFonts w:hint="eastAsia" w:ascii="宋体" w:hAnsi="宋体" w:cs="宋体"/>
          <w:b/>
          <w:bCs/>
          <w:color w:val="000000" w:themeColor="text1"/>
          <w:sz w:val="24"/>
          <w14:textFill>
            <w14:solidFill>
              <w14:schemeClr w14:val="tx1"/>
            </w14:solidFill>
          </w14:textFill>
        </w:rPr>
        <w:t>转让和分包</w:t>
      </w:r>
      <w:bookmarkEnd w:id="236"/>
      <w:bookmarkEnd w:id="237"/>
      <w:bookmarkEnd w:id="238"/>
      <w:bookmarkEnd w:id="239"/>
    </w:p>
    <w:p>
      <w:pPr>
        <w:tabs>
          <w:tab w:val="left" w:pos="378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本项目不允许转包或分包，若中标人转包或变相转包其应履行的合同义务，采购单位有权终止合同，并追究相关违约责任。</w:t>
      </w:r>
    </w:p>
    <w:p>
      <w:pPr>
        <w:pStyle w:val="2"/>
        <w:numPr>
          <w:ilvl w:val="255"/>
          <w:numId w:val="0"/>
        </w:numPr>
        <w:ind w:left="560"/>
      </w:pPr>
    </w:p>
    <w:p>
      <w:pPr>
        <w:pStyle w:val="2"/>
        <w:numPr>
          <w:ilvl w:val="255"/>
          <w:numId w:val="0"/>
        </w:numPr>
        <w:ind w:left="560"/>
      </w:pPr>
    </w:p>
    <w:p>
      <w:pPr>
        <w:spacing w:line="360" w:lineRule="auto"/>
        <w:ind w:firstLine="480" w:firstLineChars="200"/>
        <w:rPr>
          <w:rFonts w:ascii="宋体" w:hAnsi="宋体" w:cs="宋体"/>
          <w:sz w:val="24"/>
        </w:rPr>
      </w:pPr>
    </w:p>
    <w:p>
      <w:pPr>
        <w:pStyle w:val="2"/>
        <w:numPr>
          <w:ilvl w:val="255"/>
          <w:numId w:val="0"/>
        </w:numPr>
        <w:ind w:left="560"/>
      </w:pPr>
    </w:p>
    <w:p>
      <w:pPr>
        <w:spacing w:line="360" w:lineRule="auto"/>
        <w:ind w:firstLine="480" w:firstLineChars="200"/>
        <w:rPr>
          <w:rFonts w:ascii="宋体" w:hAnsi="宋体" w:cs="宋体"/>
          <w:sz w:val="24"/>
        </w:rPr>
      </w:pPr>
    </w:p>
    <w:p>
      <w:pPr>
        <w:pStyle w:val="2"/>
        <w:numPr>
          <w:ilvl w:val="255"/>
          <w:numId w:val="0"/>
        </w:numPr>
        <w:ind w:left="560"/>
      </w:pPr>
    </w:p>
    <w:p>
      <w:pPr>
        <w:spacing w:line="360" w:lineRule="auto"/>
        <w:ind w:firstLine="420" w:firstLineChars="200"/>
        <w:rPr>
          <w:rFonts w:ascii="Arial" w:hAnsi="Arial" w:eastAsia="??" w:cs="Arial"/>
          <w:szCs w:val="32"/>
        </w:rPr>
      </w:pPr>
    </w:p>
    <w:p>
      <w:pPr>
        <w:spacing w:line="360" w:lineRule="auto"/>
        <w:ind w:firstLine="420" w:firstLineChars="200"/>
        <w:rPr>
          <w:rFonts w:ascii="Arial" w:hAnsi="Arial" w:eastAsia="??" w:cs="Arial"/>
          <w:szCs w:val="32"/>
        </w:rPr>
      </w:pPr>
    </w:p>
    <w:bookmarkEnd w:id="212"/>
    <w:bookmarkEnd w:id="213"/>
    <w:bookmarkEnd w:id="214"/>
    <w:bookmarkEnd w:id="215"/>
    <w:bookmarkEnd w:id="216"/>
    <w:bookmarkEnd w:id="235"/>
    <w:p>
      <w:pPr>
        <w:numPr>
          <w:ilvl w:val="0"/>
          <w:numId w:val="9"/>
        </w:numPr>
        <w:tabs>
          <w:tab w:val="left" w:pos="3780"/>
        </w:tabs>
        <w:ind w:firstLine="720" w:firstLineChars="200"/>
        <w:jc w:val="center"/>
        <w:rPr>
          <w:rFonts w:cs="宋体"/>
          <w:b/>
          <w:bCs/>
          <w:sz w:val="36"/>
          <w:szCs w:val="36"/>
        </w:rPr>
      </w:pPr>
      <w:r>
        <w:rPr>
          <w:rFonts w:hint="eastAsia" w:ascii="??" w:hAnsi="??" w:eastAsia="??" w:cs="宋体"/>
          <w:b/>
          <w:bCs/>
          <w:sz w:val="36"/>
          <w:szCs w:val="36"/>
        </w:rPr>
        <w:t xml:space="preserve">  </w:t>
      </w:r>
      <w:bookmarkStart w:id="240" w:name="_Toc14774"/>
      <w:bookmarkStart w:id="241" w:name="_Toc12912"/>
      <w:bookmarkStart w:id="242" w:name="_Toc8061"/>
      <w:r>
        <w:rPr>
          <w:rFonts w:hint="eastAsia" w:ascii="??" w:hAnsi="??" w:eastAsia="??" w:cs="宋体"/>
          <w:b/>
          <w:bCs/>
          <w:sz w:val="36"/>
          <w:szCs w:val="36"/>
        </w:rPr>
        <w:t>合</w:t>
      </w:r>
      <w:r>
        <w:rPr>
          <w:rFonts w:hint="eastAsia" w:cs="宋体"/>
          <w:b/>
          <w:bCs/>
          <w:sz w:val="36"/>
          <w:szCs w:val="36"/>
        </w:rPr>
        <w:t>同主要条款</w:t>
      </w:r>
      <w:bookmarkEnd w:id="217"/>
      <w:bookmarkEnd w:id="218"/>
      <w:bookmarkEnd w:id="219"/>
      <w:bookmarkEnd w:id="240"/>
      <w:bookmarkEnd w:id="241"/>
      <w:bookmarkEnd w:id="242"/>
    </w:p>
    <w:p>
      <w:pPr>
        <w:snapToGrid w:val="0"/>
        <w:spacing w:line="360" w:lineRule="auto"/>
        <w:jc w:val="center"/>
        <w:outlineLvl w:val="0"/>
        <w:rPr>
          <w:rFonts w:ascii="宋体" w:hAnsi="宋体"/>
          <w:b/>
          <w:color w:val="000000"/>
          <w:sz w:val="32"/>
          <w:szCs w:val="32"/>
          <w:highlight w:val="yellow"/>
        </w:rPr>
      </w:pPr>
      <w:bookmarkStart w:id="243" w:name="_Toc12971"/>
    </w:p>
    <w:p>
      <w:pPr>
        <w:snapToGrid w:val="0"/>
        <w:spacing w:line="360" w:lineRule="auto"/>
        <w:jc w:val="center"/>
        <w:outlineLvl w:val="0"/>
        <w:rPr>
          <w:rFonts w:ascii="宋体" w:hAnsi="宋体"/>
          <w:b/>
          <w:color w:val="000000"/>
          <w:sz w:val="32"/>
          <w:szCs w:val="32"/>
        </w:rPr>
      </w:pPr>
      <w:r>
        <w:rPr>
          <w:rFonts w:hint="eastAsia" w:ascii="宋体" w:hAnsi="宋体"/>
          <w:b/>
          <w:color w:val="000000"/>
          <w:sz w:val="32"/>
          <w:szCs w:val="32"/>
        </w:rPr>
        <w:t>（以最终合同为准）</w:t>
      </w:r>
      <w:bookmarkEnd w:id="243"/>
    </w:p>
    <w:p>
      <w:pPr>
        <w:autoSpaceDE w:val="0"/>
        <w:autoSpaceDN w:val="0"/>
        <w:snapToGrid w:val="0"/>
        <w:spacing w:line="360" w:lineRule="auto"/>
        <w:ind w:firstLine="436" w:firstLineChars="182"/>
        <w:rPr>
          <w:rFonts w:ascii="宋体" w:hAnsi="宋体"/>
          <w:color w:val="000000"/>
          <w:sz w:val="24"/>
        </w:rPr>
      </w:pPr>
      <w:r>
        <w:rPr>
          <w:rFonts w:ascii="宋体" w:hAnsi="宋体"/>
          <w:color w:val="000000"/>
          <w:sz w:val="24"/>
        </w:rPr>
        <w:t>项目名称：</w:t>
      </w:r>
      <w:r>
        <w:rPr>
          <w:rFonts w:hint="eastAsia" w:ascii="宋体" w:hAnsi="宋体"/>
          <w:color w:val="000000"/>
          <w:sz w:val="24"/>
        </w:rPr>
        <w:t xml:space="preserve">余杭区综合交通专项规划 </w:t>
      </w:r>
    </w:p>
    <w:p>
      <w:pPr>
        <w:pStyle w:val="40"/>
        <w:snapToGrid w:val="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招标编号</w:t>
      </w:r>
      <w:r>
        <w:rPr>
          <w:rFonts w:ascii="宋体" w:hAnsi="宋体" w:eastAsia="宋体"/>
          <w:color w:val="000000"/>
          <w:sz w:val="24"/>
          <w:szCs w:val="24"/>
        </w:rPr>
        <w:t>：</w:t>
      </w:r>
      <w:r>
        <w:rPr>
          <w:rFonts w:hint="eastAsia" w:ascii="宋体" w:hAnsi="宋体" w:eastAsia="宋体"/>
          <w:color w:val="000000"/>
          <w:sz w:val="24"/>
        </w:rPr>
        <w:t>YHZFCG2021-108</w:t>
      </w:r>
    </w:p>
    <w:p>
      <w:pPr>
        <w:pStyle w:val="40"/>
        <w:snapToGrid w:val="0"/>
        <w:spacing w:line="360" w:lineRule="auto"/>
        <w:ind w:firstLine="480" w:firstLineChars="200"/>
        <w:rPr>
          <w:rFonts w:ascii="宋体" w:hAnsi="宋体" w:eastAsia="宋体"/>
          <w:color w:val="000000"/>
          <w:sz w:val="24"/>
          <w:szCs w:val="24"/>
        </w:rPr>
      </w:pPr>
      <w:r>
        <w:rPr>
          <w:rFonts w:ascii="宋体" w:hAnsi="宋体" w:eastAsia="宋体"/>
          <w:color w:val="000000"/>
          <w:sz w:val="24"/>
          <w:szCs w:val="24"/>
        </w:rPr>
        <w:t>甲方：</w:t>
      </w:r>
      <w:r>
        <w:rPr>
          <w:rFonts w:hint="eastAsia" w:ascii="宋体" w:hAnsi="宋体" w:eastAsia="宋体"/>
          <w:color w:val="000000"/>
          <w:sz w:val="24"/>
          <w:szCs w:val="24"/>
        </w:rPr>
        <w:t>杭州市规划和自然资源局余杭分局</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乙方：</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s="Times New Roman"/>
          <w:color w:val="000000"/>
          <w:kern w:val="2"/>
          <w:sz w:val="24"/>
          <w:szCs w:val="24"/>
          <w:lang w:eastAsia="zh-CN"/>
        </w:rPr>
        <w:t>甲、乙双方根据余杭区综合交通专项规划（招标编号：</w:t>
      </w:r>
      <w:r>
        <w:rPr>
          <w:rFonts w:hint="eastAsia" w:ascii="宋体" w:hAnsi="宋体"/>
          <w:color w:val="000000"/>
          <w:sz w:val="24"/>
          <w:u w:val="single"/>
          <w:lang w:eastAsia="zh-CN"/>
        </w:rPr>
        <w:t>YHZFCG2021-108</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44" w:name="_Toc5663"/>
      <w:r>
        <w:rPr>
          <w:rFonts w:hint="eastAsia" w:ascii="宋体" w:hAnsi="宋体" w:eastAsia="宋体"/>
          <w:b/>
          <w:color w:val="000000"/>
          <w:sz w:val="24"/>
          <w:szCs w:val="24"/>
          <w:lang w:eastAsia="zh-CN"/>
        </w:rPr>
        <w:t>一、服务内容</w:t>
      </w:r>
      <w:bookmarkEnd w:id="244"/>
    </w:p>
    <w:p>
      <w:pPr>
        <w:adjustRightInd w:val="0"/>
        <w:snapToGrid w:val="0"/>
        <w:spacing w:line="360" w:lineRule="auto"/>
        <w:ind w:firstLine="480" w:firstLineChars="200"/>
        <w:rPr>
          <w:rFonts w:ascii="宋体" w:hAnsi="宋体"/>
          <w:sz w:val="24"/>
        </w:rPr>
      </w:pPr>
      <w:r>
        <w:rPr>
          <w:rFonts w:hint="eastAsia" w:ascii="宋体" w:hAnsi="宋体"/>
          <w:sz w:val="24"/>
        </w:rPr>
        <w:t>具体内容和相关要求详见招标文件“</w:t>
      </w:r>
      <w:r>
        <w:rPr>
          <w:rFonts w:hint="eastAsia" w:ascii="宋体" w:hAnsi="宋体" w:cs="宋体"/>
          <w:kern w:val="0"/>
          <w:sz w:val="24"/>
        </w:rPr>
        <w:t>第三部分——项目技术规范和服务要求”</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45" w:name="_Toc13637"/>
      <w:r>
        <w:rPr>
          <w:rFonts w:hint="eastAsia" w:ascii="宋体" w:hAnsi="宋体" w:eastAsia="宋体"/>
          <w:b/>
          <w:color w:val="000000"/>
          <w:sz w:val="24"/>
          <w:szCs w:val="24"/>
          <w:lang w:eastAsia="zh-CN"/>
        </w:rPr>
        <w:t>二、</w:t>
      </w:r>
      <w:r>
        <w:rPr>
          <w:rFonts w:hint="eastAsia" w:ascii="宋体" w:hAnsi="宋体"/>
          <w:b/>
          <w:bCs/>
          <w:sz w:val="24"/>
          <w:lang w:eastAsia="zh-CN" w:bidi="en-US"/>
        </w:rPr>
        <w:t>服务时间要求</w:t>
      </w:r>
      <w:bookmarkEnd w:id="245"/>
    </w:p>
    <w:p>
      <w:pPr>
        <w:pStyle w:val="403"/>
        <w:snapToGrid w:val="0"/>
        <w:spacing w:line="360" w:lineRule="auto"/>
        <w:ind w:firstLine="480" w:firstLineChars="200"/>
        <w:rPr>
          <w:rFonts w:ascii="宋体" w:hAnsi="宋体" w:eastAsia="宋体"/>
          <w:bCs/>
          <w:color w:val="000000"/>
          <w:sz w:val="24"/>
          <w:szCs w:val="24"/>
          <w:lang w:eastAsia="zh-CN"/>
        </w:rPr>
      </w:pPr>
      <w:r>
        <w:rPr>
          <w:rFonts w:hint="eastAsia" w:ascii="宋体" w:hAnsi="宋体" w:eastAsia="宋体"/>
          <w:bCs/>
          <w:color w:val="000000"/>
          <w:sz w:val="24"/>
          <w:szCs w:val="24"/>
          <w:lang w:eastAsia="zh-CN"/>
        </w:rPr>
        <w:t>按招标文件约定。</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46" w:name="_Toc22910"/>
      <w:r>
        <w:rPr>
          <w:rFonts w:hint="eastAsia" w:ascii="宋体" w:hAnsi="宋体" w:eastAsia="宋体"/>
          <w:b/>
          <w:color w:val="000000"/>
          <w:sz w:val="24"/>
          <w:szCs w:val="24"/>
          <w:lang w:eastAsia="zh-CN"/>
        </w:rPr>
        <w:t>三、合同金额</w:t>
      </w:r>
      <w:bookmarkEnd w:id="246"/>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合同金额为（大写）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元）人民币。</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47" w:name="_Toc3395"/>
      <w:r>
        <w:rPr>
          <w:rFonts w:hint="eastAsia" w:ascii="宋体" w:hAnsi="宋体" w:eastAsia="宋体"/>
          <w:b/>
          <w:color w:val="000000"/>
          <w:sz w:val="24"/>
          <w:szCs w:val="24"/>
          <w:lang w:eastAsia="zh-CN"/>
        </w:rPr>
        <w:t>四、技术资料</w:t>
      </w:r>
      <w:bookmarkEnd w:id="247"/>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48" w:name="_Toc24660"/>
      <w:r>
        <w:rPr>
          <w:rFonts w:hint="eastAsia" w:ascii="宋体" w:hAnsi="宋体" w:eastAsia="宋体"/>
          <w:b/>
          <w:color w:val="000000"/>
          <w:sz w:val="24"/>
          <w:szCs w:val="24"/>
          <w:lang w:eastAsia="zh-CN"/>
        </w:rPr>
        <w:t>五、知识产权</w:t>
      </w:r>
      <w:bookmarkEnd w:id="248"/>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49" w:name="_Toc27890"/>
      <w:r>
        <w:rPr>
          <w:rFonts w:hint="eastAsia" w:ascii="宋体" w:hAnsi="宋体" w:eastAsia="宋体"/>
          <w:b/>
          <w:color w:val="000000"/>
          <w:sz w:val="24"/>
          <w:szCs w:val="24"/>
          <w:lang w:eastAsia="zh-CN"/>
        </w:rPr>
        <w:t>六、履约保证金</w:t>
      </w:r>
      <w:bookmarkEnd w:id="249"/>
    </w:p>
    <w:p>
      <w:pPr>
        <w:pStyle w:val="403"/>
        <w:snapToGrid w:val="0"/>
        <w:spacing w:line="360" w:lineRule="auto"/>
        <w:ind w:firstLine="480" w:firstLineChars="200"/>
        <w:rPr>
          <w:rFonts w:ascii="宋体" w:hAnsi="宋体" w:eastAsia="宋体"/>
          <w:bCs/>
          <w:color w:val="000000"/>
          <w:sz w:val="24"/>
          <w:szCs w:val="24"/>
          <w:lang w:eastAsia="zh-CN"/>
        </w:rPr>
      </w:pPr>
      <w:r>
        <w:rPr>
          <w:rFonts w:hint="eastAsia" w:ascii="宋体" w:hAnsi="宋体" w:eastAsia="宋体"/>
          <w:bCs/>
          <w:color w:val="000000"/>
          <w:sz w:val="24"/>
          <w:szCs w:val="24"/>
          <w:lang w:eastAsia="zh-CN"/>
        </w:rPr>
        <w:t>按招标文件约定。</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50" w:name="_Toc724"/>
      <w:r>
        <w:rPr>
          <w:rFonts w:hint="eastAsia" w:ascii="宋体" w:hAnsi="宋体" w:eastAsia="宋体"/>
          <w:b/>
          <w:color w:val="000000"/>
          <w:sz w:val="24"/>
          <w:szCs w:val="24"/>
          <w:lang w:eastAsia="zh-CN"/>
        </w:rPr>
        <w:t>七、转包或分包</w:t>
      </w:r>
      <w:bookmarkEnd w:id="250"/>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403"/>
        <w:snapToGrid w:val="0"/>
        <w:spacing w:line="360" w:lineRule="auto"/>
        <w:ind w:firstLine="482" w:firstLineChars="200"/>
        <w:outlineLvl w:val="1"/>
        <w:rPr>
          <w:rFonts w:ascii="宋体" w:hAnsi="宋体" w:eastAsia="宋体"/>
          <w:color w:val="000000"/>
          <w:sz w:val="24"/>
          <w:szCs w:val="24"/>
          <w:lang w:eastAsia="zh-CN"/>
        </w:rPr>
      </w:pPr>
      <w:bookmarkStart w:id="251" w:name="_Toc26219"/>
      <w:r>
        <w:rPr>
          <w:rFonts w:hint="eastAsia" w:ascii="宋体" w:hAnsi="宋体" w:eastAsia="宋体"/>
          <w:b/>
          <w:color w:val="000000"/>
          <w:sz w:val="24"/>
          <w:szCs w:val="24"/>
          <w:lang w:eastAsia="zh-CN"/>
        </w:rPr>
        <w:t>八、合同履行时间、履行方式及履行地点</w:t>
      </w:r>
      <w:bookmarkEnd w:id="251"/>
    </w:p>
    <w:p>
      <w:pPr>
        <w:pStyle w:val="403"/>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   ；</w:t>
      </w:r>
    </w:p>
    <w:p>
      <w:pPr>
        <w:pStyle w:val="403"/>
        <w:snapToGrid w:val="0"/>
        <w:spacing w:line="360" w:lineRule="auto"/>
        <w:ind w:firstLine="480" w:firstLineChars="200"/>
        <w:rPr>
          <w:rFonts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r>
        <w:rPr>
          <w:rFonts w:hint="eastAsia" w:ascii="宋体" w:hAnsi="宋体" w:eastAsia="宋体"/>
          <w:color w:val="000000"/>
          <w:sz w:val="24"/>
          <w:lang w:eastAsia="zh-CN"/>
        </w:rPr>
        <w:t xml:space="preserve">    。</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52" w:name="_Toc670"/>
      <w:r>
        <w:rPr>
          <w:rFonts w:hint="eastAsia" w:ascii="宋体" w:hAnsi="宋体" w:eastAsia="宋体"/>
          <w:b/>
          <w:color w:val="000000"/>
          <w:sz w:val="24"/>
          <w:szCs w:val="24"/>
          <w:lang w:eastAsia="zh-CN"/>
        </w:rPr>
        <w:t>九、款项支付</w:t>
      </w:r>
      <w:bookmarkEnd w:id="252"/>
    </w:p>
    <w:p>
      <w:pPr>
        <w:pStyle w:val="403"/>
        <w:snapToGrid w:val="0"/>
        <w:spacing w:line="360" w:lineRule="auto"/>
        <w:ind w:firstLine="960" w:firstLineChars="400"/>
        <w:rPr>
          <w:rFonts w:ascii="宋体" w:hAnsi="宋体" w:eastAsia="宋体"/>
          <w:bCs/>
          <w:color w:val="000000"/>
          <w:sz w:val="24"/>
          <w:lang w:eastAsia="zh-CN"/>
        </w:rPr>
      </w:pPr>
      <w:r>
        <w:rPr>
          <w:rFonts w:hint="eastAsia" w:ascii="宋体" w:hAnsi="宋体" w:eastAsia="宋体"/>
          <w:bCs/>
          <w:color w:val="000000"/>
          <w:sz w:val="24"/>
          <w:szCs w:val="24"/>
          <w:lang w:eastAsia="zh-CN"/>
        </w:rPr>
        <w:t>按招标文件约定执行</w:t>
      </w:r>
      <w:r>
        <w:rPr>
          <w:rFonts w:hint="eastAsia" w:ascii="宋体" w:hAnsi="宋体" w:eastAsia="宋体"/>
          <w:bCs/>
          <w:color w:val="000000"/>
          <w:sz w:val="24"/>
          <w:lang w:eastAsia="zh-CN"/>
        </w:rPr>
        <w:t>。</w:t>
      </w:r>
    </w:p>
    <w:p>
      <w:pPr>
        <w:autoSpaceDE w:val="0"/>
        <w:autoSpaceDN w:val="0"/>
        <w:snapToGrid w:val="0"/>
        <w:spacing w:line="360" w:lineRule="auto"/>
        <w:ind w:firstLine="482" w:firstLineChars="200"/>
        <w:outlineLvl w:val="1"/>
        <w:rPr>
          <w:rFonts w:ascii="宋体" w:hAnsi="宋体"/>
          <w:b/>
          <w:color w:val="000000"/>
          <w:sz w:val="24"/>
        </w:rPr>
      </w:pPr>
      <w:bookmarkStart w:id="253" w:name="_Toc29970"/>
      <w:r>
        <w:rPr>
          <w:rFonts w:hint="eastAsia" w:ascii="宋体" w:hAnsi="宋体"/>
          <w:b/>
          <w:color w:val="000000"/>
          <w:sz w:val="24"/>
        </w:rPr>
        <w:t>十、税费</w:t>
      </w:r>
      <w:bookmarkEnd w:id="253"/>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54" w:name="_Toc13501"/>
      <w:r>
        <w:rPr>
          <w:rFonts w:hint="eastAsia" w:ascii="宋体" w:hAnsi="宋体" w:eastAsia="宋体"/>
          <w:b/>
          <w:color w:val="000000"/>
          <w:sz w:val="24"/>
          <w:szCs w:val="24"/>
          <w:lang w:eastAsia="zh-CN"/>
        </w:rPr>
        <w:t>十一、质量保证及后续服务</w:t>
      </w:r>
      <w:bookmarkEnd w:id="254"/>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55" w:name="_Toc11285"/>
      <w:r>
        <w:rPr>
          <w:rFonts w:hint="eastAsia" w:ascii="宋体" w:hAnsi="宋体" w:eastAsia="宋体"/>
          <w:b/>
          <w:color w:val="000000"/>
          <w:sz w:val="24"/>
          <w:szCs w:val="24"/>
          <w:lang w:eastAsia="zh-CN"/>
        </w:rPr>
        <w:t>十二、违约责任</w:t>
      </w:r>
      <w:bookmarkEnd w:id="255"/>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2、甲方无故逾期验收和办理款项支付手续的，甲方应按逾期付款总额每日万分之五向乙方支付违约金，赔付上线为合同总额的百分之五。</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3、乙方未能如期提供服务的，每逾期一日向甲方支付合同款项的万分之五作为违约金，赔付上线为合同总额的百分之五。</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4、乙方因未能如期提供服务或因其他违约行为导致甲方解除合同的，乙方应向甲方支付合同总值的百分之五违约金。</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56" w:name="_Toc28853"/>
      <w:r>
        <w:rPr>
          <w:rFonts w:hint="eastAsia" w:ascii="宋体" w:hAnsi="宋体" w:eastAsia="宋体"/>
          <w:b/>
          <w:color w:val="000000"/>
          <w:sz w:val="24"/>
          <w:szCs w:val="24"/>
          <w:lang w:eastAsia="zh-CN"/>
        </w:rPr>
        <w:t>十三、不可抗力事件处理</w:t>
      </w:r>
      <w:bookmarkEnd w:id="256"/>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2、不可抗力事件发生后，应立即通知对方，并寄送有关权威机构出具的证明。</w:t>
      </w:r>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57" w:name="_Toc31178"/>
      <w:r>
        <w:rPr>
          <w:rFonts w:hint="eastAsia" w:ascii="宋体" w:hAnsi="宋体" w:eastAsia="宋体"/>
          <w:b/>
          <w:color w:val="000000"/>
          <w:sz w:val="24"/>
          <w:szCs w:val="24"/>
          <w:lang w:eastAsia="zh-CN"/>
        </w:rPr>
        <w:t>十四、诉讼</w:t>
      </w:r>
      <w:bookmarkEnd w:id="257"/>
    </w:p>
    <w:p>
      <w:pPr>
        <w:pStyle w:val="403"/>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403"/>
        <w:snapToGrid w:val="0"/>
        <w:spacing w:line="360" w:lineRule="auto"/>
        <w:ind w:firstLine="482" w:firstLineChars="200"/>
        <w:outlineLvl w:val="1"/>
        <w:rPr>
          <w:rFonts w:ascii="宋体" w:hAnsi="宋体" w:eastAsia="宋体"/>
          <w:b/>
          <w:color w:val="000000"/>
          <w:sz w:val="24"/>
          <w:szCs w:val="24"/>
          <w:lang w:eastAsia="zh-CN"/>
        </w:rPr>
      </w:pPr>
      <w:bookmarkStart w:id="258" w:name="_Toc5342"/>
      <w:r>
        <w:rPr>
          <w:rFonts w:hint="eastAsia" w:ascii="宋体" w:hAnsi="宋体" w:eastAsia="宋体"/>
          <w:b/>
          <w:color w:val="000000"/>
          <w:sz w:val="24"/>
          <w:szCs w:val="24"/>
          <w:lang w:eastAsia="zh-CN"/>
        </w:rPr>
        <w:t>十五、合同生效及其它</w:t>
      </w:r>
      <w:bookmarkEnd w:id="258"/>
    </w:p>
    <w:p>
      <w:pPr>
        <w:pStyle w:val="403"/>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、合同经双方法定代表人或授权代表签字或盖章并加盖单位公章后生效。</w:t>
      </w:r>
    </w:p>
    <w:p>
      <w:pPr>
        <w:pStyle w:val="403"/>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合同执行中涉及采购资金和采购内容修改或补充的，须签书面补充协议</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方可作为主合同不可分割的一部分</w:t>
      </w:r>
      <w:r>
        <w:rPr>
          <w:rFonts w:hint="eastAsia" w:ascii="宋体" w:hAnsi="宋体" w:eastAsia="宋体"/>
          <w:color w:val="000000"/>
          <w:sz w:val="24"/>
          <w:szCs w:val="24"/>
          <w:lang w:eastAsia="zh-CN"/>
        </w:rPr>
        <w:t>并备案</w:t>
      </w:r>
      <w:r>
        <w:rPr>
          <w:rFonts w:ascii="宋体" w:hAnsi="宋体" w:eastAsia="宋体"/>
          <w:color w:val="000000"/>
          <w:sz w:val="24"/>
          <w:szCs w:val="24"/>
          <w:lang w:eastAsia="zh-CN"/>
        </w:rPr>
        <w:t>。</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40"/>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4、本合同一式陆份，具有同等法律效力，甲乙双方各执叁份。</w:t>
      </w:r>
    </w:p>
    <w:p>
      <w:pPr>
        <w:snapToGrid w:val="0"/>
        <w:spacing w:line="360" w:lineRule="auto"/>
        <w:ind w:firstLine="480" w:firstLineChars="200"/>
        <w:rPr>
          <w:rFonts w:ascii="宋体" w:hAnsi="宋体" w:cs="宋体"/>
          <w:color w:val="000000"/>
          <w:sz w:val="24"/>
        </w:rPr>
      </w:pPr>
    </w:p>
    <w:p>
      <w:pPr>
        <w:snapToGrid w:val="0"/>
        <w:spacing w:line="360" w:lineRule="auto"/>
        <w:ind w:firstLine="480" w:firstLineChars="200"/>
        <w:rPr>
          <w:rFonts w:ascii="宋体" w:hAnsi="宋体" w:cs="宋体"/>
          <w:color w:val="000000"/>
          <w:sz w:val="24"/>
        </w:rPr>
      </w:pPr>
    </w:p>
    <w:p>
      <w:pPr>
        <w:snapToGrid w:val="0"/>
        <w:spacing w:line="360" w:lineRule="auto"/>
        <w:ind w:firstLine="480" w:firstLineChars="200"/>
        <w:rPr>
          <w:rFonts w:ascii="宋体" w:hAnsi="宋体" w:cs="宋体"/>
          <w:color w:val="000000"/>
          <w:sz w:val="24"/>
        </w:rPr>
      </w:pP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或受委托人（签字或盖章）：                或受委托人（签字或盖章）：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签订时间：                                签订时间：</w:t>
      </w:r>
    </w:p>
    <w:p>
      <w:pPr>
        <w:pStyle w:val="77"/>
        <w:spacing w:line="360" w:lineRule="auto"/>
        <w:ind w:firstLine="480"/>
        <w:rPr>
          <w:rFonts w:ascii="宋体" w:hAnsi="宋体" w:cs="宋体"/>
          <w:color w:val="000000"/>
          <w:sz w:val="24"/>
        </w:rPr>
      </w:pPr>
    </w:p>
    <w:p>
      <w:pPr>
        <w:pStyle w:val="77"/>
        <w:spacing w:line="360" w:lineRule="auto"/>
        <w:ind w:firstLine="480"/>
        <w:rPr>
          <w:rFonts w:ascii="宋体" w:hAnsi="宋体" w:cs="宋体"/>
          <w:color w:val="000000"/>
          <w:sz w:val="24"/>
        </w:rPr>
      </w:pPr>
    </w:p>
    <w:p>
      <w:pPr>
        <w:pStyle w:val="77"/>
        <w:spacing w:line="360" w:lineRule="auto"/>
        <w:ind w:firstLine="480"/>
        <w:rPr>
          <w:rFonts w:ascii="宋体" w:hAnsi="宋体" w:cs="宋体"/>
          <w:color w:val="000000"/>
          <w:sz w:val="24"/>
        </w:rPr>
      </w:pPr>
    </w:p>
    <w:p>
      <w:pPr>
        <w:pStyle w:val="77"/>
        <w:spacing w:line="360" w:lineRule="auto"/>
        <w:ind w:firstLine="480"/>
        <w:rPr>
          <w:rFonts w:ascii="宋体" w:hAnsi="宋体" w:cs="宋体"/>
          <w:color w:val="000000"/>
          <w:sz w:val="24"/>
        </w:rPr>
      </w:pPr>
    </w:p>
    <w:p>
      <w:pPr>
        <w:pStyle w:val="77"/>
        <w:spacing w:line="360" w:lineRule="auto"/>
        <w:ind w:firstLine="5280" w:firstLineChars="2200"/>
      </w:pPr>
      <w:r>
        <w:rPr>
          <w:rFonts w:hint="eastAsia" w:ascii="宋体" w:hAnsi="宋体" w:cs="宋体"/>
          <w:color w:val="000000"/>
          <w:sz w:val="24"/>
        </w:rPr>
        <w:t>签订地点：</w:t>
      </w:r>
    </w:p>
    <w:bookmarkEnd w:id="100"/>
    <w:bookmarkEnd w:id="101"/>
    <w:bookmarkEnd w:id="102"/>
    <w:bookmarkEnd w:id="103"/>
    <w:bookmarkEnd w:id="220"/>
    <w:bookmarkEnd w:id="221"/>
    <w:bookmarkEnd w:id="222"/>
    <w:p>
      <w:pPr>
        <w:pageBreakBefore/>
        <w:shd w:val="clear" w:color="auto" w:fill="FFFFFF"/>
        <w:snapToGrid w:val="0"/>
        <w:spacing w:line="360" w:lineRule="auto"/>
        <w:jc w:val="center"/>
        <w:outlineLvl w:val="0"/>
        <w:rPr>
          <w:rFonts w:ascii="宋体" w:hAnsi="宋体" w:cs="宋体"/>
          <w:b/>
          <w:bCs/>
          <w:color w:val="000000"/>
          <w:sz w:val="32"/>
          <w:szCs w:val="32"/>
        </w:rPr>
      </w:pPr>
      <w:bookmarkStart w:id="259" w:name="_Toc14272"/>
      <w:bookmarkStart w:id="260" w:name="_Toc15325"/>
      <w:bookmarkStart w:id="261" w:name="_Toc18110"/>
      <w:bookmarkStart w:id="262" w:name="_Toc11262"/>
      <w:bookmarkStart w:id="263" w:name="_Toc12503"/>
      <w:bookmarkStart w:id="264" w:name="_Toc12063"/>
      <w:r>
        <w:rPr>
          <w:rFonts w:hint="eastAsia" w:ascii="宋体" w:hAnsi="宋体" w:cs="宋体"/>
          <w:b/>
          <w:bCs/>
          <w:color w:val="000000"/>
          <w:sz w:val="32"/>
          <w:szCs w:val="32"/>
        </w:rPr>
        <w:t>第五部分 应提交的有关格式范例</w:t>
      </w:r>
      <w:bookmarkEnd w:id="259"/>
      <w:bookmarkEnd w:id="260"/>
      <w:bookmarkEnd w:id="261"/>
      <w:bookmarkEnd w:id="262"/>
      <w:bookmarkEnd w:id="263"/>
      <w:bookmarkEnd w:id="264"/>
    </w:p>
    <w:p>
      <w:pPr>
        <w:pStyle w:val="31"/>
        <w:spacing w:line="360" w:lineRule="auto"/>
      </w:pPr>
    </w:p>
    <w:p>
      <w:pPr>
        <w:snapToGrid w:val="0"/>
        <w:spacing w:line="360" w:lineRule="auto"/>
        <w:rPr>
          <w:rFonts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rPr>
          <w:b/>
          <w:bCs/>
          <w:sz w:val="40"/>
          <w:szCs w:val="48"/>
          <w:highlight w:val="yellow"/>
        </w:rPr>
      </w:pPr>
    </w:p>
    <w:p>
      <w:pPr>
        <w:rPr>
          <w:b/>
          <w:bCs/>
          <w:sz w:val="40"/>
          <w:szCs w:val="48"/>
        </w:rPr>
      </w:pPr>
    </w:p>
    <w:p>
      <w:pPr>
        <w:jc w:val="center"/>
        <w:outlineLvl w:val="0"/>
        <w:rPr>
          <w:b/>
          <w:bCs/>
          <w:sz w:val="40"/>
          <w:szCs w:val="48"/>
        </w:rPr>
      </w:pPr>
      <w:bookmarkStart w:id="265" w:name="_Toc12947"/>
      <w:r>
        <w:rPr>
          <w:b/>
          <w:bCs/>
          <w:sz w:val="40"/>
          <w:szCs w:val="48"/>
        </w:rPr>
        <w:t>电子备份投标文件的外包装封面格式</w:t>
      </w:r>
      <w:bookmarkEnd w:id="265"/>
    </w:p>
    <w:p>
      <w:pPr>
        <w:rPr>
          <w:b/>
          <w:bCs/>
          <w:sz w:val="40"/>
          <w:szCs w:val="48"/>
        </w:rPr>
      </w:pPr>
    </w:p>
    <w:p>
      <w:pPr>
        <w:rPr>
          <w:b/>
          <w:bCs/>
          <w:sz w:val="40"/>
          <w:szCs w:val="48"/>
        </w:rPr>
      </w:pPr>
    </w:p>
    <w:p>
      <w:pPr>
        <w:jc w:val="center"/>
        <w:outlineLvl w:val="0"/>
        <w:rPr>
          <w:b/>
          <w:bCs/>
          <w:sz w:val="40"/>
          <w:szCs w:val="48"/>
        </w:rPr>
      </w:pPr>
      <w:bookmarkStart w:id="266" w:name="_Toc13184"/>
      <w:r>
        <w:rPr>
          <w:b/>
          <w:bCs/>
          <w:sz w:val="40"/>
          <w:szCs w:val="48"/>
        </w:rPr>
        <w:t>电子备份投标文件</w:t>
      </w:r>
      <w:bookmarkEnd w:id="266"/>
    </w:p>
    <w:p>
      <w:pPr>
        <w:jc w:val="center"/>
        <w:rPr>
          <w:b/>
          <w:bCs/>
          <w:sz w:val="40"/>
          <w:szCs w:val="48"/>
        </w:rPr>
      </w:pPr>
    </w:p>
    <w:p>
      <w:pPr>
        <w:jc w:val="center"/>
        <w:rPr>
          <w:b/>
          <w:bCs/>
          <w:sz w:val="40"/>
          <w:szCs w:val="48"/>
        </w:rPr>
      </w:pPr>
    </w:p>
    <w:p>
      <w:pPr>
        <w:jc w:val="center"/>
        <w:outlineLvl w:val="0"/>
        <w:rPr>
          <w:b/>
          <w:bCs/>
          <w:sz w:val="40"/>
          <w:szCs w:val="48"/>
        </w:rPr>
      </w:pPr>
      <w:bookmarkStart w:id="267" w:name="_Toc18701"/>
      <w:r>
        <w:rPr>
          <w:rFonts w:hint="eastAsia"/>
          <w:b/>
          <w:bCs/>
          <w:sz w:val="40"/>
          <w:szCs w:val="48"/>
        </w:rPr>
        <w:t>项目名称：</w:t>
      </w:r>
      <w:bookmarkEnd w:id="267"/>
    </w:p>
    <w:p>
      <w:pPr>
        <w:jc w:val="center"/>
        <w:rPr>
          <w:b/>
          <w:bCs/>
          <w:sz w:val="40"/>
          <w:szCs w:val="48"/>
        </w:rPr>
      </w:pPr>
    </w:p>
    <w:p>
      <w:pPr>
        <w:jc w:val="center"/>
        <w:outlineLvl w:val="0"/>
        <w:rPr>
          <w:b/>
          <w:bCs/>
          <w:sz w:val="40"/>
          <w:szCs w:val="48"/>
        </w:rPr>
      </w:pPr>
      <w:bookmarkStart w:id="268" w:name="_Toc20693"/>
      <w:r>
        <w:rPr>
          <w:rFonts w:hint="eastAsia"/>
          <w:b/>
          <w:bCs/>
          <w:sz w:val="40"/>
          <w:szCs w:val="48"/>
        </w:rPr>
        <w:t>项目编号：</w:t>
      </w:r>
      <w:bookmarkEnd w:id="268"/>
    </w:p>
    <w:p>
      <w:pPr>
        <w:rPr>
          <w:b/>
          <w:bCs/>
          <w:sz w:val="40"/>
          <w:szCs w:val="48"/>
        </w:rPr>
      </w:pPr>
    </w:p>
    <w:p>
      <w:pPr>
        <w:rPr>
          <w:b/>
          <w:bCs/>
          <w:sz w:val="40"/>
          <w:szCs w:val="48"/>
        </w:rPr>
      </w:pPr>
    </w:p>
    <w:p>
      <w:pPr>
        <w:rPr>
          <w:b/>
          <w:bCs/>
          <w:sz w:val="40"/>
          <w:szCs w:val="48"/>
        </w:rPr>
      </w:pPr>
    </w:p>
    <w:p>
      <w:pPr>
        <w:rPr>
          <w:b/>
          <w:bCs/>
          <w:sz w:val="40"/>
          <w:szCs w:val="48"/>
        </w:rPr>
      </w:pPr>
    </w:p>
    <w:p>
      <w:pPr>
        <w:jc w:val="center"/>
        <w:outlineLvl w:val="0"/>
        <w:rPr>
          <w:b/>
          <w:bCs/>
          <w:sz w:val="40"/>
          <w:szCs w:val="48"/>
        </w:rPr>
      </w:pPr>
      <w:bookmarkStart w:id="269" w:name="_Toc27616"/>
      <w:r>
        <w:rPr>
          <w:rFonts w:hint="eastAsia"/>
          <w:b/>
          <w:bCs/>
          <w:sz w:val="40"/>
          <w:szCs w:val="48"/>
        </w:rPr>
        <w:t>投标人名称：（盖章）</w:t>
      </w:r>
      <w:bookmarkEnd w:id="269"/>
    </w:p>
    <w:p>
      <w:pPr>
        <w:jc w:val="center"/>
        <w:rPr>
          <w:b/>
          <w:bCs/>
          <w:sz w:val="40"/>
          <w:szCs w:val="48"/>
        </w:rPr>
      </w:pPr>
    </w:p>
    <w:p>
      <w:pPr>
        <w:jc w:val="center"/>
        <w:outlineLvl w:val="0"/>
        <w:rPr>
          <w:b/>
          <w:bCs/>
          <w:sz w:val="40"/>
          <w:szCs w:val="48"/>
        </w:rPr>
      </w:pPr>
      <w:bookmarkStart w:id="270" w:name="_Toc8328"/>
      <w:r>
        <w:rPr>
          <w:rFonts w:hint="eastAsia"/>
          <w:b/>
          <w:bCs/>
          <w:sz w:val="40"/>
          <w:szCs w:val="48"/>
        </w:rPr>
        <w:t>投标人地址：</w:t>
      </w:r>
      <w:bookmarkEnd w:id="270"/>
    </w:p>
    <w:p>
      <w:pPr>
        <w:jc w:val="center"/>
        <w:rPr>
          <w:b/>
          <w:bCs/>
          <w:sz w:val="40"/>
          <w:szCs w:val="48"/>
        </w:rPr>
      </w:pPr>
    </w:p>
    <w:p>
      <w:pPr>
        <w:jc w:val="center"/>
        <w:outlineLvl w:val="0"/>
        <w:rPr>
          <w:b/>
          <w:bCs/>
          <w:sz w:val="40"/>
          <w:szCs w:val="48"/>
        </w:rPr>
      </w:pPr>
      <w:bookmarkStart w:id="271" w:name="_Toc23143"/>
      <w:r>
        <w:rPr>
          <w:rFonts w:hint="eastAsia"/>
          <w:b/>
          <w:bCs/>
          <w:sz w:val="40"/>
          <w:szCs w:val="48"/>
        </w:rPr>
        <w:t>在</w:t>
      </w:r>
      <w:r>
        <w:rPr>
          <w:rFonts w:hint="eastAsia"/>
          <w:b/>
          <w:bCs/>
          <w:sz w:val="40"/>
          <w:szCs w:val="48"/>
        </w:rPr>
        <w:tab/>
      </w:r>
      <w:r>
        <w:rPr>
          <w:rFonts w:hint="eastAsia"/>
          <w:b/>
          <w:bCs/>
          <w:sz w:val="40"/>
          <w:szCs w:val="48"/>
        </w:rPr>
        <w:t xml:space="preserve">年 </w:t>
      </w:r>
      <w:r>
        <w:rPr>
          <w:rFonts w:hint="eastAsia"/>
          <w:b/>
          <w:bCs/>
          <w:sz w:val="40"/>
          <w:szCs w:val="48"/>
        </w:rPr>
        <w:tab/>
      </w:r>
      <w:r>
        <w:rPr>
          <w:rFonts w:hint="eastAsia"/>
          <w:b/>
          <w:bCs/>
          <w:sz w:val="40"/>
          <w:szCs w:val="48"/>
        </w:rPr>
        <w:t>月</w:t>
      </w:r>
      <w:r>
        <w:rPr>
          <w:rFonts w:hint="eastAsia"/>
          <w:b/>
          <w:bCs/>
          <w:sz w:val="40"/>
          <w:szCs w:val="48"/>
        </w:rPr>
        <w:tab/>
      </w:r>
      <w:r>
        <w:rPr>
          <w:rFonts w:hint="eastAsia"/>
          <w:b/>
          <w:bCs/>
          <w:sz w:val="40"/>
          <w:szCs w:val="48"/>
        </w:rPr>
        <w:t>日</w:t>
      </w:r>
      <w:r>
        <w:rPr>
          <w:rFonts w:hint="eastAsia"/>
          <w:b/>
          <w:bCs/>
          <w:sz w:val="40"/>
          <w:szCs w:val="48"/>
        </w:rPr>
        <w:tab/>
      </w:r>
      <w:r>
        <w:rPr>
          <w:rFonts w:hint="eastAsia"/>
          <w:b/>
          <w:bCs/>
          <w:sz w:val="40"/>
          <w:szCs w:val="48"/>
        </w:rPr>
        <w:t xml:space="preserve"> 时</w:t>
      </w:r>
      <w:r>
        <w:rPr>
          <w:rFonts w:hint="eastAsia"/>
          <w:b/>
          <w:bCs/>
          <w:sz w:val="40"/>
          <w:szCs w:val="48"/>
        </w:rPr>
        <w:tab/>
      </w:r>
      <w:r>
        <w:rPr>
          <w:rFonts w:hint="eastAsia"/>
          <w:b/>
          <w:bCs/>
          <w:sz w:val="40"/>
          <w:szCs w:val="48"/>
        </w:rPr>
        <w:t xml:space="preserve"> 分之前不得启封。</w:t>
      </w:r>
      <w:bookmarkEnd w:id="271"/>
    </w:p>
    <w:p>
      <w:pPr>
        <w:jc w:val="center"/>
        <w:rPr>
          <w:b/>
          <w:bCs/>
          <w:sz w:val="40"/>
          <w:szCs w:val="48"/>
        </w:rPr>
      </w:pPr>
    </w:p>
    <w:p>
      <w:pPr>
        <w:jc w:val="center"/>
        <w:outlineLvl w:val="0"/>
        <w:rPr>
          <w:b/>
          <w:bCs/>
          <w:sz w:val="40"/>
          <w:szCs w:val="48"/>
        </w:rPr>
      </w:pPr>
      <w:bookmarkStart w:id="272" w:name="_Toc10680"/>
      <w:r>
        <w:rPr>
          <w:rFonts w:hint="eastAsia"/>
          <w:b/>
          <w:bCs/>
          <w:sz w:val="40"/>
          <w:szCs w:val="48"/>
        </w:rPr>
        <w:t>年</w:t>
      </w:r>
      <w:r>
        <w:rPr>
          <w:rFonts w:hint="eastAsia"/>
          <w:b/>
          <w:bCs/>
          <w:sz w:val="40"/>
          <w:szCs w:val="48"/>
        </w:rPr>
        <w:tab/>
      </w:r>
      <w:r>
        <w:rPr>
          <w:rFonts w:hint="eastAsia"/>
          <w:b/>
          <w:bCs/>
          <w:sz w:val="40"/>
          <w:szCs w:val="48"/>
        </w:rPr>
        <w:t xml:space="preserve">  月   </w:t>
      </w:r>
      <w:r>
        <w:rPr>
          <w:rFonts w:hint="eastAsia"/>
          <w:b/>
          <w:bCs/>
          <w:sz w:val="40"/>
          <w:szCs w:val="48"/>
        </w:rPr>
        <w:tab/>
      </w:r>
      <w:r>
        <w:rPr>
          <w:rFonts w:hint="eastAsia"/>
          <w:b/>
          <w:bCs/>
          <w:sz w:val="40"/>
          <w:szCs w:val="48"/>
        </w:rPr>
        <w:t>日</w:t>
      </w:r>
      <w:bookmarkEnd w:id="272"/>
    </w:p>
    <w:p>
      <w:pPr>
        <w:rPr>
          <w:b/>
          <w:bCs/>
          <w:sz w:val="40"/>
          <w:szCs w:val="48"/>
        </w:rPr>
      </w:pPr>
    </w:p>
    <w:p>
      <w:pPr>
        <w:pStyle w:val="2"/>
        <w:sectPr>
          <w:footerReference r:id="rId3" w:type="default"/>
          <w:pgSz w:w="11910" w:h="16840"/>
          <w:pgMar w:top="1400" w:right="1140" w:bottom="1417" w:left="1140" w:header="882" w:footer="802" w:gutter="0"/>
          <w:pgNumType w:start="1"/>
          <w:cols w:space="720" w:num="1"/>
        </w:sectPr>
      </w:pPr>
    </w:p>
    <w:p>
      <w:pPr>
        <w:spacing w:line="600" w:lineRule="auto"/>
        <w:jc w:val="center"/>
        <w:outlineLvl w:val="0"/>
        <w:rPr>
          <w:b/>
          <w:bCs/>
          <w:sz w:val="36"/>
          <w:szCs w:val="44"/>
        </w:rPr>
      </w:pPr>
      <w:bookmarkStart w:id="273" w:name="_Toc30638"/>
      <w:bookmarkStart w:id="274" w:name="_Toc25413"/>
      <w:r>
        <w:rPr>
          <w:rFonts w:hint="eastAsia"/>
          <w:b/>
          <w:bCs/>
          <w:sz w:val="36"/>
          <w:szCs w:val="44"/>
        </w:rPr>
        <w:t>项目名称：</w:t>
      </w:r>
      <w:bookmarkEnd w:id="273"/>
      <w:bookmarkEnd w:id="274"/>
    </w:p>
    <w:p>
      <w:pPr>
        <w:pStyle w:val="88"/>
      </w:pPr>
    </w:p>
    <w:p>
      <w:pPr>
        <w:spacing w:line="600" w:lineRule="auto"/>
        <w:jc w:val="center"/>
        <w:outlineLvl w:val="0"/>
        <w:rPr>
          <w:b/>
          <w:bCs/>
          <w:sz w:val="36"/>
          <w:szCs w:val="44"/>
        </w:rPr>
      </w:pPr>
      <w:bookmarkStart w:id="275" w:name="_Toc512"/>
      <w:bookmarkStart w:id="276" w:name="_Toc27261"/>
      <w:r>
        <w:rPr>
          <w:rFonts w:hint="eastAsia"/>
          <w:b/>
          <w:bCs/>
          <w:sz w:val="36"/>
          <w:szCs w:val="44"/>
        </w:rPr>
        <w:t>资  格 文 件(封面）</w:t>
      </w:r>
      <w:bookmarkEnd w:id="275"/>
      <w:bookmarkEnd w:id="276"/>
    </w:p>
    <w:p>
      <w:pPr>
        <w:spacing w:line="600" w:lineRule="auto"/>
        <w:jc w:val="center"/>
        <w:outlineLvl w:val="0"/>
        <w:rPr>
          <w:b/>
          <w:bCs/>
          <w:sz w:val="36"/>
          <w:szCs w:val="44"/>
        </w:rPr>
      </w:pPr>
      <w:bookmarkStart w:id="277" w:name="_Toc20124"/>
      <w:bookmarkStart w:id="278" w:name="_Toc3689"/>
      <w:r>
        <w:rPr>
          <w:rFonts w:hint="eastAsia"/>
          <w:b/>
          <w:bCs/>
          <w:sz w:val="36"/>
          <w:szCs w:val="44"/>
        </w:rPr>
        <w:t>（线上电子招投标）</w:t>
      </w:r>
      <w:bookmarkEnd w:id="277"/>
      <w:bookmarkEnd w:id="278"/>
    </w:p>
    <w:p>
      <w:pPr>
        <w:rPr>
          <w:b/>
          <w:bCs/>
          <w:sz w:val="36"/>
          <w:szCs w:val="44"/>
        </w:rPr>
      </w:pPr>
    </w:p>
    <w:p>
      <w:pPr>
        <w:jc w:val="center"/>
        <w:outlineLvl w:val="0"/>
        <w:rPr>
          <w:b/>
          <w:bCs/>
          <w:sz w:val="36"/>
          <w:szCs w:val="44"/>
        </w:rPr>
      </w:pPr>
      <w:bookmarkStart w:id="279" w:name="_Toc3454"/>
      <w:bookmarkStart w:id="280" w:name="_Toc12567"/>
      <w:r>
        <w:rPr>
          <w:rFonts w:hint="eastAsia"/>
          <w:b/>
          <w:bCs/>
          <w:sz w:val="36"/>
          <w:szCs w:val="44"/>
        </w:rPr>
        <w:t>招标编号：YHZFCG2021-</w:t>
      </w:r>
      <w:bookmarkEnd w:id="279"/>
      <w:bookmarkEnd w:id="280"/>
    </w:p>
    <w:p>
      <w:pPr>
        <w:rPr>
          <w:b/>
          <w:bCs/>
          <w:sz w:val="72"/>
          <w:szCs w:val="144"/>
        </w:rPr>
      </w:pPr>
    </w:p>
    <w:p>
      <w:pPr>
        <w:jc w:val="center"/>
        <w:rPr>
          <w:b/>
          <w:bCs/>
          <w:sz w:val="72"/>
          <w:szCs w:val="144"/>
        </w:rPr>
      </w:pPr>
      <w:r>
        <w:rPr>
          <w:rFonts w:hint="eastAsia"/>
          <w:b/>
          <w:bCs/>
          <w:sz w:val="72"/>
          <w:szCs w:val="144"/>
        </w:rPr>
        <w:t>投</w:t>
      </w:r>
    </w:p>
    <w:p>
      <w:pPr>
        <w:jc w:val="center"/>
        <w:rPr>
          <w:b/>
          <w:bCs/>
          <w:sz w:val="72"/>
          <w:szCs w:val="144"/>
        </w:rPr>
      </w:pPr>
      <w:r>
        <w:rPr>
          <w:rFonts w:hint="eastAsia"/>
          <w:b/>
          <w:bCs/>
          <w:sz w:val="72"/>
          <w:szCs w:val="144"/>
        </w:rPr>
        <w:t>标</w:t>
      </w:r>
    </w:p>
    <w:p>
      <w:pPr>
        <w:jc w:val="center"/>
        <w:rPr>
          <w:b/>
          <w:bCs/>
          <w:sz w:val="72"/>
          <w:szCs w:val="144"/>
        </w:rPr>
      </w:pPr>
      <w:r>
        <w:rPr>
          <w:rFonts w:hint="eastAsia"/>
          <w:b/>
          <w:bCs/>
          <w:sz w:val="72"/>
          <w:szCs w:val="144"/>
        </w:rPr>
        <w:t>文</w:t>
      </w:r>
    </w:p>
    <w:p>
      <w:pPr>
        <w:jc w:val="center"/>
        <w:rPr>
          <w:b/>
          <w:bCs/>
          <w:sz w:val="72"/>
          <w:szCs w:val="144"/>
        </w:rPr>
      </w:pPr>
      <w:r>
        <w:rPr>
          <w:rFonts w:hint="eastAsia"/>
          <w:b/>
          <w:bCs/>
          <w:sz w:val="72"/>
          <w:szCs w:val="144"/>
        </w:rPr>
        <w:t>件</w:t>
      </w:r>
    </w:p>
    <w:p>
      <w:pPr>
        <w:rPr>
          <w:b/>
          <w:bCs/>
          <w:sz w:val="36"/>
          <w:szCs w:val="44"/>
        </w:rPr>
      </w:pPr>
    </w:p>
    <w:p>
      <w:pPr>
        <w:rPr>
          <w:b/>
          <w:bCs/>
          <w:sz w:val="36"/>
          <w:szCs w:val="44"/>
        </w:rPr>
      </w:pPr>
    </w:p>
    <w:p>
      <w:pPr>
        <w:jc w:val="center"/>
        <w:outlineLvl w:val="0"/>
        <w:rPr>
          <w:b/>
          <w:bCs/>
          <w:sz w:val="36"/>
          <w:szCs w:val="44"/>
        </w:rPr>
      </w:pPr>
      <w:bookmarkStart w:id="281" w:name="_Toc27750"/>
      <w:r>
        <w:rPr>
          <w:rFonts w:hint="eastAsia"/>
          <w:b/>
          <w:bCs/>
          <w:sz w:val="36"/>
          <w:szCs w:val="44"/>
        </w:rPr>
        <w:t>投标人全称：（加盖单位公章）</w:t>
      </w:r>
      <w:bookmarkEnd w:id="281"/>
    </w:p>
    <w:p>
      <w:pPr>
        <w:jc w:val="center"/>
        <w:outlineLvl w:val="0"/>
        <w:rPr>
          <w:b/>
          <w:bCs/>
          <w:sz w:val="36"/>
          <w:szCs w:val="44"/>
        </w:rPr>
      </w:pPr>
      <w:bookmarkStart w:id="282" w:name="_Toc8184"/>
      <w:r>
        <w:rPr>
          <w:rFonts w:hint="eastAsia"/>
          <w:b/>
          <w:bCs/>
          <w:sz w:val="36"/>
          <w:szCs w:val="44"/>
        </w:rPr>
        <w:t>投标人地址：</w:t>
      </w:r>
      <w:bookmarkEnd w:id="282"/>
    </w:p>
    <w:p>
      <w:pPr>
        <w:jc w:val="center"/>
        <w:outlineLvl w:val="0"/>
        <w:rPr>
          <w:b/>
          <w:bCs/>
          <w:sz w:val="36"/>
          <w:szCs w:val="44"/>
        </w:rPr>
      </w:pPr>
      <w:bookmarkStart w:id="283" w:name="_Toc27534"/>
      <w:r>
        <w:rPr>
          <w:rFonts w:hint="eastAsia"/>
          <w:b/>
          <w:bCs/>
          <w:sz w:val="36"/>
          <w:szCs w:val="44"/>
        </w:rPr>
        <w:t>年   月   日</w:t>
      </w:r>
      <w:bookmarkEnd w:id="283"/>
    </w:p>
    <w:p>
      <w:pPr>
        <w:rPr>
          <w:b/>
          <w:bCs/>
          <w:sz w:val="36"/>
          <w:szCs w:val="44"/>
        </w:rPr>
        <w:sectPr>
          <w:headerReference r:id="rId4" w:type="default"/>
          <w:footerReference r:id="rId5" w:type="default"/>
          <w:pgSz w:w="11906" w:h="16838"/>
          <w:pgMar w:top="993" w:right="1474" w:bottom="1134" w:left="1474" w:header="851" w:footer="641" w:gutter="0"/>
          <w:cols w:space="720" w:num="1"/>
          <w:docGrid w:type="lines" w:linePitch="315" w:charSpace="0"/>
        </w:sectPr>
      </w:pPr>
    </w:p>
    <w:p>
      <w:pPr>
        <w:pStyle w:val="4"/>
        <w:snapToGrid w:val="0"/>
        <w:rPr>
          <w:rFonts w:ascii="宋体" w:hAnsi="宋体" w:eastAsia="宋体"/>
          <w:color w:val="000000"/>
          <w:sz w:val="44"/>
          <w:szCs w:val="44"/>
        </w:rPr>
      </w:pPr>
      <w:bookmarkStart w:id="284" w:name="_Toc12637"/>
      <w:bookmarkStart w:id="285" w:name="_Toc4185"/>
      <w:bookmarkStart w:id="286" w:name="_Toc11922"/>
      <w:bookmarkStart w:id="287" w:name="_Toc3123"/>
      <w:bookmarkStart w:id="288" w:name="_Toc12360"/>
      <w:bookmarkStart w:id="289" w:name="_Toc11308"/>
      <w:r>
        <w:rPr>
          <w:rFonts w:hint="eastAsia" w:ascii="宋体" w:hAnsi="宋体" w:eastAsia="宋体"/>
          <w:color w:val="000000"/>
          <w:sz w:val="44"/>
          <w:szCs w:val="44"/>
        </w:rPr>
        <w:t>资 格 文 件</w:t>
      </w:r>
      <w:bookmarkEnd w:id="284"/>
      <w:bookmarkEnd w:id="285"/>
      <w:bookmarkEnd w:id="286"/>
      <w:bookmarkEnd w:id="287"/>
      <w:bookmarkEnd w:id="288"/>
      <w:bookmarkEnd w:id="289"/>
      <w:r>
        <w:rPr>
          <w:rFonts w:hint="eastAsia" w:ascii="宋体" w:hAnsi="宋体" w:eastAsia="宋体"/>
          <w:color w:val="000000"/>
          <w:sz w:val="44"/>
          <w:szCs w:val="44"/>
        </w:rPr>
        <w:t xml:space="preserve"> </w:t>
      </w:r>
    </w:p>
    <w:p>
      <w:pPr>
        <w:shd w:val="clear" w:color="auto" w:fill="FFFFFF"/>
        <w:snapToGrid w:val="0"/>
        <w:spacing w:line="360" w:lineRule="auto"/>
        <w:jc w:val="center"/>
        <w:rPr>
          <w:rFonts w:ascii="宋体" w:hAnsi="宋体" w:cs="宋体"/>
          <w:b/>
          <w:bCs/>
          <w:color w:val="000000"/>
          <w:kern w:val="0"/>
          <w:sz w:val="24"/>
        </w:rPr>
      </w:pPr>
    </w:p>
    <w:p>
      <w:pPr>
        <w:shd w:val="clear" w:color="auto" w:fill="FFFFFF"/>
        <w:snapToGrid w:val="0"/>
        <w:spacing w:line="360" w:lineRule="auto"/>
        <w:jc w:val="center"/>
        <w:outlineLvl w:val="0"/>
        <w:rPr>
          <w:rFonts w:ascii="宋体" w:hAnsi="宋体" w:cs="宋体"/>
          <w:color w:val="000000"/>
          <w:kern w:val="0"/>
          <w:sz w:val="24"/>
        </w:rPr>
      </w:pPr>
      <w:bookmarkStart w:id="290" w:name="_Toc7170"/>
      <w:r>
        <w:rPr>
          <w:rFonts w:hint="eastAsia" w:ascii="宋体" w:hAnsi="宋体" w:cs="宋体"/>
          <w:b/>
          <w:bCs/>
          <w:color w:val="000000"/>
          <w:kern w:val="0"/>
          <w:sz w:val="36"/>
          <w:szCs w:val="36"/>
        </w:rPr>
        <w:t>目  录</w:t>
      </w:r>
      <w:bookmarkEnd w:id="290"/>
    </w:p>
    <w:p>
      <w:pPr>
        <w:shd w:val="clear" w:color="auto" w:fill="FFFFFF"/>
        <w:snapToGrid w:val="0"/>
        <w:spacing w:line="360" w:lineRule="auto"/>
        <w:rPr>
          <w:rFonts w:ascii="宋体" w:hAnsi="宋体" w:cs="宋体"/>
          <w:color w:val="000000"/>
          <w:kern w:val="0"/>
          <w:sz w:val="24"/>
        </w:rPr>
      </w:pPr>
      <w:bookmarkStart w:id="291" w:name="_Hlk33176655"/>
      <w:r>
        <w:rPr>
          <w:rFonts w:hint="eastAsia" w:ascii="宋体" w:hAnsi="宋体" w:cs="宋体"/>
          <w:color w:val="000000"/>
          <w:kern w:val="0"/>
          <w:sz w:val="24"/>
        </w:rPr>
        <w:t>（1）营业执照………………………………………………………………………（页码）</w:t>
      </w:r>
    </w:p>
    <w:p>
      <w:pPr>
        <w:shd w:val="clear" w:color="auto" w:fill="FFFFFF"/>
        <w:snapToGrid w:val="0"/>
        <w:spacing w:line="360" w:lineRule="auto"/>
        <w:jc w:val="left"/>
        <w:rPr>
          <w:rFonts w:ascii="宋体" w:hAnsi="宋体" w:cs="宋体"/>
          <w:color w:val="000000"/>
          <w:kern w:val="0"/>
          <w:sz w:val="24"/>
        </w:rPr>
      </w:pPr>
      <w:r>
        <w:rPr>
          <w:rFonts w:hint="eastAsia" w:ascii="宋体" w:hAnsi="宋体" w:cs="宋体"/>
          <w:color w:val="000000"/>
          <w:kern w:val="0"/>
          <w:sz w:val="24"/>
        </w:rPr>
        <w:t>（2）具有良好的商业信誉和健全的财务会计制度…………………………………（页码）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（3）具有履行合同所必需的设备和专业技术能力的承诺函……………………（页码）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（4）依法缴纳税收和社会保障资金的承诺函………………………………………（页码）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（7）投标供应商没有失信记录承诺函………………………………………………（页码）</w:t>
      </w:r>
    </w:p>
    <w:bookmarkEnd w:id="291"/>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（8）投标供应商不属于公益一类事业单位承诺函…………………………………（页码）</w:t>
      </w:r>
    </w:p>
    <w:p>
      <w:pPr>
        <w:shd w:val="clear" w:color="auto" w:fill="FFFFFF"/>
        <w:snapToGrid w:val="0"/>
        <w:spacing w:line="360" w:lineRule="auto"/>
        <w:rPr>
          <w:rFonts w:ascii="宋体" w:hAnsi="宋体" w:cs="宋体"/>
          <w:b/>
          <w:bCs/>
          <w:color w:val="000000"/>
          <w:kern w:val="0"/>
          <w:sz w:val="24"/>
        </w:rPr>
      </w:pPr>
      <w:r>
        <w:rPr>
          <w:rFonts w:hint="eastAsia" w:ascii="宋体" w:hAnsi="宋体" w:cs="宋体"/>
          <w:b/>
          <w:bCs/>
          <w:color w:val="000000"/>
          <w:kern w:val="0"/>
          <w:sz w:val="24"/>
        </w:rPr>
        <w:t>（9）具备城乡规划编制单位甲级及以上资质………………………………………（页码）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（10）供应商承诺未联合体投标情况说明函……………………………………（页码）</w:t>
      </w:r>
    </w:p>
    <w:p>
      <w:pPr>
        <w:pStyle w:val="77"/>
        <w:ind w:left="0" w:leftChars="0" w:firstLine="0" w:firstLineChars="0"/>
      </w:pPr>
    </w:p>
    <w:p>
      <w:pPr>
        <w:pStyle w:val="19"/>
      </w:pPr>
    </w:p>
    <w:p>
      <w:pPr>
        <w:pStyle w:val="88"/>
      </w:pPr>
    </w:p>
    <w:p>
      <w:pPr>
        <w:pStyle w:val="31"/>
      </w:pPr>
    </w:p>
    <w:p>
      <w:pPr>
        <w:widowControl/>
        <w:snapToGrid w:val="0"/>
        <w:spacing w:line="360" w:lineRule="auto"/>
        <w:jc w:val="left"/>
        <w:rPr>
          <w:rFonts w:ascii="宋体" w:hAnsi="宋体" w:cs="宋体"/>
          <w:color w:val="000000"/>
          <w:kern w:val="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shd w:val="clear" w:color="auto" w:fill="FFFFFF"/>
        <w:snapToGrid w:val="0"/>
        <w:spacing w:line="360" w:lineRule="auto"/>
        <w:ind w:firstLine="480" w:firstLineChars="200"/>
        <w:rPr>
          <w:rFonts w:ascii="宋体" w:hAnsi="宋体" w:cs="宋体"/>
          <w:color w:val="000000"/>
          <w:sz w:val="24"/>
          <w:highlight w:val="yellow"/>
        </w:rPr>
      </w:pPr>
    </w:p>
    <w:p>
      <w:pPr>
        <w:pStyle w:val="4"/>
        <w:numPr>
          <w:ilvl w:val="0"/>
          <w:numId w:val="18"/>
        </w:numPr>
        <w:snapToGrid w:val="0"/>
        <w:rPr>
          <w:rFonts w:ascii="宋体" w:hAnsi="宋体" w:eastAsia="宋体"/>
          <w:color w:val="000000"/>
        </w:rPr>
      </w:pPr>
      <w:bookmarkStart w:id="292" w:name="_Toc27119252"/>
      <w:bookmarkStart w:id="293" w:name="_Toc6616"/>
      <w:bookmarkStart w:id="294" w:name="_Toc5698"/>
      <w:bookmarkStart w:id="295" w:name="_Toc20581"/>
      <w:bookmarkStart w:id="296" w:name="_Toc14043"/>
      <w:bookmarkStart w:id="297" w:name="_Toc21301"/>
      <w:bookmarkStart w:id="298" w:name="_Toc14356"/>
      <w:bookmarkStart w:id="299" w:name="_Toc5464"/>
      <w:bookmarkStart w:id="300" w:name="_Toc27479"/>
      <w:bookmarkStart w:id="301" w:name="_Toc26100"/>
      <w:bookmarkStart w:id="302" w:name="_Toc20141"/>
      <w:bookmarkStart w:id="303" w:name="_Toc19775"/>
      <w:bookmarkStart w:id="304" w:name="_Toc14051"/>
      <w:bookmarkStart w:id="305" w:name="_Toc33194404"/>
      <w:bookmarkStart w:id="306" w:name="_Toc24541"/>
      <w:bookmarkStart w:id="307" w:name="_Toc9796"/>
      <w:bookmarkStart w:id="308" w:name="_Toc6359"/>
      <w:bookmarkStart w:id="309" w:name="_Toc21670"/>
      <w:bookmarkStart w:id="310" w:name="_Toc32567"/>
      <w:r>
        <w:rPr>
          <w:rFonts w:hint="eastAsia" w:ascii="宋体" w:hAnsi="宋体" w:eastAsia="宋体"/>
          <w:color w:val="000000"/>
        </w:rPr>
        <w:t>营业执照</w:t>
      </w:r>
      <w:bookmarkEnd w:id="292"/>
      <w:bookmarkEnd w:id="293"/>
      <w:bookmarkEnd w:id="294"/>
      <w:bookmarkEnd w:id="295"/>
      <w:bookmarkEnd w:id="296"/>
      <w:bookmarkEnd w:id="297"/>
      <w:bookmarkEnd w:id="298"/>
      <w:bookmarkEnd w:id="299"/>
      <w:bookmarkEnd w:id="300"/>
      <w:bookmarkEnd w:id="301"/>
      <w:bookmarkEnd w:id="302"/>
      <w:r>
        <w:rPr>
          <w:rFonts w:hint="eastAsia" w:ascii="宋体" w:hAnsi="宋体" w:eastAsia="宋体"/>
          <w:color w:val="000000"/>
        </w:rPr>
        <w:t>（扫描件或复印件加盖公章）</w:t>
      </w:r>
      <w:bookmarkEnd w:id="303"/>
      <w:bookmarkEnd w:id="304"/>
      <w:bookmarkEnd w:id="305"/>
      <w:bookmarkEnd w:id="306"/>
      <w:bookmarkEnd w:id="307"/>
      <w:bookmarkEnd w:id="308"/>
      <w:bookmarkEnd w:id="309"/>
      <w:bookmarkEnd w:id="310"/>
      <w:r>
        <w:rPr>
          <w:rFonts w:hint="eastAsia" w:ascii="宋体" w:hAnsi="宋体" w:eastAsia="宋体"/>
          <w:color w:val="000000"/>
        </w:rPr>
        <w:t>；</w:t>
      </w:r>
    </w:p>
    <w:p>
      <w:pPr>
        <w:snapToGrid w:val="0"/>
        <w:spacing w:line="360" w:lineRule="auto"/>
        <w:rPr>
          <w:rFonts w:ascii="宋体" w:hAnsi="宋体" w:cs="宋体"/>
          <w:color w:val="000000"/>
        </w:rPr>
      </w:pPr>
    </w:p>
    <w:p>
      <w:pPr>
        <w:snapToGrid w:val="0"/>
        <w:spacing w:line="360" w:lineRule="auto"/>
        <w:rPr>
          <w:rFonts w:ascii="宋体" w:hAnsi="宋体" w:cs="宋体"/>
          <w:color w:val="000000"/>
        </w:rPr>
      </w:pPr>
    </w:p>
    <w:p>
      <w:pPr>
        <w:pStyle w:val="4"/>
        <w:numPr>
          <w:ilvl w:val="0"/>
          <w:numId w:val="18"/>
        </w:numPr>
        <w:snapToGrid w:val="0"/>
        <w:rPr>
          <w:rFonts w:ascii="宋体" w:hAnsi="宋体" w:eastAsia="宋体"/>
          <w:color w:val="000000"/>
        </w:rPr>
      </w:pPr>
      <w:bookmarkStart w:id="311" w:name="_Toc22811"/>
      <w:bookmarkStart w:id="312" w:name="_Toc2906"/>
      <w:bookmarkStart w:id="313" w:name="_Toc14843"/>
      <w:bookmarkStart w:id="314" w:name="_Toc25070"/>
      <w:r>
        <w:rPr>
          <w:rFonts w:hint="eastAsia" w:ascii="宋体" w:hAnsi="宋体" w:eastAsia="宋体"/>
          <w:color w:val="000000"/>
        </w:rPr>
        <w:t>具有良好的商业信誉和健全的财务会计制度</w:t>
      </w:r>
      <w:bookmarkEnd w:id="311"/>
      <w:bookmarkEnd w:id="312"/>
      <w:bookmarkEnd w:id="313"/>
      <w:bookmarkEnd w:id="314"/>
    </w:p>
    <w:p>
      <w:pPr>
        <w:pStyle w:val="4"/>
        <w:snapToGrid w:val="0"/>
        <w:ind w:firstLine="480" w:firstLineChars="200"/>
        <w:jc w:val="both"/>
        <w:rPr>
          <w:rFonts w:ascii="宋体" w:hAnsi="宋体" w:eastAsia="宋体"/>
          <w:b w:val="0"/>
          <w:bCs/>
          <w:sz w:val="24"/>
          <w:szCs w:val="24"/>
        </w:rPr>
      </w:pPr>
      <w:bookmarkStart w:id="315" w:name="_Toc26090"/>
      <w:bookmarkStart w:id="316" w:name="_Toc29052"/>
      <w:bookmarkStart w:id="317" w:name="_Toc15085"/>
      <w:r>
        <w:rPr>
          <w:rFonts w:hint="eastAsia" w:ascii="宋体" w:hAnsi="宋体" w:eastAsia="宋体"/>
          <w:b w:val="0"/>
          <w:bCs/>
          <w:sz w:val="24"/>
          <w:szCs w:val="24"/>
        </w:rPr>
        <w:t>包括不限于：</w:t>
      </w:r>
      <w:bookmarkEnd w:id="315"/>
      <w:bookmarkEnd w:id="316"/>
      <w:bookmarkEnd w:id="317"/>
    </w:p>
    <w:p>
      <w:pPr>
        <w:pStyle w:val="4"/>
        <w:snapToGrid w:val="0"/>
        <w:ind w:firstLine="480" w:firstLineChars="200"/>
        <w:jc w:val="both"/>
        <w:rPr>
          <w:rFonts w:ascii="宋体" w:hAnsi="宋体" w:eastAsia="宋体"/>
          <w:b w:val="0"/>
          <w:bCs/>
          <w:sz w:val="24"/>
          <w:szCs w:val="24"/>
        </w:rPr>
      </w:pPr>
      <w:bookmarkStart w:id="318" w:name="_Toc5960"/>
      <w:bookmarkStart w:id="319" w:name="_Toc27798"/>
      <w:bookmarkStart w:id="320" w:name="_Toc25725"/>
      <w:r>
        <w:rPr>
          <w:rFonts w:hint="eastAsia" w:ascii="宋体" w:hAnsi="宋体" w:eastAsia="宋体"/>
          <w:b w:val="0"/>
          <w:bCs/>
          <w:sz w:val="24"/>
          <w:szCs w:val="24"/>
        </w:rPr>
        <w:t>a.最近一个年度资产负债表等财务报表资料文件 或 其基本开户银行开标日前六个月内出具的资信证明 或 其他能证明其财务情况的材料 （新成立的公司，提供情况说明）；</w:t>
      </w:r>
      <w:bookmarkEnd w:id="318"/>
      <w:bookmarkEnd w:id="319"/>
      <w:bookmarkEnd w:id="320"/>
    </w:p>
    <w:p>
      <w:pPr>
        <w:pStyle w:val="4"/>
        <w:snapToGrid w:val="0"/>
        <w:ind w:firstLine="480" w:firstLineChars="200"/>
        <w:jc w:val="both"/>
        <w:rPr>
          <w:rFonts w:ascii="宋体" w:hAnsi="宋体" w:eastAsia="宋体"/>
          <w:b w:val="0"/>
          <w:bCs/>
          <w:sz w:val="24"/>
          <w:szCs w:val="24"/>
        </w:rPr>
      </w:pPr>
      <w:bookmarkStart w:id="321" w:name="_Toc16377"/>
      <w:bookmarkStart w:id="322" w:name="_Toc234"/>
      <w:bookmarkStart w:id="323" w:name="_Toc143"/>
      <w:r>
        <w:rPr>
          <w:rFonts w:hint="eastAsia" w:ascii="宋体" w:hAnsi="宋体" w:eastAsia="宋体"/>
          <w:b w:val="0"/>
          <w:bCs/>
          <w:sz w:val="24"/>
          <w:szCs w:val="24"/>
        </w:rPr>
        <w:t>b.税费和社保费缴纳凭证复印件 或 依法缴纳税费或依法免缴税费的证明材料 （新成立的公司，提供情况说明）；</w:t>
      </w:r>
      <w:bookmarkEnd w:id="321"/>
      <w:bookmarkEnd w:id="322"/>
      <w:bookmarkEnd w:id="323"/>
    </w:p>
    <w:p>
      <w:pPr>
        <w:snapToGrid w:val="0"/>
        <w:spacing w:line="360" w:lineRule="auto"/>
        <w:rPr>
          <w:rFonts w:ascii="宋体" w:hAnsi="宋体" w:cs="宋体"/>
          <w:bCs/>
          <w:sz w:val="24"/>
        </w:rPr>
      </w:pPr>
    </w:p>
    <w:p>
      <w:pPr>
        <w:snapToGrid w:val="0"/>
        <w:spacing w:line="360" w:lineRule="auto"/>
        <w:rPr>
          <w:rFonts w:ascii="宋体" w:hAnsi="宋体" w:cs="宋体"/>
          <w:bCs/>
          <w:color w:val="000000"/>
          <w:sz w:val="24"/>
        </w:rPr>
      </w:pPr>
    </w:p>
    <w:p>
      <w:pPr>
        <w:snapToGrid w:val="0"/>
        <w:spacing w:line="360" w:lineRule="auto"/>
        <w:rPr>
          <w:rFonts w:ascii="宋体" w:hAnsi="宋体" w:cs="宋体"/>
          <w:color w:val="000000"/>
        </w:rPr>
      </w:pPr>
    </w:p>
    <w:p>
      <w:pPr>
        <w:snapToGrid w:val="0"/>
        <w:spacing w:line="360" w:lineRule="auto"/>
        <w:rPr>
          <w:rFonts w:ascii="宋体" w:hAnsi="宋体" w:cs="宋体"/>
          <w:color w:val="000000"/>
        </w:rPr>
      </w:pPr>
    </w:p>
    <w:p>
      <w:pPr>
        <w:pStyle w:val="4"/>
        <w:numPr>
          <w:ilvl w:val="0"/>
          <w:numId w:val="18"/>
        </w:numPr>
        <w:snapToGrid w:val="0"/>
        <w:rPr>
          <w:rFonts w:ascii="宋体" w:hAnsi="宋体" w:eastAsia="宋体"/>
          <w:color w:val="000000"/>
        </w:rPr>
      </w:pPr>
      <w:bookmarkStart w:id="324" w:name="_Toc33194405"/>
      <w:bookmarkStart w:id="325" w:name="_Toc13946"/>
      <w:bookmarkStart w:id="326" w:name="_Toc5430"/>
      <w:bookmarkStart w:id="327" w:name="_Toc26695"/>
      <w:bookmarkStart w:id="328" w:name="_Toc30692"/>
      <w:bookmarkStart w:id="329" w:name="_Toc11528"/>
      <w:bookmarkStart w:id="330" w:name="_Toc27119254"/>
      <w:bookmarkStart w:id="331" w:name="_Toc13460"/>
      <w:bookmarkStart w:id="332" w:name="_Toc27076"/>
      <w:r>
        <w:rPr>
          <w:rFonts w:hint="eastAsia" w:ascii="宋体" w:hAnsi="宋体" w:eastAsia="宋体"/>
          <w:color w:val="000000"/>
        </w:rPr>
        <w:t>具有履行合同所必需的设备和专业技术能力的承诺函</w:t>
      </w:r>
      <w:bookmarkEnd w:id="324"/>
      <w:bookmarkEnd w:id="325"/>
      <w:bookmarkEnd w:id="326"/>
      <w:bookmarkEnd w:id="327"/>
      <w:bookmarkEnd w:id="328"/>
      <w:bookmarkEnd w:id="329"/>
      <w:bookmarkEnd w:id="330"/>
      <w:bookmarkEnd w:id="331"/>
      <w:bookmarkEnd w:id="332"/>
    </w:p>
    <w:p>
      <w:pPr>
        <w:snapToGrid w:val="0"/>
        <w:spacing w:line="360" w:lineRule="auto"/>
        <w:rPr>
          <w:rFonts w:ascii="宋体" w:hAnsi="宋体" w:cs="宋体"/>
          <w:color w:val="000000"/>
        </w:rPr>
      </w:pPr>
    </w:p>
    <w:p>
      <w:pPr>
        <w:snapToGrid w:val="0"/>
        <w:spacing w:line="360" w:lineRule="auto"/>
        <w:rPr>
          <w:rFonts w:ascii="宋体" w:hAnsi="宋体" w:cs="宋体"/>
          <w:color w:val="000000"/>
        </w:rPr>
      </w:pPr>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承诺具有履行合同所必需的设备和专业技术能力。如有虚假，采购人可取消我方任何资格（投标/中标/签订合同），我方对此无任何异议。</w:t>
      </w:r>
    </w:p>
    <w:p>
      <w:pPr>
        <w:widowControl/>
        <w:snapToGrid w:val="0"/>
        <w:spacing w:line="360" w:lineRule="auto"/>
        <w:ind w:firstLine="480" w:firstLineChars="200"/>
        <w:jc w:val="left"/>
        <w:rPr>
          <w:rFonts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spacing w:line="360" w:lineRule="auto"/>
        <w:rPr>
          <w:rFonts w:ascii="宋体" w:hAnsi="宋体"/>
        </w:rPr>
      </w:pPr>
    </w:p>
    <w:p>
      <w:pPr>
        <w:pStyle w:val="31"/>
        <w:ind w:firstLine="0"/>
      </w:pPr>
    </w:p>
    <w:p>
      <w:pPr>
        <w:pStyle w:val="4"/>
        <w:numPr>
          <w:ilvl w:val="0"/>
          <w:numId w:val="18"/>
        </w:numPr>
        <w:snapToGrid w:val="0"/>
        <w:rPr>
          <w:rFonts w:ascii="宋体" w:hAnsi="宋体" w:eastAsia="宋体"/>
          <w:color w:val="000000"/>
        </w:rPr>
      </w:pPr>
      <w:bookmarkStart w:id="333" w:name="_Toc14630"/>
      <w:bookmarkStart w:id="334" w:name="_Toc3804"/>
      <w:bookmarkStart w:id="335" w:name="_Toc25527"/>
      <w:bookmarkStart w:id="336" w:name="_Toc8487"/>
      <w:r>
        <w:rPr>
          <w:rFonts w:hint="eastAsia" w:ascii="宋体" w:hAnsi="宋体" w:eastAsia="宋体"/>
          <w:color w:val="000000"/>
        </w:rPr>
        <w:t>依法缴纳税收和社会保障资金的承诺函</w:t>
      </w:r>
      <w:bookmarkEnd w:id="333"/>
      <w:bookmarkEnd w:id="334"/>
      <w:bookmarkEnd w:id="335"/>
      <w:bookmarkEnd w:id="336"/>
    </w:p>
    <w:p>
      <w:pPr>
        <w:spacing w:line="360" w:lineRule="auto"/>
        <w:rPr>
          <w:rFonts w:ascii="宋体" w:hAnsi="宋体" w:cs="Arial"/>
          <w:b/>
          <w:color w:val="000000"/>
          <w:kern w:val="0"/>
          <w:sz w:val="24"/>
          <w:szCs w:val="28"/>
          <w:u w:val="single"/>
        </w:rPr>
      </w:pPr>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r>
        <w:rPr>
          <w:rFonts w:hint="eastAsia" w:ascii="宋体" w:hAnsi="宋体" w:cs="宋体"/>
          <w:color w:val="000000"/>
          <w:kern w:val="0"/>
          <w:sz w:val="24"/>
        </w:rPr>
        <w:t>：</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000000"/>
          <w:kern w:val="0"/>
          <w:sz w:val="24"/>
        </w:rPr>
      </w:pP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特此承诺！</w:t>
      </w:r>
    </w:p>
    <w:p>
      <w:pPr>
        <w:widowControl/>
        <w:snapToGrid w:val="0"/>
        <w:spacing w:line="360" w:lineRule="auto"/>
        <w:ind w:firstLine="480" w:firstLineChars="200"/>
        <w:jc w:val="left"/>
        <w:rPr>
          <w:rFonts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法定代表或授权代表人（盖章或签字）：</w:t>
      </w:r>
    </w:p>
    <w:p>
      <w:pPr>
        <w:pStyle w:val="88"/>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ascii="宋体" w:hAnsi="宋体" w:cs="宋体"/>
          <w:color w:val="000000"/>
          <w:kern w:val="0"/>
          <w:sz w:val="24"/>
        </w:rPr>
      </w:pPr>
    </w:p>
    <w:p>
      <w:pPr>
        <w:pStyle w:val="4"/>
        <w:numPr>
          <w:ilvl w:val="0"/>
          <w:numId w:val="18"/>
        </w:numPr>
        <w:snapToGrid w:val="0"/>
        <w:rPr>
          <w:rFonts w:ascii="宋体" w:hAnsi="宋体" w:eastAsia="宋体"/>
          <w:color w:val="000000"/>
        </w:rPr>
      </w:pPr>
      <w:bookmarkStart w:id="337" w:name="_Toc13669"/>
      <w:bookmarkStart w:id="338" w:name="_Toc33194406"/>
      <w:bookmarkStart w:id="339" w:name="_Toc25736"/>
      <w:bookmarkStart w:id="340" w:name="_Toc14988"/>
      <w:bookmarkStart w:id="341" w:name="_Toc31544"/>
      <w:bookmarkStart w:id="342" w:name="_Toc10630"/>
      <w:bookmarkStart w:id="343" w:name="_Toc32123"/>
      <w:bookmarkStart w:id="344" w:name="_Toc6606"/>
      <w:bookmarkStart w:id="345" w:name="_Toc15255"/>
      <w:bookmarkStart w:id="346" w:name="_Toc18304"/>
      <w:bookmarkStart w:id="347" w:name="_Toc5639"/>
      <w:bookmarkStart w:id="348" w:name="_Toc23072"/>
      <w:bookmarkStart w:id="349" w:name="_Toc14589"/>
      <w:bookmarkStart w:id="350" w:name="_Toc23600"/>
      <w:bookmarkStart w:id="351" w:name="_Toc27119255"/>
      <w:bookmarkStart w:id="352" w:name="_Toc14837"/>
      <w:bookmarkStart w:id="353" w:name="_Toc28957"/>
      <w:bookmarkStart w:id="354" w:name="_Toc11360"/>
      <w:bookmarkStart w:id="355" w:name="_Toc31784"/>
      <w:r>
        <w:rPr>
          <w:rFonts w:hint="eastAsia" w:ascii="宋体" w:hAnsi="宋体" w:eastAsia="宋体"/>
          <w:color w:val="000000"/>
        </w:rPr>
        <w:t>参加政府采购活动前3年内在经营活动中没有重大违法记录的声明函</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
      <w:pPr>
        <w:pStyle w:val="4"/>
        <w:numPr>
          <w:ilvl w:val="0"/>
          <w:numId w:val="18"/>
        </w:numPr>
        <w:snapToGrid w:val="0"/>
        <w:rPr>
          <w:rFonts w:ascii="宋体" w:hAnsi="宋体" w:eastAsia="宋体"/>
          <w:color w:val="000000"/>
        </w:rPr>
      </w:pPr>
      <w:bookmarkStart w:id="356" w:name="_Toc10033"/>
      <w:bookmarkStart w:id="357" w:name="_Toc3260"/>
      <w:bookmarkStart w:id="358" w:name="_Toc6695"/>
      <w:bookmarkStart w:id="359" w:name="_Toc20381"/>
      <w:r>
        <w:rPr>
          <w:rFonts w:hint="eastAsia" w:ascii="宋体" w:hAnsi="宋体" w:eastAsia="宋体"/>
          <w:color w:val="000000"/>
        </w:rPr>
        <w:t>与参加本次项目同一合同项下政府采购活动的其他供应商不存在单位负责人为同一人或者直接控股、管理关系的承诺函</w:t>
      </w:r>
      <w:bookmarkEnd w:id="356"/>
      <w:bookmarkEnd w:id="357"/>
      <w:bookmarkEnd w:id="358"/>
      <w:bookmarkEnd w:id="359"/>
    </w:p>
    <w:p>
      <w:pPr>
        <w:pStyle w:val="77"/>
        <w:spacing w:line="360" w:lineRule="auto"/>
      </w:pPr>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r>
        <w:rPr>
          <w:rFonts w:hint="eastAsia" w:ascii="宋体" w:hAnsi="宋体" w:cs="宋体"/>
          <w:color w:val="000000"/>
          <w:kern w:val="0"/>
          <w:sz w:val="24"/>
        </w:rPr>
        <w:t>：</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我方郑重承诺，我方此次参加</w:t>
      </w:r>
      <w:r>
        <w:rPr>
          <w:rFonts w:hint="eastAsia" w:ascii="宋体" w:hAnsi="宋体" w:cs="Arial"/>
          <w:color w:val="000000"/>
          <w:kern w:val="0"/>
          <w:sz w:val="24"/>
          <w:u w:val="single"/>
        </w:rPr>
        <w:t xml:space="preserve">                    </w:t>
      </w:r>
      <w:r>
        <w:rPr>
          <w:rFonts w:hint="eastAsia" w:ascii="宋体" w:hAnsi="宋体" w:cs="Arial"/>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ascii="宋体" w:hAnsi="宋体" w:cs="宋体"/>
          <w:b/>
          <w:color w:val="000000"/>
          <w:kern w:val="36"/>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法定代表或授权代表人（盖章或签字）：</w:t>
      </w:r>
    </w:p>
    <w:p>
      <w:pPr>
        <w:pStyle w:val="88"/>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rPr>
          <w:rFonts w:ascii="宋体" w:hAnsi="宋体" w:cs="宋体"/>
          <w:color w:val="000000"/>
          <w:sz w:val="24"/>
        </w:rPr>
      </w:pPr>
    </w:p>
    <w:p>
      <w:pPr>
        <w:pStyle w:val="88"/>
      </w:pPr>
    </w:p>
    <w:p>
      <w:pPr>
        <w:pStyle w:val="4"/>
        <w:numPr>
          <w:ilvl w:val="0"/>
          <w:numId w:val="18"/>
        </w:numPr>
        <w:snapToGrid w:val="0"/>
        <w:rPr>
          <w:rFonts w:ascii="宋体" w:hAnsi="宋体" w:eastAsia="宋体"/>
          <w:color w:val="000000"/>
        </w:rPr>
      </w:pPr>
      <w:bookmarkStart w:id="360" w:name="_Toc32149"/>
      <w:bookmarkStart w:id="361" w:name="_Toc21143"/>
      <w:bookmarkStart w:id="362" w:name="_Toc8488"/>
      <w:bookmarkStart w:id="363" w:name="_Toc28221"/>
      <w:r>
        <w:rPr>
          <w:rFonts w:hint="eastAsia" w:ascii="宋体" w:hAnsi="宋体" w:eastAsia="宋体"/>
          <w:color w:val="000000"/>
        </w:rPr>
        <w:t>投标供应商没有失信记录承诺函</w:t>
      </w:r>
      <w:bookmarkEnd w:id="360"/>
      <w:bookmarkEnd w:id="361"/>
      <w:bookmarkEnd w:id="362"/>
      <w:bookmarkEnd w:id="363"/>
    </w:p>
    <w:p>
      <w:pPr>
        <w:pStyle w:val="77"/>
        <w:spacing w:line="360" w:lineRule="auto"/>
        <w:ind w:left="840" w:leftChars="400" w:firstLine="0" w:firstLineChars="0"/>
      </w:pPr>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r>
        <w:rPr>
          <w:rFonts w:hint="eastAsia" w:ascii="宋体" w:hAnsi="宋体" w:cs="宋体"/>
          <w:color w:val="000000"/>
          <w:kern w:val="0"/>
          <w:sz w:val="24"/>
        </w:rPr>
        <w:t>：</w:t>
      </w:r>
    </w:p>
    <w:p>
      <w:pPr>
        <w:spacing w:line="360" w:lineRule="auto"/>
        <w:ind w:firstLine="484" w:firstLineChars="202"/>
        <w:jc w:val="left"/>
        <w:rPr>
          <w:rFonts w:ascii="宋体" w:hAnsi="宋体" w:cs="Arial"/>
          <w:color w:val="000000"/>
          <w:kern w:val="0"/>
          <w:sz w:val="24"/>
        </w:rPr>
      </w:pPr>
      <w:r>
        <w:rPr>
          <w:rFonts w:hint="eastAsia" w:ascii="宋体" w:hAnsi="宋体" w:cs="Arial"/>
          <w:color w:val="000000"/>
          <w:kern w:val="0"/>
          <w:sz w:val="24"/>
        </w:rPr>
        <w:t>我公司郑重承诺：到本项目投标截止时间为止，我公司未被</w:t>
      </w:r>
      <w:r>
        <w:rPr>
          <w:rFonts w:ascii="宋体" w:hAnsi="宋体" w:cs="Arial"/>
          <w:color w:val="000000"/>
          <w:kern w:val="0"/>
          <w:sz w:val="24"/>
        </w:rPr>
        <w:t>“信用中国”</w:t>
      </w:r>
      <w:r>
        <w:rPr>
          <w:rFonts w:hint="eastAsia" w:ascii="宋体" w:hAnsi="宋体" w:cs="Arial"/>
          <w:color w:val="000000"/>
          <w:kern w:val="0"/>
          <w:sz w:val="24"/>
        </w:rPr>
        <w:t>（</w:t>
      </w:r>
      <w:r>
        <w:rPr>
          <w:rFonts w:ascii="宋体" w:hAnsi="宋体" w:cs="Arial"/>
          <w:color w:val="000000"/>
          <w:kern w:val="0"/>
          <w:sz w:val="24"/>
        </w:rPr>
        <w:t>www.creditchina.gov.cn</w:t>
      </w:r>
      <w:r>
        <w:rPr>
          <w:rFonts w:hint="eastAsia" w:ascii="宋体" w:hAnsi="宋体" w:cs="Arial"/>
          <w:color w:val="000000"/>
          <w:kern w:val="0"/>
          <w:sz w:val="24"/>
        </w:rPr>
        <w:t>）、</w:t>
      </w:r>
      <w:r>
        <w:rPr>
          <w:rFonts w:ascii="宋体" w:hAnsi="宋体" w:cs="Arial"/>
          <w:color w:val="000000"/>
          <w:kern w:val="0"/>
          <w:sz w:val="24"/>
        </w:rPr>
        <w:t>中国政府采购网</w:t>
      </w:r>
      <w:r>
        <w:rPr>
          <w:rFonts w:hint="eastAsia" w:ascii="宋体" w:hAnsi="宋体" w:cs="Arial"/>
          <w:color w:val="000000"/>
          <w:kern w:val="0"/>
          <w:sz w:val="24"/>
        </w:rPr>
        <w:t>（</w:t>
      </w:r>
      <w:r>
        <w:rPr>
          <w:rFonts w:ascii="宋体" w:hAnsi="宋体" w:cs="Arial"/>
          <w:color w:val="000000"/>
          <w:kern w:val="0"/>
          <w:sz w:val="24"/>
        </w:rPr>
        <w:t>www.ccgp.gov.cn</w:t>
      </w:r>
      <w:r>
        <w:rPr>
          <w:rFonts w:hint="eastAsia" w:ascii="宋体" w:hAnsi="宋体" w:cs="Arial"/>
          <w:color w:val="000000"/>
          <w:kern w:val="0"/>
          <w:sz w:val="24"/>
        </w:rPr>
        <w:t>）</w:t>
      </w:r>
      <w:r>
        <w:rPr>
          <w:rFonts w:ascii="宋体" w:hAnsi="宋体" w:cs="Arial"/>
          <w:color w:val="000000"/>
          <w:kern w:val="0"/>
          <w:sz w:val="24"/>
        </w:rPr>
        <w:t>列入失信被执行人</w:t>
      </w:r>
      <w:r>
        <w:rPr>
          <w:rFonts w:hint="eastAsia" w:ascii="宋体" w:hAnsi="宋体" w:cs="Arial"/>
          <w:color w:val="000000"/>
          <w:kern w:val="0"/>
          <w:sz w:val="24"/>
        </w:rPr>
        <w:t>名单</w:t>
      </w:r>
      <w:r>
        <w:rPr>
          <w:rFonts w:ascii="宋体" w:hAnsi="宋体" w:cs="Arial"/>
          <w:color w:val="000000"/>
          <w:kern w:val="0"/>
          <w:sz w:val="24"/>
        </w:rPr>
        <w:t>、重大税收违法案件当事人名单、政府采购严重违法失信行为记录名单</w:t>
      </w:r>
      <w:r>
        <w:rPr>
          <w:rFonts w:hint="eastAsia" w:ascii="宋体" w:hAnsi="宋体" w:cs="Arial"/>
          <w:color w:val="000000"/>
          <w:kern w:val="0"/>
          <w:sz w:val="24"/>
        </w:rPr>
        <w:t>。如有隐瞒，愿承担一切责任。</w:t>
      </w:r>
    </w:p>
    <w:p>
      <w:pPr>
        <w:shd w:val="clear" w:color="auto" w:fill="FFFFFF"/>
        <w:snapToGrid w:val="0"/>
        <w:spacing w:line="360" w:lineRule="auto"/>
        <w:rPr>
          <w:rFonts w:ascii="宋体" w:hAnsi="宋体" w:cs="宋体"/>
          <w:color w:val="00000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pStyle w:val="77"/>
      </w:pPr>
    </w:p>
    <w:p>
      <w:pPr>
        <w:pStyle w:val="77"/>
      </w:pPr>
    </w:p>
    <w:p>
      <w:pPr>
        <w:shd w:val="clear" w:color="auto" w:fill="FFFFFF"/>
        <w:snapToGrid w:val="0"/>
        <w:spacing w:line="360" w:lineRule="auto"/>
        <w:ind w:left="840" w:leftChars="400"/>
        <w:outlineLvl w:val="0"/>
        <w:rPr>
          <w:rFonts w:ascii="宋体" w:hAnsi="宋体" w:cs="宋体"/>
          <w:b/>
          <w:color w:val="000000"/>
          <w:spacing w:val="-6"/>
          <w:kern w:val="0"/>
          <w:sz w:val="32"/>
          <w:szCs w:val="32"/>
        </w:rPr>
      </w:pPr>
      <w:bookmarkStart w:id="364" w:name="_Toc17971"/>
      <w:bookmarkStart w:id="365" w:name="_Toc3781"/>
      <w:bookmarkStart w:id="366" w:name="_Toc354996707"/>
      <w:bookmarkStart w:id="367" w:name="_Toc233618989"/>
      <w:r>
        <w:rPr>
          <w:rFonts w:hint="eastAsia" w:ascii="宋体" w:hAnsi="宋体" w:cs="Arial"/>
          <w:b/>
          <w:color w:val="000000"/>
          <w:kern w:val="0"/>
          <w:sz w:val="32"/>
          <w:szCs w:val="32"/>
        </w:rPr>
        <w:t>八、投标供应商</w:t>
      </w:r>
      <w:r>
        <w:rPr>
          <w:rFonts w:hint="eastAsia" w:ascii="宋体" w:hAnsi="宋体" w:cs="宋体"/>
          <w:b/>
          <w:color w:val="000000"/>
          <w:sz w:val="32"/>
          <w:szCs w:val="32"/>
        </w:rPr>
        <w:t>不属于</w:t>
      </w:r>
      <w:r>
        <w:rPr>
          <w:rFonts w:hint="eastAsia" w:ascii="宋体" w:hAnsi="宋体" w:cs="宋体"/>
          <w:b/>
          <w:color w:val="000000"/>
          <w:spacing w:val="-6"/>
          <w:kern w:val="0"/>
          <w:sz w:val="32"/>
          <w:szCs w:val="32"/>
        </w:rPr>
        <w:t>公益一类事业单位承诺函</w:t>
      </w:r>
      <w:bookmarkEnd w:id="364"/>
    </w:p>
    <w:p>
      <w:pPr>
        <w:pStyle w:val="77"/>
        <w:ind w:left="840" w:leftChars="400" w:firstLine="0" w:firstLineChars="0"/>
      </w:pPr>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r>
        <w:rPr>
          <w:rFonts w:hint="eastAsia" w:ascii="宋体" w:hAnsi="宋体" w:cs="宋体"/>
          <w:color w:val="000000"/>
          <w:kern w:val="0"/>
          <w:sz w:val="24"/>
        </w:rPr>
        <w:t>：</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我方郑重承诺，我单位不属于</w:t>
      </w:r>
      <w:r>
        <w:rPr>
          <w:rFonts w:hint="eastAsia" w:ascii="宋体" w:hAnsi="宋体" w:cs="宋体"/>
          <w:color w:val="000000"/>
          <w:kern w:val="0"/>
          <w:sz w:val="24"/>
        </w:rPr>
        <w:t>公益一类事业单位、使用事业编制且由财政拨款保障的群团组织，</w:t>
      </w:r>
      <w:r>
        <w:rPr>
          <w:rFonts w:hint="eastAsia" w:ascii="宋体" w:hAnsi="宋体" w:cs="宋体"/>
          <w:color w:val="000000"/>
          <w:spacing w:val="-6"/>
          <w:kern w:val="0"/>
          <w:sz w:val="24"/>
        </w:rPr>
        <w:t>可承接</w:t>
      </w:r>
      <w:r>
        <w:rPr>
          <w:rFonts w:hint="eastAsia" w:ascii="宋体" w:hAnsi="宋体" w:cs="宋体"/>
          <w:color w:val="000000"/>
          <w:kern w:val="0"/>
          <w:sz w:val="24"/>
          <w:u w:val="single"/>
        </w:rPr>
        <w:t xml:space="preserve">                 （项目名称）   </w:t>
      </w:r>
      <w:r>
        <w:rPr>
          <w:rFonts w:hint="eastAsia" w:ascii="宋体" w:hAnsi="宋体" w:cs="Arial"/>
          <w:color w:val="000000"/>
          <w:kern w:val="0"/>
          <w:sz w:val="24"/>
        </w:rPr>
        <w:t>的相关服务内容。如有虚假或隐瞒，愿意承担一切后果。</w:t>
      </w:r>
    </w:p>
    <w:p>
      <w:pPr>
        <w:shd w:val="clear" w:color="auto" w:fill="FFFFFF"/>
        <w:snapToGrid w:val="0"/>
        <w:spacing w:line="360" w:lineRule="auto"/>
        <w:jc w:val="center"/>
        <w:rPr>
          <w:rFonts w:ascii="宋体" w:hAnsi="宋体" w:cs="宋体"/>
          <w:b/>
          <w:color w:val="000000"/>
          <w:kern w:val="36"/>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法定代表或授权代表人（盖章或签字）：</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pStyle w:val="31"/>
        <w:ind w:firstLine="0"/>
        <w:rPr>
          <w:rFonts w:ascii="宋体" w:hAnsi="宋体" w:eastAsia="宋体" w:cs="宋体"/>
          <w:b/>
          <w:color w:val="000000"/>
          <w:kern w:val="36"/>
          <w:sz w:val="32"/>
        </w:rPr>
      </w:pPr>
    </w:p>
    <w:p>
      <w:pPr>
        <w:shd w:val="clear" w:color="auto" w:fill="FFFFFF"/>
        <w:snapToGrid w:val="0"/>
        <w:spacing w:line="360" w:lineRule="auto"/>
        <w:outlineLvl w:val="0"/>
        <w:rPr>
          <w:rFonts w:ascii="宋体" w:hAnsi="宋体" w:cs="Arial"/>
          <w:b/>
          <w:color w:val="000000"/>
          <w:kern w:val="0"/>
          <w:sz w:val="32"/>
          <w:szCs w:val="32"/>
        </w:rPr>
      </w:pPr>
      <w:bookmarkStart w:id="368" w:name="_Toc26751"/>
      <w:r>
        <w:rPr>
          <w:rFonts w:hint="eastAsia" w:ascii="宋体" w:hAnsi="宋体" w:cs="Arial"/>
          <w:b/>
          <w:color w:val="000000"/>
          <w:kern w:val="0"/>
          <w:sz w:val="32"/>
          <w:szCs w:val="32"/>
        </w:rPr>
        <w:t>九、具备城乡规划编制单位甲级及以上资质复印件加盖公章</w:t>
      </w:r>
      <w:bookmarkEnd w:id="368"/>
    </w:p>
    <w:p>
      <w:pPr>
        <w:shd w:val="clear" w:color="auto" w:fill="FFFFFF"/>
        <w:snapToGrid w:val="0"/>
        <w:spacing w:line="360" w:lineRule="auto"/>
        <w:ind w:left="840" w:leftChars="400"/>
        <w:jc w:val="center"/>
        <w:rPr>
          <w:rFonts w:ascii="宋体" w:hAnsi="宋体" w:cs="Arial"/>
          <w:b/>
          <w:color w:val="000000"/>
          <w:kern w:val="0"/>
          <w:sz w:val="32"/>
          <w:szCs w:val="32"/>
        </w:rPr>
      </w:pPr>
    </w:p>
    <w:p>
      <w:pPr>
        <w:shd w:val="clear" w:color="auto" w:fill="FFFFFF"/>
        <w:snapToGrid w:val="0"/>
        <w:spacing w:line="360" w:lineRule="auto"/>
        <w:ind w:left="840" w:leftChars="400"/>
        <w:jc w:val="center"/>
        <w:outlineLvl w:val="0"/>
        <w:rPr>
          <w:rFonts w:ascii="宋体" w:hAnsi="宋体" w:cs="Arial"/>
          <w:b/>
          <w:color w:val="000000"/>
          <w:kern w:val="0"/>
          <w:sz w:val="32"/>
          <w:szCs w:val="32"/>
        </w:rPr>
      </w:pPr>
      <w:bookmarkStart w:id="369" w:name="_Toc29183"/>
    </w:p>
    <w:p>
      <w:pPr>
        <w:numPr>
          <w:ilvl w:val="0"/>
          <w:numId w:val="0"/>
        </w:numPr>
        <w:shd w:val="clear" w:color="auto" w:fill="FFFFFF"/>
        <w:snapToGrid w:val="0"/>
        <w:spacing w:line="360" w:lineRule="auto"/>
        <w:ind w:leftChars="400"/>
        <w:jc w:val="center"/>
        <w:rPr>
          <w:rFonts w:hint="eastAsia" w:ascii="宋体" w:hAnsi="宋体" w:eastAsia="宋体" w:cs="Arial"/>
          <w:b/>
          <w:color w:val="000000"/>
          <w:kern w:val="0"/>
          <w:sz w:val="32"/>
          <w:szCs w:val="32"/>
          <w:lang w:val="en-US" w:eastAsia="zh-CN" w:bidi="ar-SA"/>
        </w:rPr>
      </w:pPr>
      <w:r>
        <w:rPr>
          <w:rFonts w:hint="eastAsia" w:ascii="宋体" w:hAnsi="宋体" w:cs="Arial"/>
          <w:b/>
          <w:color w:val="000000"/>
          <w:kern w:val="0"/>
          <w:sz w:val="32"/>
          <w:szCs w:val="32"/>
        </w:rPr>
        <w:t>十、</w:t>
      </w:r>
      <w:bookmarkEnd w:id="369"/>
      <w:r>
        <w:rPr>
          <w:rFonts w:hint="eastAsia" w:ascii="宋体" w:hAnsi="宋体" w:cs="Arial"/>
          <w:b/>
          <w:color w:val="000000"/>
          <w:kern w:val="0"/>
          <w:sz w:val="32"/>
          <w:szCs w:val="32"/>
          <w:lang w:eastAsia="zh-CN"/>
        </w:rPr>
        <w:t>供应商承诺未联合体投标情况说明函</w:t>
      </w:r>
    </w:p>
    <w:p>
      <w:pPr>
        <w:widowControl/>
        <w:snapToGrid w:val="0"/>
        <w:spacing w:line="360" w:lineRule="auto"/>
        <w:ind w:firstLine="560" w:firstLineChars="200"/>
        <w:jc w:val="center"/>
        <w:rPr>
          <w:rFonts w:hint="eastAsia" w:ascii="宋体" w:hAnsi="宋体" w:cs="宋体"/>
          <w:color w:val="000000"/>
          <w:kern w:val="0"/>
          <w:sz w:val="28"/>
          <w:szCs w:val="28"/>
          <w:lang w:val="en-US" w:eastAsia="zh-CN"/>
        </w:rPr>
      </w:pPr>
    </w:p>
    <w:p>
      <w:pPr>
        <w:spacing w:line="360" w:lineRule="auto"/>
        <w:ind w:firstLine="480" w:firstLineChars="200"/>
        <w:rPr>
          <w:rFonts w:hint="eastAsia" w:ascii="宋体" w:hAnsi="宋体" w:cs="Arial"/>
          <w:color w:val="000000"/>
          <w:kern w:val="0"/>
          <w:sz w:val="24"/>
          <w:lang w:val="en-US" w:eastAsia="zh-CN"/>
        </w:rPr>
      </w:pPr>
      <w:r>
        <w:rPr>
          <w:rFonts w:hint="eastAsia" w:ascii="宋体" w:hAnsi="宋体" w:cs="Arial"/>
          <w:color w:val="000000"/>
          <w:kern w:val="0"/>
          <w:sz w:val="24"/>
          <w:lang w:val="en-US" w:eastAsia="zh-CN"/>
        </w:rPr>
        <w:t>（项目名称）</w:t>
      </w:r>
      <w:r>
        <w:rPr>
          <w:rFonts w:hint="eastAsia" w:ascii="宋体" w:hAnsi="宋体" w:cs="Arial"/>
          <w:color w:val="000000"/>
          <w:kern w:val="0"/>
          <w:sz w:val="24"/>
          <w:u w:val="single"/>
          <w:lang w:val="en-US" w:eastAsia="zh-CN"/>
        </w:rPr>
        <w:t xml:space="preserve">                             </w:t>
      </w:r>
      <w:r>
        <w:rPr>
          <w:rFonts w:hint="eastAsia" w:ascii="宋体" w:hAnsi="宋体" w:cs="Arial"/>
          <w:color w:val="000000"/>
          <w:kern w:val="0"/>
          <w:sz w:val="24"/>
          <w:lang w:val="en-US" w:eastAsia="zh-CN"/>
        </w:rPr>
        <w:t>不接受联合体投标，本单位未联合体投标，特此说明。</w:t>
      </w:r>
    </w:p>
    <w:p>
      <w:pPr>
        <w:pStyle w:val="31"/>
        <w:jc w:val="left"/>
        <w:rPr>
          <w:rFonts w:hint="eastAsia" w:ascii="宋体" w:hAnsi="宋体"/>
          <w:color w:val="000000"/>
          <w:szCs w:val="32"/>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adjustRightInd w:val="0"/>
        <w:snapToGrid w:val="0"/>
        <w:spacing w:line="360" w:lineRule="auto"/>
        <w:ind w:firstLine="480" w:firstLineChars="200"/>
        <w:jc w:val="left"/>
        <w:rPr>
          <w:rFonts w:ascii="宋体" w:hAnsi="宋体" w:cs="宋体"/>
          <w:color w:val="000000"/>
          <w:kern w:val="0"/>
          <w:sz w:val="24"/>
        </w:rPr>
      </w:pPr>
    </w:p>
    <w:p>
      <w:pPr>
        <w:pStyle w:val="4"/>
        <w:snapToGrid w:val="0"/>
        <w:jc w:val="both"/>
        <w:rPr>
          <w:rFonts w:hint="eastAsia" w:ascii="宋体" w:hAnsi="宋体"/>
          <w:b w:val="0"/>
          <w:color w:val="000000"/>
          <w:szCs w:val="32"/>
        </w:rPr>
      </w:pPr>
      <w:r>
        <w:rPr>
          <w:rFonts w:hint="eastAsia" w:ascii="宋体" w:hAnsi="宋体"/>
          <w:b w:val="0"/>
          <w:color w:val="000000"/>
          <w:szCs w:val="32"/>
        </w:rPr>
        <w:br w:type="page"/>
      </w:r>
    </w:p>
    <w:p>
      <w:pPr>
        <w:rPr>
          <w:rFonts w:hint="eastAsia" w:ascii="宋体" w:hAnsi="宋体"/>
          <w:b w:val="0"/>
          <w:color w:val="000000"/>
          <w:szCs w:val="32"/>
        </w:rPr>
      </w:pPr>
    </w:p>
    <w:p/>
    <w:p>
      <w:pPr>
        <w:shd w:val="clear" w:color="auto" w:fill="FFFFFF"/>
        <w:snapToGrid w:val="0"/>
        <w:spacing w:line="360" w:lineRule="auto"/>
        <w:jc w:val="center"/>
        <w:outlineLvl w:val="0"/>
        <w:rPr>
          <w:rFonts w:ascii="宋体" w:hAnsi="宋体" w:cs="宋体"/>
          <w:b/>
          <w:bCs/>
          <w:color w:val="000000"/>
          <w:sz w:val="44"/>
          <w:szCs w:val="44"/>
        </w:rPr>
      </w:pPr>
      <w:r>
        <w:rPr>
          <w:rFonts w:hint="eastAsia" w:ascii="宋体" w:hAnsi="宋体" w:cs="宋体"/>
          <w:b/>
          <w:bCs/>
          <w:color w:val="000000"/>
          <w:sz w:val="44"/>
          <w:szCs w:val="44"/>
        </w:rPr>
        <w:t xml:space="preserve"> </w:t>
      </w:r>
      <w:bookmarkStart w:id="370" w:name="_Toc19044"/>
      <w:bookmarkStart w:id="371" w:name="_Toc4352"/>
      <w:bookmarkStart w:id="372" w:name="_Toc26357"/>
      <w:bookmarkStart w:id="373" w:name="_Toc26443"/>
      <w:r>
        <w:rPr>
          <w:rFonts w:hint="eastAsia" w:ascii="宋体" w:hAnsi="宋体" w:cs="宋体"/>
          <w:b/>
          <w:bCs/>
          <w:color w:val="000000"/>
          <w:sz w:val="44"/>
          <w:szCs w:val="44"/>
        </w:rPr>
        <w:t>项目名称：</w:t>
      </w:r>
      <w:bookmarkEnd w:id="365"/>
      <w:bookmarkEnd w:id="370"/>
      <w:bookmarkEnd w:id="371"/>
      <w:bookmarkEnd w:id="372"/>
      <w:bookmarkEnd w:id="373"/>
    </w:p>
    <w:p>
      <w:pPr>
        <w:shd w:val="clear" w:color="auto" w:fill="FFFFFF"/>
        <w:snapToGrid w:val="0"/>
        <w:spacing w:line="360" w:lineRule="auto"/>
        <w:jc w:val="center"/>
        <w:outlineLvl w:val="0"/>
        <w:rPr>
          <w:rFonts w:ascii="宋体" w:hAnsi="宋体" w:cs="宋体"/>
          <w:b/>
          <w:bCs/>
          <w:color w:val="000000"/>
          <w:sz w:val="44"/>
          <w:szCs w:val="44"/>
        </w:rPr>
      </w:pPr>
      <w:bookmarkStart w:id="374" w:name="_Toc105"/>
      <w:bookmarkStart w:id="375" w:name="_Toc9115"/>
      <w:bookmarkStart w:id="376" w:name="_Toc11368"/>
      <w:bookmarkStart w:id="377" w:name="_Toc1618"/>
      <w:r>
        <w:rPr>
          <w:rFonts w:hint="eastAsia" w:ascii="宋体" w:hAnsi="宋体" w:cs="宋体"/>
          <w:b/>
          <w:bCs/>
          <w:color w:val="000000"/>
          <w:sz w:val="44"/>
          <w:szCs w:val="44"/>
        </w:rPr>
        <w:t>报 价 文 件（封面）</w:t>
      </w:r>
      <w:bookmarkEnd w:id="374"/>
      <w:bookmarkEnd w:id="375"/>
      <w:bookmarkEnd w:id="376"/>
      <w:bookmarkEnd w:id="377"/>
    </w:p>
    <w:p>
      <w:pPr>
        <w:widowControl/>
        <w:spacing w:line="360" w:lineRule="auto"/>
        <w:ind w:right="-2"/>
        <w:jc w:val="center"/>
        <w:outlineLvl w:val="1"/>
        <w:rPr>
          <w:rFonts w:ascii="宋体" w:hAnsi="宋体"/>
          <w:b/>
          <w:color w:val="000000"/>
          <w:sz w:val="36"/>
          <w:szCs w:val="36"/>
        </w:rPr>
      </w:pPr>
      <w:bookmarkStart w:id="378" w:name="_Toc22501"/>
      <w:bookmarkStart w:id="379" w:name="_Toc19685"/>
      <w:bookmarkStart w:id="380" w:name="_Toc1097"/>
      <w:bookmarkStart w:id="381" w:name="_Toc4703"/>
      <w:bookmarkStart w:id="382" w:name="_Toc26049"/>
      <w:r>
        <w:rPr>
          <w:rFonts w:hint="eastAsia" w:ascii="宋体" w:hAnsi="宋体"/>
          <w:b/>
          <w:color w:val="000000"/>
          <w:sz w:val="36"/>
          <w:szCs w:val="36"/>
        </w:rPr>
        <w:t>（线上电子招投标）</w:t>
      </w:r>
      <w:bookmarkEnd w:id="378"/>
      <w:bookmarkEnd w:id="379"/>
      <w:bookmarkEnd w:id="380"/>
      <w:bookmarkEnd w:id="381"/>
      <w:bookmarkEnd w:id="382"/>
    </w:p>
    <w:p>
      <w:pPr>
        <w:pStyle w:val="88"/>
        <w:spacing w:line="360" w:lineRule="auto"/>
        <w:rPr>
          <w:sz w:val="36"/>
          <w:szCs w:val="36"/>
        </w:rPr>
      </w:pPr>
    </w:p>
    <w:p>
      <w:pPr>
        <w:shd w:val="clear" w:color="auto" w:fill="FFFFFF"/>
        <w:snapToGrid w:val="0"/>
        <w:spacing w:line="360" w:lineRule="auto"/>
        <w:jc w:val="center"/>
        <w:outlineLvl w:val="1"/>
        <w:rPr>
          <w:rFonts w:ascii="宋体" w:hAnsi="宋体" w:cs="宋体"/>
          <w:b/>
          <w:bCs/>
          <w:color w:val="000000"/>
          <w:sz w:val="36"/>
          <w:szCs w:val="36"/>
        </w:rPr>
      </w:pPr>
      <w:bookmarkStart w:id="383" w:name="_Toc13670"/>
      <w:r>
        <w:rPr>
          <w:rFonts w:hint="eastAsia" w:ascii="宋体" w:hAnsi="宋体" w:cs="宋体"/>
          <w:b/>
          <w:bCs/>
          <w:color w:val="000000"/>
          <w:sz w:val="36"/>
          <w:szCs w:val="36"/>
        </w:rPr>
        <w:t xml:space="preserve"> </w:t>
      </w:r>
      <w:r>
        <w:rPr>
          <w:rFonts w:ascii="宋体" w:hAnsi="宋体" w:cs="宋体"/>
          <w:b/>
          <w:bCs/>
          <w:color w:val="000000"/>
          <w:sz w:val="36"/>
          <w:szCs w:val="36"/>
        </w:rPr>
        <w:t xml:space="preserve"> </w:t>
      </w:r>
      <w:bookmarkStart w:id="384" w:name="_Toc30784"/>
      <w:bookmarkStart w:id="385" w:name="_Toc11420"/>
      <w:bookmarkStart w:id="386" w:name="_Toc14974"/>
      <w:bookmarkStart w:id="387" w:name="_Toc11324"/>
      <w:r>
        <w:rPr>
          <w:rFonts w:hint="eastAsia" w:ascii="宋体" w:hAnsi="宋体" w:cs="宋体"/>
          <w:b/>
          <w:bCs/>
          <w:color w:val="000000"/>
          <w:sz w:val="36"/>
          <w:szCs w:val="36"/>
        </w:rPr>
        <w:t>招标编号：</w:t>
      </w:r>
      <w:bookmarkEnd w:id="383"/>
      <w:r>
        <w:rPr>
          <w:rFonts w:hint="eastAsia" w:ascii="宋体" w:hAnsi="宋体" w:cs="宋体"/>
          <w:b/>
          <w:bCs/>
          <w:color w:val="000000"/>
          <w:sz w:val="36"/>
          <w:szCs w:val="36"/>
        </w:rPr>
        <w:t>YHZFCG2021-</w:t>
      </w:r>
      <w:bookmarkEnd w:id="384"/>
      <w:bookmarkEnd w:id="385"/>
      <w:bookmarkEnd w:id="386"/>
      <w:bookmarkEnd w:id="387"/>
      <w:r>
        <w:rPr>
          <w:rFonts w:hint="eastAsia" w:ascii="宋体" w:hAnsi="宋体" w:cs="宋体"/>
          <w:b/>
          <w:bCs/>
          <w:color w:val="000000"/>
          <w:sz w:val="36"/>
          <w:szCs w:val="36"/>
        </w:rPr>
        <w:t xml:space="preserve"> </w:t>
      </w:r>
    </w:p>
    <w:p>
      <w:pPr>
        <w:pStyle w:val="88"/>
        <w:spacing w:line="360" w:lineRule="auto"/>
      </w:pPr>
    </w:p>
    <w:p>
      <w:pPr>
        <w:snapToGrid w:val="0"/>
        <w:spacing w:line="360" w:lineRule="auto"/>
        <w:jc w:val="center"/>
        <w:rPr>
          <w:rFonts w:ascii="宋体" w:hAnsi="宋体" w:cs="宋体"/>
          <w:color w:val="000000"/>
          <w:sz w:val="72"/>
          <w:szCs w:val="72"/>
        </w:rPr>
      </w:pPr>
    </w:p>
    <w:p>
      <w:pPr>
        <w:snapToGrid w:val="0"/>
        <w:spacing w:line="360" w:lineRule="auto"/>
        <w:jc w:val="center"/>
        <w:rPr>
          <w:rFonts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ascii="宋体" w:hAnsi="宋体" w:cs="宋体"/>
          <w:color w:val="000000"/>
          <w:sz w:val="36"/>
          <w:szCs w:val="36"/>
        </w:rPr>
      </w:pPr>
      <w:r>
        <w:rPr>
          <w:rFonts w:hint="eastAsia" w:ascii="宋体" w:hAnsi="宋体" w:cs="宋体"/>
          <w:color w:val="000000"/>
          <w:sz w:val="72"/>
          <w:szCs w:val="72"/>
        </w:rPr>
        <w:t>件</w:t>
      </w:r>
    </w:p>
    <w:p>
      <w:pPr>
        <w:pStyle w:val="88"/>
        <w:spacing w:line="360" w:lineRule="auto"/>
      </w:pPr>
    </w:p>
    <w:p>
      <w:pPr>
        <w:snapToGrid w:val="0"/>
        <w:spacing w:line="360" w:lineRule="auto"/>
        <w:ind w:firstLine="2160" w:firstLineChars="600"/>
        <w:rPr>
          <w:rFonts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ind w:firstLine="2160" w:firstLineChars="600"/>
        <w:rPr>
          <w:rFonts w:ascii="宋体" w:hAnsi="宋体" w:cs="宋体"/>
          <w:color w:val="000000"/>
          <w:sz w:val="36"/>
          <w:szCs w:val="36"/>
        </w:rPr>
      </w:pPr>
      <w:r>
        <w:rPr>
          <w:rFonts w:hint="eastAsia" w:ascii="宋体" w:hAnsi="宋体" w:cs="宋体"/>
          <w:color w:val="000000"/>
          <w:sz w:val="36"/>
          <w:szCs w:val="36"/>
        </w:rPr>
        <w:t>投标人地址：</w:t>
      </w:r>
    </w:p>
    <w:p>
      <w:pPr>
        <w:snapToGrid w:val="0"/>
        <w:spacing w:line="360" w:lineRule="auto"/>
        <w:jc w:val="center"/>
        <w:rPr>
          <w:rFonts w:ascii="Times New Roman" w:hAnsi="Times New Roman"/>
          <w:b/>
          <w:bCs/>
          <w:color w:val="000000"/>
          <w:kern w:val="0"/>
          <w:sz w:val="32"/>
          <w:szCs w:val="32"/>
        </w:rPr>
      </w:pPr>
      <w:r>
        <w:rPr>
          <w:rFonts w:hint="eastAsia" w:ascii="宋体" w:hAnsi="宋体" w:cs="宋体"/>
          <w:color w:val="000000"/>
          <w:sz w:val="36"/>
          <w:szCs w:val="36"/>
        </w:rPr>
        <w:t>年   月   日</w:t>
      </w:r>
    </w:p>
    <w:p>
      <w:pPr>
        <w:pageBreakBefore/>
        <w:shd w:val="clear" w:color="auto" w:fill="FFFFFF"/>
        <w:snapToGrid w:val="0"/>
        <w:spacing w:line="360" w:lineRule="auto"/>
        <w:jc w:val="center"/>
        <w:rPr>
          <w:rFonts w:ascii="宋体" w:hAnsi="宋体" w:cs="宋体"/>
          <w:b/>
          <w:bCs/>
          <w:color w:val="000000"/>
          <w:kern w:val="0"/>
          <w:sz w:val="32"/>
          <w:szCs w:val="32"/>
        </w:rPr>
        <w:sectPr>
          <w:pgSz w:w="11906" w:h="16838"/>
          <w:pgMar w:top="993" w:right="1474" w:bottom="1134" w:left="1474" w:header="851" w:footer="641" w:gutter="0"/>
          <w:cols w:space="720" w:num="1"/>
          <w:docGrid w:type="lines" w:linePitch="315" w:charSpace="0"/>
        </w:sectPr>
      </w:pPr>
    </w:p>
    <w:p>
      <w:pPr>
        <w:pageBreakBefore/>
        <w:shd w:val="clear" w:color="auto" w:fill="FFFFFF"/>
        <w:snapToGrid w:val="0"/>
        <w:spacing w:line="360" w:lineRule="auto"/>
        <w:jc w:val="center"/>
        <w:outlineLvl w:val="1"/>
        <w:rPr>
          <w:rFonts w:ascii="宋体" w:hAnsi="宋体" w:cs="宋体"/>
          <w:b/>
          <w:bCs/>
          <w:color w:val="000000"/>
          <w:kern w:val="0"/>
          <w:sz w:val="36"/>
          <w:szCs w:val="36"/>
        </w:rPr>
      </w:pPr>
      <w:bookmarkStart w:id="388" w:name="_Toc3540"/>
      <w:bookmarkStart w:id="389" w:name="_Toc15962"/>
      <w:bookmarkStart w:id="390" w:name="_Toc30064"/>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 xml:space="preserve"> </w:t>
      </w:r>
      <w:bookmarkStart w:id="391" w:name="_Toc26251"/>
      <w:bookmarkStart w:id="392" w:name="_Toc24807"/>
      <w:bookmarkStart w:id="393" w:name="_Toc32060"/>
      <w:bookmarkStart w:id="394" w:name="_Toc7033"/>
      <w:r>
        <w:rPr>
          <w:rFonts w:hint="eastAsia" w:ascii="宋体" w:hAnsi="宋体" w:cs="宋体"/>
          <w:b/>
          <w:bCs/>
          <w:color w:val="000000"/>
          <w:kern w:val="0"/>
          <w:sz w:val="36"/>
          <w:szCs w:val="36"/>
        </w:rPr>
        <w:t>报 价 文 件</w:t>
      </w:r>
      <w:bookmarkEnd w:id="366"/>
      <w:bookmarkEnd w:id="388"/>
      <w:bookmarkEnd w:id="389"/>
      <w:bookmarkEnd w:id="390"/>
      <w:bookmarkEnd w:id="391"/>
      <w:bookmarkEnd w:id="392"/>
      <w:bookmarkEnd w:id="393"/>
      <w:bookmarkEnd w:id="394"/>
    </w:p>
    <w:p>
      <w:pPr>
        <w:shd w:val="clear" w:color="auto" w:fill="FFFFFF"/>
        <w:snapToGrid w:val="0"/>
        <w:spacing w:line="360" w:lineRule="auto"/>
        <w:jc w:val="center"/>
        <w:outlineLvl w:val="1"/>
        <w:rPr>
          <w:rFonts w:ascii="宋体" w:hAnsi="宋体" w:cs="宋体"/>
          <w:b/>
          <w:bCs/>
          <w:color w:val="000000"/>
          <w:kern w:val="0"/>
          <w:sz w:val="32"/>
          <w:szCs w:val="32"/>
        </w:rPr>
      </w:pPr>
      <w:bookmarkStart w:id="395" w:name="_Toc24156"/>
      <w:r>
        <w:rPr>
          <w:rFonts w:hint="eastAsia" w:ascii="宋体" w:hAnsi="宋体" w:cs="宋体"/>
          <w:b/>
          <w:bCs/>
          <w:color w:val="000000"/>
          <w:kern w:val="0"/>
          <w:sz w:val="32"/>
          <w:szCs w:val="32"/>
        </w:rPr>
        <w:t xml:space="preserve"> </w:t>
      </w:r>
      <w:r>
        <w:rPr>
          <w:rFonts w:ascii="宋体" w:hAnsi="宋体" w:cs="宋体"/>
          <w:b/>
          <w:bCs/>
          <w:color w:val="000000"/>
          <w:kern w:val="0"/>
          <w:sz w:val="32"/>
          <w:szCs w:val="32"/>
        </w:rPr>
        <w:t xml:space="preserve"> </w:t>
      </w:r>
      <w:bookmarkStart w:id="396" w:name="_Toc29498"/>
      <w:bookmarkStart w:id="397" w:name="_Toc9016"/>
      <w:bookmarkStart w:id="398" w:name="_Toc25569"/>
      <w:bookmarkStart w:id="399" w:name="_Toc2409"/>
      <w:r>
        <w:rPr>
          <w:rFonts w:hint="eastAsia" w:ascii="宋体" w:hAnsi="宋体" w:cs="宋体"/>
          <w:b/>
          <w:bCs/>
          <w:color w:val="000000"/>
          <w:kern w:val="0"/>
          <w:sz w:val="32"/>
          <w:szCs w:val="32"/>
        </w:rPr>
        <w:t>目 录</w:t>
      </w:r>
      <w:bookmarkEnd w:id="395"/>
      <w:bookmarkEnd w:id="396"/>
      <w:bookmarkEnd w:id="397"/>
      <w:bookmarkEnd w:id="398"/>
      <w:bookmarkEnd w:id="399"/>
    </w:p>
    <w:p>
      <w:pPr>
        <w:shd w:val="clear" w:color="auto" w:fill="FFFFFF"/>
        <w:snapToGrid w:val="0"/>
        <w:spacing w:line="360" w:lineRule="auto"/>
        <w:outlineLvl w:val="0"/>
        <w:rPr>
          <w:rFonts w:ascii="宋体" w:hAnsi="宋体" w:cs="宋体"/>
          <w:color w:val="000000"/>
          <w:kern w:val="0"/>
          <w:sz w:val="24"/>
        </w:rPr>
      </w:pPr>
      <w:bookmarkStart w:id="400" w:name="_Toc16783"/>
      <w:r>
        <w:rPr>
          <w:rFonts w:hint="eastAsia" w:ascii="宋体" w:hAnsi="宋体" w:cs="宋体"/>
          <w:color w:val="000000"/>
          <w:kern w:val="0"/>
          <w:sz w:val="24"/>
        </w:rPr>
        <w:t>（1）投标响应函…………………………………………………………………（页码）</w:t>
      </w:r>
      <w:bookmarkEnd w:id="400"/>
    </w:p>
    <w:p>
      <w:pPr>
        <w:shd w:val="clear" w:color="auto" w:fill="FFFFFF"/>
        <w:snapToGrid w:val="0"/>
        <w:spacing w:line="360" w:lineRule="auto"/>
        <w:outlineLvl w:val="0"/>
        <w:rPr>
          <w:rFonts w:ascii="宋体" w:hAnsi="宋体" w:cs="宋体"/>
          <w:color w:val="000000"/>
          <w:kern w:val="0"/>
          <w:sz w:val="24"/>
        </w:rPr>
      </w:pPr>
      <w:bookmarkStart w:id="401" w:name="_Toc13417"/>
      <w:r>
        <w:rPr>
          <w:rFonts w:hint="eastAsia" w:ascii="宋体" w:hAnsi="宋体" w:cs="宋体"/>
          <w:color w:val="000000"/>
          <w:kern w:val="0"/>
          <w:sz w:val="24"/>
        </w:rPr>
        <w:t>（2）开标一览表…………………………………………………………………（页码）</w:t>
      </w:r>
      <w:bookmarkEnd w:id="401"/>
    </w:p>
    <w:p>
      <w:pPr>
        <w:shd w:val="clear" w:color="auto" w:fill="FFFFFF"/>
        <w:snapToGrid w:val="0"/>
        <w:spacing w:line="360" w:lineRule="auto"/>
        <w:outlineLvl w:val="0"/>
        <w:rPr>
          <w:rFonts w:ascii="宋体" w:hAnsi="宋体" w:cs="宋体"/>
          <w:color w:val="000000"/>
          <w:kern w:val="0"/>
          <w:sz w:val="24"/>
        </w:rPr>
      </w:pPr>
      <w:bookmarkStart w:id="402" w:name="_Toc26215"/>
      <w:r>
        <w:rPr>
          <w:rFonts w:hint="eastAsia" w:ascii="宋体" w:hAnsi="宋体" w:cs="宋体"/>
          <w:color w:val="000000"/>
          <w:sz w:val="24"/>
        </w:rPr>
        <w:t>（</w:t>
      </w:r>
      <w:r>
        <w:rPr>
          <w:rFonts w:hint="eastAsia" w:ascii="宋体" w:hAnsi="宋体" w:cs="宋体"/>
          <w:color w:val="000000"/>
          <w:kern w:val="0"/>
          <w:sz w:val="24"/>
        </w:rPr>
        <w:t>3）报价明细清单………………………………………………………………（页码）</w:t>
      </w:r>
      <w:bookmarkEnd w:id="402"/>
    </w:p>
    <w:p>
      <w:pPr>
        <w:shd w:val="clear" w:color="auto" w:fill="FFFFFF"/>
        <w:snapToGrid w:val="0"/>
        <w:spacing w:line="360" w:lineRule="auto"/>
        <w:outlineLvl w:val="0"/>
        <w:rPr>
          <w:rFonts w:ascii="宋体" w:hAnsi="宋体" w:cs="宋体"/>
          <w:color w:val="000000"/>
          <w:kern w:val="0"/>
          <w:sz w:val="24"/>
        </w:rPr>
      </w:pPr>
      <w:bookmarkStart w:id="403" w:name="_Toc23419"/>
      <w:r>
        <w:rPr>
          <w:rFonts w:hint="eastAsia" w:ascii="宋体" w:hAnsi="宋体" w:cs="宋体"/>
          <w:color w:val="000000"/>
          <w:kern w:val="0"/>
          <w:sz w:val="24"/>
        </w:rPr>
        <w:t>（4）中小企业声明函、监狱企业、残疾人福利性单位证明材料……………（页码）</w:t>
      </w:r>
      <w:bookmarkEnd w:id="403"/>
    </w:p>
    <w:p>
      <w:pPr>
        <w:pStyle w:val="88"/>
      </w:pPr>
    </w:p>
    <w:p>
      <w:pPr>
        <w:pStyle w:val="88"/>
        <w:rPr>
          <w:rFonts w:cs="宋体"/>
          <w:color w:val="000000"/>
        </w:rPr>
      </w:pPr>
    </w:p>
    <w:p>
      <w:pPr>
        <w:pStyle w:val="88"/>
        <w:rPr>
          <w:rFonts w:cs="宋体"/>
          <w:color w:val="000000"/>
        </w:rPr>
      </w:pPr>
    </w:p>
    <w:p>
      <w:pPr>
        <w:pStyle w:val="88"/>
      </w:pPr>
    </w:p>
    <w:p>
      <w:pPr>
        <w:pageBreakBefore/>
        <w:shd w:val="clear" w:color="auto" w:fill="FFFFFF"/>
        <w:snapToGrid w:val="0"/>
        <w:spacing w:line="360" w:lineRule="auto"/>
        <w:jc w:val="center"/>
        <w:outlineLvl w:val="1"/>
        <w:rPr>
          <w:rFonts w:ascii="宋体" w:hAnsi="宋体" w:cs="宋体"/>
          <w:b/>
          <w:bCs/>
          <w:color w:val="000000"/>
          <w:sz w:val="32"/>
          <w:szCs w:val="32"/>
        </w:rPr>
      </w:pPr>
      <w:bookmarkStart w:id="404" w:name="_Toc233618990"/>
      <w:bookmarkStart w:id="405" w:name="_Toc25649"/>
      <w:bookmarkStart w:id="406" w:name="_Toc20589"/>
      <w:bookmarkStart w:id="407" w:name="_Toc29212"/>
      <w:bookmarkStart w:id="408" w:name="_Toc17087"/>
      <w:bookmarkStart w:id="409" w:name="_Toc6915"/>
      <w:r>
        <w:rPr>
          <w:rFonts w:hint="eastAsia" w:ascii="宋体" w:hAnsi="宋体" w:cs="宋体"/>
          <w:b/>
          <w:bCs/>
          <w:color w:val="000000"/>
          <w:sz w:val="32"/>
          <w:szCs w:val="32"/>
        </w:rPr>
        <w:t>一、投标响应函</w:t>
      </w:r>
      <w:bookmarkEnd w:id="404"/>
      <w:bookmarkEnd w:id="405"/>
      <w:bookmarkEnd w:id="406"/>
      <w:bookmarkEnd w:id="407"/>
      <w:bookmarkEnd w:id="408"/>
      <w:bookmarkEnd w:id="409"/>
    </w:p>
    <w:p>
      <w:pPr>
        <w:pStyle w:val="77"/>
        <w:spacing w:line="360" w:lineRule="auto"/>
      </w:pPr>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p>
    <w:p>
      <w:pPr>
        <w:shd w:val="clear" w:color="auto" w:fill="FFFFFF"/>
        <w:snapToGrid w:val="0"/>
        <w:spacing w:line="360" w:lineRule="auto"/>
        <w:rPr>
          <w:rFonts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olor w:val="000000"/>
          <w:sz w:val="24"/>
          <w:u w:val="single"/>
        </w:rPr>
        <w:t xml:space="preserve">         （项目名称）     </w:t>
      </w:r>
      <w:r>
        <w:rPr>
          <w:rFonts w:hint="eastAsia" w:ascii="宋体" w:hAnsi="宋体"/>
          <w:b/>
          <w:bCs/>
          <w:color w:val="000000"/>
          <w:sz w:val="24"/>
        </w:rPr>
        <w:t>（</w:t>
      </w:r>
      <w:r>
        <w:rPr>
          <w:rFonts w:hint="eastAsia" w:ascii="宋体" w:hAnsi="宋体" w:cs="宋体"/>
          <w:b/>
          <w:bCs/>
          <w:color w:val="000000"/>
          <w:sz w:val="24"/>
        </w:rPr>
        <w:t>招标编号：</w:t>
      </w:r>
      <w:r>
        <w:rPr>
          <w:rFonts w:hint="eastAsia" w:ascii="宋体" w:hAnsi="宋体" w:cs="宋体"/>
          <w:b/>
          <w:bCs/>
          <w:color w:val="000000"/>
          <w:sz w:val="24"/>
          <w:u w:val="single"/>
        </w:rPr>
        <w:t>YHZFCG2021-   ）</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ascii="宋体" w:hAnsi="宋体" w:cs="宋体"/>
          <w:color w:val="000000"/>
          <w:kern w:val="0"/>
          <w:sz w:val="24"/>
          <w:lang w:val="zh-CN"/>
        </w:rPr>
      </w:pPr>
    </w:p>
    <w:p>
      <w:pPr>
        <w:shd w:val="clear" w:color="auto" w:fill="FFFFFF"/>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法定（授权）代表人（盖章或签字）：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ascii="宋体" w:hAnsi="宋体" w:cs="宋体"/>
          <w:color w:val="000000"/>
          <w:kern w:val="0"/>
          <w:sz w:val="24"/>
          <w:u w:val="single"/>
          <w:lang w:val="zh-CN"/>
        </w:rPr>
      </w:pPr>
      <w:r>
        <w:rPr>
          <w:rFonts w:hint="eastAsia" w:ascii="宋体" w:hAnsi="宋体" w:cs="宋体"/>
          <w:color w:val="000000"/>
          <w:kern w:val="0"/>
          <w:sz w:val="24"/>
          <w:lang w:val="zh-CN"/>
        </w:rPr>
        <w:t>投标人盖章：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传真号码：                   </w:t>
      </w:r>
    </w:p>
    <w:p>
      <w:pPr>
        <w:shd w:val="clear" w:color="auto" w:fill="FFFFFF"/>
        <w:snapToGrid w:val="0"/>
        <w:spacing w:line="360" w:lineRule="auto"/>
        <w:ind w:firstLine="480" w:firstLineChars="200"/>
        <w:rPr>
          <w:rFonts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360" w:lineRule="auto"/>
        <w:jc w:val="center"/>
        <w:outlineLvl w:val="1"/>
        <w:rPr>
          <w:rFonts w:ascii="宋体" w:hAnsi="宋体" w:cs="宋体"/>
          <w:b/>
          <w:bCs/>
          <w:color w:val="000000"/>
          <w:sz w:val="24"/>
        </w:rPr>
      </w:pPr>
      <w:bookmarkStart w:id="410" w:name="_Toc354859551"/>
      <w:bookmarkStart w:id="411" w:name="_Toc15341"/>
      <w:bookmarkStart w:id="412" w:name="_Toc17363"/>
      <w:bookmarkStart w:id="413" w:name="_Toc354859475"/>
      <w:bookmarkStart w:id="414" w:name="_Toc354859632"/>
      <w:bookmarkStart w:id="415" w:name="_Toc22777"/>
      <w:bookmarkStart w:id="416" w:name="_Toc233618991"/>
      <w:bookmarkStart w:id="417" w:name="_Toc20337"/>
      <w:bookmarkStart w:id="418" w:name="_Toc83"/>
      <w:r>
        <w:rPr>
          <w:rFonts w:hint="eastAsia" w:ascii="宋体" w:hAnsi="宋体" w:cs="宋体"/>
          <w:b/>
          <w:bCs/>
          <w:color w:val="000000"/>
          <w:sz w:val="24"/>
        </w:rPr>
        <w:t>二、开标一览表</w:t>
      </w:r>
      <w:bookmarkEnd w:id="410"/>
      <w:bookmarkEnd w:id="411"/>
      <w:bookmarkEnd w:id="412"/>
      <w:bookmarkEnd w:id="413"/>
      <w:bookmarkEnd w:id="414"/>
      <w:bookmarkEnd w:id="415"/>
      <w:bookmarkEnd w:id="416"/>
      <w:bookmarkEnd w:id="417"/>
      <w:bookmarkEnd w:id="418"/>
      <w:r>
        <w:rPr>
          <w:rFonts w:hint="eastAsia" w:ascii="宋体" w:hAnsi="宋体" w:cs="宋体"/>
          <w:b/>
          <w:bCs/>
          <w:color w:val="000000"/>
          <w:sz w:val="24"/>
        </w:rPr>
        <w:t xml:space="preserve"> </w:t>
      </w:r>
    </w:p>
    <w:p>
      <w:pPr>
        <w:pStyle w:val="77"/>
        <w:spacing w:line="360" w:lineRule="auto"/>
        <w:ind w:left="0" w:leftChars="0" w:firstLine="0" w:firstLineChars="0"/>
      </w:pPr>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p>
    <w:p>
      <w:pPr>
        <w:shd w:val="clear" w:color="auto" w:fill="FFFFFF"/>
        <w:snapToGrid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000000"/>
          <w:sz w:val="24"/>
        </w:rPr>
        <w:t>招标编号：</w:t>
      </w:r>
      <w:r>
        <w:rPr>
          <w:rFonts w:hint="eastAsia" w:ascii="宋体" w:hAnsi="宋体" w:cs="宋体"/>
          <w:color w:val="000000"/>
          <w:sz w:val="24"/>
          <w:u w:val="single"/>
        </w:rPr>
        <w:t xml:space="preserve">YHZFCG2021-      </w:t>
      </w:r>
      <w:r>
        <w:rPr>
          <w:rFonts w:hint="eastAsia" w:ascii="宋体" w:hAnsi="宋体" w:cs="宋体"/>
          <w:color w:val="000000"/>
          <w:kern w:val="0"/>
          <w:sz w:val="24"/>
          <w:lang w:val="zh-CN"/>
        </w:rPr>
        <w:t>）的招标文件，项目名称：</w:t>
      </w:r>
      <w:r>
        <w:rPr>
          <w:rFonts w:hint="eastAsia" w:ascii="宋体" w:hAnsi="宋体" w:cs="宋体"/>
          <w:color w:val="000000"/>
          <w:kern w:val="0"/>
          <w:sz w:val="24"/>
          <w:u w:val="single"/>
        </w:rPr>
        <w:t xml:space="preserve">     （项目名称）         </w:t>
      </w:r>
      <w:r>
        <w:rPr>
          <w:rFonts w:hint="eastAsia" w:ascii="宋体" w:hAnsi="宋体" w:cs="宋体"/>
          <w:color w:val="000000"/>
          <w:kern w:val="0"/>
          <w:sz w:val="24"/>
          <w:lang w:val="zh-CN"/>
        </w:rPr>
        <w:t>。</w:t>
      </w:r>
    </w:p>
    <w:p>
      <w:pPr>
        <w:shd w:val="clear" w:color="auto" w:fill="FFFFFF"/>
        <w:snapToGrid w:val="0"/>
        <w:spacing w:line="360" w:lineRule="auto"/>
        <w:ind w:firstLine="3990" w:firstLineChars="1656"/>
        <w:rPr>
          <w:rFonts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78"/>
        <w:tblW w:w="88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699"/>
        <w:gridCol w:w="2443"/>
        <w:gridCol w:w="27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1" w:hRule="atLeast"/>
          <w:tblHeader/>
          <w:jc w:val="center"/>
        </w:trPr>
        <w:tc>
          <w:tcPr>
            <w:tcW w:w="3699" w:type="dxa"/>
            <w:tcBorders>
              <w:right w:val="single" w:color="auto" w:sz="4" w:space="0"/>
            </w:tcBorders>
            <w:vAlign w:val="center"/>
          </w:tcPr>
          <w:p>
            <w:pPr>
              <w:spacing w:line="360" w:lineRule="auto"/>
              <w:jc w:val="center"/>
              <w:rPr>
                <w:rFonts w:ascii="宋体" w:hAnsi="宋体"/>
                <w:b/>
                <w:bCs/>
                <w:color w:val="000000"/>
                <w:sz w:val="24"/>
                <w:szCs w:val="22"/>
              </w:rPr>
            </w:pPr>
            <w:r>
              <w:rPr>
                <w:rFonts w:hint="eastAsia" w:ascii="宋体" w:hAnsi="宋体"/>
                <w:b/>
                <w:bCs/>
                <w:color w:val="000000"/>
                <w:sz w:val="24"/>
                <w:szCs w:val="22"/>
              </w:rPr>
              <w:t>项目名称</w:t>
            </w:r>
          </w:p>
        </w:tc>
        <w:tc>
          <w:tcPr>
            <w:tcW w:w="2443" w:type="dxa"/>
            <w:tcBorders>
              <w:left w:val="single" w:color="auto" w:sz="4" w:space="0"/>
              <w:right w:val="single" w:color="auto" w:sz="4" w:space="0"/>
            </w:tcBorders>
            <w:vAlign w:val="center"/>
          </w:tcPr>
          <w:p>
            <w:pPr>
              <w:spacing w:line="360" w:lineRule="auto"/>
              <w:jc w:val="center"/>
              <w:rPr>
                <w:rFonts w:ascii="宋体" w:hAnsi="宋体"/>
                <w:b/>
                <w:bCs/>
                <w:color w:val="000000"/>
                <w:sz w:val="24"/>
                <w:szCs w:val="22"/>
              </w:rPr>
            </w:pPr>
            <w:r>
              <w:rPr>
                <w:rFonts w:hint="eastAsia" w:ascii="宋体" w:hAnsi="宋体"/>
                <w:b/>
                <w:bCs/>
                <w:color w:val="000000"/>
                <w:sz w:val="24"/>
                <w:szCs w:val="22"/>
              </w:rPr>
              <w:t>服务期</w:t>
            </w:r>
          </w:p>
        </w:tc>
        <w:tc>
          <w:tcPr>
            <w:tcW w:w="2716" w:type="dxa"/>
            <w:tcBorders>
              <w:left w:val="single" w:color="auto" w:sz="4" w:space="0"/>
              <w:right w:val="single" w:color="auto" w:sz="4" w:space="0"/>
            </w:tcBorders>
            <w:vAlign w:val="center"/>
          </w:tcPr>
          <w:p>
            <w:pPr>
              <w:spacing w:line="360" w:lineRule="auto"/>
              <w:jc w:val="center"/>
              <w:rPr>
                <w:rFonts w:ascii="宋体" w:hAnsi="宋体"/>
                <w:b/>
                <w:bCs/>
                <w:color w:val="000000"/>
                <w:sz w:val="24"/>
                <w:szCs w:val="22"/>
              </w:rPr>
            </w:pPr>
            <w:r>
              <w:rPr>
                <w:rFonts w:hint="eastAsia" w:ascii="宋体" w:hAnsi="宋体"/>
                <w:b/>
                <w:bCs/>
                <w:color w:val="000000"/>
                <w:sz w:val="24"/>
                <w:szCs w:val="22"/>
              </w:rPr>
              <w:t>投标总报价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54" w:hRule="atLeast"/>
          <w:jc w:val="center"/>
        </w:trPr>
        <w:tc>
          <w:tcPr>
            <w:tcW w:w="3699" w:type="dxa"/>
            <w:tcBorders>
              <w:right w:val="single" w:color="auto" w:sz="4" w:space="0"/>
            </w:tcBorders>
            <w:vAlign w:val="center"/>
          </w:tcPr>
          <w:p>
            <w:pPr>
              <w:spacing w:line="360" w:lineRule="auto"/>
              <w:jc w:val="center"/>
              <w:rPr>
                <w:rFonts w:ascii="宋体" w:hAnsi="宋体"/>
                <w:color w:val="000000"/>
                <w:sz w:val="24"/>
                <w:szCs w:val="22"/>
              </w:rPr>
            </w:pPr>
            <w:r>
              <w:rPr>
                <w:rFonts w:hint="eastAsia" w:ascii="宋体" w:hAnsi="宋体"/>
                <w:color w:val="000000"/>
                <w:sz w:val="24"/>
                <w:szCs w:val="22"/>
              </w:rPr>
              <w:t xml:space="preserve"> </w:t>
            </w:r>
          </w:p>
        </w:tc>
        <w:tc>
          <w:tcPr>
            <w:tcW w:w="2443" w:type="dxa"/>
            <w:tcBorders>
              <w:left w:val="single" w:color="auto" w:sz="4" w:space="0"/>
              <w:right w:val="single" w:color="auto" w:sz="4" w:space="0"/>
            </w:tcBorders>
            <w:vAlign w:val="center"/>
          </w:tcPr>
          <w:p>
            <w:pPr>
              <w:spacing w:line="360" w:lineRule="auto"/>
              <w:jc w:val="center"/>
              <w:rPr>
                <w:rFonts w:ascii="宋体" w:hAnsi="宋体"/>
                <w:color w:val="000000"/>
                <w:sz w:val="24"/>
                <w:szCs w:val="22"/>
              </w:rPr>
            </w:pPr>
            <w:r>
              <w:rPr>
                <w:rFonts w:hint="eastAsia" w:ascii="宋体" w:hAnsi="宋体"/>
                <w:color w:val="000000"/>
                <w:sz w:val="24"/>
                <w:szCs w:val="22"/>
              </w:rPr>
              <w:t>响应招标文件要求</w:t>
            </w:r>
          </w:p>
        </w:tc>
        <w:tc>
          <w:tcPr>
            <w:tcW w:w="2716" w:type="dxa"/>
            <w:tcBorders>
              <w:left w:val="single" w:color="auto" w:sz="4" w:space="0"/>
              <w:right w:val="single" w:color="auto" w:sz="4" w:space="0"/>
            </w:tcBorders>
            <w:vAlign w:val="center"/>
          </w:tcPr>
          <w:p>
            <w:pPr>
              <w:spacing w:line="360" w:lineRule="auto"/>
              <w:rPr>
                <w:rFonts w:ascii="宋体" w:hAnsi="宋体"/>
                <w:color w:val="000000"/>
                <w:sz w:val="24"/>
                <w:szCs w:val="22"/>
              </w:rPr>
            </w:pPr>
            <w:r>
              <w:rPr>
                <w:rFonts w:hint="eastAsia" w:ascii="宋体" w:hAnsi="宋体"/>
                <w:color w:val="000000"/>
                <w:sz w:val="24"/>
                <w:szCs w:val="22"/>
              </w:rPr>
              <w:t>小写：</w:t>
            </w:r>
            <w:r>
              <w:rPr>
                <w:rFonts w:hint="eastAsia" w:ascii="宋体" w:hAnsi="宋体"/>
                <w:color w:val="000000"/>
                <w:sz w:val="24"/>
                <w:szCs w:val="22"/>
                <w:u w:val="single"/>
              </w:rPr>
              <w:t xml:space="preserve">       </w:t>
            </w:r>
            <w:r>
              <w:rPr>
                <w:rFonts w:hint="eastAsia" w:ascii="宋体" w:hAnsi="宋体"/>
                <w:color w:val="000000"/>
                <w:sz w:val="24"/>
                <w:szCs w:val="22"/>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47" w:hRule="atLeast"/>
          <w:jc w:val="center"/>
        </w:trPr>
        <w:tc>
          <w:tcPr>
            <w:tcW w:w="3699" w:type="dxa"/>
            <w:tcBorders>
              <w:right w:val="single" w:color="auto" w:sz="4" w:space="0"/>
            </w:tcBorders>
            <w:vAlign w:val="center"/>
          </w:tcPr>
          <w:p>
            <w:pPr>
              <w:spacing w:line="360" w:lineRule="auto"/>
              <w:jc w:val="center"/>
              <w:rPr>
                <w:rFonts w:ascii="宋体" w:hAnsi="宋体"/>
                <w:color w:val="000000"/>
                <w:sz w:val="24"/>
                <w:szCs w:val="22"/>
              </w:rPr>
            </w:pPr>
            <w:r>
              <w:rPr>
                <w:rFonts w:hint="eastAsia" w:ascii="宋体" w:hAnsi="宋体"/>
                <w:color w:val="000000"/>
                <w:sz w:val="24"/>
                <w:szCs w:val="22"/>
              </w:rPr>
              <w:t>总价</w:t>
            </w:r>
          </w:p>
        </w:tc>
        <w:tc>
          <w:tcPr>
            <w:tcW w:w="5159" w:type="dxa"/>
            <w:gridSpan w:val="2"/>
            <w:tcBorders>
              <w:left w:val="single" w:color="auto" w:sz="4" w:space="0"/>
            </w:tcBorders>
            <w:vAlign w:val="center"/>
          </w:tcPr>
          <w:p>
            <w:pPr>
              <w:spacing w:line="360" w:lineRule="auto"/>
              <w:rPr>
                <w:rFonts w:ascii="宋体" w:hAnsi="宋体"/>
                <w:color w:val="000000"/>
                <w:sz w:val="24"/>
                <w:szCs w:val="22"/>
              </w:rPr>
            </w:pPr>
            <w:r>
              <w:rPr>
                <w:rFonts w:hint="eastAsia" w:ascii="宋体" w:hAnsi="宋体"/>
                <w:color w:val="000000"/>
                <w:sz w:val="24"/>
                <w:szCs w:val="22"/>
              </w:rPr>
              <w:t>大写：</w:t>
            </w:r>
            <w:r>
              <w:rPr>
                <w:rFonts w:hint="eastAsia" w:ascii="宋体" w:hAnsi="宋体"/>
                <w:color w:val="000000"/>
                <w:sz w:val="24"/>
                <w:szCs w:val="22"/>
                <w:u w:val="single"/>
              </w:rPr>
              <w:t xml:space="preserve">          </w:t>
            </w:r>
            <w:r>
              <w:rPr>
                <w:rFonts w:hint="eastAsia" w:ascii="宋体" w:hAnsi="宋体"/>
                <w:color w:val="000000"/>
                <w:sz w:val="24"/>
                <w:szCs w:val="22"/>
              </w:rPr>
              <w:t>元；</w:t>
            </w:r>
          </w:p>
        </w:tc>
      </w:tr>
    </w:tbl>
    <w:p>
      <w:pPr>
        <w:shd w:val="clear" w:color="auto" w:fill="FFFFFF"/>
        <w:snapToGrid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360" w:lineRule="auto"/>
        <w:ind w:firstLine="480"/>
        <w:rPr>
          <w:rFonts w:ascii="宋体" w:hAnsi="宋体" w:cs="宋体"/>
          <w:color w:val="000000"/>
          <w:kern w:val="0"/>
          <w:sz w:val="24"/>
        </w:rPr>
      </w:pPr>
      <w:r>
        <w:rPr>
          <w:rFonts w:hint="eastAsia" w:ascii="宋体" w:hAnsi="宋体" w:cs="宋体"/>
          <w:color w:val="000000"/>
          <w:kern w:val="0"/>
          <w:sz w:val="24"/>
          <w:lang w:val="zh-CN"/>
        </w:rPr>
        <w:t>(1)我方要约有效期为自投标截止之日起90天；</w:t>
      </w:r>
    </w:p>
    <w:p>
      <w:pPr>
        <w:shd w:val="clear" w:color="auto" w:fill="FFFFFF"/>
        <w:snapToGrid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360" w:lineRule="auto"/>
        <w:ind w:firstLine="480"/>
        <w:rPr>
          <w:rFonts w:ascii="宋体" w:hAnsi="宋体" w:cs="宋体"/>
          <w:color w:val="000000"/>
          <w:kern w:val="0"/>
          <w:sz w:val="24"/>
          <w:lang w:val="zh-CN"/>
        </w:rPr>
      </w:pPr>
    </w:p>
    <w:p>
      <w:pPr>
        <w:pStyle w:val="77"/>
        <w:spacing w:line="360" w:lineRule="auto"/>
        <w:ind w:firstLine="480"/>
        <w:rPr>
          <w:rFonts w:ascii="宋体" w:hAnsi="宋体" w:cs="宋体"/>
          <w:color w:val="000000"/>
          <w:kern w:val="0"/>
          <w:sz w:val="24"/>
          <w:lang w:val="zh-CN"/>
        </w:rPr>
      </w:pPr>
    </w:p>
    <w:p>
      <w:pPr>
        <w:pStyle w:val="77"/>
        <w:spacing w:line="360" w:lineRule="auto"/>
        <w:ind w:firstLine="480"/>
        <w:rPr>
          <w:rFonts w:ascii="宋体" w:hAnsi="宋体" w:cs="宋体"/>
          <w:color w:val="000000"/>
          <w:kern w:val="0"/>
          <w:sz w:val="24"/>
          <w:lang w:val="zh-CN"/>
        </w:rPr>
      </w:pPr>
    </w:p>
    <w:p>
      <w:pPr>
        <w:shd w:val="clear" w:color="auto" w:fill="FFFFFF"/>
        <w:snapToGrid w:val="0"/>
        <w:spacing w:line="360" w:lineRule="auto"/>
        <w:ind w:firstLine="360" w:firstLineChars="150"/>
        <w:rPr>
          <w:rFonts w:ascii="宋体" w:hAnsi="宋体" w:cs="宋体"/>
          <w:color w:val="000000"/>
          <w:kern w:val="0"/>
          <w:sz w:val="24"/>
          <w:u w:val="single"/>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p>
    <w:p>
      <w:pPr>
        <w:shd w:val="clear" w:color="auto" w:fill="FFFFFF"/>
        <w:snapToGrid w:val="0"/>
        <w:spacing w:line="360" w:lineRule="auto"/>
        <w:ind w:firstLine="360" w:firstLineChars="150"/>
        <w:rPr>
          <w:rFonts w:ascii="宋体" w:hAnsi="宋体" w:cs="宋体"/>
          <w:color w:val="000000"/>
          <w:kern w:val="0"/>
          <w:sz w:val="24"/>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ascii="宋体" w:hAnsi="宋体" w:cs="宋体"/>
          <w:color w:val="000000"/>
          <w:kern w:val="0"/>
          <w:sz w:val="24"/>
          <w:lang w:val="zh-CN"/>
        </w:rPr>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 xml:space="preserve">日  </w:t>
      </w:r>
    </w:p>
    <w:p>
      <w:pPr>
        <w:shd w:val="clear" w:color="auto" w:fill="FFFFFF"/>
        <w:snapToGrid w:val="0"/>
        <w:spacing w:line="360" w:lineRule="auto"/>
        <w:rPr>
          <w:rFonts w:ascii="宋体" w:hAnsi="宋体" w:cs="宋体"/>
          <w:color w:val="000000"/>
          <w:sz w:val="24"/>
        </w:rPr>
      </w:pPr>
    </w:p>
    <w:p>
      <w:pPr>
        <w:spacing w:line="360" w:lineRule="auto"/>
        <w:rPr>
          <w:rFonts w:ascii="宋体" w:hAnsi="宋体"/>
          <w:color w:val="000000"/>
        </w:rPr>
      </w:pPr>
    </w:p>
    <w:p>
      <w:pPr>
        <w:pStyle w:val="88"/>
        <w:rPr>
          <w:color w:val="000000"/>
        </w:rPr>
      </w:pPr>
    </w:p>
    <w:p>
      <w:pPr>
        <w:pStyle w:val="88"/>
        <w:rPr>
          <w:color w:val="000000"/>
        </w:rPr>
      </w:pPr>
    </w:p>
    <w:p>
      <w:pPr>
        <w:pStyle w:val="88"/>
        <w:rPr>
          <w:color w:val="000000"/>
        </w:rPr>
      </w:pPr>
    </w:p>
    <w:p>
      <w:pPr>
        <w:pStyle w:val="88"/>
        <w:rPr>
          <w:color w:val="000000"/>
        </w:rPr>
      </w:pPr>
    </w:p>
    <w:p>
      <w:pPr>
        <w:pStyle w:val="88"/>
        <w:rPr>
          <w:color w:val="000000"/>
        </w:rPr>
      </w:pPr>
    </w:p>
    <w:p>
      <w:pPr>
        <w:pStyle w:val="88"/>
        <w:rPr>
          <w:color w:val="000000"/>
        </w:rPr>
      </w:pPr>
    </w:p>
    <w:p>
      <w:pPr>
        <w:pStyle w:val="88"/>
        <w:rPr>
          <w:color w:val="000000"/>
        </w:rPr>
      </w:pPr>
    </w:p>
    <w:p>
      <w:pPr>
        <w:pStyle w:val="88"/>
        <w:rPr>
          <w:color w:val="000000"/>
        </w:rPr>
      </w:pPr>
    </w:p>
    <w:p>
      <w:pPr>
        <w:pageBreakBefore/>
        <w:shd w:val="clear" w:color="auto" w:fill="FFFFFF"/>
        <w:snapToGrid w:val="0"/>
        <w:spacing w:line="360" w:lineRule="auto"/>
        <w:ind w:firstLine="482" w:firstLineChars="200"/>
        <w:jc w:val="center"/>
        <w:outlineLvl w:val="1"/>
        <w:rPr>
          <w:rFonts w:ascii="宋体" w:hAnsi="宋体" w:cs="宋体"/>
          <w:b/>
          <w:color w:val="000000"/>
          <w:sz w:val="24"/>
        </w:rPr>
      </w:pPr>
      <w:bookmarkStart w:id="419" w:name="_Toc15738"/>
      <w:bookmarkStart w:id="420" w:name="_Toc21444"/>
      <w:bookmarkStart w:id="421" w:name="_Toc18542"/>
      <w:bookmarkStart w:id="422" w:name="_Toc9239"/>
      <w:bookmarkStart w:id="423" w:name="_Toc233618992"/>
      <w:bookmarkStart w:id="424" w:name="_Toc7109"/>
      <w:r>
        <w:rPr>
          <w:rFonts w:hint="eastAsia" w:ascii="宋体" w:hAnsi="宋体" w:cs="宋体"/>
          <w:b/>
          <w:bCs/>
          <w:color w:val="000000"/>
          <w:sz w:val="24"/>
        </w:rPr>
        <w:t>三、报价明细清单</w:t>
      </w:r>
      <w:bookmarkEnd w:id="419"/>
      <w:bookmarkEnd w:id="420"/>
      <w:bookmarkEnd w:id="421"/>
      <w:bookmarkEnd w:id="422"/>
    </w:p>
    <w:p>
      <w:pPr>
        <w:pStyle w:val="88"/>
        <w:rPr>
          <w:rFonts w:cs="宋体"/>
          <w:b/>
          <w:bCs/>
          <w:color w:val="000000"/>
        </w:rPr>
      </w:pPr>
    </w:p>
    <w:p>
      <w:pPr>
        <w:pStyle w:val="88"/>
        <w:rPr>
          <w:rFonts w:cs="宋体"/>
          <w:color w:val="000000"/>
          <w:lang w:val="en-US"/>
        </w:rPr>
      </w:pPr>
      <w:r>
        <w:rPr>
          <w:rFonts w:hint="eastAsia" w:cs="宋体"/>
          <w:color w:val="000000"/>
        </w:rPr>
        <w:t>项目名称：</w:t>
      </w:r>
      <w:r>
        <w:rPr>
          <w:rFonts w:hint="eastAsia" w:cs="宋体"/>
          <w:color w:val="000000"/>
          <w:lang w:val="en-US"/>
        </w:rPr>
        <w:t xml:space="preserve">                                     招标编号：</w:t>
      </w:r>
    </w:p>
    <w:tbl>
      <w:tblPr>
        <w:tblStyle w:val="78"/>
        <w:tblW w:w="8083"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162"/>
        <w:gridCol w:w="2082"/>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902" w:type="dxa"/>
            <w:tcBorders>
              <w:top w:val="single" w:color="auto" w:sz="8" w:space="0"/>
              <w:left w:val="single" w:color="auto" w:sz="8" w:space="0"/>
              <w:bottom w:val="single" w:color="auto" w:sz="2"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序号</w:t>
            </w:r>
          </w:p>
        </w:tc>
        <w:tc>
          <w:tcPr>
            <w:tcW w:w="3413" w:type="dxa"/>
            <w:gridSpan w:val="3"/>
            <w:tcBorders>
              <w:top w:val="single" w:color="auto" w:sz="8" w:space="0"/>
              <w:left w:val="single" w:color="auto" w:sz="2" w:space="0"/>
              <w:bottom w:val="single" w:color="auto" w:sz="2"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名称</w:t>
            </w:r>
          </w:p>
        </w:tc>
        <w:tc>
          <w:tcPr>
            <w:tcW w:w="2082" w:type="dxa"/>
            <w:tcBorders>
              <w:top w:val="single" w:color="auto" w:sz="8" w:space="0"/>
              <w:left w:val="single" w:color="auto" w:sz="2" w:space="0"/>
              <w:bottom w:val="single" w:color="auto" w:sz="2" w:space="0"/>
              <w:right w:val="single" w:color="auto" w:sz="4"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价格</w:t>
            </w:r>
          </w:p>
        </w:tc>
        <w:tc>
          <w:tcPr>
            <w:tcW w:w="1686" w:type="dxa"/>
            <w:tcBorders>
              <w:top w:val="single" w:color="auto" w:sz="8" w:space="0"/>
              <w:left w:val="single" w:color="auto" w:sz="4" w:space="0"/>
              <w:bottom w:val="single" w:color="auto" w:sz="2" w:space="0"/>
              <w:right w:val="single" w:color="auto" w:sz="8"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1</w:t>
            </w:r>
          </w:p>
        </w:tc>
        <w:tc>
          <w:tcPr>
            <w:tcW w:w="3413" w:type="dxa"/>
            <w:gridSpan w:val="3"/>
            <w:tcBorders>
              <w:top w:val="single" w:color="auto" w:sz="2" w:space="0"/>
              <w:left w:val="single" w:color="auto" w:sz="2" w:space="0"/>
              <w:bottom w:val="single" w:color="auto" w:sz="4" w:space="0"/>
              <w:right w:val="single" w:color="auto" w:sz="2" w:space="0"/>
            </w:tcBorders>
          </w:tcPr>
          <w:p>
            <w:pPr>
              <w:snapToGrid w:val="0"/>
              <w:spacing w:line="360" w:lineRule="auto"/>
              <w:rPr>
                <w:rFonts w:ascii="宋体" w:hAnsi="宋体" w:cs="宋体"/>
                <w:b/>
                <w:color w:val="000000"/>
                <w:sz w:val="24"/>
                <w:szCs w:val="21"/>
              </w:rPr>
            </w:pPr>
          </w:p>
        </w:tc>
        <w:tc>
          <w:tcPr>
            <w:tcW w:w="2082" w:type="dxa"/>
            <w:tcBorders>
              <w:top w:val="single" w:color="auto" w:sz="2"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szCs w:val="21"/>
              </w:rPr>
            </w:pPr>
          </w:p>
        </w:tc>
        <w:tc>
          <w:tcPr>
            <w:tcW w:w="1686" w:type="dxa"/>
            <w:tcBorders>
              <w:top w:val="single" w:color="auto" w:sz="2"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2</w:t>
            </w:r>
          </w:p>
        </w:tc>
        <w:tc>
          <w:tcPr>
            <w:tcW w:w="3413" w:type="dxa"/>
            <w:gridSpan w:val="3"/>
            <w:tcBorders>
              <w:top w:val="single" w:color="auto" w:sz="4" w:space="0"/>
              <w:left w:val="single" w:color="auto" w:sz="2" w:space="0"/>
              <w:bottom w:val="single" w:color="auto" w:sz="4" w:space="0"/>
              <w:right w:val="single" w:color="auto" w:sz="2" w:space="0"/>
            </w:tcBorders>
          </w:tcPr>
          <w:p>
            <w:pPr>
              <w:snapToGrid w:val="0"/>
              <w:spacing w:line="360" w:lineRule="auto"/>
              <w:rPr>
                <w:rFonts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3</w:t>
            </w:r>
          </w:p>
        </w:tc>
        <w:tc>
          <w:tcPr>
            <w:tcW w:w="3413" w:type="dxa"/>
            <w:gridSpan w:val="3"/>
            <w:tcBorders>
              <w:top w:val="single" w:color="auto" w:sz="4" w:space="0"/>
              <w:left w:val="single" w:color="auto" w:sz="2" w:space="0"/>
              <w:bottom w:val="single" w:color="auto" w:sz="4" w:space="0"/>
              <w:right w:val="single" w:color="auto" w:sz="2" w:space="0"/>
            </w:tcBorders>
          </w:tcPr>
          <w:p>
            <w:pPr>
              <w:snapToGrid w:val="0"/>
              <w:spacing w:line="360" w:lineRule="auto"/>
              <w:rPr>
                <w:rFonts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4</w:t>
            </w:r>
          </w:p>
        </w:tc>
        <w:tc>
          <w:tcPr>
            <w:tcW w:w="3413" w:type="dxa"/>
            <w:gridSpan w:val="3"/>
            <w:tcBorders>
              <w:top w:val="single" w:color="auto" w:sz="4" w:space="0"/>
              <w:left w:val="single" w:color="auto" w:sz="2" w:space="0"/>
              <w:bottom w:val="single" w:color="auto" w:sz="4" w:space="0"/>
              <w:right w:val="single" w:color="auto" w:sz="2" w:space="0"/>
            </w:tcBorders>
          </w:tcPr>
          <w:p>
            <w:pPr>
              <w:snapToGrid w:val="0"/>
              <w:spacing w:line="360" w:lineRule="auto"/>
              <w:rPr>
                <w:rFonts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5</w:t>
            </w:r>
          </w:p>
        </w:tc>
        <w:tc>
          <w:tcPr>
            <w:tcW w:w="3413" w:type="dxa"/>
            <w:gridSpan w:val="3"/>
            <w:tcBorders>
              <w:top w:val="single" w:color="auto" w:sz="4" w:space="0"/>
              <w:left w:val="single" w:color="auto" w:sz="2" w:space="0"/>
              <w:bottom w:val="single" w:color="auto" w:sz="4" w:space="0"/>
              <w:right w:val="single" w:color="auto" w:sz="2" w:space="0"/>
            </w:tcBorders>
          </w:tcPr>
          <w:p>
            <w:pPr>
              <w:snapToGrid w:val="0"/>
              <w:spacing w:line="360" w:lineRule="auto"/>
              <w:rPr>
                <w:rFonts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right w:val="single" w:color="auto" w:sz="2" w:space="0"/>
            </w:tcBorders>
            <w:vAlign w:val="center"/>
          </w:tcPr>
          <w:p>
            <w:pPr>
              <w:snapToGrid w:val="0"/>
              <w:spacing w:line="360" w:lineRule="auto"/>
              <w:jc w:val="center"/>
              <w:rPr>
                <w:rFonts w:ascii="宋体" w:hAnsi="宋体" w:cs="宋体"/>
                <w:color w:val="000000"/>
                <w:sz w:val="24"/>
                <w:szCs w:val="21"/>
              </w:rPr>
            </w:pPr>
          </w:p>
        </w:tc>
        <w:tc>
          <w:tcPr>
            <w:tcW w:w="3413" w:type="dxa"/>
            <w:gridSpan w:val="3"/>
            <w:tcBorders>
              <w:top w:val="single" w:color="auto" w:sz="4" w:space="0"/>
              <w:left w:val="single" w:color="auto" w:sz="2" w:space="0"/>
              <w:bottom w:val="single" w:color="auto" w:sz="4" w:space="0"/>
              <w:right w:val="single" w:color="auto" w:sz="2" w:space="0"/>
            </w:tcBorders>
            <w:vAlign w:val="center"/>
          </w:tcPr>
          <w:p>
            <w:pPr>
              <w:tabs>
                <w:tab w:val="left" w:pos="6135"/>
              </w:tabs>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w:t>
            </w: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总计</w:t>
            </w:r>
          </w:p>
        </w:tc>
        <w:tc>
          <w:tcPr>
            <w:tcW w:w="1436" w:type="dxa"/>
            <w:tcBorders>
              <w:top w:val="single" w:color="auto" w:sz="2" w:space="0"/>
              <w:left w:val="single" w:color="auto" w:sz="4" w:space="0"/>
              <w:bottom w:val="single" w:color="auto" w:sz="2"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大写</w:t>
            </w:r>
          </w:p>
        </w:tc>
        <w:tc>
          <w:tcPr>
            <w:tcW w:w="4930" w:type="dxa"/>
            <w:gridSpan w:val="3"/>
            <w:tcBorders>
              <w:top w:val="single" w:color="auto" w:sz="2" w:space="0"/>
              <w:left w:val="single" w:color="auto" w:sz="4" w:space="0"/>
              <w:bottom w:val="single" w:color="auto" w:sz="2" w:space="0"/>
              <w:right w:val="single" w:color="auto" w:sz="8" w:space="0"/>
            </w:tcBorders>
            <w:vAlign w:val="center"/>
          </w:tcPr>
          <w:p>
            <w:pPr>
              <w:snapToGrid w:val="0"/>
              <w:spacing w:line="360" w:lineRule="auto"/>
              <w:jc w:val="center"/>
              <w:rPr>
                <w:rFonts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vAlign w:val="center"/>
          </w:tcPr>
          <w:p>
            <w:pPr>
              <w:widowControl/>
              <w:snapToGrid w:val="0"/>
              <w:spacing w:line="360" w:lineRule="auto"/>
              <w:jc w:val="center"/>
              <w:rPr>
                <w:rFonts w:ascii="宋体" w:hAnsi="宋体" w:cs="宋体"/>
                <w:color w:val="000000"/>
                <w:sz w:val="24"/>
                <w:szCs w:val="21"/>
              </w:rPr>
            </w:pPr>
          </w:p>
        </w:tc>
        <w:tc>
          <w:tcPr>
            <w:tcW w:w="1436" w:type="dxa"/>
            <w:tcBorders>
              <w:top w:val="single" w:color="auto" w:sz="2" w:space="0"/>
              <w:left w:val="single" w:color="auto" w:sz="4" w:space="0"/>
              <w:bottom w:val="single" w:color="auto" w:sz="8" w:space="0"/>
              <w:right w:val="single" w:color="auto" w:sz="2" w:space="0"/>
            </w:tcBorders>
            <w:vAlign w:val="center"/>
          </w:tcPr>
          <w:p>
            <w:pPr>
              <w:snapToGrid w:val="0"/>
              <w:spacing w:line="360" w:lineRule="auto"/>
              <w:jc w:val="center"/>
              <w:rPr>
                <w:rFonts w:ascii="宋体" w:hAnsi="宋体" w:cs="宋体"/>
                <w:color w:val="000000"/>
                <w:sz w:val="24"/>
                <w:szCs w:val="21"/>
              </w:rPr>
            </w:pPr>
            <w:r>
              <w:rPr>
                <w:rFonts w:hint="eastAsia" w:ascii="宋体" w:hAnsi="宋体" w:cs="宋体"/>
                <w:color w:val="000000"/>
                <w:sz w:val="24"/>
                <w:szCs w:val="21"/>
              </w:rPr>
              <w:t>小写</w:t>
            </w:r>
          </w:p>
        </w:tc>
        <w:tc>
          <w:tcPr>
            <w:tcW w:w="4930" w:type="dxa"/>
            <w:gridSpan w:val="3"/>
            <w:tcBorders>
              <w:top w:val="single" w:color="auto" w:sz="2" w:space="0"/>
              <w:left w:val="single" w:color="auto" w:sz="4" w:space="0"/>
              <w:bottom w:val="single" w:color="auto" w:sz="8" w:space="0"/>
              <w:right w:val="single" w:color="auto" w:sz="8" w:space="0"/>
            </w:tcBorders>
            <w:vAlign w:val="center"/>
          </w:tcPr>
          <w:p>
            <w:pPr>
              <w:snapToGrid w:val="0"/>
              <w:spacing w:line="360" w:lineRule="auto"/>
              <w:jc w:val="center"/>
              <w:rPr>
                <w:rFonts w:ascii="宋体" w:hAnsi="宋体" w:cs="宋体"/>
                <w:color w:val="000000"/>
                <w:sz w:val="24"/>
                <w:szCs w:val="21"/>
              </w:rPr>
            </w:pPr>
          </w:p>
        </w:tc>
      </w:tr>
    </w:tbl>
    <w:p>
      <w:pPr>
        <w:pStyle w:val="40"/>
        <w:snapToGrid w:val="0"/>
        <w:spacing w:line="360" w:lineRule="auto"/>
        <w:ind w:firstLine="480" w:firstLineChars="200"/>
        <w:rPr>
          <w:rFonts w:ascii="宋体" w:hAnsi="宋体" w:eastAsia="宋体" w:cs="宋体"/>
          <w:color w:val="000000"/>
          <w:kern w:val="0"/>
          <w:sz w:val="24"/>
          <w:szCs w:val="24"/>
          <w:lang w:val="zh-CN"/>
        </w:rPr>
      </w:pPr>
    </w:p>
    <w:p>
      <w:pPr>
        <w:pStyle w:val="40"/>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kern w:val="0"/>
          <w:sz w:val="24"/>
          <w:szCs w:val="24"/>
          <w:lang w:val="zh-CN"/>
        </w:rPr>
        <w:t>注：</w:t>
      </w:r>
      <w:r>
        <w:rPr>
          <w:rFonts w:hint="eastAsia" w:ascii="宋体" w:hAnsi="宋体" w:eastAsia="宋体" w:cs="宋体"/>
          <w:color w:val="000000"/>
          <w:kern w:val="0"/>
          <w:sz w:val="24"/>
          <w:szCs w:val="24"/>
        </w:rPr>
        <w:t>1、</w:t>
      </w:r>
      <w:r>
        <w:rPr>
          <w:rFonts w:hint="eastAsia" w:ascii="宋体" w:hAnsi="宋体" w:eastAsia="宋体" w:cs="宋体"/>
          <w:color w:val="000000"/>
          <w:sz w:val="24"/>
          <w:szCs w:val="24"/>
        </w:rPr>
        <w:t>可根据具体情况调整报价明细清单格式，但应包括项目涉及的一切相关税费等费用。</w:t>
      </w:r>
    </w:p>
    <w:p>
      <w:pPr>
        <w:adjustRightInd w:val="0"/>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2、分项报价表中合计总价应与开标一览表中的各项相应报价相一致。</w:t>
      </w:r>
    </w:p>
    <w:p>
      <w:pPr>
        <w:adjustRightInd w:val="0"/>
        <w:snapToGrid w:val="0"/>
        <w:spacing w:line="360" w:lineRule="auto"/>
        <w:ind w:firstLine="480" w:firstLineChars="200"/>
        <w:rPr>
          <w:rFonts w:ascii="宋体" w:hAnsi="宋体" w:cs="宋体"/>
          <w:sz w:val="24"/>
        </w:rPr>
      </w:pPr>
      <w:r>
        <w:rPr>
          <w:rFonts w:hint="eastAsia" w:ascii="宋体" w:hAnsi="宋体" w:cs="宋体"/>
          <w:color w:val="000000"/>
          <w:kern w:val="0"/>
          <w:sz w:val="24"/>
        </w:rPr>
        <w:t>3、漏报视作包含在投标总价内。重大漏项的视为无效投标。</w:t>
      </w: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p>
    <w:p>
      <w:pPr>
        <w:shd w:val="clear" w:color="auto" w:fill="FFFFFF"/>
        <w:snapToGrid w:val="0"/>
        <w:spacing w:line="360" w:lineRule="auto"/>
        <w:ind w:firstLine="480" w:firstLineChars="200"/>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r>
        <w:rPr>
          <w:rFonts w:hint="eastAsia" w:ascii="宋体" w:hAnsi="宋体" w:cs="宋体"/>
          <w:color w:val="000000"/>
          <w:sz w:val="24"/>
        </w:rPr>
        <w:t xml:space="preserve">  </w:t>
      </w:r>
    </w:p>
    <w:p>
      <w:pPr>
        <w:pageBreakBefore/>
        <w:shd w:val="clear" w:color="auto" w:fill="FFFFFF"/>
        <w:snapToGrid w:val="0"/>
        <w:spacing w:line="360" w:lineRule="auto"/>
        <w:jc w:val="center"/>
        <w:rPr>
          <w:rFonts w:ascii="宋体" w:hAnsi="宋体" w:cs="宋体"/>
          <w:b/>
          <w:bCs/>
          <w:color w:val="000000"/>
          <w:sz w:val="28"/>
          <w:szCs w:val="28"/>
        </w:rPr>
        <w:sectPr>
          <w:pgSz w:w="11906" w:h="16838"/>
          <w:pgMar w:top="1134" w:right="1474" w:bottom="992" w:left="1474" w:header="851" w:footer="641" w:gutter="0"/>
          <w:cols w:space="720" w:num="1"/>
          <w:docGrid w:type="lines" w:linePitch="319" w:charSpace="0"/>
        </w:sectPr>
      </w:pPr>
    </w:p>
    <w:bookmarkEnd w:id="423"/>
    <w:bookmarkEnd w:id="424"/>
    <w:p>
      <w:pPr>
        <w:pageBreakBefore/>
        <w:shd w:val="clear" w:color="auto" w:fill="FFFFFF"/>
        <w:snapToGrid w:val="0"/>
        <w:spacing w:line="360" w:lineRule="auto"/>
        <w:jc w:val="center"/>
        <w:outlineLvl w:val="0"/>
        <w:rPr>
          <w:rFonts w:ascii="宋体" w:hAnsi="宋体" w:cs="宋体"/>
          <w:color w:val="000000"/>
          <w:sz w:val="28"/>
          <w:szCs w:val="28"/>
        </w:rPr>
      </w:pPr>
      <w:bookmarkStart w:id="425" w:name="_Toc1058"/>
      <w:bookmarkStart w:id="426" w:name="_Toc18838"/>
      <w:bookmarkStart w:id="427" w:name="_Toc28528"/>
      <w:bookmarkStart w:id="428" w:name="_Toc16221"/>
      <w:bookmarkStart w:id="429" w:name="_Toc7912"/>
      <w:r>
        <w:rPr>
          <w:rFonts w:hint="eastAsia" w:hAnsi="宋体" w:cs="宋体"/>
          <w:b/>
          <w:bCs/>
          <w:color w:val="000000"/>
          <w:sz w:val="24"/>
        </w:rPr>
        <w:t>附件：</w:t>
      </w:r>
      <w:r>
        <w:rPr>
          <w:rFonts w:hint="eastAsia" w:ascii="宋体" w:hAnsi="宋体" w:cs="宋体"/>
          <w:b/>
          <w:bCs/>
          <w:color w:val="000000"/>
          <w:sz w:val="28"/>
          <w:szCs w:val="28"/>
        </w:rPr>
        <w:t>四、中小企业声明函、监狱企业、残疾人福利性单位证明材料</w:t>
      </w:r>
      <w:bookmarkEnd w:id="425"/>
      <w:bookmarkEnd w:id="426"/>
      <w:bookmarkEnd w:id="427"/>
      <w:bookmarkEnd w:id="428"/>
    </w:p>
    <w:p>
      <w:pPr>
        <w:pStyle w:val="76"/>
        <w:rPr>
          <w:rFonts w:hAnsi="宋体" w:cs="宋体"/>
          <w:b/>
          <w:bCs/>
          <w:color w:val="000000"/>
          <w:lang w:val="en-US"/>
        </w:rPr>
      </w:pPr>
    </w:p>
    <w:p>
      <w:pPr>
        <w:widowControl/>
        <w:snapToGrid w:val="0"/>
        <w:spacing w:line="360" w:lineRule="auto"/>
        <w:ind w:firstLine="883" w:firstLineChars="200"/>
        <w:jc w:val="center"/>
        <w:rPr>
          <w:rFonts w:ascii="宋体" w:hAnsi="宋体" w:cs="宋体"/>
          <w:b/>
          <w:bCs/>
          <w:color w:val="000000"/>
          <w:kern w:val="0"/>
          <w:sz w:val="44"/>
          <w:szCs w:val="44"/>
        </w:rPr>
      </w:pPr>
      <w:r>
        <w:rPr>
          <w:rFonts w:hint="eastAsia" w:ascii="宋体" w:hAnsi="宋体" w:cs="宋体"/>
          <w:b/>
          <w:bCs/>
          <w:color w:val="000000"/>
          <w:kern w:val="0"/>
          <w:sz w:val="44"/>
          <w:szCs w:val="44"/>
        </w:rPr>
        <w:t>中小企业声明函（工程、服务）</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w:t>
      </w:r>
      <w:r>
        <w:rPr>
          <w:rFonts w:hint="eastAsia" w:ascii="宋体" w:hAnsi="宋体" w:cs="宋体"/>
          <w:b/>
          <w:bCs/>
          <w:sz w:val="24"/>
        </w:rPr>
        <w:t xml:space="preserve">本公司参加 </w:t>
      </w:r>
      <w:r>
        <w:rPr>
          <w:rFonts w:hint="eastAsia" w:ascii="宋体" w:hAnsi="宋体" w:cs="宋体"/>
          <w:b/>
          <w:bCs/>
          <w:sz w:val="24"/>
          <w:u w:val="single"/>
        </w:rPr>
        <w:t xml:space="preserve"> </w:t>
      </w:r>
      <w:r>
        <w:rPr>
          <w:rFonts w:hint="eastAsia" w:ascii="宋体" w:hAnsi="宋体" w:cs="宋体"/>
          <w:b/>
          <w:bCs/>
          <w:i/>
          <w:iCs/>
          <w:sz w:val="24"/>
          <w:u w:val="single"/>
        </w:rPr>
        <w:t xml:space="preserve">  （单位名称） </w:t>
      </w:r>
      <w:r>
        <w:rPr>
          <w:rFonts w:hint="eastAsia" w:ascii="宋体" w:hAnsi="宋体" w:cs="宋体"/>
          <w:b/>
          <w:bCs/>
          <w:sz w:val="24"/>
          <w:u w:val="single"/>
        </w:rPr>
        <w:t xml:space="preserve">   </w:t>
      </w:r>
      <w:r>
        <w:rPr>
          <w:rFonts w:hint="eastAsia" w:ascii="宋体" w:hAnsi="宋体" w:cs="宋体"/>
          <w:b/>
          <w:bCs/>
          <w:sz w:val="24"/>
        </w:rPr>
        <w:t>的</w:t>
      </w:r>
      <w:r>
        <w:rPr>
          <w:rFonts w:hint="eastAsia" w:ascii="宋体" w:hAnsi="宋体" w:cs="宋体"/>
          <w:b/>
          <w:bCs/>
          <w:sz w:val="24"/>
          <w:u w:val="single"/>
        </w:rPr>
        <w:t xml:space="preserve">   </w:t>
      </w:r>
      <w:r>
        <w:rPr>
          <w:rFonts w:hint="eastAsia" w:ascii="宋体" w:hAnsi="宋体" w:cs="宋体"/>
          <w:b/>
          <w:bCs/>
          <w:i/>
          <w:iCs/>
          <w:sz w:val="24"/>
          <w:u w:val="single"/>
        </w:rPr>
        <w:t xml:space="preserve"> （项目名称）</w:t>
      </w:r>
      <w:r>
        <w:rPr>
          <w:rFonts w:hint="eastAsia" w:ascii="宋体" w:hAnsi="宋体" w:cs="宋体"/>
          <w:b/>
          <w:bCs/>
          <w:sz w:val="24"/>
          <w:u w:val="single"/>
        </w:rPr>
        <w:t xml:space="preserve">  </w:t>
      </w:r>
      <w:r>
        <w:rPr>
          <w:rFonts w:hint="eastAsia" w:ascii="宋体" w:hAnsi="宋体" w:cs="宋体"/>
          <w:b/>
          <w:bCs/>
          <w:sz w:val="24"/>
        </w:rPr>
        <w:t>采购活动</w:t>
      </w:r>
      <w:r>
        <w:rPr>
          <w:rFonts w:hint="eastAsia" w:ascii="宋体" w:hAnsi="宋体" w:cs="宋体"/>
          <w:sz w:val="24"/>
        </w:rPr>
        <w:t>，工程的施工单位全部为符合政策要求的中小企业（或者：服务全部由符合政策要求的中小企业承接）。相关企业（含联合 体中的中小企业、签订分包意向协议的中小企业）的具体情况如下：</w:t>
      </w:r>
    </w:p>
    <w:p>
      <w:pPr>
        <w:numPr>
          <w:ilvl w:val="0"/>
          <w:numId w:val="19"/>
        </w:numPr>
        <w:spacing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i/>
          <w:iCs/>
          <w:sz w:val="24"/>
          <w:u w:val="single"/>
        </w:rPr>
        <w:t xml:space="preserve">（标的名称） </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sz w:val="24"/>
          <w:u w:val="single"/>
        </w:rPr>
        <w:t xml:space="preserve">   （采购文件中明确的所属行业）   </w:t>
      </w:r>
      <w:r>
        <w:rPr>
          <w:rFonts w:hint="eastAsia" w:ascii="宋体" w:hAnsi="宋体" w:cs="宋体"/>
          <w:sz w:val="24"/>
        </w:rPr>
        <w:t>；承建（承接）企业为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2" w:firstLineChars="200"/>
        <w:rPr>
          <w:rFonts w:ascii="宋体" w:hAnsi="宋体" w:cs="宋体"/>
          <w:b/>
          <w:bCs/>
          <w:sz w:val="24"/>
        </w:rPr>
      </w:pPr>
      <w:r>
        <w:rPr>
          <w:rFonts w:hint="eastAsia" w:ascii="宋体" w:hAnsi="宋体" w:cs="宋体"/>
          <w:b/>
          <w:bCs/>
          <w:sz w:val="24"/>
        </w:rPr>
        <w:t>本企业对上述声明内容的真实性负责。如有虚假，将依法承担相应责任。</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企业名称（盖章）：                     日期：2021年   月   日 </w:t>
      </w:r>
    </w:p>
    <w:p>
      <w:pPr>
        <w:spacing w:line="360" w:lineRule="auto"/>
        <w:rPr>
          <w:rFonts w:ascii="宋体" w:hAnsi="宋体" w:cs="宋体"/>
          <w:sz w:val="24"/>
        </w:rPr>
      </w:pPr>
    </w:p>
    <w:p>
      <w:pPr>
        <w:pStyle w:val="19"/>
        <w:rPr>
          <w:rFonts w:ascii="宋体" w:hAnsi="宋体" w:eastAsia="宋体" w:cs="宋体"/>
        </w:rPr>
      </w:pPr>
    </w:p>
    <w:p/>
    <w:p>
      <w:pPr>
        <w:snapToGrid w:val="0"/>
        <w:ind w:firstLine="422" w:firstLineChars="200"/>
        <w:rPr>
          <w:rFonts w:ascii="宋体" w:hAnsi="宋体" w:cs="宋体"/>
          <w:b/>
          <w:bCs/>
          <w:szCs w:val="21"/>
        </w:rPr>
      </w:pPr>
      <w:r>
        <w:rPr>
          <w:rFonts w:hint="eastAsia" w:ascii="宋体" w:hAnsi="宋体" w:cs="宋体"/>
          <w:b/>
          <w:bCs/>
          <w:szCs w:val="21"/>
        </w:rPr>
        <w:t>填写说明：</w:t>
      </w:r>
    </w:p>
    <w:p>
      <w:pPr>
        <w:snapToGrid w:val="0"/>
        <w:spacing w:line="360" w:lineRule="auto"/>
        <w:ind w:firstLine="422" w:firstLineChars="200"/>
        <w:rPr>
          <w:rFonts w:ascii="宋体" w:hAnsi="宋体" w:cs="宋体"/>
          <w:b/>
          <w:bCs/>
          <w:szCs w:val="21"/>
        </w:rPr>
      </w:pPr>
      <w:r>
        <w:rPr>
          <w:rFonts w:hint="eastAsia" w:ascii="宋体" w:hAnsi="宋体" w:cs="宋体"/>
          <w:b/>
          <w:bCs/>
          <w:szCs w:val="21"/>
        </w:rPr>
        <w:t>1）投标人为小型、微型企业的提供此函《中小企业声明函》；上述证明材料提供不齐全或错误的，不能享受价格扣除。</w:t>
      </w:r>
    </w:p>
    <w:p>
      <w:pPr>
        <w:snapToGrid w:val="0"/>
        <w:spacing w:line="360" w:lineRule="auto"/>
        <w:ind w:firstLine="422" w:firstLineChars="200"/>
        <w:rPr>
          <w:rFonts w:ascii="宋体" w:hAnsi="宋体" w:cs="宋体"/>
          <w:b/>
          <w:bCs/>
          <w:szCs w:val="21"/>
        </w:rPr>
      </w:pPr>
      <w:r>
        <w:rPr>
          <w:rFonts w:hint="eastAsia" w:ascii="宋体" w:hAnsi="宋体" w:cs="宋体"/>
          <w:b/>
          <w:bCs/>
          <w:szCs w:val="21"/>
        </w:rPr>
        <w:t>2）中型企业不享受价格扣除，小型、微型企业的行业类别由评审专家结合投标人出具的证明材料认定；经认定不符合小型、微型企业标准的，不享受价格扣除；</w:t>
      </w:r>
    </w:p>
    <w:p>
      <w:pPr>
        <w:pStyle w:val="88"/>
        <w:rPr>
          <w:rFonts w:cs="宋体"/>
          <w:b/>
          <w:bCs/>
          <w:sz w:val="21"/>
          <w:szCs w:val="21"/>
        </w:rPr>
      </w:pPr>
    </w:p>
    <w:p>
      <w:pPr>
        <w:pStyle w:val="88"/>
        <w:rPr>
          <w:rFonts w:cs="宋体"/>
          <w:b/>
          <w:bCs/>
          <w:sz w:val="21"/>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hint="eastAsia" w:ascii="宋体" w:hAnsi="宋体" w:cs="宋体"/>
          <w:b/>
          <w:bCs/>
          <w:szCs w:val="21"/>
        </w:rPr>
        <w:sectPr>
          <w:pgSz w:w="11906" w:h="16838"/>
          <w:pgMar w:top="993" w:right="1474" w:bottom="1134" w:left="1474" w:header="851" w:footer="641" w:gutter="0"/>
          <w:cols w:space="720" w:num="1"/>
          <w:docGrid w:type="lines" w:linePitch="315" w:charSpace="0"/>
        </w:sectPr>
      </w:pPr>
      <w:r>
        <w:rPr>
          <w:rFonts w:hint="eastAsia" w:ascii="宋体" w:hAnsi="宋体" w:cs="宋体"/>
          <w:b/>
          <w:bCs/>
          <w:szCs w:val="21"/>
        </w:rPr>
        <w:t>注：从业人员、营业收入、资产总额填报上一年度数据，无上一年度数据的新成立企业可不填报。</w:t>
      </w:r>
    </w:p>
    <w:tbl>
      <w:tblPr>
        <w:tblStyle w:val="78"/>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宋体" w:hAnsi="宋体" w:cs="宋体"/>
                <w:b/>
                <w:sz w:val="32"/>
                <w:szCs w:val="32"/>
              </w:rPr>
            </w:pPr>
            <w:r>
              <w:rPr>
                <w:rFonts w:hint="eastAsia" w:ascii="宋体" w:hAnsi="宋体" w:cs="宋体"/>
                <w:b/>
                <w:kern w:val="0"/>
                <w:sz w:val="32"/>
                <w:szCs w:val="32"/>
                <w:lang w:bidi="ar"/>
              </w:rPr>
              <w:t>中小微行业划型标准规定</w:t>
            </w:r>
            <w:r>
              <w:rPr>
                <w:rFonts w:hint="eastAsia" w:ascii="宋体" w:hAnsi="宋体" w:cs="宋体"/>
                <w:b/>
                <w:kern w:val="0"/>
                <w:sz w:val="24"/>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rPr>
            </w:pPr>
            <w:r>
              <w:rPr>
                <w:rFonts w:hint="eastAsia" w:ascii="宋体" w:hAnsi="宋体" w:cs="宋体"/>
                <w:b/>
                <w:kern w:val="0"/>
                <w:sz w:val="24"/>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宋体" w:hAnsi="宋体" w:cs="宋体"/>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宋体" w:hAnsi="宋体" w:cs="宋体"/>
                <w:sz w:val="20"/>
              </w:rPr>
            </w:pPr>
            <w:r>
              <w:rPr>
                <w:rFonts w:hint="eastAsia" w:ascii="宋体" w:hAnsi="宋体" w:cs="宋体"/>
                <w:kern w:val="0"/>
                <w:sz w:val="20"/>
                <w:lang w:bidi="ar"/>
              </w:rPr>
              <w:t>说明　1、企业类型的划分以统计部门的统计数据为依据。2、个体工商户和本规定以外的行业，参照本规定进行划型。3、本规定的中型企业标准上限即为大型企业标准的下限。</w:t>
            </w:r>
          </w:p>
        </w:tc>
      </w:tr>
    </w:tbl>
    <w:p>
      <w:pPr>
        <w:pStyle w:val="88"/>
        <w:sectPr>
          <w:pgSz w:w="16838" w:h="11906" w:orient="landscape"/>
          <w:pgMar w:top="1474" w:right="993" w:bottom="1474" w:left="1134" w:header="851" w:footer="641" w:gutter="0"/>
          <w:cols w:space="720" w:num="1"/>
          <w:docGrid w:type="lines" w:linePitch="315" w:charSpace="0"/>
        </w:sectPr>
      </w:pPr>
    </w:p>
    <w:p>
      <w:pPr>
        <w:pStyle w:val="88"/>
      </w:pPr>
    </w:p>
    <w:p>
      <w:pPr>
        <w:widowControl/>
        <w:snapToGrid w:val="0"/>
        <w:spacing w:line="360" w:lineRule="auto"/>
        <w:rPr>
          <w:rFonts w:ascii="宋体" w:hAnsi="宋体" w:cs="宋体"/>
          <w:b/>
          <w:color w:val="000000"/>
          <w:kern w:val="0"/>
          <w:sz w:val="24"/>
        </w:rPr>
      </w:pPr>
    </w:p>
    <w:p>
      <w:pPr>
        <w:widowControl/>
        <w:snapToGrid w:val="0"/>
        <w:spacing w:line="360" w:lineRule="auto"/>
        <w:jc w:val="center"/>
        <w:rPr>
          <w:rFonts w:ascii="宋体" w:hAnsi="宋体" w:cs="宋体"/>
          <w:b/>
          <w:color w:val="000000"/>
          <w:kern w:val="0"/>
          <w:sz w:val="24"/>
        </w:rPr>
      </w:pPr>
      <w:bookmarkStart w:id="430" w:name="_Toc12756"/>
    </w:p>
    <w:p>
      <w:pPr>
        <w:widowControl/>
        <w:snapToGrid w:val="0"/>
        <w:spacing w:line="360" w:lineRule="auto"/>
        <w:jc w:val="center"/>
        <w:outlineLvl w:val="1"/>
        <w:rPr>
          <w:rFonts w:ascii="宋体" w:hAnsi="宋体" w:cs="宋体"/>
          <w:b/>
          <w:color w:val="000000"/>
          <w:kern w:val="0"/>
          <w:sz w:val="24"/>
        </w:rPr>
      </w:pPr>
      <w:bookmarkStart w:id="431" w:name="_Toc17448"/>
      <w:bookmarkStart w:id="432" w:name="_Toc14059"/>
      <w:bookmarkStart w:id="433" w:name="_Toc5318"/>
      <w:r>
        <w:rPr>
          <w:rFonts w:hint="eastAsia" w:ascii="宋体" w:hAnsi="宋体" w:cs="宋体"/>
          <w:b/>
          <w:color w:val="000000"/>
          <w:kern w:val="0"/>
          <w:sz w:val="24"/>
        </w:rPr>
        <w:t>监狱企业声明函</w:t>
      </w:r>
      <w:bookmarkEnd w:id="430"/>
      <w:bookmarkEnd w:id="431"/>
      <w:bookmarkEnd w:id="432"/>
      <w:bookmarkEnd w:id="433"/>
    </w:p>
    <w:p>
      <w:pPr>
        <w:widowControl/>
        <w:snapToGrid w:val="0"/>
        <w:spacing w:line="360" w:lineRule="auto"/>
        <w:ind w:firstLine="480" w:firstLineChars="200"/>
        <w:jc w:val="center"/>
        <w:rPr>
          <w:rFonts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投标人名称（盖章）：                     日期：    年   月   日</w:t>
      </w:r>
    </w:p>
    <w:p>
      <w:pPr>
        <w:widowControl/>
        <w:snapToGrid w:val="0"/>
        <w:spacing w:line="360" w:lineRule="auto"/>
        <w:ind w:firstLine="506" w:firstLineChars="200"/>
        <w:jc w:val="left"/>
        <w:rPr>
          <w:rFonts w:ascii="宋体" w:hAnsi="宋体" w:cs="宋体"/>
          <w:b/>
          <w:color w:val="000000"/>
          <w:spacing w:val="6"/>
          <w:sz w:val="24"/>
        </w:rPr>
      </w:pPr>
    </w:p>
    <w:p>
      <w:pPr>
        <w:widowControl/>
        <w:snapToGrid w:val="0"/>
        <w:spacing w:line="360" w:lineRule="auto"/>
        <w:ind w:firstLine="506" w:firstLineChars="200"/>
        <w:jc w:val="center"/>
        <w:rPr>
          <w:rFonts w:ascii="宋体" w:hAnsi="宋体" w:cs="宋体"/>
          <w:b/>
          <w:color w:val="000000"/>
          <w:spacing w:val="6"/>
          <w:sz w:val="24"/>
        </w:rPr>
      </w:pPr>
      <w:r>
        <w:rPr>
          <w:rFonts w:hint="eastAsia" w:ascii="宋体" w:hAnsi="宋体" w:cs="宋体"/>
          <w:b/>
          <w:color w:val="000000"/>
          <w:spacing w:val="6"/>
          <w:sz w:val="24"/>
        </w:rPr>
        <w:t>残疾人福利性单位声明函</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360" w:lineRule="auto"/>
        <w:ind w:firstLine="480" w:firstLineChars="200"/>
        <w:rPr>
          <w:rFonts w:ascii="宋体" w:hAnsi="宋体" w:cs="宋体"/>
          <w:color w:val="00000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投标人名称（盖章）：                        日期：    年   月   日</w:t>
      </w:r>
    </w:p>
    <w:p>
      <w:pPr>
        <w:pStyle w:val="211"/>
        <w:snapToGrid w:val="0"/>
        <w:spacing w:line="360" w:lineRule="auto"/>
        <w:ind w:left="360" w:firstLine="0" w:firstLineChars="0"/>
        <w:rPr>
          <w:rFonts w:ascii="宋体" w:hAnsi="宋体" w:cs="宋体"/>
          <w:color w:val="000000"/>
          <w:sz w:val="24"/>
        </w:rPr>
      </w:pPr>
    </w:p>
    <w:p>
      <w:pPr>
        <w:pStyle w:val="211"/>
        <w:snapToGrid w:val="0"/>
        <w:spacing w:line="360" w:lineRule="auto"/>
        <w:ind w:left="360" w:firstLine="0" w:firstLineChars="0"/>
        <w:rPr>
          <w:rFonts w:ascii="宋体" w:hAnsi="宋体" w:cs="宋体"/>
          <w:color w:val="000000"/>
          <w:sz w:val="24"/>
        </w:rPr>
      </w:pPr>
    </w:p>
    <w:p>
      <w:pPr>
        <w:pStyle w:val="211"/>
        <w:snapToGrid w:val="0"/>
        <w:spacing w:line="360" w:lineRule="auto"/>
        <w:ind w:left="360" w:firstLine="0" w:firstLineChars="0"/>
        <w:rPr>
          <w:rFonts w:ascii="宋体" w:hAnsi="宋体" w:cs="宋体"/>
          <w:color w:val="000000"/>
          <w:sz w:val="24"/>
        </w:rPr>
      </w:pPr>
    </w:p>
    <w:p>
      <w:pPr>
        <w:pStyle w:val="211"/>
        <w:snapToGrid w:val="0"/>
        <w:spacing w:line="360" w:lineRule="auto"/>
        <w:ind w:left="360" w:firstLine="0" w:firstLineChars="0"/>
        <w:rPr>
          <w:rFonts w:ascii="宋体" w:hAnsi="宋体" w:cs="宋体"/>
          <w:color w:val="000000"/>
          <w:sz w:val="24"/>
        </w:rPr>
      </w:pPr>
    </w:p>
    <w:p>
      <w:pPr>
        <w:pStyle w:val="211"/>
        <w:snapToGrid w:val="0"/>
        <w:spacing w:line="360" w:lineRule="auto"/>
        <w:ind w:left="360" w:firstLine="0" w:firstLineChars="0"/>
        <w:rPr>
          <w:rFonts w:ascii="宋体" w:hAnsi="宋体" w:cs="宋体"/>
          <w:b/>
          <w:bCs/>
          <w:sz w:val="24"/>
        </w:rPr>
      </w:pPr>
      <w:r>
        <w:rPr>
          <w:rFonts w:hint="eastAsia" w:ascii="宋体" w:hAnsi="宋体" w:cs="宋体"/>
          <w:b/>
          <w:bCs/>
          <w:sz w:val="24"/>
        </w:rPr>
        <w:t>扶持政策说明：</w:t>
      </w:r>
    </w:p>
    <w:p>
      <w:pPr>
        <w:numPr>
          <w:ilvl w:val="0"/>
          <w:numId w:val="20"/>
        </w:numPr>
        <w:snapToGrid w:val="0"/>
        <w:spacing w:line="360" w:lineRule="auto"/>
        <w:ind w:firstLine="480" w:firstLineChars="200"/>
        <w:rPr>
          <w:rFonts w:ascii="宋体" w:hAnsi="宋体" w:cs="宋体"/>
          <w:sz w:val="24"/>
        </w:rPr>
      </w:pPr>
      <w:r>
        <w:rPr>
          <w:rFonts w:hint="eastAsia" w:ascii="宋体" w:hAnsi="宋体" w:cs="宋体"/>
          <w:sz w:val="24"/>
        </w:rPr>
        <w:t>监狱企业视同小微企业，参加本项目投标的，享受小微企业同等的价格扣除。【注：提供《监狱企业声明函》及其相关的充分的证明材料】。</w:t>
      </w:r>
    </w:p>
    <w:p>
      <w:pPr>
        <w:pStyle w:val="211"/>
        <w:numPr>
          <w:ilvl w:val="0"/>
          <w:numId w:val="20"/>
        </w:numPr>
        <w:snapToGrid w:val="0"/>
        <w:spacing w:line="360" w:lineRule="auto"/>
        <w:ind w:firstLine="480"/>
        <w:jc w:val="left"/>
        <w:rPr>
          <w:rFonts w:ascii="宋体" w:hAnsi="宋体" w:cs="宋体"/>
          <w:sz w:val="24"/>
        </w:rPr>
      </w:pPr>
      <w:r>
        <w:rPr>
          <w:rFonts w:hint="eastAsia" w:ascii="宋体" w:hAnsi="宋体" w:cs="宋体"/>
          <w:sz w:val="24"/>
        </w:rPr>
        <w:t>残疾人福利性单位参加投标【提供《残疾人福利性单位声明函》】，视为小型、微型企业，享受小微企业政策扶持。</w:t>
      </w:r>
    </w:p>
    <w:bookmarkEnd w:id="429"/>
    <w:p>
      <w:pPr>
        <w:shd w:val="clear" w:color="auto" w:fill="FFFFFF"/>
        <w:snapToGrid w:val="0"/>
        <w:spacing w:line="360" w:lineRule="auto"/>
        <w:jc w:val="center"/>
        <w:rPr>
          <w:rFonts w:ascii="宋体" w:hAnsi="宋体"/>
          <w:color w:val="000000"/>
          <w:kern w:val="0"/>
          <w:sz w:val="24"/>
        </w:rPr>
      </w:pPr>
      <w:bookmarkStart w:id="434" w:name="_Toc31333"/>
      <w:bookmarkStart w:id="435" w:name="_Toc354996708"/>
      <w:r>
        <w:rPr>
          <w:rFonts w:ascii="宋体" w:hAnsi="宋体"/>
          <w:color w:val="000000"/>
          <w:kern w:val="0"/>
          <w:sz w:val="24"/>
        </w:rPr>
        <w:t xml:space="preserve"> </w:t>
      </w:r>
      <w:bookmarkStart w:id="560" w:name="_GoBack"/>
      <w:bookmarkEnd w:id="560"/>
    </w:p>
    <w:p>
      <w:pPr>
        <w:shd w:val="clear" w:color="auto" w:fill="FFFFFF"/>
        <w:snapToGrid w:val="0"/>
        <w:spacing w:line="360" w:lineRule="auto"/>
        <w:jc w:val="center"/>
        <w:outlineLvl w:val="0"/>
        <w:rPr>
          <w:rFonts w:ascii="宋体" w:hAnsi="宋体" w:cs="宋体"/>
          <w:b/>
          <w:bCs/>
          <w:color w:val="000000"/>
          <w:sz w:val="44"/>
          <w:szCs w:val="44"/>
        </w:rPr>
      </w:pPr>
      <w:r>
        <w:rPr>
          <w:rFonts w:ascii="宋体" w:hAnsi="宋体"/>
          <w:color w:val="000000"/>
          <w:kern w:val="0"/>
          <w:sz w:val="24"/>
        </w:rPr>
        <w:t xml:space="preserve">    </w:t>
      </w:r>
      <w:bookmarkStart w:id="436" w:name="_Toc31660"/>
      <w:bookmarkStart w:id="437" w:name="_Toc26391"/>
      <w:bookmarkStart w:id="438" w:name="_Toc5027"/>
      <w:bookmarkStart w:id="439" w:name="_Toc11788"/>
      <w:r>
        <w:rPr>
          <w:rFonts w:hint="eastAsia" w:ascii="宋体" w:hAnsi="宋体" w:cs="宋体"/>
          <w:b/>
          <w:bCs/>
          <w:color w:val="000000"/>
          <w:sz w:val="44"/>
          <w:szCs w:val="44"/>
        </w:rPr>
        <w:t>项目名称：</w:t>
      </w:r>
      <w:bookmarkEnd w:id="434"/>
      <w:bookmarkEnd w:id="436"/>
      <w:bookmarkEnd w:id="437"/>
      <w:bookmarkEnd w:id="438"/>
      <w:bookmarkEnd w:id="439"/>
    </w:p>
    <w:p>
      <w:pPr>
        <w:pStyle w:val="31"/>
        <w:spacing w:line="360" w:lineRule="auto"/>
      </w:pPr>
    </w:p>
    <w:p>
      <w:pPr>
        <w:shd w:val="clear" w:color="auto" w:fill="FFFFFF"/>
        <w:snapToGrid w:val="0"/>
        <w:spacing w:line="360" w:lineRule="auto"/>
        <w:jc w:val="center"/>
        <w:outlineLvl w:val="0"/>
        <w:rPr>
          <w:rFonts w:ascii="宋体" w:hAnsi="宋体" w:cs="宋体"/>
          <w:b/>
          <w:bCs/>
          <w:color w:val="000000"/>
          <w:sz w:val="44"/>
          <w:szCs w:val="44"/>
        </w:rPr>
      </w:pPr>
      <w:bookmarkStart w:id="440" w:name="_Toc17190"/>
      <w:r>
        <w:rPr>
          <w:rFonts w:hint="eastAsia" w:ascii="宋体" w:hAnsi="宋体" w:cs="宋体"/>
          <w:b/>
          <w:bCs/>
          <w:color w:val="000000"/>
          <w:sz w:val="44"/>
          <w:szCs w:val="44"/>
        </w:rPr>
        <w:t xml:space="preserve"> </w:t>
      </w:r>
      <w:r>
        <w:rPr>
          <w:rFonts w:ascii="宋体" w:hAnsi="宋体" w:cs="宋体"/>
          <w:b/>
          <w:bCs/>
          <w:color w:val="000000"/>
          <w:sz w:val="44"/>
          <w:szCs w:val="44"/>
        </w:rPr>
        <w:t xml:space="preserve">    </w:t>
      </w:r>
      <w:bookmarkStart w:id="441" w:name="_Toc586"/>
      <w:bookmarkStart w:id="442" w:name="_Toc28045"/>
      <w:bookmarkStart w:id="443" w:name="_Toc27121"/>
      <w:bookmarkStart w:id="444" w:name="_Toc10277"/>
      <w:r>
        <w:rPr>
          <w:rFonts w:hint="eastAsia" w:ascii="宋体" w:hAnsi="宋体" w:cs="宋体"/>
          <w:b/>
          <w:bCs/>
          <w:color w:val="000000"/>
          <w:sz w:val="44"/>
          <w:szCs w:val="44"/>
        </w:rPr>
        <w:t>商务技术文件（封面）</w:t>
      </w:r>
      <w:bookmarkEnd w:id="440"/>
      <w:bookmarkEnd w:id="441"/>
      <w:bookmarkEnd w:id="442"/>
      <w:bookmarkEnd w:id="443"/>
      <w:bookmarkEnd w:id="444"/>
    </w:p>
    <w:p>
      <w:pPr>
        <w:widowControl/>
        <w:spacing w:line="360" w:lineRule="auto"/>
        <w:ind w:right="-2"/>
        <w:jc w:val="center"/>
        <w:outlineLvl w:val="1"/>
        <w:rPr>
          <w:rFonts w:ascii="宋体" w:hAnsi="宋体"/>
          <w:b/>
          <w:color w:val="000000"/>
          <w:sz w:val="36"/>
          <w:szCs w:val="36"/>
        </w:rPr>
      </w:pPr>
      <w:bookmarkStart w:id="445" w:name="_Toc27078"/>
      <w:bookmarkStart w:id="446" w:name="_Toc12529"/>
      <w:bookmarkStart w:id="447" w:name="_Toc4367"/>
      <w:bookmarkStart w:id="448" w:name="_Toc20439"/>
      <w:bookmarkStart w:id="449" w:name="_Toc28874"/>
      <w:r>
        <w:rPr>
          <w:rFonts w:hint="eastAsia" w:ascii="宋体" w:hAnsi="宋体"/>
          <w:b/>
          <w:color w:val="000000"/>
          <w:sz w:val="36"/>
          <w:szCs w:val="36"/>
        </w:rPr>
        <w:t>（线上电子招投标）</w:t>
      </w:r>
      <w:bookmarkEnd w:id="445"/>
      <w:bookmarkEnd w:id="446"/>
      <w:bookmarkEnd w:id="447"/>
      <w:bookmarkEnd w:id="448"/>
      <w:bookmarkEnd w:id="449"/>
    </w:p>
    <w:p>
      <w:pPr>
        <w:pStyle w:val="88"/>
        <w:spacing w:line="360" w:lineRule="auto"/>
        <w:rPr>
          <w:sz w:val="36"/>
          <w:szCs w:val="36"/>
        </w:rPr>
      </w:pPr>
    </w:p>
    <w:p>
      <w:pPr>
        <w:shd w:val="clear" w:color="auto" w:fill="FFFFFF"/>
        <w:snapToGrid w:val="0"/>
        <w:spacing w:line="360" w:lineRule="auto"/>
        <w:jc w:val="center"/>
        <w:outlineLvl w:val="1"/>
        <w:rPr>
          <w:rFonts w:ascii="宋体" w:hAnsi="宋体" w:cs="宋体"/>
          <w:b/>
          <w:bCs/>
          <w:color w:val="000000"/>
          <w:sz w:val="36"/>
          <w:szCs w:val="36"/>
        </w:rPr>
      </w:pPr>
      <w:bookmarkStart w:id="450" w:name="_Toc28851"/>
      <w:r>
        <w:rPr>
          <w:rFonts w:hint="eastAsia" w:ascii="宋体" w:hAnsi="宋体" w:cs="宋体"/>
          <w:b/>
          <w:bCs/>
          <w:color w:val="000000"/>
          <w:sz w:val="36"/>
          <w:szCs w:val="36"/>
        </w:rPr>
        <w:t xml:space="preserve"> </w:t>
      </w:r>
      <w:r>
        <w:rPr>
          <w:rFonts w:ascii="宋体" w:hAnsi="宋体" w:cs="宋体"/>
          <w:b/>
          <w:bCs/>
          <w:color w:val="000000"/>
          <w:sz w:val="36"/>
          <w:szCs w:val="36"/>
        </w:rPr>
        <w:t xml:space="preserve"> </w:t>
      </w:r>
      <w:bookmarkStart w:id="451" w:name="_Toc13253"/>
      <w:bookmarkStart w:id="452" w:name="_Toc10531"/>
      <w:bookmarkStart w:id="453" w:name="_Toc6439"/>
      <w:bookmarkStart w:id="454" w:name="_Toc6137"/>
      <w:r>
        <w:rPr>
          <w:rFonts w:hint="eastAsia" w:ascii="宋体" w:hAnsi="宋体" w:cs="宋体"/>
          <w:b/>
          <w:bCs/>
          <w:color w:val="000000"/>
          <w:sz w:val="36"/>
          <w:szCs w:val="36"/>
        </w:rPr>
        <w:t>招标编号：</w:t>
      </w:r>
      <w:bookmarkEnd w:id="450"/>
      <w:r>
        <w:rPr>
          <w:rFonts w:hint="eastAsia" w:ascii="宋体" w:hAnsi="宋体" w:cs="宋体"/>
          <w:b/>
          <w:bCs/>
          <w:color w:val="000000"/>
          <w:sz w:val="36"/>
          <w:szCs w:val="36"/>
        </w:rPr>
        <w:t>YHZFCG2021-</w:t>
      </w:r>
      <w:bookmarkEnd w:id="451"/>
      <w:bookmarkEnd w:id="452"/>
      <w:bookmarkEnd w:id="453"/>
      <w:bookmarkEnd w:id="454"/>
      <w:r>
        <w:rPr>
          <w:rFonts w:hint="eastAsia" w:ascii="宋体" w:hAnsi="宋体" w:cs="宋体"/>
          <w:b/>
          <w:bCs/>
          <w:color w:val="000000"/>
          <w:sz w:val="36"/>
          <w:szCs w:val="36"/>
        </w:rPr>
        <w:t xml:space="preserve"> </w:t>
      </w:r>
    </w:p>
    <w:p>
      <w:pPr>
        <w:pStyle w:val="88"/>
        <w:spacing w:line="360" w:lineRule="auto"/>
      </w:pPr>
    </w:p>
    <w:p>
      <w:pPr>
        <w:pStyle w:val="88"/>
        <w:spacing w:line="360" w:lineRule="auto"/>
      </w:pPr>
    </w:p>
    <w:p>
      <w:pPr>
        <w:snapToGrid w:val="0"/>
        <w:spacing w:line="360" w:lineRule="auto"/>
        <w:jc w:val="center"/>
        <w:rPr>
          <w:rFonts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ascii="宋体" w:hAnsi="宋体" w:cs="宋体"/>
          <w:color w:val="000000"/>
          <w:sz w:val="36"/>
          <w:szCs w:val="36"/>
        </w:rPr>
      </w:pPr>
      <w:r>
        <w:rPr>
          <w:rFonts w:hint="eastAsia" w:ascii="宋体" w:hAnsi="宋体" w:cs="宋体"/>
          <w:color w:val="000000"/>
          <w:sz w:val="72"/>
          <w:szCs w:val="72"/>
        </w:rPr>
        <w:t>件</w:t>
      </w:r>
    </w:p>
    <w:p>
      <w:pPr>
        <w:pStyle w:val="88"/>
        <w:spacing w:line="360" w:lineRule="auto"/>
      </w:pPr>
    </w:p>
    <w:p>
      <w:pPr>
        <w:pStyle w:val="31"/>
        <w:spacing w:line="360" w:lineRule="auto"/>
      </w:pPr>
    </w:p>
    <w:p>
      <w:pPr>
        <w:snapToGrid w:val="0"/>
        <w:spacing w:line="360" w:lineRule="auto"/>
        <w:ind w:firstLine="2160" w:firstLineChars="600"/>
        <w:rPr>
          <w:rFonts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ind w:firstLine="2160" w:firstLineChars="600"/>
        <w:rPr>
          <w:rFonts w:ascii="宋体" w:hAnsi="宋体" w:cs="宋体"/>
          <w:color w:val="000000"/>
          <w:sz w:val="36"/>
          <w:szCs w:val="36"/>
        </w:rPr>
      </w:pPr>
      <w:r>
        <w:rPr>
          <w:rFonts w:hint="eastAsia" w:ascii="宋体" w:hAnsi="宋体" w:cs="宋体"/>
          <w:color w:val="000000"/>
          <w:sz w:val="36"/>
          <w:szCs w:val="36"/>
        </w:rPr>
        <w:t>投标人地址：</w:t>
      </w:r>
    </w:p>
    <w:p>
      <w:pPr>
        <w:snapToGrid w:val="0"/>
        <w:spacing w:line="360" w:lineRule="auto"/>
        <w:jc w:val="center"/>
        <w:rPr>
          <w:rFonts w:ascii="宋体" w:hAnsi="宋体"/>
          <w:color w:val="000000"/>
        </w:rPr>
      </w:pPr>
      <w:r>
        <w:rPr>
          <w:rFonts w:hint="eastAsia" w:ascii="宋体" w:hAnsi="宋体" w:cs="宋体"/>
          <w:color w:val="000000"/>
          <w:sz w:val="36"/>
          <w:szCs w:val="36"/>
        </w:rPr>
        <w:t>年   月   日</w:t>
      </w:r>
    </w:p>
    <w:p>
      <w:pPr>
        <w:pStyle w:val="4"/>
        <w:snapToGrid w:val="0"/>
        <w:rPr>
          <w:rFonts w:ascii="宋体" w:hAnsi="宋体" w:eastAsia="宋体"/>
          <w:color w:val="000000"/>
          <w:kern w:val="0"/>
          <w:sz w:val="24"/>
        </w:rPr>
        <w:sectPr>
          <w:pgSz w:w="11906" w:h="16838"/>
          <w:pgMar w:top="993" w:right="1474" w:bottom="1134" w:left="1474" w:header="851" w:footer="641" w:gutter="0"/>
          <w:cols w:space="720" w:num="1"/>
          <w:docGrid w:type="lines" w:linePitch="315" w:charSpace="0"/>
        </w:sectPr>
      </w:pPr>
    </w:p>
    <w:p>
      <w:pPr>
        <w:pStyle w:val="4"/>
        <w:snapToGrid w:val="0"/>
        <w:rPr>
          <w:rFonts w:ascii="宋体" w:hAnsi="宋体" w:eastAsia="宋体"/>
          <w:color w:val="000000"/>
        </w:rPr>
      </w:pPr>
      <w:bookmarkStart w:id="455" w:name="_Toc13104"/>
      <w:bookmarkStart w:id="456" w:name="_Toc26800"/>
      <w:bookmarkStart w:id="457" w:name="_Toc15518"/>
      <w:bookmarkStart w:id="458" w:name="_Toc31198"/>
      <w:bookmarkStart w:id="459" w:name="_Toc27611"/>
      <w:bookmarkStart w:id="460" w:name="_Toc27973"/>
      <w:r>
        <w:rPr>
          <w:rFonts w:hint="eastAsia" w:ascii="宋体" w:hAnsi="宋体" w:eastAsia="宋体"/>
          <w:color w:val="000000"/>
        </w:rPr>
        <w:t>商务</w:t>
      </w:r>
      <w:bookmarkEnd w:id="435"/>
      <w:bookmarkStart w:id="461" w:name="_Toc354996709"/>
      <w:r>
        <w:rPr>
          <w:rFonts w:hint="eastAsia" w:ascii="宋体" w:hAnsi="宋体" w:eastAsia="宋体"/>
          <w:color w:val="000000"/>
        </w:rPr>
        <w:t>技术文件</w:t>
      </w:r>
      <w:bookmarkEnd w:id="455"/>
      <w:bookmarkEnd w:id="456"/>
      <w:bookmarkEnd w:id="457"/>
      <w:bookmarkEnd w:id="458"/>
      <w:bookmarkEnd w:id="459"/>
      <w:bookmarkEnd w:id="460"/>
    </w:p>
    <w:p>
      <w:pPr>
        <w:shd w:val="clear" w:color="auto" w:fill="FFFFFF"/>
        <w:snapToGrid w:val="0"/>
        <w:spacing w:line="360" w:lineRule="auto"/>
        <w:jc w:val="center"/>
        <w:rPr>
          <w:rFonts w:ascii="宋体" w:hAnsi="宋体" w:cs="宋体"/>
          <w:b/>
          <w:color w:val="000000"/>
          <w:kern w:val="0"/>
          <w:sz w:val="32"/>
          <w:szCs w:val="32"/>
        </w:rPr>
      </w:pPr>
      <w:bookmarkStart w:id="462" w:name="_Toc25554"/>
      <w:bookmarkStart w:id="463" w:name="_Toc20650"/>
      <w:bookmarkStart w:id="464" w:name="_Toc31837"/>
      <w:bookmarkStart w:id="465" w:name="_Toc13349"/>
      <w:bookmarkStart w:id="466" w:name="_Toc10347"/>
      <w:bookmarkStart w:id="467" w:name="_Toc7803"/>
      <w:bookmarkStart w:id="468" w:name="_Toc13194"/>
      <w:bookmarkStart w:id="469" w:name="_Toc7049"/>
      <w:bookmarkStart w:id="470" w:name="_Toc3604"/>
      <w:bookmarkStart w:id="471" w:name="_Toc27129"/>
      <w:bookmarkStart w:id="472" w:name="_Toc20721"/>
    </w:p>
    <w:p>
      <w:pPr>
        <w:shd w:val="clear" w:color="auto" w:fill="FFFFFF"/>
        <w:snapToGrid w:val="0"/>
        <w:spacing w:line="360" w:lineRule="auto"/>
        <w:jc w:val="center"/>
        <w:outlineLvl w:val="1"/>
        <w:rPr>
          <w:rFonts w:ascii="宋体" w:hAnsi="宋体" w:cs="宋体"/>
          <w:b/>
          <w:color w:val="000000"/>
          <w:kern w:val="0"/>
          <w:sz w:val="32"/>
          <w:szCs w:val="32"/>
        </w:rPr>
      </w:pPr>
      <w:bookmarkStart w:id="473" w:name="_Toc20186"/>
      <w:bookmarkStart w:id="474" w:name="_Toc23319"/>
      <w:bookmarkStart w:id="475" w:name="_Toc16138"/>
      <w:bookmarkStart w:id="476" w:name="_Toc18630"/>
      <w:bookmarkStart w:id="477" w:name="_Toc25165"/>
      <w:r>
        <w:rPr>
          <w:rFonts w:hint="eastAsia" w:ascii="宋体" w:hAnsi="宋体" w:cs="宋体"/>
          <w:b/>
          <w:color w:val="000000"/>
          <w:kern w:val="0"/>
          <w:sz w:val="32"/>
          <w:szCs w:val="32"/>
        </w:rPr>
        <w:t>目 录</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shd w:val="clear" w:color="auto" w:fill="FFFFFF"/>
        <w:snapToGrid w:val="0"/>
        <w:spacing w:line="360" w:lineRule="auto"/>
        <w:jc w:val="left"/>
        <w:outlineLvl w:val="0"/>
        <w:rPr>
          <w:rFonts w:ascii="宋体" w:hAnsi="宋体" w:cs="宋体"/>
          <w:color w:val="000000"/>
          <w:kern w:val="0"/>
          <w:sz w:val="24"/>
        </w:rPr>
      </w:pPr>
      <w:bookmarkStart w:id="478" w:name="_Toc25632"/>
      <w:r>
        <w:rPr>
          <w:rFonts w:hint="eastAsia" w:ascii="宋体" w:hAnsi="宋体" w:cs="宋体"/>
          <w:color w:val="000000"/>
          <w:kern w:val="0"/>
          <w:sz w:val="24"/>
        </w:rPr>
        <w:t>（1）法定代表人授权委托书…………………………………………………………（页码）</w:t>
      </w:r>
      <w:bookmarkEnd w:id="478"/>
    </w:p>
    <w:p>
      <w:pPr>
        <w:shd w:val="clear" w:color="auto" w:fill="FFFFFF"/>
        <w:snapToGrid w:val="0"/>
        <w:spacing w:line="360" w:lineRule="auto"/>
        <w:jc w:val="left"/>
        <w:outlineLvl w:val="0"/>
        <w:rPr>
          <w:rFonts w:ascii="宋体" w:hAnsi="宋体" w:cs="宋体"/>
          <w:color w:val="000000"/>
          <w:kern w:val="0"/>
          <w:sz w:val="24"/>
        </w:rPr>
      </w:pPr>
      <w:bookmarkStart w:id="479" w:name="_Toc15571"/>
      <w:r>
        <w:rPr>
          <w:rFonts w:hint="eastAsia" w:ascii="宋体" w:hAnsi="宋体" w:cs="宋体"/>
          <w:color w:val="000000"/>
          <w:kern w:val="0"/>
          <w:sz w:val="24"/>
        </w:rPr>
        <w:t>（2）法定代表人及授权代表人的身份证……………………………………………（页码）</w:t>
      </w:r>
      <w:bookmarkEnd w:id="479"/>
    </w:p>
    <w:p>
      <w:pPr>
        <w:shd w:val="clear" w:color="auto" w:fill="FFFFFF"/>
        <w:snapToGrid w:val="0"/>
        <w:spacing w:line="360" w:lineRule="auto"/>
        <w:jc w:val="left"/>
        <w:outlineLvl w:val="0"/>
        <w:rPr>
          <w:rFonts w:ascii="宋体" w:hAnsi="宋体" w:cs="宋体"/>
          <w:color w:val="000000"/>
          <w:kern w:val="0"/>
          <w:sz w:val="24"/>
        </w:rPr>
      </w:pPr>
      <w:bookmarkStart w:id="480" w:name="_Toc21859"/>
      <w:r>
        <w:rPr>
          <w:rFonts w:hint="eastAsia" w:ascii="宋体" w:hAnsi="宋体" w:cs="宋体"/>
          <w:color w:val="000000"/>
          <w:kern w:val="0"/>
          <w:sz w:val="24"/>
        </w:rPr>
        <w:t>（3）资质文件…………………………………………………………………………（页码）</w:t>
      </w:r>
      <w:bookmarkEnd w:id="480"/>
    </w:p>
    <w:p>
      <w:pPr>
        <w:shd w:val="clear" w:color="auto" w:fill="FFFFFF"/>
        <w:snapToGrid w:val="0"/>
        <w:spacing w:line="360" w:lineRule="auto"/>
        <w:jc w:val="left"/>
        <w:outlineLvl w:val="0"/>
        <w:rPr>
          <w:rFonts w:ascii="宋体" w:hAnsi="宋体" w:cs="宋体"/>
          <w:color w:val="000000"/>
          <w:kern w:val="0"/>
          <w:sz w:val="24"/>
        </w:rPr>
      </w:pPr>
      <w:bookmarkStart w:id="481" w:name="_Toc27922"/>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）公司介绍及</w:t>
      </w:r>
      <w:r>
        <w:rPr>
          <w:rFonts w:ascii="宋体" w:hAnsi="宋体" w:cs="宋体"/>
          <w:color w:val="000000"/>
          <w:kern w:val="0"/>
          <w:sz w:val="24"/>
        </w:rPr>
        <w:t>同类项目</w:t>
      </w:r>
      <w:r>
        <w:rPr>
          <w:rFonts w:hint="eastAsia" w:ascii="宋体" w:hAnsi="宋体" w:cs="宋体"/>
          <w:color w:val="000000"/>
          <w:kern w:val="0"/>
          <w:sz w:val="24"/>
        </w:rPr>
        <w:t>业绩</w:t>
      </w:r>
      <w:r>
        <w:rPr>
          <w:rFonts w:ascii="宋体" w:hAnsi="宋体" w:cs="宋体"/>
          <w:color w:val="000000"/>
          <w:kern w:val="0"/>
          <w:sz w:val="24"/>
        </w:rPr>
        <w:t>经验</w:t>
      </w:r>
      <w:r>
        <w:rPr>
          <w:rFonts w:hint="eastAsia" w:ascii="宋体" w:hAnsi="宋体" w:cs="宋体"/>
          <w:color w:val="000000"/>
          <w:kern w:val="0"/>
          <w:sz w:val="24"/>
        </w:rPr>
        <w:t>案例……………………………………………（页码）</w:t>
      </w:r>
      <w:bookmarkEnd w:id="481"/>
    </w:p>
    <w:p>
      <w:pPr>
        <w:shd w:val="clear" w:color="auto" w:fill="FFFFFF"/>
        <w:snapToGrid w:val="0"/>
        <w:spacing w:line="360" w:lineRule="auto"/>
        <w:jc w:val="left"/>
        <w:outlineLvl w:val="0"/>
        <w:rPr>
          <w:rFonts w:ascii="宋体" w:hAnsi="宋体" w:cs="宋体"/>
          <w:color w:val="000000"/>
          <w:kern w:val="0"/>
          <w:sz w:val="24"/>
        </w:rPr>
      </w:pPr>
      <w:bookmarkStart w:id="482" w:name="_Toc9867"/>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）针对本项目的详细服务实施计划方案等……………………………………（页码）</w:t>
      </w:r>
      <w:bookmarkEnd w:id="482"/>
    </w:p>
    <w:p>
      <w:pPr>
        <w:shd w:val="clear" w:color="auto" w:fill="FFFFFF"/>
        <w:snapToGrid w:val="0"/>
        <w:spacing w:line="360" w:lineRule="auto"/>
        <w:jc w:val="left"/>
        <w:outlineLvl w:val="0"/>
        <w:rPr>
          <w:rFonts w:ascii="宋体" w:hAnsi="宋体" w:cs="宋体"/>
          <w:color w:val="000000"/>
          <w:kern w:val="0"/>
          <w:sz w:val="24"/>
        </w:rPr>
      </w:pPr>
      <w:bookmarkStart w:id="483" w:name="_Toc25045"/>
      <w:r>
        <w:rPr>
          <w:rFonts w:hint="eastAsia" w:ascii="宋体" w:hAnsi="宋体" w:cs="宋体"/>
          <w:color w:val="000000"/>
          <w:kern w:val="0"/>
          <w:sz w:val="24"/>
        </w:rPr>
        <w:t>（6）服务承诺…………………………………………………………………………（页码）</w:t>
      </w:r>
      <w:bookmarkEnd w:id="483"/>
    </w:p>
    <w:p>
      <w:pPr>
        <w:shd w:val="clear" w:color="auto" w:fill="FFFFFF"/>
        <w:snapToGrid w:val="0"/>
        <w:spacing w:line="360" w:lineRule="auto"/>
        <w:jc w:val="left"/>
        <w:outlineLvl w:val="0"/>
        <w:rPr>
          <w:rFonts w:ascii="宋体" w:hAnsi="宋体" w:cs="宋体"/>
          <w:color w:val="000000"/>
          <w:kern w:val="0"/>
          <w:sz w:val="24"/>
        </w:rPr>
      </w:pPr>
      <w:bookmarkStart w:id="484" w:name="_Toc15773"/>
      <w:r>
        <w:rPr>
          <w:rFonts w:hint="eastAsia" w:ascii="宋体" w:hAnsi="宋体" w:cs="宋体"/>
          <w:color w:val="000000"/>
          <w:kern w:val="0"/>
          <w:sz w:val="24"/>
        </w:rPr>
        <w:t>（7）商务技术偏离………………………………………………………………… （页码）</w:t>
      </w:r>
      <w:bookmarkEnd w:id="484"/>
    </w:p>
    <w:p>
      <w:pPr>
        <w:shd w:val="clear" w:color="auto" w:fill="FFFFFF"/>
        <w:snapToGrid w:val="0"/>
        <w:spacing w:line="360" w:lineRule="auto"/>
        <w:jc w:val="left"/>
        <w:outlineLvl w:val="0"/>
        <w:rPr>
          <w:rFonts w:ascii="宋体" w:hAnsi="宋体" w:cs="宋体"/>
          <w:color w:val="000000"/>
          <w:kern w:val="0"/>
          <w:sz w:val="24"/>
        </w:rPr>
      </w:pPr>
      <w:bookmarkStart w:id="485" w:name="_Toc22136"/>
      <w:r>
        <w:rPr>
          <w:rFonts w:hint="eastAsia" w:ascii="宋体" w:hAnsi="宋体" w:cs="宋体"/>
          <w:color w:val="000000"/>
          <w:kern w:val="0"/>
          <w:sz w:val="24"/>
        </w:rPr>
        <w:t>（8）其他必要提供的资料…………………………………………………………（页码）</w:t>
      </w:r>
      <w:bookmarkEnd w:id="485"/>
    </w:p>
    <w:p>
      <w:pPr>
        <w:shd w:val="clear" w:color="auto" w:fill="FFFFFF"/>
        <w:snapToGrid w:val="0"/>
        <w:spacing w:line="360" w:lineRule="auto"/>
        <w:jc w:val="left"/>
        <w:outlineLvl w:val="0"/>
        <w:rPr>
          <w:rFonts w:ascii="宋体" w:hAnsi="宋体" w:cs="宋体"/>
          <w:b/>
          <w:bCs/>
          <w:color w:val="000000"/>
          <w:kern w:val="0"/>
          <w:sz w:val="24"/>
        </w:rPr>
      </w:pPr>
      <w:bookmarkStart w:id="486" w:name="_Toc2212"/>
      <w:r>
        <w:rPr>
          <w:rFonts w:hint="eastAsia" w:ascii="宋体" w:hAnsi="宋体" w:cs="宋体"/>
          <w:b/>
          <w:bCs/>
          <w:color w:val="000000"/>
          <w:kern w:val="0"/>
          <w:sz w:val="24"/>
        </w:rPr>
        <w:t>（9）对应商务技术评分细则提供相关证明资料…………………………………（页码）</w:t>
      </w:r>
      <w:bookmarkEnd w:id="486"/>
    </w:p>
    <w:p>
      <w:pPr>
        <w:shd w:val="clear" w:color="auto" w:fill="FFFFFF"/>
        <w:snapToGrid w:val="0"/>
        <w:spacing w:line="360" w:lineRule="auto"/>
        <w:jc w:val="left"/>
        <w:rPr>
          <w:rFonts w:ascii="宋体" w:hAnsi="宋体" w:cs="宋体"/>
          <w:color w:val="000000"/>
          <w:sz w:val="24"/>
          <w:szCs w:val="21"/>
        </w:rPr>
      </w:pPr>
      <w:r>
        <w:rPr>
          <w:rFonts w:hint="eastAsia" w:ascii="宋体" w:hAnsi="宋体" w:cs="宋体"/>
          <w:color w:val="000000"/>
          <w:sz w:val="24"/>
          <w:szCs w:val="21"/>
        </w:rPr>
        <w:t>注：以上目录是编制投标技术文件的基本格式要求，各投标人可根据自身情况进一步细化。</w:t>
      </w:r>
    </w:p>
    <w:bookmarkEnd w:id="461"/>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rPr>
          <w:rFonts w:ascii="宋体" w:hAnsi="宋体" w:cs="宋体"/>
          <w:b/>
          <w:color w:val="000000"/>
          <w:sz w:val="32"/>
          <w:szCs w:val="32"/>
          <w:lang w:val="zh-CN"/>
        </w:rPr>
      </w:pPr>
    </w:p>
    <w:p>
      <w:pPr>
        <w:pStyle w:val="88"/>
        <w:rPr>
          <w:rFonts w:cs="宋体"/>
          <w:b/>
          <w:color w:val="000000"/>
          <w:sz w:val="32"/>
          <w:szCs w:val="32"/>
        </w:rPr>
      </w:pPr>
    </w:p>
    <w:p>
      <w:pPr>
        <w:pStyle w:val="88"/>
        <w:rPr>
          <w:rFonts w:cs="宋体"/>
          <w:b/>
          <w:color w:val="000000"/>
          <w:sz w:val="32"/>
          <w:szCs w:val="32"/>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numPr>
          <w:ilvl w:val="0"/>
          <w:numId w:val="21"/>
        </w:numPr>
        <w:snapToGrid w:val="0"/>
        <w:spacing w:line="360" w:lineRule="auto"/>
        <w:ind w:firstLine="643" w:firstLineChars="200"/>
        <w:jc w:val="center"/>
        <w:outlineLvl w:val="0"/>
        <w:rPr>
          <w:rFonts w:ascii="宋体" w:hAnsi="宋体" w:eastAsia="宋体" w:cs="宋体"/>
          <w:b/>
          <w:color w:val="000000"/>
          <w:sz w:val="32"/>
          <w:szCs w:val="32"/>
          <w:lang w:val="zh-CN"/>
        </w:rPr>
      </w:pPr>
      <w:bookmarkStart w:id="487" w:name="_Toc11327"/>
      <w:bookmarkStart w:id="488" w:name="_Toc8787"/>
      <w:bookmarkStart w:id="489" w:name="_Toc22444"/>
      <w:bookmarkStart w:id="490" w:name="_Toc20516"/>
      <w:bookmarkStart w:id="491" w:name="_Toc14937"/>
      <w:r>
        <w:rPr>
          <w:rFonts w:hint="eastAsia" w:ascii="宋体" w:hAnsi="宋体" w:eastAsia="宋体" w:cs="宋体"/>
          <w:b/>
          <w:color w:val="000000"/>
          <w:sz w:val="32"/>
          <w:szCs w:val="32"/>
          <w:lang w:val="zh-CN"/>
        </w:rPr>
        <w:t>法定代表人授权委托书</w:t>
      </w:r>
      <w:bookmarkEnd w:id="487"/>
      <w:bookmarkEnd w:id="488"/>
      <w:bookmarkEnd w:id="489"/>
      <w:bookmarkEnd w:id="490"/>
      <w:bookmarkEnd w:id="491"/>
    </w:p>
    <w:p>
      <w:pPr>
        <w:pStyle w:val="40"/>
        <w:snapToGrid w:val="0"/>
        <w:spacing w:line="360" w:lineRule="auto"/>
        <w:rPr>
          <w:rFonts w:ascii="宋体" w:hAnsi="宋体" w:eastAsia="宋体" w:cs="宋体"/>
          <w:b/>
          <w:color w:val="000000"/>
          <w:sz w:val="32"/>
          <w:szCs w:val="32"/>
          <w:lang w:val="zh-CN"/>
        </w:rPr>
      </w:pPr>
    </w:p>
    <w:p>
      <w:pPr>
        <w:shd w:val="clear" w:color="auto" w:fill="FFFFFF"/>
        <w:snapToGrid w:val="0"/>
        <w:spacing w:line="360" w:lineRule="auto"/>
        <w:rPr>
          <w:rFonts w:ascii="宋体" w:hAnsi="宋体" w:cs="宋体"/>
          <w:color w:val="000000"/>
          <w:sz w:val="24"/>
        </w:rPr>
      </w:pPr>
      <w:r>
        <w:rPr>
          <w:rFonts w:hint="eastAsia" w:ascii="宋体" w:hAnsi="宋体" w:cs="宋体"/>
          <w:color w:val="000000"/>
          <w:sz w:val="24"/>
        </w:rPr>
        <w:t>杭州市规划和自然资源局余杭分局、耀华建设管理有限公司：</w:t>
      </w:r>
    </w:p>
    <w:p>
      <w:pPr>
        <w:shd w:val="clear" w:color="auto" w:fill="FFFFFF"/>
        <w:snapToGrid w:val="0"/>
        <w:spacing w:line="360" w:lineRule="auto"/>
        <w:ind w:firstLine="480" w:firstLineChars="200"/>
        <w:rPr>
          <w:rFonts w:ascii="宋体" w:hAnsi="宋体"/>
          <w:color w:val="000000"/>
          <w:sz w:val="24"/>
          <w:u w:val="single"/>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olor w:val="000000"/>
          <w:sz w:val="24"/>
          <w:u w:val="single"/>
        </w:rPr>
        <w:t xml:space="preserve">            </w:t>
      </w:r>
    </w:p>
    <w:p>
      <w:pPr>
        <w:shd w:val="clear" w:color="auto" w:fill="FFFFFF"/>
        <w:snapToGrid w:val="0"/>
        <w:spacing w:line="360" w:lineRule="auto"/>
        <w:rPr>
          <w:rFonts w:ascii="宋体" w:hAnsi="宋体" w:cs="宋体"/>
          <w:color w:val="000000"/>
          <w:sz w:val="24"/>
        </w:rPr>
      </w:pPr>
      <w:r>
        <w:rPr>
          <w:rFonts w:hint="eastAsia" w:ascii="宋体" w:hAnsi="宋体"/>
          <w:color w:val="000000"/>
          <w:sz w:val="24"/>
          <w:u w:val="single"/>
        </w:rPr>
        <w:t xml:space="preserve">       （项目名称）      </w:t>
      </w:r>
      <w:r>
        <w:rPr>
          <w:rFonts w:hint="eastAsia" w:ascii="宋体" w:hAnsi="宋体" w:cs="宋体"/>
          <w:color w:val="000000"/>
          <w:sz w:val="24"/>
        </w:rPr>
        <w:t>(招标编号：</w:t>
      </w:r>
      <w:r>
        <w:rPr>
          <w:rFonts w:hint="eastAsia" w:ascii="宋体" w:hAnsi="宋体" w:cs="宋体"/>
          <w:color w:val="000000"/>
          <w:sz w:val="24"/>
          <w:u w:val="single"/>
        </w:rPr>
        <w:t xml:space="preserve">YHZFCG2021-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ascii="宋体" w:hAnsi="宋体" w:cs="宋体"/>
          <w:color w:val="000000"/>
          <w:kern w:val="0"/>
          <w:sz w:val="24"/>
        </w:rPr>
      </w:pP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法定代表人(盖章或签字)：</w:t>
      </w:r>
    </w:p>
    <w:p>
      <w:pPr>
        <w:shd w:val="clear" w:color="auto" w:fill="FFFFFF"/>
        <w:snapToGrid w:val="0"/>
        <w:spacing w:line="360" w:lineRule="auto"/>
        <w:ind w:firstLine="5160" w:firstLineChars="2150"/>
        <w:rPr>
          <w:rFonts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ascii="宋体" w:hAnsi="宋体" w:cs="宋体"/>
          <w:b/>
          <w:bCs/>
          <w:color w:val="000000"/>
          <w:kern w:val="0"/>
          <w:sz w:val="24"/>
          <w:lang w:val="zh-CN"/>
        </w:rPr>
      </w:pPr>
    </w:p>
    <w:p>
      <w:pPr>
        <w:shd w:val="clear" w:color="auto" w:fill="FFFFFF"/>
        <w:snapToGrid w:val="0"/>
        <w:spacing w:line="360" w:lineRule="auto"/>
        <w:ind w:firstLine="482" w:firstLineChars="200"/>
        <w:rPr>
          <w:rFonts w:ascii="宋体" w:hAnsi="宋体" w:cs="宋体"/>
          <w:b/>
          <w:bCs/>
          <w:color w:val="000000"/>
          <w:kern w:val="0"/>
          <w:sz w:val="24"/>
          <w:lang w:val="zh-CN"/>
        </w:rPr>
      </w:pPr>
    </w:p>
    <w:p>
      <w:pPr>
        <w:pStyle w:val="40"/>
        <w:snapToGrid w:val="0"/>
        <w:spacing w:line="360" w:lineRule="auto"/>
        <w:ind w:firstLine="643" w:firstLineChars="200"/>
        <w:jc w:val="center"/>
        <w:outlineLvl w:val="0"/>
        <w:rPr>
          <w:rFonts w:ascii="宋体" w:hAnsi="宋体" w:eastAsia="宋体" w:cs="宋体"/>
          <w:b/>
          <w:color w:val="000000"/>
          <w:sz w:val="32"/>
          <w:szCs w:val="32"/>
          <w:lang w:val="zh-CN"/>
        </w:rPr>
      </w:pPr>
      <w:bookmarkStart w:id="492" w:name="_Toc23092"/>
      <w:bookmarkStart w:id="493" w:name="_Toc17926"/>
      <w:bookmarkStart w:id="494" w:name="_Toc15254"/>
      <w:bookmarkStart w:id="495" w:name="_Toc18458"/>
      <w:bookmarkStart w:id="496" w:name="_Toc20797"/>
      <w:r>
        <w:rPr>
          <w:rFonts w:hint="eastAsia" w:ascii="宋体" w:hAnsi="宋体" w:eastAsia="宋体" w:cs="宋体"/>
          <w:b/>
          <w:color w:val="000000"/>
          <w:sz w:val="32"/>
          <w:szCs w:val="32"/>
          <w:lang w:val="zh-CN"/>
        </w:rPr>
        <w:t>二、法定代表人及授权代表人的身份证 (扫描件或复印件加盖公章)</w:t>
      </w:r>
      <w:bookmarkEnd w:id="492"/>
      <w:r>
        <w:rPr>
          <w:rFonts w:hint="eastAsia" w:ascii="宋体" w:hAnsi="宋体" w:eastAsia="宋体" w:cs="宋体"/>
          <w:b/>
          <w:color w:val="000000"/>
          <w:sz w:val="32"/>
          <w:szCs w:val="32"/>
          <w:lang w:val="zh-CN"/>
        </w:rPr>
        <w:t>；</w:t>
      </w:r>
      <w:bookmarkEnd w:id="493"/>
      <w:bookmarkEnd w:id="494"/>
      <w:bookmarkEnd w:id="495"/>
      <w:bookmarkEnd w:id="496"/>
    </w:p>
    <w:p>
      <w:pPr>
        <w:shd w:val="clear" w:color="auto" w:fill="FFFFFF"/>
        <w:snapToGrid w:val="0"/>
        <w:spacing w:line="360" w:lineRule="auto"/>
        <w:ind w:right="480"/>
        <w:jc w:val="center"/>
        <w:rPr>
          <w:rFonts w:ascii="宋体" w:hAnsi="宋体" w:cs="宋体"/>
          <w:b/>
          <w:bCs/>
          <w:color w:val="000000"/>
          <w:kern w:val="0"/>
          <w:sz w:val="24"/>
          <w:lang w:val="zh-CN"/>
        </w:rPr>
      </w:pPr>
    </w:p>
    <w:p>
      <w:pPr>
        <w:shd w:val="clear" w:color="auto" w:fill="FFFFFF"/>
        <w:snapToGrid w:val="0"/>
        <w:spacing w:line="360" w:lineRule="auto"/>
        <w:ind w:right="480"/>
        <w:rPr>
          <w:rFonts w:ascii="宋体" w:hAnsi="宋体" w:cs="宋体"/>
          <w:b/>
          <w:bCs/>
          <w:color w:val="000000"/>
          <w:kern w:val="0"/>
          <w:sz w:val="24"/>
          <w:lang w:val="zh-CN"/>
        </w:rPr>
      </w:pPr>
    </w:p>
    <w:p>
      <w:pPr>
        <w:rPr>
          <w:lang w:val="zh-CN"/>
        </w:rPr>
      </w:pPr>
      <w:bookmarkStart w:id="497" w:name="_Toc10840"/>
    </w:p>
    <w:p>
      <w:pPr>
        <w:pStyle w:val="40"/>
        <w:snapToGrid w:val="0"/>
        <w:spacing w:line="360" w:lineRule="auto"/>
        <w:ind w:firstLine="643" w:firstLineChars="200"/>
        <w:jc w:val="center"/>
        <w:outlineLvl w:val="0"/>
        <w:rPr>
          <w:rFonts w:ascii="宋体" w:hAnsi="宋体" w:eastAsia="宋体" w:cs="仿宋_GB2312"/>
          <w:color w:val="000000"/>
          <w:sz w:val="24"/>
        </w:rPr>
      </w:pPr>
      <w:bookmarkStart w:id="498" w:name="_Toc21462"/>
      <w:bookmarkStart w:id="499" w:name="_Toc24429"/>
      <w:bookmarkStart w:id="500" w:name="_Toc15539"/>
      <w:bookmarkStart w:id="501" w:name="_Toc14967"/>
      <w:r>
        <w:rPr>
          <w:rFonts w:hint="eastAsia" w:ascii="宋体" w:hAnsi="宋体" w:eastAsia="宋体" w:cs="宋体"/>
          <w:b/>
          <w:color w:val="000000"/>
          <w:sz w:val="32"/>
          <w:szCs w:val="32"/>
          <w:lang w:val="zh-CN"/>
        </w:rPr>
        <w:t>三、资质文件（如有）</w:t>
      </w:r>
      <w:bookmarkEnd w:id="497"/>
      <w:bookmarkEnd w:id="498"/>
      <w:bookmarkEnd w:id="499"/>
      <w:bookmarkEnd w:id="500"/>
      <w:bookmarkEnd w:id="501"/>
      <w:r>
        <w:rPr>
          <w:rFonts w:hint="eastAsia" w:ascii="宋体" w:hAnsi="宋体" w:eastAsia="宋体"/>
          <w:color w:val="000000"/>
          <w:sz w:val="24"/>
        </w:rPr>
        <w:t xml:space="preserve"> </w:t>
      </w:r>
    </w:p>
    <w:p>
      <w:pPr>
        <w:snapToGrid w:val="0"/>
        <w:spacing w:line="360" w:lineRule="auto"/>
        <w:rPr>
          <w:rFonts w:ascii="宋体" w:hAnsi="宋体"/>
          <w:b/>
          <w:color w:val="000000"/>
          <w:kern w:val="0"/>
          <w:sz w:val="24"/>
        </w:rPr>
      </w:pPr>
    </w:p>
    <w:p>
      <w:pPr>
        <w:pStyle w:val="88"/>
        <w:rPr>
          <w:b/>
          <w:color w:val="000000"/>
        </w:rPr>
      </w:pPr>
    </w:p>
    <w:p>
      <w:pPr>
        <w:pStyle w:val="88"/>
        <w:rPr>
          <w:b/>
          <w:color w:val="000000"/>
        </w:rPr>
      </w:pPr>
    </w:p>
    <w:p>
      <w:pPr>
        <w:pStyle w:val="88"/>
        <w:rPr>
          <w:b/>
          <w:color w:val="000000"/>
        </w:rPr>
      </w:pPr>
    </w:p>
    <w:p>
      <w:pPr>
        <w:pStyle w:val="88"/>
        <w:rPr>
          <w:b/>
          <w:color w:val="000000"/>
        </w:rPr>
      </w:pPr>
    </w:p>
    <w:p>
      <w:pPr>
        <w:pStyle w:val="88"/>
        <w:rPr>
          <w:b/>
          <w:color w:val="000000"/>
        </w:rPr>
      </w:pPr>
    </w:p>
    <w:p>
      <w:pPr>
        <w:pStyle w:val="88"/>
        <w:rPr>
          <w:b/>
          <w:color w:val="000000"/>
        </w:rPr>
      </w:pPr>
    </w:p>
    <w:p>
      <w:pPr>
        <w:pStyle w:val="88"/>
        <w:rPr>
          <w:b/>
          <w:color w:val="000000"/>
        </w:rPr>
      </w:pPr>
    </w:p>
    <w:p>
      <w:pPr>
        <w:pStyle w:val="88"/>
        <w:rPr>
          <w:b/>
          <w:color w:val="000000"/>
        </w:rPr>
      </w:pPr>
    </w:p>
    <w:p>
      <w:pPr>
        <w:pStyle w:val="88"/>
        <w:rPr>
          <w:b/>
          <w:color w:val="000000"/>
        </w:rPr>
      </w:pPr>
    </w:p>
    <w:p>
      <w:pPr>
        <w:pStyle w:val="88"/>
        <w:rPr>
          <w:b/>
          <w:color w:val="000000"/>
        </w:rPr>
      </w:pPr>
    </w:p>
    <w:p>
      <w:pPr>
        <w:shd w:val="clear" w:color="auto" w:fill="FFFFFF"/>
        <w:snapToGrid w:val="0"/>
        <w:spacing w:line="360" w:lineRule="auto"/>
        <w:rPr>
          <w:rFonts w:ascii="宋体" w:hAnsi="宋体" w:cs="宋体"/>
          <w:color w:val="000000"/>
          <w:sz w:val="24"/>
        </w:rPr>
      </w:pPr>
    </w:p>
    <w:p>
      <w:pPr>
        <w:pStyle w:val="88"/>
      </w:pPr>
    </w:p>
    <w:p>
      <w:pPr>
        <w:pStyle w:val="40"/>
        <w:snapToGrid w:val="0"/>
        <w:spacing w:line="360" w:lineRule="auto"/>
        <w:jc w:val="center"/>
        <w:outlineLvl w:val="0"/>
        <w:rPr>
          <w:rFonts w:ascii="宋体" w:hAnsi="宋体" w:eastAsia="宋体" w:cs="宋体"/>
          <w:b/>
          <w:color w:val="000000"/>
          <w:sz w:val="32"/>
          <w:szCs w:val="32"/>
          <w:lang w:val="zh-CN"/>
        </w:rPr>
      </w:pPr>
      <w:bookmarkStart w:id="502" w:name="_Toc3116"/>
      <w:bookmarkStart w:id="503" w:name="_Toc30059"/>
      <w:bookmarkStart w:id="504" w:name="_Toc8011"/>
      <w:bookmarkStart w:id="505" w:name="_Toc26278"/>
      <w:bookmarkStart w:id="506" w:name="_Toc17275"/>
      <w:r>
        <w:rPr>
          <w:rFonts w:hint="eastAsia" w:ascii="宋体" w:hAnsi="宋体" w:eastAsia="宋体" w:cs="宋体"/>
          <w:b/>
          <w:color w:val="000000"/>
          <w:sz w:val="32"/>
          <w:szCs w:val="32"/>
          <w:lang w:val="zh-CN"/>
        </w:rPr>
        <w:t>四、公司介绍</w:t>
      </w:r>
      <w:bookmarkEnd w:id="502"/>
      <w:bookmarkEnd w:id="503"/>
      <w:bookmarkEnd w:id="504"/>
    </w:p>
    <w:p>
      <w:pPr>
        <w:tabs>
          <w:tab w:val="left" w:pos="930"/>
        </w:tabs>
        <w:autoSpaceDE w:val="0"/>
        <w:autoSpaceDN w:val="0"/>
        <w:snapToGrid w:val="0"/>
        <w:spacing w:line="360" w:lineRule="auto"/>
        <w:ind w:firstLine="1024" w:firstLineChars="427"/>
        <w:jc w:val="center"/>
        <w:rPr>
          <w:rFonts w:ascii="宋体" w:hAnsi="宋体"/>
          <w:color w:val="000000"/>
          <w:kern w:val="0"/>
          <w:sz w:val="24"/>
          <w:lang w:val="zh-CN"/>
        </w:rPr>
      </w:pPr>
      <w:r>
        <w:rPr>
          <w:rFonts w:hint="eastAsia" w:ascii="宋体" w:hAnsi="宋体"/>
          <w:color w:val="000000"/>
          <w:kern w:val="0"/>
          <w:sz w:val="24"/>
          <w:lang w:val="zh-CN"/>
        </w:rPr>
        <w:t>自行草拟。</w:t>
      </w:r>
    </w:p>
    <w:p>
      <w:pPr>
        <w:pStyle w:val="88"/>
        <w:rPr>
          <w:rFonts w:cs="仿宋_GB2312"/>
          <w:color w:val="000000"/>
        </w:rPr>
      </w:pPr>
    </w:p>
    <w:p>
      <w:pPr>
        <w:shd w:val="clear" w:color="auto" w:fill="FFFFFF"/>
        <w:snapToGrid w:val="0"/>
        <w:spacing w:line="360" w:lineRule="auto"/>
        <w:ind w:firstLine="5280" w:firstLineChars="2200"/>
        <w:rPr>
          <w:rFonts w:ascii="宋体" w:hAnsi="宋体" w:cs="宋体"/>
          <w:color w:val="000000"/>
          <w:kern w:val="0"/>
          <w:sz w:val="24"/>
        </w:rPr>
      </w:pPr>
      <w:r>
        <w:rPr>
          <w:rFonts w:hint="eastAsia" w:ascii="宋体" w:hAnsi="宋体" w:cs="宋体"/>
          <w:color w:val="000000"/>
          <w:kern w:val="0"/>
          <w:sz w:val="24"/>
          <w:lang w:val="zh-CN"/>
        </w:rPr>
        <w:t>投标人名称(公章)：</w:t>
      </w:r>
    </w:p>
    <w:p>
      <w:pPr>
        <w:shd w:val="clear" w:color="auto" w:fill="FFFFFF"/>
        <w:snapToGrid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 xml:space="preserve">                                        </w:t>
      </w:r>
      <w:r>
        <w:rPr>
          <w:rFonts w:hint="eastAsia" w:ascii="宋体" w:hAnsi="宋体" w:cs="宋体"/>
          <w:color w:val="000000"/>
          <w:kern w:val="0"/>
          <w:sz w:val="24"/>
        </w:rPr>
        <w:t xml:space="preserve">    </w:t>
      </w: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pStyle w:val="88"/>
        <w:rPr>
          <w:rFonts w:cs="仿宋_GB2312"/>
          <w:color w:val="000000"/>
        </w:rPr>
      </w:pPr>
    </w:p>
    <w:p>
      <w:pPr>
        <w:pStyle w:val="40"/>
        <w:snapToGrid w:val="0"/>
        <w:spacing w:line="360" w:lineRule="auto"/>
        <w:rPr>
          <w:rFonts w:ascii="宋体" w:hAnsi="宋体" w:eastAsia="宋体" w:cs="宋体"/>
          <w:b/>
          <w:color w:val="000000"/>
          <w:sz w:val="32"/>
          <w:szCs w:val="32"/>
          <w:lang w:val="zh-CN"/>
        </w:rPr>
      </w:pPr>
    </w:p>
    <w:p>
      <w:pPr>
        <w:pStyle w:val="40"/>
        <w:numPr>
          <w:ilvl w:val="0"/>
          <w:numId w:val="22"/>
        </w:numPr>
        <w:snapToGrid w:val="0"/>
        <w:spacing w:line="360" w:lineRule="auto"/>
        <w:jc w:val="center"/>
        <w:outlineLvl w:val="0"/>
        <w:rPr>
          <w:rFonts w:ascii="宋体" w:hAnsi="宋体" w:eastAsia="宋体" w:cs="宋体"/>
          <w:b/>
          <w:color w:val="000000"/>
          <w:sz w:val="32"/>
          <w:szCs w:val="32"/>
          <w:lang w:val="zh-CN"/>
        </w:rPr>
      </w:pPr>
      <w:bookmarkStart w:id="507" w:name="_Toc6239"/>
      <w:bookmarkStart w:id="508" w:name="_Toc17389"/>
      <w:bookmarkStart w:id="509" w:name="_Toc20664"/>
      <w:r>
        <w:rPr>
          <w:rFonts w:hint="eastAsia" w:ascii="宋体" w:hAnsi="宋体" w:eastAsia="宋体" w:cs="宋体"/>
          <w:b/>
          <w:color w:val="000000"/>
          <w:sz w:val="32"/>
          <w:szCs w:val="32"/>
          <w:lang w:val="zh-CN"/>
        </w:rPr>
        <w:t>同类项目业绩经验案例</w:t>
      </w:r>
      <w:bookmarkEnd w:id="505"/>
      <w:bookmarkEnd w:id="506"/>
      <w:bookmarkEnd w:id="507"/>
      <w:bookmarkEnd w:id="508"/>
      <w:bookmarkEnd w:id="509"/>
    </w:p>
    <w:p>
      <w:pPr>
        <w:tabs>
          <w:tab w:val="left" w:pos="930"/>
        </w:tabs>
        <w:autoSpaceDE w:val="0"/>
        <w:autoSpaceDN w:val="0"/>
        <w:snapToGrid w:val="0"/>
        <w:spacing w:line="360" w:lineRule="auto"/>
        <w:ind w:firstLine="1024" w:firstLineChars="427"/>
        <w:rPr>
          <w:rFonts w:ascii="宋体" w:hAnsi="宋体"/>
          <w:color w:val="000000"/>
          <w:kern w:val="0"/>
          <w:sz w:val="24"/>
          <w:lang w:val="zh-CN"/>
        </w:rPr>
      </w:pPr>
      <w:r>
        <w:rPr>
          <w:rFonts w:hint="eastAsia" w:ascii="宋体" w:hAnsi="宋体"/>
          <w:color w:val="000000"/>
          <w:kern w:val="0"/>
          <w:sz w:val="24"/>
          <w:lang w:val="zh-CN"/>
        </w:rPr>
        <w:t>根据招标文件采购要求自行草拟。</w:t>
      </w:r>
    </w:p>
    <w:p>
      <w:pPr>
        <w:pStyle w:val="88"/>
        <w:rPr>
          <w:rFonts w:cs="仿宋_GB2312"/>
          <w:color w:val="000000"/>
        </w:rPr>
      </w:pPr>
    </w:p>
    <w:p>
      <w:pPr>
        <w:shd w:val="clear" w:color="auto" w:fill="FFFFFF"/>
        <w:snapToGrid w:val="0"/>
        <w:spacing w:line="360" w:lineRule="auto"/>
        <w:ind w:firstLine="5280" w:firstLineChars="2200"/>
        <w:rPr>
          <w:rFonts w:ascii="宋体" w:hAnsi="宋体" w:cs="宋体"/>
          <w:color w:val="000000"/>
          <w:kern w:val="0"/>
          <w:sz w:val="24"/>
        </w:rPr>
      </w:pPr>
      <w:r>
        <w:rPr>
          <w:rFonts w:hint="eastAsia" w:ascii="宋体" w:hAnsi="宋体" w:cs="宋体"/>
          <w:color w:val="000000"/>
          <w:kern w:val="0"/>
          <w:sz w:val="24"/>
          <w:lang w:val="zh-CN"/>
        </w:rPr>
        <w:t>投标人名称(公章)：</w:t>
      </w:r>
    </w:p>
    <w:p>
      <w:pPr>
        <w:shd w:val="clear" w:color="auto" w:fill="FFFFFF"/>
        <w:snapToGrid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 xml:space="preserve">                                        </w:t>
      </w:r>
      <w:r>
        <w:rPr>
          <w:rFonts w:hint="eastAsia" w:ascii="宋体" w:hAnsi="宋体" w:cs="宋体"/>
          <w:color w:val="000000"/>
          <w:kern w:val="0"/>
          <w:sz w:val="24"/>
        </w:rPr>
        <w:t xml:space="preserve">    </w:t>
      </w: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pStyle w:val="88"/>
        <w:rPr>
          <w:rFonts w:cs="仿宋_GB2312"/>
          <w:color w:val="000000"/>
        </w:rPr>
      </w:pPr>
    </w:p>
    <w:p>
      <w:pPr>
        <w:pStyle w:val="88"/>
        <w:rPr>
          <w:rFonts w:cs="仿宋_GB2312"/>
          <w:color w:val="000000"/>
        </w:rPr>
      </w:pPr>
    </w:p>
    <w:p>
      <w:pPr>
        <w:pStyle w:val="88"/>
        <w:rPr>
          <w:rFonts w:cs="仿宋_GB2312"/>
          <w:color w:val="000000"/>
        </w:rPr>
      </w:pPr>
    </w:p>
    <w:p>
      <w:pPr>
        <w:pStyle w:val="88"/>
        <w:rPr>
          <w:rFonts w:cs="仿宋_GB2312"/>
          <w:color w:val="000000"/>
        </w:rPr>
      </w:pPr>
    </w:p>
    <w:p>
      <w:pPr>
        <w:pStyle w:val="40"/>
        <w:snapToGrid w:val="0"/>
        <w:spacing w:line="360" w:lineRule="auto"/>
        <w:jc w:val="center"/>
        <w:outlineLvl w:val="0"/>
        <w:rPr>
          <w:rFonts w:ascii="宋体" w:hAnsi="宋体" w:eastAsia="宋体" w:cs="宋体"/>
          <w:b/>
          <w:color w:val="000000"/>
          <w:kern w:val="0"/>
          <w:sz w:val="32"/>
          <w:szCs w:val="32"/>
        </w:rPr>
      </w:pPr>
      <w:bookmarkStart w:id="510" w:name="_Toc20411"/>
      <w:bookmarkStart w:id="511" w:name="_Toc27347"/>
      <w:bookmarkStart w:id="512" w:name="_Toc10136"/>
      <w:bookmarkStart w:id="513" w:name="_Toc31186"/>
      <w:bookmarkStart w:id="514" w:name="_Toc6240"/>
      <w:r>
        <w:rPr>
          <w:rFonts w:hint="eastAsia" w:ascii="宋体" w:hAnsi="宋体" w:eastAsia="宋体" w:cs="宋体"/>
          <w:b/>
          <w:color w:val="000000"/>
          <w:sz w:val="32"/>
          <w:szCs w:val="32"/>
          <w:lang w:val="zh-CN"/>
        </w:rPr>
        <w:t>六、</w:t>
      </w:r>
      <w:r>
        <w:rPr>
          <w:rFonts w:hint="eastAsia" w:ascii="宋体" w:hAnsi="宋体" w:cs="宋体"/>
          <w:b/>
          <w:color w:val="000000"/>
          <w:kern w:val="0"/>
          <w:sz w:val="32"/>
          <w:szCs w:val="32"/>
        </w:rPr>
        <w:t>针对本项目的详细服务实施计划</w:t>
      </w:r>
      <w:r>
        <w:rPr>
          <w:rFonts w:hint="eastAsia" w:ascii="宋体" w:hAnsi="宋体" w:eastAsia="宋体" w:cs="宋体"/>
          <w:b/>
          <w:color w:val="000000"/>
          <w:kern w:val="0"/>
          <w:sz w:val="32"/>
          <w:szCs w:val="32"/>
        </w:rPr>
        <w:t>方案等</w:t>
      </w:r>
      <w:bookmarkEnd w:id="510"/>
      <w:bookmarkEnd w:id="511"/>
      <w:bookmarkEnd w:id="512"/>
      <w:bookmarkEnd w:id="513"/>
      <w:bookmarkEnd w:id="514"/>
    </w:p>
    <w:p>
      <w:pPr>
        <w:tabs>
          <w:tab w:val="left" w:pos="930"/>
        </w:tabs>
        <w:autoSpaceDE w:val="0"/>
        <w:autoSpaceDN w:val="0"/>
        <w:snapToGrid w:val="0"/>
        <w:spacing w:line="360" w:lineRule="auto"/>
        <w:ind w:firstLine="1024" w:firstLineChars="427"/>
        <w:rPr>
          <w:rFonts w:ascii="宋体" w:hAnsi="宋体"/>
          <w:color w:val="000000"/>
          <w:kern w:val="0"/>
          <w:sz w:val="24"/>
          <w:lang w:val="zh-CN"/>
        </w:rPr>
      </w:pPr>
      <w:r>
        <w:rPr>
          <w:rFonts w:hint="eastAsia" w:ascii="宋体" w:hAnsi="宋体"/>
          <w:color w:val="000000"/>
          <w:kern w:val="0"/>
          <w:sz w:val="24"/>
          <w:lang w:val="zh-CN"/>
        </w:rPr>
        <w:t>根据招标文件采购要求自行草拟。</w:t>
      </w:r>
    </w:p>
    <w:p>
      <w:pPr>
        <w:pStyle w:val="77"/>
        <w:spacing w:line="360" w:lineRule="auto"/>
        <w:rPr>
          <w:lang w:val="zh-CN"/>
        </w:rPr>
      </w:pPr>
    </w:p>
    <w:p>
      <w:pPr>
        <w:pStyle w:val="77"/>
        <w:spacing w:line="360" w:lineRule="auto"/>
        <w:rPr>
          <w:lang w:val="zh-CN"/>
        </w:rPr>
      </w:pP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 xml:space="preserve">                                        </w:t>
      </w:r>
      <w:r>
        <w:rPr>
          <w:rFonts w:hint="eastAsia" w:ascii="宋体" w:hAnsi="宋体" w:cs="宋体"/>
          <w:color w:val="000000"/>
          <w:kern w:val="0"/>
          <w:sz w:val="24"/>
        </w:rPr>
        <w:t xml:space="preserve">   </w:t>
      </w: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ascii="宋体" w:hAnsi="宋体" w:cs="宋体"/>
          <w:color w:val="000000"/>
          <w:sz w:val="24"/>
        </w:rPr>
      </w:pPr>
    </w:p>
    <w:p>
      <w:pPr>
        <w:rPr>
          <w:lang w:val="zh-CN"/>
        </w:rPr>
      </w:pPr>
      <w:bookmarkStart w:id="515" w:name="_Toc3570"/>
    </w:p>
    <w:p>
      <w:pPr>
        <w:pStyle w:val="40"/>
        <w:snapToGrid w:val="0"/>
        <w:spacing w:line="360" w:lineRule="auto"/>
        <w:ind w:firstLine="643" w:firstLineChars="200"/>
        <w:jc w:val="center"/>
        <w:rPr>
          <w:rFonts w:ascii="宋体" w:hAnsi="宋体" w:eastAsia="宋体" w:cs="宋体"/>
          <w:b/>
          <w:color w:val="000000"/>
          <w:sz w:val="32"/>
          <w:szCs w:val="32"/>
          <w:lang w:val="zh-CN"/>
        </w:rPr>
      </w:pPr>
      <w:bookmarkStart w:id="516" w:name="_Toc21796"/>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rPr>
          <w:rFonts w:ascii="宋体" w:hAnsi="宋体" w:eastAsia="宋体" w:cs="宋体"/>
          <w:b/>
          <w:color w:val="000000"/>
          <w:sz w:val="32"/>
          <w:szCs w:val="32"/>
          <w:lang w:val="zh-CN"/>
        </w:rPr>
      </w:pPr>
    </w:p>
    <w:p>
      <w:pPr>
        <w:pStyle w:val="40"/>
        <w:snapToGrid w:val="0"/>
        <w:spacing w:line="360" w:lineRule="auto"/>
        <w:ind w:firstLine="643" w:firstLineChars="200"/>
        <w:jc w:val="center"/>
        <w:outlineLvl w:val="0"/>
        <w:rPr>
          <w:rFonts w:ascii="宋体" w:hAnsi="宋体" w:eastAsia="宋体" w:cs="宋体"/>
          <w:b/>
          <w:color w:val="000000"/>
          <w:sz w:val="32"/>
          <w:szCs w:val="32"/>
          <w:lang w:val="zh-CN"/>
        </w:rPr>
      </w:pPr>
      <w:bookmarkStart w:id="517" w:name="_Toc2622"/>
      <w:bookmarkStart w:id="518" w:name="_Toc4496"/>
      <w:bookmarkStart w:id="519" w:name="_Toc31373"/>
      <w:r>
        <w:rPr>
          <w:rFonts w:hint="eastAsia" w:ascii="宋体" w:hAnsi="宋体" w:eastAsia="宋体" w:cs="宋体"/>
          <w:b/>
          <w:color w:val="000000"/>
          <w:sz w:val="32"/>
          <w:szCs w:val="32"/>
          <w:lang w:val="zh-CN"/>
        </w:rPr>
        <w:t>七、服务承诺</w:t>
      </w:r>
      <w:bookmarkEnd w:id="515"/>
      <w:bookmarkEnd w:id="516"/>
      <w:bookmarkEnd w:id="517"/>
      <w:bookmarkEnd w:id="518"/>
      <w:bookmarkEnd w:id="519"/>
    </w:p>
    <w:p>
      <w:pPr>
        <w:tabs>
          <w:tab w:val="left" w:pos="930"/>
        </w:tabs>
        <w:autoSpaceDE w:val="0"/>
        <w:autoSpaceDN w:val="0"/>
        <w:snapToGrid w:val="0"/>
        <w:spacing w:line="360" w:lineRule="auto"/>
        <w:ind w:firstLine="1024" w:firstLineChars="427"/>
        <w:rPr>
          <w:rFonts w:ascii="宋体" w:hAnsi="宋体"/>
          <w:color w:val="000000"/>
          <w:kern w:val="0"/>
          <w:sz w:val="24"/>
          <w:lang w:val="zh-CN"/>
        </w:rPr>
      </w:pPr>
    </w:p>
    <w:p>
      <w:pPr>
        <w:tabs>
          <w:tab w:val="left" w:pos="930"/>
        </w:tabs>
        <w:autoSpaceDE w:val="0"/>
        <w:autoSpaceDN w:val="0"/>
        <w:snapToGrid w:val="0"/>
        <w:spacing w:line="360" w:lineRule="auto"/>
        <w:ind w:firstLine="1024" w:firstLineChars="427"/>
        <w:rPr>
          <w:rFonts w:ascii="宋体" w:hAnsi="宋体"/>
          <w:color w:val="000000"/>
          <w:kern w:val="0"/>
          <w:sz w:val="24"/>
          <w:lang w:val="zh-CN"/>
        </w:rPr>
      </w:pPr>
      <w:r>
        <w:rPr>
          <w:rFonts w:hint="eastAsia" w:ascii="宋体" w:hAnsi="宋体"/>
          <w:color w:val="000000"/>
          <w:kern w:val="0"/>
          <w:sz w:val="24"/>
          <w:lang w:val="zh-CN"/>
        </w:rPr>
        <w:t>根据招标文件采购要求自行草拟。</w:t>
      </w:r>
    </w:p>
    <w:p>
      <w:pPr>
        <w:autoSpaceDE w:val="0"/>
        <w:autoSpaceDN w:val="0"/>
        <w:snapToGrid w:val="0"/>
        <w:spacing w:line="360" w:lineRule="auto"/>
        <w:ind w:firstLine="5160" w:firstLineChars="2150"/>
        <w:rPr>
          <w:rFonts w:ascii="宋体" w:hAnsi="宋体" w:cs="仿宋_GB2312"/>
          <w:color w:val="000000"/>
          <w:kern w:val="0"/>
          <w:sz w:val="24"/>
          <w:lang w:val="zh-CN"/>
        </w:rPr>
      </w:pPr>
    </w:p>
    <w:p>
      <w:pPr>
        <w:autoSpaceDE w:val="0"/>
        <w:autoSpaceDN w:val="0"/>
        <w:snapToGrid w:val="0"/>
        <w:spacing w:line="360" w:lineRule="auto"/>
        <w:ind w:firstLine="5160" w:firstLineChars="2150"/>
        <w:rPr>
          <w:rFonts w:ascii="宋体" w:hAnsi="宋体"/>
          <w:color w:val="000000"/>
          <w:kern w:val="0"/>
          <w:sz w:val="24"/>
        </w:rPr>
      </w:pPr>
      <w:r>
        <w:rPr>
          <w:rFonts w:hint="eastAsia" w:ascii="宋体" w:hAnsi="宋体" w:cs="仿宋_GB2312"/>
          <w:color w:val="000000"/>
          <w:kern w:val="0"/>
          <w:sz w:val="24"/>
          <w:lang w:val="zh-CN"/>
        </w:rPr>
        <w:t xml:space="preserve">投标人名称（公章）：      </w:t>
      </w:r>
    </w:p>
    <w:p>
      <w:pPr>
        <w:autoSpaceDE w:val="0"/>
        <w:autoSpaceDN w:val="0"/>
        <w:snapToGrid w:val="0"/>
        <w:spacing w:line="360" w:lineRule="auto"/>
        <w:rPr>
          <w:rFonts w:ascii="宋体" w:hAnsi="宋体" w:cs="仿宋_GB2312"/>
          <w:color w:val="000000"/>
          <w:kern w:val="0"/>
          <w:sz w:val="24"/>
          <w:lang w:val="zh-CN"/>
        </w:rPr>
      </w:pPr>
      <w:r>
        <w:rPr>
          <w:rFonts w:hint="eastAsia" w:ascii="宋体" w:hAnsi="宋体" w:cs="仿宋_GB2312"/>
          <w:color w:val="000000"/>
          <w:kern w:val="0"/>
          <w:sz w:val="24"/>
          <w:lang w:val="zh-CN"/>
        </w:rPr>
        <w:t xml:space="preserve">                                          </w:t>
      </w: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日期： 年  月   日</w:t>
      </w:r>
    </w:p>
    <w:p>
      <w:pPr>
        <w:pStyle w:val="88"/>
      </w:pPr>
    </w:p>
    <w:p>
      <w:pPr>
        <w:tabs>
          <w:tab w:val="left" w:pos="930"/>
        </w:tabs>
        <w:autoSpaceDE w:val="0"/>
        <w:autoSpaceDN w:val="0"/>
        <w:snapToGrid w:val="0"/>
        <w:spacing w:line="360" w:lineRule="auto"/>
        <w:ind w:firstLine="1024" w:firstLineChars="427"/>
        <w:rPr>
          <w:rFonts w:ascii="宋体" w:hAnsi="宋体"/>
          <w:color w:val="000000"/>
          <w:kern w:val="0"/>
          <w:sz w:val="24"/>
          <w:lang w:val="zh-CN"/>
        </w:rPr>
      </w:pPr>
    </w:p>
    <w:p>
      <w:pPr>
        <w:pStyle w:val="31"/>
        <w:snapToGrid w:val="0"/>
        <w:spacing w:line="360" w:lineRule="auto"/>
        <w:rPr>
          <w:rFonts w:ascii="宋体" w:hAnsi="宋体" w:eastAsia="宋体"/>
          <w:color w:val="000000"/>
          <w:lang w:val="zh-CN"/>
        </w:rPr>
      </w:pPr>
    </w:p>
    <w:p>
      <w:pPr>
        <w:snapToGrid w:val="0"/>
        <w:spacing w:line="360" w:lineRule="auto"/>
        <w:ind w:left="570"/>
        <w:jc w:val="center"/>
        <w:rPr>
          <w:rFonts w:ascii="宋体" w:hAnsi="宋体"/>
          <w:b/>
          <w:color w:val="000000"/>
          <w:sz w:val="32"/>
          <w:szCs w:val="32"/>
        </w:rPr>
      </w:pPr>
      <w:bookmarkStart w:id="520" w:name="_Toc7434"/>
    </w:p>
    <w:p>
      <w:pPr>
        <w:snapToGrid w:val="0"/>
        <w:spacing w:line="360" w:lineRule="auto"/>
        <w:ind w:left="570"/>
        <w:jc w:val="center"/>
        <w:rPr>
          <w:rFonts w:ascii="宋体" w:hAnsi="宋体"/>
          <w:b/>
          <w:color w:val="000000"/>
          <w:sz w:val="32"/>
          <w:szCs w:val="32"/>
        </w:rPr>
      </w:pPr>
    </w:p>
    <w:p>
      <w:pPr>
        <w:snapToGrid w:val="0"/>
        <w:spacing w:line="360" w:lineRule="auto"/>
        <w:ind w:left="570"/>
        <w:jc w:val="center"/>
        <w:outlineLvl w:val="0"/>
        <w:rPr>
          <w:rFonts w:ascii="宋体" w:hAnsi="宋体" w:cs="宋体"/>
          <w:b/>
          <w:color w:val="000000"/>
          <w:sz w:val="32"/>
          <w:szCs w:val="32"/>
          <w:lang w:val="zh-CN"/>
        </w:rPr>
      </w:pPr>
      <w:bookmarkStart w:id="521" w:name="_Toc13277"/>
      <w:bookmarkStart w:id="522" w:name="_Toc1280"/>
      <w:bookmarkStart w:id="523" w:name="_Toc458"/>
      <w:r>
        <w:rPr>
          <w:rFonts w:hint="eastAsia" w:ascii="宋体" w:hAnsi="宋体"/>
          <w:b/>
          <w:color w:val="000000"/>
          <w:sz w:val="32"/>
          <w:szCs w:val="32"/>
        </w:rPr>
        <w:t>八、</w:t>
      </w:r>
      <w:r>
        <w:rPr>
          <w:rFonts w:hint="eastAsia" w:ascii="宋体" w:hAnsi="宋体" w:cs="宋体"/>
          <w:b/>
          <w:color w:val="000000"/>
          <w:sz w:val="32"/>
          <w:szCs w:val="32"/>
          <w:lang w:val="zh-CN"/>
        </w:rPr>
        <w:t>商务技术偏离表</w:t>
      </w:r>
      <w:bookmarkEnd w:id="520"/>
      <w:bookmarkEnd w:id="521"/>
      <w:bookmarkEnd w:id="522"/>
      <w:bookmarkEnd w:id="523"/>
    </w:p>
    <w:p>
      <w:pPr>
        <w:snapToGrid w:val="0"/>
        <w:spacing w:line="360" w:lineRule="auto"/>
        <w:ind w:firstLine="210" w:firstLineChars="100"/>
        <w:rPr>
          <w:rFonts w:ascii="宋体" w:hAnsi="宋体" w:cs="宋体"/>
          <w:color w:val="000000"/>
          <w:szCs w:val="21"/>
        </w:rPr>
      </w:pPr>
      <w:r>
        <w:rPr>
          <w:rFonts w:hint="eastAsia" w:ascii="宋体" w:hAnsi="宋体" w:cs="宋体"/>
          <w:color w:val="000000"/>
          <w:szCs w:val="21"/>
        </w:rPr>
        <w:t xml:space="preserve">项目名称：                                         招标编号：                                                          </w:t>
      </w:r>
    </w:p>
    <w:tbl>
      <w:tblPr>
        <w:tblStyle w:val="78"/>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40"/>
        <w:gridCol w:w="1782"/>
        <w:gridCol w:w="2079"/>
        <w:gridCol w:w="23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sz w:val="24"/>
                <w:szCs w:val="22"/>
              </w:rPr>
            </w:pPr>
            <w:r>
              <w:rPr>
                <w:rFonts w:hint="eastAsia" w:ascii="Calibri" w:hAnsi="Calibri"/>
                <w:sz w:val="24"/>
                <w:szCs w:val="22"/>
              </w:rPr>
              <w:t>招标文件要求</w:t>
            </w:r>
          </w:p>
        </w:tc>
        <w:tc>
          <w:tcPr>
            <w:tcW w:w="1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sz w:val="24"/>
                <w:szCs w:val="22"/>
              </w:rPr>
            </w:pPr>
            <w:r>
              <w:rPr>
                <w:rFonts w:hint="eastAsia" w:ascii="Calibri" w:hAnsi="Calibri"/>
                <w:sz w:val="24"/>
                <w:szCs w:val="22"/>
              </w:rPr>
              <w:t>投标文件响应</w:t>
            </w:r>
          </w:p>
        </w:tc>
        <w:tc>
          <w:tcPr>
            <w:tcW w:w="20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sz w:val="24"/>
                <w:szCs w:val="22"/>
              </w:rPr>
            </w:pPr>
            <w:r>
              <w:rPr>
                <w:rFonts w:hint="eastAsia" w:ascii="Calibri" w:hAnsi="Calibri"/>
                <w:sz w:val="24"/>
                <w:szCs w:val="22"/>
              </w:rPr>
              <w:t>偏离</w:t>
            </w:r>
          </w:p>
        </w:tc>
        <w:tc>
          <w:tcPr>
            <w:tcW w:w="23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sz w:val="24"/>
                <w:szCs w:val="22"/>
              </w:rPr>
            </w:pPr>
            <w:r>
              <w:rPr>
                <w:rFonts w:hint="eastAsia" w:ascii="Calibri" w:hAnsi="Calibri"/>
                <w:sz w:val="24"/>
                <w:szCs w:val="22"/>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304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178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207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237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304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178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207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237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304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178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207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c>
          <w:tcPr>
            <w:tcW w:w="237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sz w:val="24"/>
                <w:szCs w:val="22"/>
              </w:rPr>
            </w:pPr>
          </w:p>
        </w:tc>
      </w:tr>
    </w:tbl>
    <w:p>
      <w:pPr>
        <w:snapToGrid w:val="0"/>
        <w:spacing w:line="360" w:lineRule="auto"/>
        <w:ind w:firstLine="241" w:firstLineChars="100"/>
        <w:rPr>
          <w:rFonts w:ascii="宋体" w:hAnsi="宋体"/>
          <w:b/>
          <w:bCs/>
          <w:color w:val="000000"/>
          <w:sz w:val="24"/>
        </w:rPr>
      </w:pPr>
      <w:r>
        <w:rPr>
          <w:rFonts w:hint="eastAsia" w:ascii="宋体" w:hAnsi="宋体"/>
          <w:b/>
          <w:bCs/>
          <w:color w:val="000000"/>
          <w:sz w:val="24"/>
        </w:rPr>
        <w:t>注：商务技术无偏离的可在“投标文件响应”栏填写：响应招标文件要求即可，并加盖投标单位公章。其中</w:t>
      </w:r>
      <w:r>
        <w:rPr>
          <w:rFonts w:hint="eastAsia" w:ascii="宋体" w:hAnsi="宋体" w:cs="宋体"/>
          <w:b/>
          <w:bCs/>
          <w:sz w:val="24"/>
        </w:rPr>
        <w:t>带“▲”条款系指实质性要求条款，如未填入此表，即默认同意或认可。</w:t>
      </w:r>
    </w:p>
    <w:p>
      <w:pPr>
        <w:autoSpaceDE w:val="0"/>
        <w:autoSpaceDN w:val="0"/>
        <w:snapToGrid w:val="0"/>
        <w:spacing w:line="360" w:lineRule="auto"/>
        <w:ind w:firstLine="5400" w:firstLineChars="2250"/>
        <w:rPr>
          <w:rFonts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ind w:left="5387" w:leftChars="2508" w:hanging="120" w:hangingChars="50"/>
        <w:rPr>
          <w:rFonts w:ascii="宋体" w:hAnsi="宋体" w:cs="宋体"/>
          <w:color w:val="000000"/>
          <w:kern w:val="0"/>
          <w:sz w:val="24"/>
          <w:lang w:val="zh-CN"/>
        </w:rPr>
      </w:pPr>
      <w:r>
        <w:rPr>
          <w:rFonts w:hint="eastAsia" w:ascii="宋体" w:hAnsi="宋体" w:cs="宋体"/>
          <w:color w:val="000000"/>
          <w:kern w:val="0"/>
          <w:sz w:val="24"/>
          <w:lang w:val="zh-CN"/>
        </w:rPr>
        <w:t>日期：   年  月   日</w:t>
      </w:r>
    </w:p>
    <w:p>
      <w:pPr>
        <w:autoSpaceDE w:val="0"/>
        <w:autoSpaceDN w:val="0"/>
        <w:snapToGrid w:val="0"/>
        <w:spacing w:line="360" w:lineRule="auto"/>
        <w:ind w:firstLine="5160" w:firstLineChars="2150"/>
        <w:rPr>
          <w:rFonts w:ascii="宋体" w:hAnsi="宋体" w:cs="宋体"/>
          <w:color w:val="000000"/>
          <w:kern w:val="0"/>
          <w:sz w:val="24"/>
          <w:lang w:val="zh-CN"/>
        </w:rPr>
      </w:pPr>
    </w:p>
    <w:p>
      <w:pPr>
        <w:rPr>
          <w:lang w:val="zh-CN"/>
        </w:rPr>
      </w:pPr>
      <w:bookmarkStart w:id="524" w:name="_Toc26795"/>
    </w:p>
    <w:p>
      <w:pPr>
        <w:pStyle w:val="19"/>
        <w:rPr>
          <w:lang w:val="zh-CN"/>
        </w:rPr>
      </w:pPr>
    </w:p>
    <w:p>
      <w:pPr>
        <w:rPr>
          <w:lang w:val="zh-CN"/>
        </w:rPr>
      </w:pPr>
    </w:p>
    <w:p>
      <w:pPr>
        <w:pStyle w:val="77"/>
        <w:rPr>
          <w:lang w:val="zh-CN"/>
        </w:rPr>
      </w:pPr>
    </w:p>
    <w:p>
      <w:pPr>
        <w:pStyle w:val="77"/>
        <w:rPr>
          <w:lang w:val="zh-CN"/>
        </w:rPr>
      </w:pPr>
    </w:p>
    <w:p>
      <w:pPr>
        <w:rPr>
          <w:lang w:val="zh-CN"/>
        </w:rPr>
      </w:pPr>
    </w:p>
    <w:p>
      <w:pPr>
        <w:pStyle w:val="19"/>
        <w:rPr>
          <w:lang w:val="zh-CN"/>
        </w:rPr>
      </w:pPr>
    </w:p>
    <w:p>
      <w:pPr>
        <w:rPr>
          <w:lang w:val="zh-CN"/>
        </w:rPr>
      </w:pPr>
    </w:p>
    <w:p>
      <w:pPr>
        <w:pStyle w:val="77"/>
        <w:rPr>
          <w:lang w:val="zh-CN"/>
        </w:rPr>
      </w:pPr>
    </w:p>
    <w:p>
      <w:pPr>
        <w:rPr>
          <w:lang w:val="zh-CN"/>
        </w:rPr>
      </w:pPr>
    </w:p>
    <w:p>
      <w:pPr>
        <w:pStyle w:val="40"/>
        <w:snapToGrid w:val="0"/>
        <w:spacing w:line="360" w:lineRule="auto"/>
        <w:ind w:firstLine="643" w:firstLineChars="200"/>
        <w:jc w:val="center"/>
        <w:outlineLvl w:val="0"/>
        <w:rPr>
          <w:rFonts w:ascii="宋体" w:hAnsi="宋体" w:eastAsia="宋体" w:cs="宋体"/>
          <w:b/>
          <w:color w:val="000000"/>
          <w:sz w:val="32"/>
          <w:szCs w:val="32"/>
          <w:lang w:val="zh-CN"/>
        </w:rPr>
      </w:pPr>
      <w:bookmarkStart w:id="525" w:name="_Toc31015"/>
      <w:bookmarkStart w:id="526" w:name="_Toc31438"/>
      <w:bookmarkStart w:id="527" w:name="_Toc1509"/>
      <w:bookmarkStart w:id="528" w:name="_Toc5948"/>
      <w:r>
        <w:rPr>
          <w:rFonts w:hint="eastAsia" w:ascii="宋体" w:hAnsi="宋体" w:eastAsia="宋体" w:cs="宋体"/>
          <w:b/>
          <w:color w:val="000000"/>
          <w:sz w:val="32"/>
          <w:szCs w:val="32"/>
          <w:lang w:val="zh-CN"/>
        </w:rPr>
        <w:t>九、其他必要提供的资料</w:t>
      </w:r>
      <w:bookmarkEnd w:id="524"/>
      <w:bookmarkEnd w:id="525"/>
      <w:bookmarkEnd w:id="526"/>
      <w:bookmarkEnd w:id="527"/>
      <w:bookmarkEnd w:id="528"/>
    </w:p>
    <w:p>
      <w:pPr>
        <w:tabs>
          <w:tab w:val="left" w:pos="930"/>
        </w:tabs>
        <w:autoSpaceDE w:val="0"/>
        <w:autoSpaceDN w:val="0"/>
        <w:snapToGrid w:val="0"/>
        <w:spacing w:line="360" w:lineRule="auto"/>
        <w:ind w:firstLine="2462" w:firstLineChars="1026"/>
        <w:rPr>
          <w:rFonts w:ascii="宋体" w:hAnsi="宋体"/>
          <w:color w:val="000000"/>
          <w:kern w:val="0"/>
          <w:sz w:val="24"/>
          <w:lang w:val="zh-CN"/>
        </w:rPr>
      </w:pPr>
      <w:r>
        <w:rPr>
          <w:rFonts w:hint="eastAsia" w:ascii="宋体" w:hAnsi="宋体"/>
          <w:color w:val="000000"/>
          <w:kern w:val="0"/>
          <w:sz w:val="24"/>
          <w:lang w:val="zh-CN"/>
        </w:rPr>
        <w:t>根据招标文件采购要求自行草拟。</w:t>
      </w:r>
    </w:p>
    <w:p>
      <w:pPr>
        <w:shd w:val="clear" w:color="auto" w:fill="FFFFFF"/>
        <w:snapToGrid w:val="0"/>
        <w:spacing w:line="360" w:lineRule="auto"/>
        <w:jc w:val="center"/>
        <w:rPr>
          <w:rFonts w:ascii="宋体" w:hAnsi="宋体" w:cs="宋体"/>
          <w:b/>
          <w:bCs/>
          <w:color w:val="000000"/>
          <w:sz w:val="24"/>
        </w:rPr>
      </w:pPr>
    </w:p>
    <w:p>
      <w:pPr>
        <w:shd w:val="clear" w:color="auto" w:fill="FFFFFF"/>
        <w:snapToGrid w:val="0"/>
        <w:spacing w:line="360" w:lineRule="auto"/>
        <w:ind w:firstLine="5160" w:firstLineChars="2150"/>
        <w:rPr>
          <w:rFonts w:ascii="宋体" w:hAnsi="宋体" w:cs="宋体"/>
          <w:color w:val="000000"/>
          <w:kern w:val="0"/>
          <w:sz w:val="24"/>
        </w:rPr>
      </w:pPr>
      <w:r>
        <w:rPr>
          <w:rFonts w:hint="eastAsia" w:ascii="宋体" w:hAnsi="宋体" w:cs="宋体"/>
          <w:color w:val="000000"/>
          <w:kern w:val="0"/>
          <w:sz w:val="24"/>
          <w:lang w:val="zh-CN"/>
        </w:rPr>
        <w:t xml:space="preserve">投标人名称（公章）：      </w:t>
      </w:r>
    </w:p>
    <w:p>
      <w:pPr>
        <w:shd w:val="clear" w:color="auto" w:fill="FFFFFF"/>
        <w:snapToGrid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shd w:val="clear" w:color="auto" w:fill="FFFFFF"/>
        <w:snapToGrid w:val="0"/>
        <w:spacing w:line="360" w:lineRule="auto"/>
        <w:ind w:firstLine="5160" w:firstLineChars="2150"/>
        <w:rPr>
          <w:rFonts w:ascii="宋体" w:hAnsi="宋体" w:cs="宋体"/>
          <w:color w:val="000000"/>
          <w:kern w:val="0"/>
          <w:sz w:val="24"/>
          <w:lang w:val="zh-CN"/>
        </w:rPr>
      </w:pPr>
      <w:r>
        <w:rPr>
          <w:rFonts w:hint="eastAsia" w:ascii="宋体" w:hAnsi="宋体" w:cs="宋体"/>
          <w:color w:val="000000"/>
          <w:kern w:val="0"/>
          <w:sz w:val="24"/>
          <w:lang w:val="zh-CN"/>
        </w:rPr>
        <w:t>日期：   年  月   日</w:t>
      </w:r>
    </w:p>
    <w:p>
      <w:pPr>
        <w:pStyle w:val="77"/>
        <w:spacing w:line="360" w:lineRule="auto"/>
        <w:ind w:firstLine="482"/>
        <w:rPr>
          <w:rFonts w:ascii="宋体" w:hAnsi="宋体" w:cs="宋体"/>
          <w:b/>
          <w:bCs/>
          <w:color w:val="000000"/>
          <w:kern w:val="0"/>
          <w:sz w:val="24"/>
        </w:rPr>
      </w:pPr>
    </w:p>
    <w:p>
      <w:pPr>
        <w:pStyle w:val="77"/>
        <w:spacing w:line="360" w:lineRule="auto"/>
        <w:ind w:firstLine="482"/>
        <w:rPr>
          <w:rFonts w:ascii="宋体" w:hAnsi="宋体" w:cs="宋体"/>
          <w:b/>
          <w:bCs/>
          <w:color w:val="000000"/>
          <w:kern w:val="0"/>
          <w:sz w:val="24"/>
        </w:rPr>
      </w:pPr>
    </w:p>
    <w:p>
      <w:pPr>
        <w:pStyle w:val="77"/>
        <w:spacing w:line="360" w:lineRule="auto"/>
        <w:ind w:firstLine="482"/>
        <w:rPr>
          <w:rFonts w:ascii="宋体" w:hAnsi="宋体" w:cs="宋体"/>
          <w:b/>
          <w:bCs/>
          <w:color w:val="000000"/>
          <w:kern w:val="0"/>
          <w:sz w:val="24"/>
        </w:rPr>
      </w:pPr>
    </w:p>
    <w:p>
      <w:pPr>
        <w:pStyle w:val="77"/>
        <w:spacing w:line="360" w:lineRule="auto"/>
        <w:ind w:firstLine="482"/>
        <w:rPr>
          <w:rFonts w:ascii="宋体" w:hAnsi="宋体" w:cs="宋体"/>
          <w:b/>
          <w:bCs/>
          <w:color w:val="000000"/>
          <w:kern w:val="0"/>
          <w:sz w:val="24"/>
        </w:rPr>
      </w:pPr>
    </w:p>
    <w:p>
      <w:pPr>
        <w:rPr>
          <w:lang w:val="zh-CN"/>
        </w:rPr>
      </w:pPr>
    </w:p>
    <w:p>
      <w:pPr>
        <w:pStyle w:val="40"/>
        <w:snapToGrid w:val="0"/>
        <w:spacing w:line="360" w:lineRule="auto"/>
        <w:ind w:firstLine="643" w:firstLineChars="200"/>
        <w:jc w:val="center"/>
        <w:outlineLvl w:val="0"/>
        <w:rPr>
          <w:rFonts w:ascii="宋体" w:hAnsi="宋体" w:eastAsia="宋体" w:cs="宋体"/>
          <w:b/>
          <w:color w:val="000000"/>
          <w:sz w:val="32"/>
          <w:szCs w:val="32"/>
          <w:lang w:val="zh-CN"/>
        </w:rPr>
      </w:pPr>
      <w:bookmarkStart w:id="529" w:name="_Toc2108"/>
      <w:bookmarkStart w:id="530" w:name="_Toc6416"/>
      <w:bookmarkStart w:id="531" w:name="_Toc4105"/>
      <w:bookmarkStart w:id="532" w:name="_Toc30747"/>
      <w:r>
        <w:rPr>
          <w:rFonts w:hint="eastAsia" w:ascii="宋体" w:hAnsi="宋体" w:eastAsia="宋体" w:cs="宋体"/>
          <w:b/>
          <w:color w:val="000000"/>
          <w:sz w:val="32"/>
          <w:szCs w:val="32"/>
          <w:lang w:val="zh-CN"/>
        </w:rPr>
        <w:t>十、对应商务技术评分细则提供相关证明资料</w:t>
      </w:r>
      <w:bookmarkEnd w:id="529"/>
      <w:bookmarkEnd w:id="530"/>
      <w:bookmarkEnd w:id="531"/>
      <w:bookmarkEnd w:id="532"/>
    </w:p>
    <w:bookmarkEnd w:id="367"/>
    <w:p>
      <w:pPr>
        <w:jc w:val="center"/>
        <w:rPr>
          <w:rFonts w:cs="宋体"/>
          <w:b/>
          <w:kern w:val="1"/>
          <w:sz w:val="32"/>
          <w:szCs w:val="32"/>
        </w:rPr>
      </w:pPr>
      <w:bookmarkStart w:id="533" w:name="_Toc20887"/>
    </w:p>
    <w:p>
      <w:pPr>
        <w:tabs>
          <w:tab w:val="left" w:pos="930"/>
        </w:tabs>
        <w:autoSpaceDE w:val="0"/>
        <w:autoSpaceDN w:val="0"/>
        <w:snapToGrid w:val="0"/>
        <w:spacing w:line="360" w:lineRule="auto"/>
        <w:ind w:firstLine="1982" w:firstLineChars="826"/>
        <w:rPr>
          <w:rFonts w:ascii="宋体" w:hAnsi="宋体"/>
          <w:color w:val="000000"/>
          <w:kern w:val="0"/>
          <w:sz w:val="24"/>
          <w:lang w:val="zh-CN"/>
        </w:rPr>
      </w:pPr>
      <w:r>
        <w:rPr>
          <w:rFonts w:hint="eastAsia" w:ascii="宋体" w:hAnsi="宋体"/>
          <w:color w:val="000000"/>
          <w:kern w:val="0"/>
          <w:sz w:val="24"/>
          <w:lang w:val="zh-CN"/>
        </w:rPr>
        <w:t>根据招标文件采购要求自行草拟。</w:t>
      </w:r>
    </w:p>
    <w:p>
      <w:pPr>
        <w:shd w:val="clear" w:color="auto" w:fill="FFFFFF"/>
        <w:snapToGrid w:val="0"/>
        <w:spacing w:line="360" w:lineRule="auto"/>
        <w:jc w:val="center"/>
        <w:rPr>
          <w:rFonts w:ascii="宋体" w:hAnsi="宋体" w:cs="宋体"/>
          <w:b/>
          <w:bCs/>
          <w:color w:val="000000"/>
          <w:sz w:val="24"/>
        </w:rPr>
      </w:pPr>
    </w:p>
    <w:p>
      <w:pPr>
        <w:jc w:val="center"/>
        <w:rPr>
          <w:rFonts w:cs="宋体"/>
          <w:b/>
          <w:kern w:val="1"/>
          <w:sz w:val="32"/>
          <w:szCs w:val="32"/>
        </w:rPr>
      </w:pPr>
    </w:p>
    <w:p>
      <w:pPr>
        <w:pStyle w:val="88"/>
        <w:rPr>
          <w:rFonts w:cs="宋体"/>
          <w:b/>
          <w:kern w:val="1"/>
          <w:sz w:val="32"/>
          <w:szCs w:val="32"/>
        </w:rPr>
      </w:pPr>
    </w:p>
    <w:p>
      <w:pPr>
        <w:pStyle w:val="88"/>
        <w:rPr>
          <w:rFonts w:cs="宋体"/>
          <w:b/>
          <w:kern w:val="1"/>
          <w:sz w:val="32"/>
          <w:szCs w:val="32"/>
        </w:rPr>
      </w:pPr>
    </w:p>
    <w:p>
      <w:pPr>
        <w:pStyle w:val="88"/>
        <w:rPr>
          <w:rFonts w:cs="宋体"/>
          <w:b/>
          <w:kern w:val="1"/>
          <w:sz w:val="32"/>
          <w:szCs w:val="32"/>
        </w:rPr>
      </w:pPr>
    </w:p>
    <w:p>
      <w:pPr>
        <w:pStyle w:val="88"/>
        <w:rPr>
          <w:rFonts w:cs="宋体"/>
          <w:b/>
          <w:kern w:val="1"/>
          <w:sz w:val="32"/>
          <w:szCs w:val="32"/>
        </w:rPr>
      </w:pPr>
    </w:p>
    <w:p>
      <w:pPr>
        <w:pStyle w:val="88"/>
        <w:rPr>
          <w:rFonts w:cs="宋体"/>
          <w:b/>
          <w:kern w:val="1"/>
          <w:sz w:val="32"/>
          <w:szCs w:val="32"/>
        </w:rPr>
      </w:pPr>
    </w:p>
    <w:p>
      <w:pPr>
        <w:pStyle w:val="88"/>
        <w:rPr>
          <w:rFonts w:cs="宋体"/>
          <w:b/>
          <w:kern w:val="1"/>
          <w:sz w:val="32"/>
          <w:szCs w:val="32"/>
        </w:rPr>
      </w:pPr>
    </w:p>
    <w:p>
      <w:pPr>
        <w:jc w:val="center"/>
        <w:outlineLvl w:val="0"/>
        <w:rPr>
          <w:rFonts w:ascii="宋体" w:hAnsi="宋体" w:cs="宋体"/>
          <w:b/>
          <w:kern w:val="1"/>
          <w:sz w:val="32"/>
          <w:szCs w:val="32"/>
        </w:rPr>
      </w:pPr>
      <w:bookmarkStart w:id="534" w:name="_Toc18893"/>
      <w:r>
        <w:rPr>
          <w:rFonts w:hint="eastAsia" w:cs="宋体"/>
          <w:b/>
          <w:kern w:val="1"/>
          <w:sz w:val="32"/>
          <w:szCs w:val="32"/>
        </w:rPr>
        <w:t>十一、评分响应表</w:t>
      </w:r>
      <w:r>
        <w:rPr>
          <w:rFonts w:ascii="宋体" w:hAnsi="宋体" w:cs="宋体"/>
          <w:b/>
          <w:kern w:val="1"/>
          <w:sz w:val="32"/>
          <w:szCs w:val="32"/>
        </w:rPr>
        <w:t>（放于投标文件</w:t>
      </w:r>
      <w:r>
        <w:rPr>
          <w:rFonts w:hint="eastAsia" w:ascii="宋体" w:hAnsi="宋体" w:cs="宋体"/>
          <w:b/>
          <w:kern w:val="1"/>
          <w:sz w:val="32"/>
          <w:szCs w:val="32"/>
        </w:rPr>
        <w:t>目录后</w:t>
      </w:r>
      <w:r>
        <w:rPr>
          <w:rFonts w:ascii="宋体" w:hAnsi="宋体" w:cs="宋体"/>
          <w:b/>
          <w:kern w:val="1"/>
          <w:sz w:val="32"/>
          <w:szCs w:val="32"/>
        </w:rPr>
        <w:t>首页）</w:t>
      </w:r>
      <w:bookmarkEnd w:id="534"/>
    </w:p>
    <w:p>
      <w:pPr>
        <w:pStyle w:val="40"/>
        <w:ind w:firstLine="3000"/>
        <w:rPr>
          <w:rFonts w:cs="宋体"/>
          <w:b/>
          <w:kern w:val="1"/>
          <w:sz w:val="32"/>
          <w:szCs w:val="32"/>
        </w:rPr>
      </w:pPr>
    </w:p>
    <w:p>
      <w:pPr>
        <w:spacing w:line="440" w:lineRule="exact"/>
        <w:jc w:val="left"/>
        <w:rPr>
          <w:rFonts w:ascii="宋体" w:hAnsi="宋体" w:cs="宋体"/>
          <w:sz w:val="24"/>
        </w:rPr>
      </w:pPr>
      <w:r>
        <w:rPr>
          <w:rFonts w:hint="eastAsia" w:ascii="宋体" w:hAnsi="宋体" w:cs="宋体"/>
          <w:sz w:val="24"/>
        </w:rPr>
        <w:t xml:space="preserve"> 项目名称：                                     招标编号：</w:t>
      </w:r>
    </w:p>
    <w:tbl>
      <w:tblPr>
        <w:tblStyle w:val="78"/>
        <w:tblW w:w="9170" w:type="dxa"/>
        <w:jc w:val="center"/>
        <w:tblLayout w:type="fixed"/>
        <w:tblCellMar>
          <w:top w:w="0" w:type="dxa"/>
          <w:left w:w="108" w:type="dxa"/>
          <w:bottom w:w="0" w:type="dxa"/>
          <w:right w:w="108" w:type="dxa"/>
        </w:tblCellMar>
      </w:tblPr>
      <w:tblGrid>
        <w:gridCol w:w="792"/>
        <w:gridCol w:w="1743"/>
        <w:gridCol w:w="2741"/>
        <w:gridCol w:w="1167"/>
        <w:gridCol w:w="2727"/>
      </w:tblGrid>
      <w:tr>
        <w:tblPrEx>
          <w:tblCellMar>
            <w:top w:w="0" w:type="dxa"/>
            <w:left w:w="108" w:type="dxa"/>
            <w:bottom w:w="0" w:type="dxa"/>
            <w:right w:w="108" w:type="dxa"/>
          </w:tblCellMar>
        </w:tblPrEx>
        <w:trPr>
          <w:trHeight w:val="466"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Style w:val="62"/>
              <w:ind w:firstLine="0"/>
              <w:jc w:val="center"/>
              <w:rPr>
                <w:rFonts w:ascii="Calibri" w:hAnsi="Calibri"/>
                <w:b/>
                <w:kern w:val="1"/>
                <w:sz w:val="24"/>
                <w:szCs w:val="24"/>
              </w:rPr>
            </w:pPr>
            <w:r>
              <w:rPr>
                <w:rFonts w:hint="eastAsia" w:ascii="Calibri" w:hAnsi="Calibri"/>
                <w:b/>
                <w:kern w:val="1"/>
                <w:sz w:val="24"/>
                <w:szCs w:val="24"/>
              </w:rPr>
              <w:t>序号</w:t>
            </w:r>
          </w:p>
        </w:tc>
        <w:tc>
          <w:tcPr>
            <w:tcW w:w="1743" w:type="dxa"/>
            <w:tcBorders>
              <w:top w:val="single" w:color="000000" w:sz="4" w:space="0"/>
              <w:left w:val="single" w:color="000000" w:sz="4" w:space="0"/>
              <w:bottom w:val="single" w:color="000000" w:sz="4" w:space="0"/>
              <w:right w:val="single" w:color="000000" w:sz="4" w:space="0"/>
            </w:tcBorders>
            <w:vAlign w:val="center"/>
          </w:tcPr>
          <w:p>
            <w:pPr>
              <w:pStyle w:val="62"/>
              <w:ind w:firstLine="0"/>
              <w:jc w:val="center"/>
              <w:rPr>
                <w:rFonts w:ascii="Calibri" w:hAnsi="Calibri"/>
                <w:b/>
                <w:kern w:val="1"/>
                <w:sz w:val="24"/>
                <w:szCs w:val="24"/>
              </w:rPr>
            </w:pPr>
            <w:r>
              <w:rPr>
                <w:rFonts w:hint="eastAsia" w:ascii="Calibri" w:hAnsi="Calibri"/>
                <w:b/>
                <w:kern w:val="1"/>
                <w:sz w:val="24"/>
                <w:szCs w:val="24"/>
              </w:rPr>
              <w:t>评审内容</w:t>
            </w:r>
          </w:p>
        </w:tc>
        <w:tc>
          <w:tcPr>
            <w:tcW w:w="2741"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b/>
                <w:kern w:val="1"/>
                <w:sz w:val="24"/>
                <w:szCs w:val="24"/>
              </w:rPr>
            </w:pPr>
            <w:r>
              <w:rPr>
                <w:rFonts w:hint="eastAsia" w:ascii="Calibri" w:hAnsi="Calibri"/>
                <w:b/>
                <w:kern w:val="1"/>
                <w:sz w:val="24"/>
                <w:szCs w:val="24"/>
              </w:rPr>
              <w:t>评分标准</w:t>
            </w: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2"/>
              <w:ind w:firstLine="0"/>
              <w:jc w:val="center"/>
              <w:rPr>
                <w:rFonts w:ascii="Calibri" w:hAnsi="Calibri"/>
                <w:b/>
                <w:kern w:val="1"/>
                <w:sz w:val="24"/>
                <w:szCs w:val="24"/>
              </w:rPr>
            </w:pPr>
            <w:r>
              <w:rPr>
                <w:rFonts w:hint="eastAsia" w:ascii="Calibri" w:hAnsi="Calibri"/>
                <w:b/>
                <w:kern w:val="1"/>
                <w:sz w:val="24"/>
                <w:szCs w:val="24"/>
              </w:rPr>
              <w:t>分值</w:t>
            </w: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b/>
                <w:kern w:val="1"/>
                <w:sz w:val="24"/>
                <w:szCs w:val="24"/>
              </w:rPr>
            </w:pPr>
            <w:r>
              <w:rPr>
                <w:rFonts w:hint="eastAsia" w:ascii="Calibri" w:hAnsi="Calibri"/>
                <w:b/>
                <w:kern w:val="1"/>
                <w:sz w:val="24"/>
                <w:szCs w:val="24"/>
              </w:rPr>
              <w:t>页码</w:t>
            </w:r>
          </w:p>
        </w:tc>
      </w:tr>
      <w:tr>
        <w:tblPrEx>
          <w:tblCellMar>
            <w:top w:w="0" w:type="dxa"/>
            <w:left w:w="108" w:type="dxa"/>
            <w:bottom w:w="0" w:type="dxa"/>
            <w:right w:w="108" w:type="dxa"/>
          </w:tblCellMar>
        </w:tblPrEx>
        <w:trPr>
          <w:trHeight w:val="430"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Style w:val="62"/>
              <w:ind w:firstLine="240" w:firstLineChars="100"/>
              <w:jc w:val="center"/>
              <w:rPr>
                <w:rFonts w:ascii="Calibri" w:hAnsi="Calibri"/>
                <w:b/>
                <w:kern w:val="1"/>
                <w:sz w:val="24"/>
                <w:szCs w:val="24"/>
              </w:rPr>
            </w:pPr>
            <w:r>
              <w:rPr>
                <w:rFonts w:hint="eastAsia" w:ascii="Calibri" w:hAnsi="Calibri"/>
                <w:b/>
                <w:kern w:val="1"/>
                <w:sz w:val="24"/>
                <w:szCs w:val="24"/>
              </w:rPr>
              <w:t>一</w:t>
            </w:r>
          </w:p>
        </w:tc>
        <w:tc>
          <w:tcPr>
            <w:tcW w:w="1743" w:type="dxa"/>
            <w:tcBorders>
              <w:top w:val="single" w:color="000000" w:sz="4" w:space="0"/>
              <w:left w:val="single" w:color="000000" w:sz="4" w:space="0"/>
              <w:bottom w:val="single" w:color="000000" w:sz="4" w:space="0"/>
              <w:right w:val="single" w:color="000000" w:sz="4" w:space="0"/>
            </w:tcBorders>
            <w:vAlign w:val="center"/>
          </w:tcPr>
          <w:p>
            <w:pPr>
              <w:pStyle w:val="62"/>
              <w:ind w:firstLine="0"/>
              <w:jc w:val="center"/>
              <w:rPr>
                <w:rFonts w:ascii="Calibri" w:hAnsi="Calibri" w:eastAsia="宋体"/>
                <w:b/>
                <w:kern w:val="1"/>
                <w:sz w:val="24"/>
                <w:szCs w:val="24"/>
              </w:rPr>
            </w:pPr>
            <w:r>
              <w:rPr>
                <w:rFonts w:hint="eastAsia" w:ascii="Calibri" w:hAnsi="Calibri" w:eastAsia="宋体"/>
                <w:b/>
                <w:kern w:val="1"/>
                <w:sz w:val="24"/>
                <w:szCs w:val="24"/>
              </w:rPr>
              <w:t>根据评分细则</w:t>
            </w:r>
          </w:p>
        </w:tc>
        <w:tc>
          <w:tcPr>
            <w:tcW w:w="2741" w:type="dxa"/>
            <w:tcBorders>
              <w:top w:val="single" w:color="000000" w:sz="4" w:space="0"/>
              <w:left w:val="single" w:color="000000" w:sz="4" w:space="0"/>
              <w:bottom w:val="single" w:color="000000" w:sz="4" w:space="0"/>
              <w:right w:val="single" w:color="000000" w:sz="4" w:space="0"/>
            </w:tcBorders>
            <w:vAlign w:val="center"/>
          </w:tcPr>
          <w:p>
            <w:pPr>
              <w:pStyle w:val="62"/>
              <w:ind w:firstLine="482"/>
              <w:jc w:val="center"/>
              <w:rPr>
                <w:rFonts w:ascii="Calibri" w:hAnsi="Calibri"/>
                <w:b/>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b/>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b/>
                <w:kern w:val="1"/>
                <w:sz w:val="24"/>
                <w:szCs w:val="24"/>
              </w:rPr>
            </w:pPr>
          </w:p>
        </w:tc>
      </w:tr>
      <w:tr>
        <w:tblPrEx>
          <w:tblCellMar>
            <w:top w:w="0" w:type="dxa"/>
            <w:left w:w="108" w:type="dxa"/>
            <w:bottom w:w="0" w:type="dxa"/>
            <w:right w:w="108" w:type="dxa"/>
          </w:tblCellMar>
        </w:tblPrEx>
        <w:trPr>
          <w:cantSplit/>
          <w:trHeight w:val="574"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r>
              <w:rPr>
                <w:rFonts w:hint="eastAsia" w:ascii="宋体" w:hAnsi="宋体" w:cs="宋体"/>
                <w:kern w:val="1"/>
                <w:sz w:val="24"/>
                <w:szCs w:val="22"/>
              </w:rPr>
              <w:t>1</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c>
          <w:tcPr>
            <w:tcW w:w="2741" w:type="dxa"/>
            <w:tcBorders>
              <w:top w:val="single" w:color="000000" w:sz="4" w:space="0"/>
              <w:left w:val="single" w:color="000000" w:sz="4" w:space="0"/>
              <w:right w:val="single" w:color="000000" w:sz="4" w:space="0"/>
            </w:tcBorders>
            <w:vAlign w:val="center"/>
          </w:tcPr>
          <w:p>
            <w:pPr>
              <w:jc w:val="center"/>
              <w:rPr>
                <w:rFonts w:ascii="宋体" w:hAnsi="宋体" w:cs="宋体"/>
                <w:kern w:val="1"/>
                <w:sz w:val="24"/>
                <w:szCs w:val="22"/>
              </w:rPr>
            </w:pPr>
          </w:p>
        </w:tc>
        <w:tc>
          <w:tcPr>
            <w:tcW w:w="1167" w:type="dxa"/>
            <w:tcBorders>
              <w:top w:val="single" w:color="000000" w:sz="4" w:space="0"/>
              <w:left w:val="single" w:color="000000" w:sz="4" w:space="0"/>
              <w:right w:val="single" w:color="000000" w:sz="4" w:space="0"/>
            </w:tcBorders>
            <w:vAlign w:val="center"/>
          </w:tcPr>
          <w:p>
            <w:pPr>
              <w:jc w:val="center"/>
              <w:rPr>
                <w:rFonts w:ascii="宋体" w:hAnsi="宋体" w:cs="宋体"/>
                <w:kern w:val="1"/>
                <w:sz w:val="24"/>
                <w:szCs w:val="22"/>
              </w:rPr>
            </w:pPr>
          </w:p>
        </w:tc>
        <w:tc>
          <w:tcPr>
            <w:tcW w:w="2727" w:type="dxa"/>
            <w:tcBorders>
              <w:top w:val="single" w:color="000000" w:sz="4" w:space="0"/>
              <w:left w:val="single" w:color="000000" w:sz="4" w:space="0"/>
              <w:right w:val="single" w:color="000000" w:sz="4" w:space="0"/>
            </w:tcBorders>
            <w:vAlign w:val="center"/>
          </w:tcPr>
          <w:p>
            <w:pPr>
              <w:jc w:val="center"/>
              <w:rPr>
                <w:rFonts w:ascii="宋体" w:hAnsi="宋体" w:cs="宋体"/>
                <w:kern w:val="1"/>
                <w:sz w:val="24"/>
                <w:szCs w:val="22"/>
              </w:rPr>
            </w:pPr>
            <w:r>
              <w:rPr>
                <w:rFonts w:hint="eastAsia" w:ascii="宋体" w:hAnsi="宋体" w:cs="宋体"/>
                <w:kern w:val="1"/>
                <w:sz w:val="24"/>
                <w:szCs w:val="22"/>
              </w:rPr>
              <w:t>详见商务技术文件第几页</w:t>
            </w:r>
          </w:p>
        </w:tc>
      </w:tr>
      <w:tr>
        <w:tblPrEx>
          <w:tblCellMar>
            <w:top w:w="0" w:type="dxa"/>
            <w:left w:w="108" w:type="dxa"/>
            <w:bottom w:w="0" w:type="dxa"/>
            <w:right w:w="108" w:type="dxa"/>
          </w:tblCellMar>
        </w:tblPrEx>
        <w:trPr>
          <w:cantSplit/>
          <w:trHeight w:val="1046"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r>
              <w:rPr>
                <w:rFonts w:hint="eastAsia" w:ascii="宋体" w:hAnsi="宋体" w:cs="宋体"/>
                <w:kern w:val="1"/>
                <w:sz w:val="24"/>
                <w:szCs w:val="22"/>
              </w:rPr>
              <w:t>2</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41" w:type="dxa"/>
            <w:tcBorders>
              <w:top w:val="single" w:color="000000" w:sz="4" w:space="0"/>
              <w:left w:val="single" w:color="000000" w:sz="4" w:space="0"/>
              <w:right w:val="single" w:color="000000" w:sz="4" w:space="0"/>
            </w:tcBorders>
            <w:vAlign w:val="center"/>
          </w:tcPr>
          <w:p>
            <w:pPr>
              <w:widowControl/>
              <w:jc w:val="center"/>
              <w:rPr>
                <w:rFonts w:ascii="宋体" w:hAnsi="宋体" w:cs="宋体"/>
                <w:sz w:val="24"/>
                <w:szCs w:val="22"/>
              </w:rPr>
            </w:pPr>
          </w:p>
        </w:tc>
        <w:tc>
          <w:tcPr>
            <w:tcW w:w="1167" w:type="dxa"/>
            <w:tcBorders>
              <w:top w:val="single" w:color="000000" w:sz="4" w:space="0"/>
              <w:left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27" w:type="dxa"/>
            <w:tcBorders>
              <w:top w:val="single" w:color="000000" w:sz="4" w:space="0"/>
              <w:left w:val="single" w:color="000000" w:sz="4" w:space="0"/>
              <w:right w:val="single" w:color="000000" w:sz="4" w:space="0"/>
            </w:tcBorders>
            <w:vAlign w:val="center"/>
          </w:tcPr>
          <w:p>
            <w:pPr>
              <w:jc w:val="center"/>
              <w:rPr>
                <w:rFonts w:ascii="宋体" w:hAnsi="宋体" w:cs="宋体"/>
                <w:kern w:val="1"/>
                <w:sz w:val="24"/>
                <w:szCs w:val="22"/>
              </w:rPr>
            </w:pPr>
            <w:r>
              <w:rPr>
                <w:rFonts w:hint="eastAsia" w:ascii="宋体" w:hAnsi="宋体" w:cs="宋体"/>
                <w:kern w:val="1"/>
                <w:sz w:val="24"/>
                <w:szCs w:val="22"/>
              </w:rPr>
              <w:t>……</w:t>
            </w:r>
          </w:p>
        </w:tc>
      </w:tr>
      <w:tr>
        <w:tblPrEx>
          <w:tblCellMar>
            <w:top w:w="0" w:type="dxa"/>
            <w:left w:w="108" w:type="dxa"/>
            <w:bottom w:w="0" w:type="dxa"/>
            <w:right w:w="108" w:type="dxa"/>
          </w:tblCellMar>
        </w:tblPrEx>
        <w:trPr>
          <w:cantSplit/>
          <w:trHeight w:val="762" w:hRule="atLeast"/>
          <w:jc w:val="center"/>
        </w:trPr>
        <w:tc>
          <w:tcPr>
            <w:tcW w:w="792"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r>
              <w:rPr>
                <w:rFonts w:hint="eastAsia" w:ascii="宋体" w:hAnsi="宋体" w:cs="宋体"/>
                <w:kern w:val="1"/>
                <w:sz w:val="24"/>
                <w:szCs w:val="22"/>
              </w:rPr>
              <w:t>……</w:t>
            </w:r>
          </w:p>
        </w:tc>
        <w:tc>
          <w:tcPr>
            <w:tcW w:w="1743" w:type="dxa"/>
            <w:tcBorders>
              <w:left w:val="single" w:color="000000" w:sz="4" w:space="0"/>
              <w:bottom w:val="single" w:color="000000" w:sz="4" w:space="0"/>
              <w:right w:val="single" w:color="000000" w:sz="4" w:space="0"/>
            </w:tcBorders>
            <w:vAlign w:val="center"/>
          </w:tcPr>
          <w:p>
            <w:pPr>
              <w:widowControl/>
              <w:jc w:val="center"/>
              <w:rPr>
                <w:rFonts w:ascii="宋体" w:hAnsi="宋体" w:cs="宋体"/>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ind w:left="55"/>
              <w:jc w:val="center"/>
              <w:rPr>
                <w:rFonts w:ascii="宋体" w:hAnsi="宋体" w:cs="宋体"/>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r>
      <w:tr>
        <w:tblPrEx>
          <w:tblCellMar>
            <w:top w:w="0" w:type="dxa"/>
            <w:left w:w="108" w:type="dxa"/>
            <w:bottom w:w="0" w:type="dxa"/>
            <w:right w:w="108" w:type="dxa"/>
          </w:tblCellMar>
        </w:tblPrEx>
        <w:trPr>
          <w:cantSplit/>
          <w:trHeight w:val="48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b/>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b/>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b/>
                <w:kern w:val="1"/>
                <w:sz w:val="24"/>
                <w:szCs w:val="24"/>
              </w:rPr>
            </w:pPr>
          </w:p>
        </w:tc>
      </w:tr>
      <w:tr>
        <w:tblPrEx>
          <w:tblCellMar>
            <w:top w:w="0" w:type="dxa"/>
            <w:left w:w="108" w:type="dxa"/>
            <w:bottom w:w="0" w:type="dxa"/>
            <w:right w:w="108" w:type="dxa"/>
          </w:tblCellMar>
        </w:tblPrEx>
        <w:trPr>
          <w:cantSplit/>
          <w:trHeight w:val="550"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r>
      <w:tr>
        <w:tblPrEx>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kern w:val="1"/>
                <w:sz w:val="24"/>
                <w:szCs w:val="24"/>
              </w:rPr>
            </w:pPr>
          </w:p>
        </w:tc>
      </w:tr>
      <w:tr>
        <w:tblPrEx>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kern w:val="1"/>
                <w:sz w:val="24"/>
                <w:szCs w:val="24"/>
              </w:rPr>
            </w:pPr>
          </w:p>
        </w:tc>
      </w:tr>
      <w:tr>
        <w:tblPrEx>
          <w:tblCellMar>
            <w:top w:w="0" w:type="dxa"/>
            <w:left w:w="108" w:type="dxa"/>
            <w:bottom w:w="0" w:type="dxa"/>
            <w:right w:w="108" w:type="dxa"/>
          </w:tblCellMar>
        </w:tblPrEx>
        <w:trPr>
          <w:cantSplit/>
          <w:trHeight w:val="622" w:hRule="atLeast"/>
          <w:jc w:val="center"/>
        </w:trPr>
        <w:tc>
          <w:tcPr>
            <w:tcW w:w="792"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p>
        </w:tc>
        <w:tc>
          <w:tcPr>
            <w:tcW w:w="1743" w:type="dxa"/>
            <w:tcBorders>
              <w:left w:val="single" w:color="000000" w:sz="4" w:space="0"/>
              <w:bottom w:val="single" w:color="000000" w:sz="4" w:space="0"/>
              <w:right w:val="single" w:color="000000" w:sz="4" w:space="0"/>
            </w:tcBorders>
            <w:vAlign w:val="center"/>
          </w:tcPr>
          <w:p>
            <w:pPr>
              <w:widowControl/>
              <w:jc w:val="center"/>
              <w:rPr>
                <w:rFonts w:ascii="宋体" w:hAnsi="宋体" w:cs="宋体"/>
                <w:b/>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pStyle w:val="62"/>
              <w:jc w:val="center"/>
              <w:rPr>
                <w:rFonts w:ascii="Calibri" w:hAnsi="Calibri"/>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p>
        </w:tc>
        <w:tc>
          <w:tcPr>
            <w:tcW w:w="1743" w:type="dxa"/>
            <w:tcBorders>
              <w:left w:val="single" w:color="000000" w:sz="4" w:space="0"/>
              <w:bottom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24"/>
                <w:szCs w:val="22"/>
              </w:rPr>
            </w:pPr>
          </w:p>
        </w:tc>
      </w:tr>
    </w:tbl>
    <w:p>
      <w:pPr>
        <w:spacing w:before="50" w:after="50"/>
        <w:ind w:firstLine="600"/>
        <w:rPr>
          <w:rFonts w:ascii="宋体" w:hAnsi="宋体" w:cs="宋体"/>
          <w:kern w:val="1"/>
          <w:sz w:val="24"/>
        </w:rPr>
      </w:pPr>
      <w:r>
        <w:rPr>
          <w:rFonts w:ascii="宋体" w:hAnsi="宋体" w:cs="宋体"/>
          <w:kern w:val="1"/>
          <w:sz w:val="24"/>
        </w:rPr>
        <w:t>注：评分对应表主要用于作为专家评分的一个参考及查阅依据</w:t>
      </w:r>
      <w:r>
        <w:rPr>
          <w:rFonts w:hint="eastAsia" w:ascii="宋体" w:hAnsi="宋体" w:cs="宋体"/>
          <w:kern w:val="1"/>
          <w:sz w:val="24"/>
        </w:rPr>
        <w:t>。</w:t>
      </w: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88"/>
        <w:rPr>
          <w:rFonts w:cs="宋体"/>
          <w:kern w:val="1"/>
        </w:rPr>
      </w:pPr>
    </w:p>
    <w:p>
      <w:pPr>
        <w:pStyle w:val="514"/>
        <w:numPr>
          <w:ilvl w:val="0"/>
          <w:numId w:val="23"/>
        </w:numPr>
        <w:snapToGrid w:val="0"/>
        <w:spacing w:before="120" w:after="120"/>
        <w:jc w:val="center"/>
        <w:rPr>
          <w:rFonts w:hint="eastAsia" w:hAnsi="宋体" w:cs="宋体"/>
          <w:b/>
          <w:sz w:val="28"/>
          <w:szCs w:val="28"/>
          <w:highlight w:val="green"/>
          <w:lang w:eastAsia="zh-CN"/>
        </w:rPr>
      </w:pPr>
      <w:r>
        <w:rPr>
          <w:rFonts w:hint="eastAsia" w:hAnsi="宋体" w:cs="宋体"/>
          <w:b/>
          <w:sz w:val="28"/>
          <w:szCs w:val="28"/>
          <w:highlight w:val="green"/>
        </w:rPr>
        <w:t>确认声明书</w:t>
      </w:r>
      <w:r>
        <w:rPr>
          <w:rFonts w:hint="eastAsia" w:hAnsi="宋体" w:cs="宋体"/>
          <w:b/>
          <w:sz w:val="28"/>
          <w:szCs w:val="28"/>
          <w:highlight w:val="green"/>
          <w:lang w:eastAsia="zh-CN"/>
        </w:rPr>
        <w:t>（将以下表格填写完成后，与投标文件同步制作递交）</w:t>
      </w:r>
    </w:p>
    <w:p>
      <w:pPr>
        <w:pStyle w:val="514"/>
        <w:snapToGrid w:val="0"/>
        <w:spacing w:before="120" w:after="120"/>
        <w:jc w:val="center"/>
        <w:rPr>
          <w:rFonts w:hint="eastAsia" w:hAnsi="宋体" w:cs="宋体"/>
          <w:kern w:val="0"/>
          <w:sz w:val="21"/>
          <w:szCs w:val="21"/>
          <w:highlight w:val="none"/>
        </w:rPr>
      </w:pPr>
      <w:r>
        <w:rPr>
          <w:rFonts w:hint="eastAsia" w:hAnsi="宋体" w:cs="宋体"/>
          <w:b/>
          <w:szCs w:val="24"/>
          <w:highlight w:val="none"/>
        </w:rPr>
        <w:t>（要求在电子投标文件解密后，</w:t>
      </w:r>
      <w:r>
        <w:rPr>
          <w:rFonts w:hint="eastAsia" w:hAnsi="宋体" w:cs="宋体"/>
          <w:b/>
          <w:szCs w:val="24"/>
          <w:highlight w:val="none"/>
          <w:lang w:eastAsia="zh-CN"/>
        </w:rPr>
        <w:t>自行核实下述承诺内容，如有不符，重新联系代理公司重新按新的内容邮箱递交）</w:t>
      </w:r>
    </w:p>
    <w:p>
      <w:pPr>
        <w:pStyle w:val="514"/>
        <w:snapToGrid w:val="0"/>
        <w:spacing w:before="120" w:after="120"/>
        <w:jc w:val="center"/>
        <w:rPr>
          <w:rFonts w:hint="eastAsia" w:hAnsi="宋体" w:cs="宋体"/>
          <w:b/>
          <w:sz w:val="32"/>
          <w:szCs w:val="32"/>
          <w:highlight w:val="none"/>
        </w:rPr>
      </w:pPr>
    </w:p>
    <w:p>
      <w:pPr>
        <w:pStyle w:val="514"/>
        <w:snapToGrid w:val="0"/>
        <w:spacing w:before="120" w:after="120"/>
        <w:jc w:val="center"/>
        <w:rPr>
          <w:rFonts w:hint="eastAsia" w:hAnsi="宋体" w:cs="宋体"/>
          <w:b/>
          <w:sz w:val="32"/>
          <w:szCs w:val="32"/>
          <w:highlight w:val="none"/>
        </w:rPr>
      </w:pPr>
      <w:r>
        <w:rPr>
          <w:rFonts w:hint="eastAsia" w:hAnsi="宋体" w:cs="宋体"/>
          <w:b/>
          <w:sz w:val="32"/>
          <w:szCs w:val="32"/>
          <w:highlight w:val="none"/>
        </w:rPr>
        <w:t>政府采购活动现场确认声明书</w:t>
      </w:r>
    </w:p>
    <w:p>
      <w:pPr>
        <w:pStyle w:val="514"/>
        <w:snapToGrid w:val="0"/>
        <w:spacing w:before="120" w:after="120" w:line="380" w:lineRule="exact"/>
        <w:rPr>
          <w:rFonts w:hint="eastAsia" w:hAnsi="宋体" w:cs="宋体"/>
          <w:b/>
          <w:sz w:val="21"/>
          <w:szCs w:val="21"/>
          <w:highlight w:val="none"/>
        </w:rPr>
      </w:pPr>
      <w:r>
        <w:rPr>
          <w:rFonts w:hint="eastAsia" w:hAnsi="宋体" w:cs="宋体"/>
          <w:kern w:val="0"/>
          <w:sz w:val="21"/>
          <w:szCs w:val="21"/>
          <w:highlight w:val="none"/>
          <w:u w:val="single"/>
        </w:rPr>
        <w:t xml:space="preserve">                        </w:t>
      </w:r>
      <w:r>
        <w:rPr>
          <w:rFonts w:hint="eastAsia" w:hAnsi="宋体" w:cs="宋体"/>
          <w:kern w:val="0"/>
          <w:sz w:val="21"/>
          <w:szCs w:val="21"/>
          <w:highlight w:val="none"/>
        </w:rPr>
        <w:t>：</w:t>
      </w:r>
    </w:p>
    <w:p>
      <w:pPr>
        <w:pStyle w:val="514"/>
        <w:snapToGrid w:val="0"/>
        <w:spacing w:before="120" w:after="120" w:line="380" w:lineRule="exact"/>
        <w:ind w:firstLine="444" w:firstLineChars="200"/>
        <w:rPr>
          <w:rFonts w:hint="eastAsia" w:hAnsi="宋体" w:cs="宋体"/>
          <w:spacing w:val="6"/>
          <w:sz w:val="21"/>
          <w:szCs w:val="21"/>
          <w:highlight w:val="none"/>
        </w:rPr>
      </w:pPr>
      <w:r>
        <w:rPr>
          <w:rFonts w:hint="eastAsia" w:hAnsi="宋体" w:cs="宋体"/>
          <w:spacing w:val="6"/>
          <w:sz w:val="21"/>
          <w:szCs w:val="21"/>
          <w:highlight w:val="none"/>
        </w:rPr>
        <w:t>本人经由</w:t>
      </w:r>
      <w:r>
        <w:rPr>
          <w:rFonts w:hint="eastAsia" w:hAnsi="宋体" w:cs="宋体"/>
          <w:spacing w:val="6"/>
          <w:sz w:val="21"/>
          <w:szCs w:val="21"/>
          <w:highlight w:val="none"/>
          <w:u w:val="single"/>
        </w:rPr>
        <w:t xml:space="preserve">                  （单位）</w:t>
      </w:r>
      <w:r>
        <w:rPr>
          <w:rFonts w:hint="eastAsia" w:hAnsi="宋体" w:cs="宋体"/>
          <w:spacing w:val="6"/>
          <w:sz w:val="21"/>
          <w:szCs w:val="21"/>
          <w:highlight w:val="none"/>
        </w:rPr>
        <w:t>负责人</w:t>
      </w:r>
      <w:r>
        <w:rPr>
          <w:rFonts w:hint="eastAsia" w:hAnsi="宋体" w:cs="宋体"/>
          <w:spacing w:val="6"/>
          <w:sz w:val="21"/>
          <w:szCs w:val="21"/>
          <w:highlight w:val="none"/>
          <w:u w:val="single"/>
        </w:rPr>
        <w:t xml:space="preserve">        （姓名）</w:t>
      </w:r>
      <w:r>
        <w:rPr>
          <w:rFonts w:hint="eastAsia" w:hAnsi="宋体" w:cs="宋体"/>
          <w:spacing w:val="6"/>
          <w:sz w:val="21"/>
          <w:szCs w:val="21"/>
          <w:highlight w:val="none"/>
        </w:rPr>
        <w:t>合法授权参加</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项目（编号：</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 xml:space="preserve">）政府采购活动，经与本单位法人代表（负责人）联系确认，现就有关公平竞争事项郑重声明如下： </w:t>
      </w:r>
    </w:p>
    <w:p>
      <w:pPr>
        <w:pStyle w:val="515"/>
        <w:widowControl/>
        <w:numPr>
          <w:ilvl w:val="0"/>
          <w:numId w:val="24"/>
        </w:numPr>
        <w:snapToGrid w:val="0"/>
        <w:spacing w:line="380" w:lineRule="exact"/>
        <w:ind w:firstLine="396" w:firstLineChars="189"/>
        <w:rPr>
          <w:rFonts w:ascii="宋体" w:hAnsi="宋体" w:cs="宋体"/>
          <w:kern w:val="0"/>
          <w:szCs w:val="21"/>
          <w:highlight w:val="none"/>
        </w:rPr>
      </w:pPr>
      <w:r>
        <w:rPr>
          <w:rFonts w:ascii="宋体" w:hAnsi="宋体" w:cs="宋体"/>
          <w:kern w:val="0"/>
          <w:szCs w:val="21"/>
          <w:highlight w:val="none"/>
        </w:rPr>
        <w:t>本单位与采购人之间 □不存在利害关系 □存在下列利害关系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515"/>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A.投资关系    B.行政隶属关系    C.业务指导关系</w:t>
      </w:r>
    </w:p>
    <w:p>
      <w:pPr>
        <w:pStyle w:val="515"/>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D.其他可能</w:t>
      </w:r>
      <w:r>
        <w:rPr>
          <w:rFonts w:ascii="宋体" w:hAnsi="宋体" w:cs="宋体"/>
          <w:szCs w:val="21"/>
          <w:highlight w:val="none"/>
        </w:rPr>
        <w:t>影响采购公正的</w:t>
      </w:r>
      <w:r>
        <w:rPr>
          <w:rFonts w:ascii="宋体" w:hAnsi="宋体" w:cs="宋体"/>
          <w:kern w:val="0"/>
          <w:szCs w:val="21"/>
          <w:highlight w:val="none"/>
        </w:rPr>
        <w:t>利害关系</w:t>
      </w:r>
      <w:r>
        <w:rPr>
          <w:rFonts w:ascii="宋体" w:hAnsi="宋体" w:cs="宋体"/>
          <w:kern w:val="0"/>
          <w:szCs w:val="21"/>
          <w:highlight w:val="none"/>
          <w:u w:val="single"/>
        </w:rPr>
        <w:t xml:space="preserve">（如有，请如实说明）                 </w:t>
      </w:r>
      <w:r>
        <w:rPr>
          <w:rFonts w:ascii="宋体" w:hAnsi="宋体" w:cs="宋体"/>
          <w:kern w:val="0"/>
          <w:szCs w:val="21"/>
          <w:highlight w:val="none"/>
        </w:rPr>
        <w:t>。</w:t>
      </w:r>
    </w:p>
    <w:p>
      <w:pPr>
        <w:pStyle w:val="515"/>
        <w:widowControl/>
        <w:snapToGrid w:val="0"/>
        <w:spacing w:line="380" w:lineRule="exact"/>
        <w:rPr>
          <w:rFonts w:ascii="宋体" w:hAnsi="宋体" w:cs="宋体"/>
          <w:kern w:val="0"/>
          <w:szCs w:val="21"/>
          <w:highlight w:val="none"/>
        </w:rPr>
      </w:pPr>
      <w:r>
        <w:rPr>
          <w:rFonts w:ascii="宋体" w:hAnsi="宋体" w:cs="宋体"/>
          <w:spacing w:val="6"/>
          <w:szCs w:val="21"/>
          <w:highlight w:val="none"/>
        </w:rPr>
        <w:t xml:space="preserve">  二、</w:t>
      </w:r>
      <w:r>
        <w:rPr>
          <w:rFonts w:ascii="宋体" w:hAnsi="宋体" w:cs="宋体"/>
          <w:kern w:val="0"/>
          <w:szCs w:val="21"/>
          <w:highlight w:val="none"/>
        </w:rPr>
        <w:t>现已清楚知道参加本项目采购活动的其他所有供应商名称，本单位 □与其他所有供应商之间均不存在利害关系 □与</w:t>
      </w:r>
      <w:r>
        <w:rPr>
          <w:rFonts w:ascii="宋体" w:hAnsi="宋体" w:cs="宋体"/>
          <w:kern w:val="0"/>
          <w:szCs w:val="21"/>
          <w:highlight w:val="none"/>
          <w:u w:val="single"/>
        </w:rPr>
        <w:t xml:space="preserve">           （供应商名称）</w:t>
      </w:r>
      <w:r>
        <w:rPr>
          <w:rFonts w:ascii="宋体" w:hAnsi="宋体" w:cs="宋体"/>
          <w:kern w:val="0"/>
          <w:szCs w:val="21"/>
          <w:highlight w:val="none"/>
        </w:rPr>
        <w:t>之间存在下列利害关系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51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A.法定代表人或负责人或实际控制人是同一人</w:t>
      </w:r>
    </w:p>
    <w:p>
      <w:pPr>
        <w:pStyle w:val="51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B.法定代表人或负责人或实际控制人是夫妻关系</w:t>
      </w:r>
    </w:p>
    <w:p>
      <w:pPr>
        <w:pStyle w:val="51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C.法定代表人或负责人或实际控制人是直系血亲关系</w:t>
      </w:r>
    </w:p>
    <w:p>
      <w:pPr>
        <w:pStyle w:val="51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D.法定代表人或负责人或实际控制人存在三代以内旁系血亲关系</w:t>
      </w:r>
    </w:p>
    <w:p>
      <w:pPr>
        <w:pStyle w:val="51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E.法定代表人或负责人或实际控制人存在近姻亲关系</w:t>
      </w:r>
    </w:p>
    <w:p>
      <w:pPr>
        <w:pStyle w:val="51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F.法定代表人或负责人或实际控制人存在股份控制或实际控制关系</w:t>
      </w:r>
    </w:p>
    <w:p>
      <w:pPr>
        <w:pStyle w:val="51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G.存在共同直接或间接投资设立子公司、联营企业和合营企业情况</w:t>
      </w:r>
    </w:p>
    <w:p>
      <w:pPr>
        <w:pStyle w:val="514"/>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sz w:val="21"/>
          <w:szCs w:val="21"/>
          <w:highlight w:val="none"/>
        </w:rPr>
      </w:pPr>
      <w:r>
        <w:rPr>
          <w:rFonts w:hint="eastAsia" w:hAnsi="宋体" w:cs="宋体"/>
          <w:kern w:val="0"/>
          <w:sz w:val="21"/>
          <w:szCs w:val="21"/>
          <w:highlight w:val="none"/>
        </w:rPr>
        <w:t xml:space="preserve">  H.存在分级代理或代销关系、同一生产制造商关系、</w:t>
      </w:r>
      <w:r>
        <w:rPr>
          <w:rFonts w:hint="eastAsia" w:hAnsi="宋体" w:cs="宋体"/>
          <w:sz w:val="21"/>
          <w:szCs w:val="21"/>
          <w:highlight w:val="none"/>
        </w:rPr>
        <w:t>管理关系、重要业务（占主营业务收入50%以上）或重要财务往来关系（如融资）等其他实质性控制关系</w:t>
      </w:r>
    </w:p>
    <w:p>
      <w:pPr>
        <w:pStyle w:val="514"/>
        <w:snapToGrid w:val="0"/>
        <w:spacing w:before="120" w:after="120" w:line="380" w:lineRule="exact"/>
        <w:rPr>
          <w:rFonts w:hint="eastAsia" w:hAnsi="宋体" w:cs="宋体"/>
          <w:spacing w:val="6"/>
          <w:sz w:val="21"/>
          <w:szCs w:val="21"/>
          <w:highlight w:val="none"/>
        </w:rPr>
      </w:pPr>
      <w:r>
        <w:rPr>
          <w:rFonts w:hint="eastAsia" w:hAnsi="宋体" w:cs="宋体"/>
          <w:sz w:val="21"/>
          <w:szCs w:val="21"/>
          <w:highlight w:val="none"/>
        </w:rPr>
        <w:t xml:space="preserve">    I</w:t>
      </w:r>
      <w:r>
        <w:rPr>
          <w:rFonts w:hint="eastAsia" w:hAnsi="宋体" w:cs="宋体"/>
          <w:kern w:val="0"/>
          <w:sz w:val="21"/>
          <w:szCs w:val="21"/>
          <w:highlight w:val="none"/>
        </w:rPr>
        <w:t>.</w:t>
      </w:r>
      <w:r>
        <w:rPr>
          <w:rFonts w:hint="eastAsia" w:hAnsi="宋体" w:cs="宋体"/>
          <w:sz w:val="21"/>
          <w:szCs w:val="21"/>
          <w:highlight w:val="none"/>
        </w:rPr>
        <w:t>其他利害关系情况</w:t>
      </w:r>
      <w:r>
        <w:rPr>
          <w:rFonts w:hint="eastAsia" w:hAnsi="宋体" w:cs="宋体"/>
          <w:sz w:val="21"/>
          <w:szCs w:val="21"/>
          <w:highlight w:val="none"/>
          <w:u w:val="single"/>
        </w:rPr>
        <w:t xml:space="preserve">                              </w:t>
      </w:r>
      <w:r>
        <w:rPr>
          <w:rFonts w:hint="eastAsia" w:hAnsi="宋体" w:cs="宋体"/>
          <w:kern w:val="0"/>
          <w:sz w:val="21"/>
          <w:szCs w:val="21"/>
          <w:highlight w:val="none"/>
        </w:rPr>
        <w:t>。</w:t>
      </w:r>
    </w:p>
    <w:p>
      <w:pPr>
        <w:pStyle w:val="515"/>
        <w:widowControl/>
        <w:numPr>
          <w:ilvl w:val="0"/>
          <w:numId w:val="25"/>
        </w:numPr>
        <w:snapToGrid w:val="0"/>
        <w:spacing w:line="380" w:lineRule="exact"/>
        <w:ind w:firstLine="396" w:firstLineChars="189"/>
        <w:rPr>
          <w:rFonts w:ascii="宋体" w:hAnsi="宋体" w:cs="宋体"/>
          <w:kern w:val="0"/>
          <w:szCs w:val="21"/>
          <w:highlight w:val="none"/>
        </w:rPr>
      </w:pPr>
      <w:r>
        <w:rPr>
          <w:rFonts w:ascii="宋体" w:hAnsi="宋体" w:cs="宋体"/>
          <w:szCs w:val="21"/>
          <w:highlight w:val="none"/>
        </w:rPr>
        <w:t>现已清楚知道并</w:t>
      </w:r>
      <w:r>
        <w:rPr>
          <w:rFonts w:ascii="宋体" w:hAnsi="宋体" w:cs="宋体"/>
          <w:kern w:val="0"/>
          <w:szCs w:val="21"/>
          <w:highlight w:val="none"/>
        </w:rPr>
        <w:t>严格遵守政府采购法律法规和现场纪律。</w:t>
      </w:r>
    </w:p>
    <w:p>
      <w:pPr>
        <w:pStyle w:val="515"/>
        <w:widowControl/>
        <w:numPr>
          <w:ilvl w:val="0"/>
          <w:numId w:val="25"/>
        </w:numPr>
        <w:snapToGrid w:val="0"/>
        <w:spacing w:line="380" w:lineRule="exact"/>
        <w:ind w:firstLine="396" w:firstLineChars="189"/>
        <w:rPr>
          <w:rFonts w:ascii="宋体" w:hAnsi="宋体" w:cs="宋体"/>
          <w:szCs w:val="21"/>
          <w:highlight w:val="none"/>
        </w:rPr>
      </w:pPr>
      <w:r>
        <w:rPr>
          <w:rFonts w:ascii="宋体" w:hAnsi="宋体" w:cs="宋体"/>
          <w:kern w:val="0"/>
          <w:szCs w:val="21"/>
          <w:highlight w:val="none"/>
        </w:rPr>
        <w:t>我发现</w:t>
      </w:r>
      <w:r>
        <w:rPr>
          <w:rFonts w:ascii="宋体" w:hAnsi="宋体" w:cs="宋体"/>
          <w:kern w:val="0"/>
          <w:szCs w:val="21"/>
          <w:highlight w:val="none"/>
          <w:u w:val="single"/>
        </w:rPr>
        <w:t xml:space="preserve">                    </w:t>
      </w:r>
      <w:r>
        <w:rPr>
          <w:rFonts w:ascii="宋体" w:hAnsi="宋体" w:cs="宋体"/>
          <w:kern w:val="0"/>
          <w:szCs w:val="21"/>
          <w:highlight w:val="none"/>
        </w:rPr>
        <w:t>供应商之间存在或可能存在上述第二条第</w:t>
      </w:r>
      <w:r>
        <w:rPr>
          <w:rFonts w:ascii="宋体" w:hAnsi="宋体" w:cs="宋体"/>
          <w:kern w:val="0"/>
          <w:szCs w:val="21"/>
          <w:highlight w:val="none"/>
          <w:u w:val="single"/>
        </w:rPr>
        <w:t xml:space="preserve">        </w:t>
      </w:r>
      <w:r>
        <w:rPr>
          <w:rFonts w:ascii="宋体" w:hAnsi="宋体" w:cs="宋体"/>
          <w:kern w:val="0"/>
          <w:szCs w:val="21"/>
          <w:highlight w:val="none"/>
        </w:rPr>
        <w:t>项利害关系。</w:t>
      </w:r>
    </w:p>
    <w:p>
      <w:pPr>
        <w:pStyle w:val="514"/>
        <w:snapToGrid w:val="0"/>
        <w:spacing w:before="120" w:after="120"/>
        <w:ind w:firstLine="420" w:firstLineChars="200"/>
        <w:rPr>
          <w:rFonts w:hint="eastAsia" w:hAnsi="宋体" w:cs="宋体"/>
          <w:sz w:val="21"/>
          <w:szCs w:val="21"/>
          <w:highlight w:val="none"/>
          <w:lang w:eastAsia="zh-CN"/>
        </w:rPr>
      </w:pPr>
      <w:r>
        <w:rPr>
          <w:rFonts w:hint="eastAsia" w:hAnsi="宋体" w:cs="宋体"/>
          <w:sz w:val="21"/>
          <w:szCs w:val="21"/>
          <w:highlight w:val="none"/>
        </w:rPr>
        <w:t xml:space="preserve">                             </w:t>
      </w:r>
      <w:r>
        <w:rPr>
          <w:rFonts w:hint="eastAsia" w:hAnsi="宋体" w:cs="宋体"/>
          <w:sz w:val="21"/>
          <w:szCs w:val="21"/>
          <w:highlight w:val="none"/>
          <w:lang w:val="en-US" w:eastAsia="zh-CN"/>
        </w:rPr>
        <w:t xml:space="preserve">       </w:t>
      </w:r>
      <w:r>
        <w:rPr>
          <w:rFonts w:hint="eastAsia" w:hAnsi="宋体" w:cs="宋体"/>
          <w:sz w:val="21"/>
          <w:szCs w:val="21"/>
          <w:highlight w:val="none"/>
        </w:rPr>
        <w:t xml:space="preserve">      供应商</w:t>
      </w:r>
      <w:r>
        <w:rPr>
          <w:rFonts w:hint="eastAsia" w:hAnsi="宋体" w:cs="宋体"/>
          <w:sz w:val="21"/>
          <w:szCs w:val="21"/>
          <w:highlight w:val="none"/>
          <w:lang w:eastAsia="zh-CN"/>
        </w:rPr>
        <w:t>盖章：</w:t>
      </w:r>
    </w:p>
    <w:p>
      <w:pPr>
        <w:pStyle w:val="514"/>
        <w:snapToGrid w:val="0"/>
        <w:spacing w:before="120" w:after="120"/>
        <w:ind w:firstLine="4830" w:firstLineChars="2300"/>
        <w:rPr>
          <w:rFonts w:hint="eastAsia" w:hAnsi="宋体" w:cs="宋体"/>
          <w:sz w:val="21"/>
          <w:szCs w:val="21"/>
          <w:highlight w:val="none"/>
        </w:rPr>
      </w:pPr>
      <w:r>
        <w:rPr>
          <w:rFonts w:hint="eastAsia" w:hAnsi="宋体" w:cs="宋体"/>
          <w:sz w:val="21"/>
          <w:szCs w:val="21"/>
          <w:highlight w:val="none"/>
          <w:lang w:eastAsia="zh-CN"/>
        </w:rPr>
        <w:t>授权委托</w:t>
      </w:r>
      <w:r>
        <w:rPr>
          <w:rFonts w:hint="eastAsia" w:hAnsi="宋体" w:cs="宋体"/>
          <w:sz w:val="21"/>
          <w:szCs w:val="21"/>
          <w:highlight w:val="none"/>
        </w:rPr>
        <w:t>代表签名：</w:t>
      </w:r>
    </w:p>
    <w:p>
      <w:pPr>
        <w:snapToGrid w:val="0"/>
        <w:spacing w:line="360" w:lineRule="auto"/>
        <w:jc w:val="left"/>
        <w:rPr>
          <w:rFonts w:hint="eastAsia"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年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月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日</w:t>
      </w:r>
    </w:p>
    <w:p>
      <w:pPr>
        <w:pageBreakBefore/>
        <w:spacing w:line="360" w:lineRule="auto"/>
        <w:jc w:val="center"/>
        <w:outlineLvl w:val="1"/>
        <w:rPr>
          <w:rFonts w:ascii="Times New Roman" w:hAnsi="Times New Roman"/>
          <w:b/>
          <w:color w:val="000000"/>
          <w:sz w:val="28"/>
          <w:szCs w:val="28"/>
        </w:rPr>
      </w:pPr>
      <w:bookmarkStart w:id="535" w:name="_Toc28038"/>
      <w:bookmarkStart w:id="536" w:name="_Toc28705"/>
      <w:bookmarkStart w:id="537" w:name="_Toc12247"/>
      <w:bookmarkStart w:id="538" w:name="_Toc12278"/>
      <w:r>
        <w:rPr>
          <w:rFonts w:ascii="Times New Roman" w:hAnsi="Times New Roman"/>
          <w:b/>
          <w:color w:val="000000"/>
          <w:sz w:val="28"/>
          <w:szCs w:val="28"/>
        </w:rPr>
        <w:t>政府采购支持中小企业信用融资相关事项通知</w:t>
      </w:r>
      <w:bookmarkEnd w:id="533"/>
      <w:r>
        <w:rPr>
          <w:rFonts w:hint="eastAsia" w:ascii="Times New Roman" w:hAnsi="Times New Roman"/>
          <w:b/>
          <w:color w:val="000000"/>
          <w:sz w:val="28"/>
          <w:szCs w:val="28"/>
        </w:rPr>
        <w:t>（仅供参考）</w:t>
      </w:r>
      <w:bookmarkEnd w:id="535"/>
      <w:bookmarkEnd w:id="536"/>
      <w:bookmarkEnd w:id="537"/>
      <w:bookmarkEnd w:id="538"/>
    </w:p>
    <w:p>
      <w:pPr>
        <w:spacing w:line="360" w:lineRule="auto"/>
        <w:ind w:firstLine="480" w:firstLineChars="200"/>
        <w:rPr>
          <w:rFonts w:ascii="Times New Roman" w:hAnsi="Times New Roman"/>
          <w:color w:val="000000"/>
          <w:sz w:val="24"/>
        </w:rPr>
      </w:pPr>
      <w:r>
        <w:rPr>
          <w:rFonts w:ascii="Times New Roman" w:hAnsi="Times New Roman"/>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outlineLvl w:val="1"/>
        <w:rPr>
          <w:rFonts w:ascii="Times New Roman" w:hAnsi="Times New Roman"/>
          <w:b/>
          <w:color w:val="000000"/>
          <w:sz w:val="24"/>
        </w:rPr>
      </w:pPr>
      <w:bookmarkStart w:id="539" w:name="_Toc2960"/>
      <w:bookmarkStart w:id="540" w:name="_Toc8385"/>
      <w:bookmarkStart w:id="541" w:name="_Toc8985"/>
      <w:bookmarkStart w:id="542" w:name="_Toc10154"/>
      <w:bookmarkStart w:id="543" w:name="_Toc815"/>
      <w:r>
        <w:rPr>
          <w:rFonts w:ascii="Times New Roman" w:hAnsi="Times New Roman"/>
          <w:b/>
          <w:color w:val="000000"/>
          <w:sz w:val="24"/>
        </w:rPr>
        <w:t>一、适用对象</w:t>
      </w:r>
      <w:bookmarkEnd w:id="539"/>
      <w:bookmarkEnd w:id="540"/>
      <w:bookmarkEnd w:id="541"/>
      <w:bookmarkEnd w:id="542"/>
      <w:bookmarkEnd w:id="543"/>
    </w:p>
    <w:p>
      <w:pPr>
        <w:spacing w:line="360" w:lineRule="auto"/>
        <w:ind w:firstLine="480" w:firstLineChars="200"/>
        <w:rPr>
          <w:rFonts w:ascii="Times New Roman" w:hAnsi="Times New Roman"/>
          <w:color w:val="000000"/>
          <w:sz w:val="24"/>
        </w:rPr>
      </w:pPr>
      <w:r>
        <w:rPr>
          <w:rFonts w:ascii="Times New Roman" w:hAnsi="Times New Roman"/>
          <w:color w:val="000000"/>
          <w:sz w:val="24"/>
        </w:rPr>
        <w:t>在浙江政府采购网注册入库，并取得杭州市政府采购合同的杭州市内中小企业供应商。</w:t>
      </w:r>
    </w:p>
    <w:p>
      <w:pPr>
        <w:spacing w:line="360" w:lineRule="auto"/>
        <w:ind w:firstLine="482" w:firstLineChars="200"/>
        <w:outlineLvl w:val="1"/>
        <w:rPr>
          <w:rFonts w:ascii="Times New Roman" w:hAnsi="Times New Roman"/>
          <w:b/>
          <w:color w:val="000000"/>
          <w:sz w:val="24"/>
        </w:rPr>
      </w:pPr>
      <w:bookmarkStart w:id="544" w:name="_Toc14502"/>
      <w:bookmarkStart w:id="545" w:name="_Toc6492"/>
      <w:bookmarkStart w:id="546" w:name="_Toc19885"/>
      <w:bookmarkStart w:id="547" w:name="_Toc17580"/>
      <w:bookmarkStart w:id="548" w:name="_Toc15996"/>
      <w:r>
        <w:rPr>
          <w:rFonts w:ascii="Times New Roman" w:hAnsi="Times New Roman"/>
          <w:b/>
          <w:color w:val="000000"/>
          <w:sz w:val="24"/>
        </w:rPr>
        <w:t>二、相关信息获取方式</w:t>
      </w:r>
      <w:bookmarkEnd w:id="544"/>
      <w:bookmarkEnd w:id="545"/>
      <w:bookmarkEnd w:id="546"/>
      <w:bookmarkEnd w:id="547"/>
      <w:bookmarkEnd w:id="548"/>
    </w:p>
    <w:p>
      <w:pPr>
        <w:spacing w:line="360" w:lineRule="auto"/>
        <w:ind w:firstLine="480" w:firstLineChars="200"/>
        <w:rPr>
          <w:rFonts w:ascii="Times New Roman" w:hAnsi="Times New Roman"/>
          <w:color w:val="000000"/>
          <w:sz w:val="24"/>
        </w:rPr>
      </w:pPr>
      <w:r>
        <w:rPr>
          <w:rFonts w:ascii="Times New Roman" w:hAnsi="Times New Roman"/>
          <w:color w:val="000000"/>
          <w:sz w:val="24"/>
        </w:rPr>
        <w:t>请登陆杭州市政府采购网“中小企业信用融资”模块，查看信用融资政策文件及各相关银行服务方案。</w:t>
      </w:r>
    </w:p>
    <w:p>
      <w:pPr>
        <w:spacing w:line="360" w:lineRule="auto"/>
        <w:ind w:firstLine="482" w:firstLineChars="200"/>
        <w:outlineLvl w:val="1"/>
        <w:rPr>
          <w:rFonts w:ascii="Times New Roman" w:hAnsi="Times New Roman"/>
          <w:b/>
          <w:color w:val="000000"/>
          <w:sz w:val="24"/>
        </w:rPr>
      </w:pPr>
      <w:bookmarkStart w:id="549" w:name="_Toc10688"/>
      <w:bookmarkStart w:id="550" w:name="_Toc12036"/>
      <w:bookmarkStart w:id="551" w:name="_Toc24913"/>
      <w:bookmarkStart w:id="552" w:name="_Toc423"/>
      <w:bookmarkStart w:id="553" w:name="_Toc21779"/>
      <w:r>
        <w:rPr>
          <w:rFonts w:ascii="Times New Roman" w:hAnsi="Times New Roman"/>
          <w:b/>
          <w:color w:val="000000"/>
          <w:sz w:val="24"/>
        </w:rPr>
        <w:t>三、申请方式和步骤</w:t>
      </w:r>
      <w:bookmarkEnd w:id="549"/>
      <w:bookmarkEnd w:id="550"/>
      <w:bookmarkEnd w:id="551"/>
      <w:bookmarkEnd w:id="552"/>
      <w:bookmarkEnd w:id="553"/>
    </w:p>
    <w:p>
      <w:pPr>
        <w:spacing w:line="360" w:lineRule="auto"/>
        <w:ind w:firstLine="482" w:firstLineChars="200"/>
        <w:rPr>
          <w:rFonts w:ascii="Times New Roman" w:hAnsi="Times New Roman"/>
          <w:b/>
          <w:bCs/>
          <w:color w:val="000000"/>
          <w:sz w:val="24"/>
        </w:rPr>
      </w:pPr>
      <w:r>
        <w:rPr>
          <w:rFonts w:ascii="Times New Roman" w:hAnsi="Times New Roman"/>
          <w:b/>
          <w:bCs/>
          <w:color w:val="000000"/>
          <w:sz w:val="24"/>
        </w:rPr>
        <w:t>（一）“云采贷”融资</w:t>
      </w:r>
    </w:p>
    <w:p>
      <w:pPr>
        <w:spacing w:line="360" w:lineRule="auto"/>
        <w:ind w:firstLine="480" w:firstLineChars="200"/>
        <w:rPr>
          <w:rFonts w:ascii="Times New Roman" w:hAnsi="Times New Roman"/>
          <w:color w:val="000000"/>
          <w:sz w:val="24"/>
        </w:rPr>
      </w:pPr>
      <w:r>
        <w:rPr>
          <w:rFonts w:ascii="Times New Roman" w:hAnsi="Times New Roman"/>
          <w:color w:val="000000"/>
          <w:sz w:val="24"/>
        </w:rPr>
        <w:t>1、供应商先与银行对接，办理融资前期手续；</w:t>
      </w:r>
    </w:p>
    <w:p>
      <w:pPr>
        <w:spacing w:line="360" w:lineRule="auto"/>
        <w:ind w:firstLine="480" w:firstLineChars="200"/>
        <w:rPr>
          <w:rFonts w:ascii="Times New Roman" w:hAnsi="Times New Roman"/>
          <w:color w:val="000000"/>
          <w:sz w:val="24"/>
        </w:rPr>
      </w:pPr>
      <w:r>
        <w:rPr>
          <w:rFonts w:ascii="Times New Roman" w:hAnsi="Times New Roman"/>
          <w:color w:val="000000"/>
          <w:sz w:val="24"/>
        </w:rPr>
        <w:t>2、供应商中标后，登陆“中小企业信用融资”模块测算授信额度，并向银行发出融资申请；</w:t>
      </w:r>
    </w:p>
    <w:p>
      <w:pPr>
        <w:spacing w:line="360" w:lineRule="auto"/>
        <w:ind w:firstLine="480" w:firstLineChars="200"/>
        <w:rPr>
          <w:rFonts w:ascii="Times New Roman" w:hAnsi="Times New Roman"/>
          <w:color w:val="000000"/>
          <w:sz w:val="24"/>
        </w:rPr>
      </w:pPr>
      <w:r>
        <w:rPr>
          <w:rFonts w:ascii="Times New Roman" w:hAnsi="Times New Roman"/>
          <w:color w:val="000000"/>
          <w:sz w:val="24"/>
        </w:rPr>
        <w:t>3、银行线上审批通过后，办理放贷手续。</w:t>
      </w:r>
    </w:p>
    <w:p>
      <w:pPr>
        <w:spacing w:line="360" w:lineRule="auto"/>
        <w:ind w:firstLine="482" w:firstLineChars="200"/>
        <w:rPr>
          <w:rFonts w:ascii="Times New Roman" w:hAnsi="Times New Roman"/>
          <w:b/>
          <w:bCs/>
          <w:color w:val="000000"/>
          <w:sz w:val="24"/>
        </w:rPr>
      </w:pPr>
      <w:r>
        <w:rPr>
          <w:rFonts w:ascii="Times New Roman" w:hAnsi="Times New Roman"/>
          <w:b/>
          <w:bCs/>
          <w:color w:val="000000"/>
          <w:sz w:val="24"/>
        </w:rPr>
        <w:t>（二）一般融资</w:t>
      </w:r>
    </w:p>
    <w:p>
      <w:pPr>
        <w:spacing w:line="360" w:lineRule="auto"/>
        <w:ind w:firstLine="480" w:firstLineChars="200"/>
        <w:rPr>
          <w:rFonts w:ascii="Times New Roman" w:hAnsi="Times New Roman"/>
          <w:color w:val="000000"/>
          <w:sz w:val="24"/>
        </w:rPr>
      </w:pPr>
      <w:r>
        <w:rPr>
          <w:rFonts w:ascii="Times New Roman" w:hAnsi="Times New Roman"/>
          <w:color w:val="000000"/>
          <w:sz w:val="24"/>
        </w:rPr>
        <w:t>1、供应商先与银行对接，办理融资前期手续；</w:t>
      </w:r>
    </w:p>
    <w:p>
      <w:pPr>
        <w:spacing w:line="360" w:lineRule="auto"/>
        <w:ind w:firstLine="480" w:firstLineChars="200"/>
        <w:rPr>
          <w:rFonts w:ascii="Times New Roman" w:hAnsi="Times New Roman"/>
          <w:color w:val="000000"/>
          <w:sz w:val="24"/>
        </w:rPr>
      </w:pPr>
      <w:r>
        <w:rPr>
          <w:rFonts w:ascii="Times New Roman" w:hAnsi="Times New Roman"/>
          <w:color w:val="000000"/>
          <w:sz w:val="24"/>
        </w:rPr>
        <w:t>2、供应商中标后，登陆杭州市政府采购网“中小企业信用融资”模块，向相关合作银行发出融资申请；</w:t>
      </w:r>
    </w:p>
    <w:p>
      <w:pPr>
        <w:spacing w:line="360" w:lineRule="auto"/>
        <w:ind w:firstLine="480" w:firstLineChars="200"/>
        <w:rPr>
          <w:rFonts w:ascii="Times New Roman" w:hAnsi="Times New Roman"/>
          <w:color w:val="000000"/>
          <w:sz w:val="24"/>
        </w:rPr>
      </w:pPr>
      <w:r>
        <w:rPr>
          <w:rFonts w:ascii="Times New Roman" w:hAnsi="Times New Roman"/>
          <w:color w:val="000000"/>
          <w:sz w:val="24"/>
        </w:rPr>
        <w:t>3、银行在“中小企业信用融资”模块受理申请；</w:t>
      </w:r>
    </w:p>
    <w:p>
      <w:pPr>
        <w:spacing w:line="360" w:lineRule="auto"/>
        <w:ind w:firstLine="480" w:firstLineChars="200"/>
        <w:rPr>
          <w:rFonts w:ascii="Times New Roman" w:hAnsi="Times New Roman"/>
          <w:color w:val="000000"/>
          <w:sz w:val="24"/>
        </w:rPr>
      </w:pPr>
      <w:r>
        <w:rPr>
          <w:rFonts w:ascii="Times New Roman" w:hAnsi="Times New Roman"/>
          <w:color w:val="000000"/>
          <w:sz w:val="24"/>
        </w:rPr>
        <w:t>4、银行、供应商线下办理审批、放贷事宜。</w:t>
      </w:r>
    </w:p>
    <w:p>
      <w:pPr>
        <w:spacing w:line="360" w:lineRule="auto"/>
        <w:ind w:firstLine="482" w:firstLineChars="200"/>
        <w:outlineLvl w:val="1"/>
        <w:rPr>
          <w:rFonts w:ascii="Times New Roman" w:hAnsi="Times New Roman"/>
          <w:b/>
          <w:color w:val="000000"/>
          <w:sz w:val="24"/>
        </w:rPr>
      </w:pPr>
      <w:bookmarkStart w:id="554" w:name="_Toc6744"/>
      <w:bookmarkStart w:id="555" w:name="_Toc2293"/>
      <w:bookmarkStart w:id="556" w:name="_Toc3408"/>
      <w:bookmarkStart w:id="557" w:name="_Toc27230"/>
      <w:bookmarkStart w:id="558" w:name="_Toc2200"/>
      <w:r>
        <w:rPr>
          <w:rFonts w:ascii="Times New Roman" w:hAnsi="Times New Roman"/>
          <w:b/>
          <w:color w:val="000000"/>
          <w:sz w:val="24"/>
        </w:rPr>
        <w:t>四、注意事项</w:t>
      </w:r>
      <w:bookmarkEnd w:id="554"/>
      <w:bookmarkEnd w:id="555"/>
      <w:bookmarkEnd w:id="556"/>
      <w:bookmarkEnd w:id="557"/>
      <w:bookmarkEnd w:id="558"/>
    </w:p>
    <w:p>
      <w:pPr>
        <w:spacing w:line="360" w:lineRule="auto"/>
        <w:ind w:firstLine="480" w:firstLineChars="200"/>
        <w:rPr>
          <w:rFonts w:ascii="Times New Roman" w:hAnsi="Times New Roman"/>
          <w:color w:val="000000"/>
          <w:sz w:val="24"/>
        </w:rPr>
      </w:pPr>
      <w:r>
        <w:rPr>
          <w:rFonts w:ascii="Times New Roman" w:hAnsi="Times New Roman"/>
          <w:color w:val="000000"/>
          <w:sz w:val="24"/>
        </w:rPr>
        <w:t>1、供应商需确保政府采购合同的收款银行与融资银行一致。</w:t>
      </w:r>
    </w:p>
    <w:p>
      <w:pPr>
        <w:spacing w:line="360" w:lineRule="auto"/>
        <w:ind w:firstLine="480" w:firstLineChars="200"/>
        <w:rPr>
          <w:rFonts w:ascii="Times New Roman" w:hAnsi="Times New Roman"/>
          <w:color w:val="000000"/>
          <w:sz w:val="24"/>
        </w:rPr>
      </w:pPr>
      <w:r>
        <w:rPr>
          <w:rFonts w:ascii="Times New Roman" w:hAnsi="Times New Roman"/>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color w:val="000000"/>
          <w:sz w:val="24"/>
        </w:rPr>
      </w:pPr>
      <w:r>
        <w:rPr>
          <w:rFonts w:ascii="Times New Roman" w:hAnsi="Times New Roman"/>
          <w:color w:val="000000"/>
          <w:sz w:val="24"/>
        </w:rPr>
        <w:t>3、技术服务热线：87210880；如有业务问题可与各合作银行联系。</w:t>
      </w:r>
    </w:p>
    <w:p>
      <w:pPr>
        <w:snapToGrid w:val="0"/>
        <w:spacing w:line="360" w:lineRule="auto"/>
        <w:rPr>
          <w:rFonts w:ascii="宋体" w:hAnsi="宋体"/>
          <w:color w:val="000000"/>
        </w:rPr>
      </w:pPr>
    </w:p>
    <w:p>
      <w:pPr>
        <w:pStyle w:val="88"/>
        <w:rPr>
          <w:color w:val="000000"/>
        </w:rPr>
      </w:pPr>
    </w:p>
    <w:p>
      <w:pPr>
        <w:pStyle w:val="88"/>
        <w:rPr>
          <w:color w:val="000000"/>
        </w:rPr>
      </w:pPr>
    </w:p>
    <w:p>
      <w:pPr>
        <w:pStyle w:val="88"/>
        <w:rPr>
          <w:color w:val="000000"/>
        </w:rPr>
      </w:pPr>
    </w:p>
    <w:p>
      <w:pPr>
        <w:pStyle w:val="88"/>
        <w:rPr>
          <w:color w:val="000000"/>
        </w:rPr>
      </w:pPr>
    </w:p>
    <w:p>
      <w:pPr>
        <w:rPr>
          <w:sz w:val="30"/>
          <w:szCs w:val="30"/>
        </w:rPr>
      </w:pPr>
      <w:r>
        <w:rPr>
          <w:rFonts w:hint="eastAsia"/>
          <w:sz w:val="30"/>
          <w:szCs w:val="30"/>
        </w:rPr>
        <w:t>附件（中标后提供）：</w:t>
      </w:r>
    </w:p>
    <w:p>
      <w:pPr>
        <w:jc w:val="center"/>
        <w:rPr>
          <w:b/>
          <w:sz w:val="48"/>
          <w:szCs w:val="48"/>
        </w:rPr>
      </w:pPr>
    </w:p>
    <w:p>
      <w:pPr>
        <w:jc w:val="center"/>
        <w:outlineLvl w:val="0"/>
        <w:rPr>
          <w:b/>
          <w:sz w:val="48"/>
          <w:szCs w:val="48"/>
        </w:rPr>
      </w:pPr>
      <w:bookmarkStart w:id="559" w:name="_Toc2272"/>
      <w:r>
        <w:rPr>
          <w:rFonts w:hint="eastAsia"/>
          <w:b/>
          <w:sz w:val="48"/>
          <w:szCs w:val="48"/>
        </w:rPr>
        <w:t>承 诺 书</w:t>
      </w:r>
      <w:bookmarkEnd w:id="559"/>
    </w:p>
    <w:p>
      <w:pPr>
        <w:rPr>
          <w:sz w:val="30"/>
          <w:szCs w:val="30"/>
        </w:rPr>
      </w:pPr>
    </w:p>
    <w:p>
      <w:pPr>
        <w:rPr>
          <w:sz w:val="30"/>
          <w:szCs w:val="30"/>
        </w:rPr>
      </w:pPr>
    </w:p>
    <w:p>
      <w:pPr>
        <w:rPr>
          <w:sz w:val="30"/>
          <w:szCs w:val="30"/>
        </w:rPr>
      </w:pPr>
      <w:r>
        <w:rPr>
          <w:rFonts w:hint="eastAsia"/>
          <w:sz w:val="30"/>
          <w:szCs w:val="30"/>
          <w:u w:val="single"/>
        </w:rPr>
        <w:t xml:space="preserve">耀华建设管理有限公司 </w:t>
      </w:r>
      <w:r>
        <w:rPr>
          <w:rFonts w:hint="eastAsia"/>
          <w:sz w:val="30"/>
          <w:szCs w:val="30"/>
        </w:rPr>
        <w:t>：</w:t>
      </w:r>
    </w:p>
    <w:p>
      <w:pPr>
        <w:spacing w:line="780" w:lineRule="exact"/>
        <w:ind w:firstLine="600" w:firstLineChars="200"/>
        <w:rPr>
          <w:sz w:val="30"/>
          <w:szCs w:val="30"/>
        </w:rPr>
      </w:pPr>
      <w:r>
        <w:rPr>
          <w:rFonts w:hint="eastAsia"/>
          <w:sz w:val="30"/>
          <w:szCs w:val="30"/>
        </w:rPr>
        <w:t>我单位参与投标的</w:t>
      </w:r>
      <w:r>
        <w:rPr>
          <w:rFonts w:hint="eastAsia"/>
          <w:sz w:val="30"/>
          <w:szCs w:val="30"/>
          <w:u w:val="single"/>
        </w:rPr>
        <w:t xml:space="preserve">   （项目名称）   </w:t>
      </w:r>
      <w:r>
        <w:rPr>
          <w:rFonts w:hint="eastAsia"/>
          <w:sz w:val="30"/>
          <w:szCs w:val="30"/>
        </w:rPr>
        <w:t>有幸中标，考虑本项目备案事宜，故由我单位再提供纸质版电子投标文件一式三份（正本一份红章版，副本二份，可为正本复印件）递交给招标代理机构备案，本公司承诺：</w:t>
      </w:r>
    </w:p>
    <w:p>
      <w:pPr>
        <w:spacing w:line="780" w:lineRule="exact"/>
        <w:ind w:firstLine="600" w:firstLineChars="200"/>
        <w:rPr>
          <w:sz w:val="30"/>
          <w:szCs w:val="30"/>
        </w:rPr>
      </w:pPr>
      <w:r>
        <w:rPr>
          <w:rFonts w:hint="eastAsia"/>
          <w:sz w:val="30"/>
          <w:szCs w:val="30"/>
        </w:rPr>
        <w:t>本单位提交给招标代理机构备案的</w:t>
      </w:r>
      <w:r>
        <w:rPr>
          <w:rFonts w:hint="eastAsia"/>
          <w:sz w:val="30"/>
          <w:szCs w:val="30"/>
          <w:u w:val="single"/>
        </w:rPr>
        <w:t>投标文件纸质版</w:t>
      </w:r>
      <w:r>
        <w:rPr>
          <w:rFonts w:hint="eastAsia"/>
          <w:sz w:val="30"/>
          <w:szCs w:val="30"/>
        </w:rPr>
        <w:t>与</w:t>
      </w:r>
      <w:r>
        <w:rPr>
          <w:rFonts w:hint="eastAsia"/>
          <w:sz w:val="30"/>
          <w:szCs w:val="30"/>
          <w:u w:val="single"/>
        </w:rPr>
        <w:t>电子投标文件</w:t>
      </w:r>
      <w:r>
        <w:rPr>
          <w:rFonts w:hint="eastAsia"/>
          <w:sz w:val="30"/>
          <w:szCs w:val="30"/>
        </w:rPr>
        <w:t>内容均一致，如不一致导致的任何法律责任自付。特此承诺！</w:t>
      </w:r>
    </w:p>
    <w:p>
      <w:pPr>
        <w:spacing w:line="780" w:lineRule="exact"/>
        <w:ind w:firstLine="450" w:firstLineChars="150"/>
        <w:rPr>
          <w:sz w:val="30"/>
          <w:szCs w:val="30"/>
        </w:rPr>
      </w:pPr>
    </w:p>
    <w:p>
      <w:pPr>
        <w:spacing w:line="780" w:lineRule="exact"/>
        <w:rPr>
          <w:sz w:val="30"/>
          <w:szCs w:val="30"/>
        </w:rPr>
      </w:pPr>
    </w:p>
    <w:p>
      <w:pPr>
        <w:spacing w:line="780" w:lineRule="exact"/>
        <w:rPr>
          <w:sz w:val="30"/>
          <w:szCs w:val="30"/>
        </w:rPr>
      </w:pPr>
    </w:p>
    <w:p>
      <w:pPr>
        <w:spacing w:line="780" w:lineRule="exact"/>
        <w:rPr>
          <w:sz w:val="30"/>
          <w:szCs w:val="30"/>
        </w:rPr>
      </w:pPr>
      <w:r>
        <w:rPr>
          <w:rFonts w:hint="eastAsia"/>
          <w:sz w:val="30"/>
          <w:szCs w:val="30"/>
        </w:rPr>
        <w:t>投标人名称（盖公章）：</w:t>
      </w:r>
    </w:p>
    <w:p>
      <w:pPr>
        <w:spacing w:line="780" w:lineRule="exact"/>
        <w:ind w:firstLine="5850" w:firstLineChars="1950"/>
        <w:rPr>
          <w:sz w:val="30"/>
          <w:szCs w:val="30"/>
        </w:rPr>
      </w:pPr>
      <w:r>
        <w:rPr>
          <w:rFonts w:hint="eastAsia"/>
          <w:sz w:val="30"/>
          <w:szCs w:val="30"/>
        </w:rPr>
        <w:t>2021年   月   日</w:t>
      </w:r>
    </w:p>
    <w:p>
      <w:pPr>
        <w:spacing w:line="360" w:lineRule="auto"/>
        <w:ind w:firstLine="480" w:firstLineChars="200"/>
        <w:rPr>
          <w:rFonts w:ascii="宋体" w:hAnsi="宋体"/>
          <w:color w:val="000000"/>
          <w:sz w:val="24"/>
        </w:rPr>
      </w:pPr>
    </w:p>
    <w:p/>
    <w:p/>
    <w:sectPr>
      <w:headerReference r:id="rId6" w:type="default"/>
      <w:footerReference r:id="rId7" w:type="default"/>
      <w:footerReference r:id="rId8" w:type="even"/>
      <w:pgSz w:w="11906" w:h="16838"/>
      <w:pgMar w:top="993" w:right="1474" w:bottom="1134" w:left="1474" w:header="851" w:footer="641"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Courier New"/>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auto"/>
    <w:pitch w:val="default"/>
    <w:sig w:usb0="00000000" w:usb1="00000000" w:usb2="00000000" w:usb3="00000000" w:csb0="00000093" w:csb1="0000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Century">
    <w:altName w:val="Nyala"/>
    <w:panose1 w:val="02040604050505020304"/>
    <w:charset w:val="00"/>
    <w:family w:val="roman"/>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Helvetica Neue">
    <w:altName w:val="Segoe UI"/>
    <w:panose1 w:val="00000000000000000000"/>
    <w:charset w:val="00"/>
    <w:family w:val="auto"/>
    <w:pitch w:val="default"/>
    <w:sig w:usb0="00000000" w:usb1="00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Baskerville">
    <w:altName w:val="Cambria Math"/>
    <w:panose1 w:val="00000000000000000000"/>
    <w:charset w:val="00"/>
    <w:family w:val="auto"/>
    <w:pitch w:val="default"/>
    <w:sig w:usb0="00000000" w:usb1="00000000" w:usb2="00000000" w:usb3="00000000" w:csb0="0000019F" w:csb1="00000000"/>
  </w:font>
  <w:font w:name="Cambria Math">
    <w:panose1 w:val="02040503050406030204"/>
    <w:charset w:val="00"/>
    <w:family w:val="auto"/>
    <w:pitch w:val="default"/>
    <w:sig w:usb0="E00002FF" w:usb1="420024FF" w:usb2="00000000" w:usb3="00000000" w:csb0="2000019F" w:csb1="00000000"/>
  </w:font>
  <w:font w:name="Latha">
    <w:panose1 w:val="020B0604020202020204"/>
    <w:charset w:val="00"/>
    <w:family w:val="swiss"/>
    <w:pitch w:val="default"/>
    <w:sig w:usb0="00100003"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14935" cy="131445"/>
              <wp:effectExtent l="0" t="0" r="0" b="3810"/>
              <wp:wrapNone/>
              <wp:docPr id="7" name="文本框 11"/>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pPr>
                            <w:pStyle w:val="51"/>
                          </w:pPr>
                          <w:r>
                            <w:fldChar w:fldCharType="begin"/>
                          </w:r>
                          <w:r>
                            <w:instrText xml:space="preserve"> PAGE  \* MERGEFORMAT </w:instrText>
                          </w:r>
                          <w:r>
                            <w:fldChar w:fldCharType="separate"/>
                          </w:r>
                          <w:r>
                            <w:t>29</w:t>
                          </w:r>
                          <w:r>
                            <w:fldChar w:fldCharType="end"/>
                          </w:r>
                        </w:p>
                      </w:txbxContent>
                    </wps:txbx>
                    <wps:bodyPr rot="0" vert="horz" wrap="none" lIns="0" tIns="0" rIns="0" bIns="0" anchor="t" anchorCtr="0" upright="1">
                      <a:spAutoFit/>
                    </wps:bodyPr>
                  </wps:wsp>
                </a:graphicData>
              </a:graphic>
            </wp:anchor>
          </w:drawing>
        </mc:Choice>
        <mc:Fallback>
          <w:pict>
            <v:rect id="文本框 11" o:spid="_x0000_s1026" o:spt="1" style="position:absolute;left:0pt;margin-top:0pt;height:10.35pt;width:9.05pt;mso-position-horizontal:right;mso-position-horizontal-relative:margin;mso-wrap-style:none;z-index:25166438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M9qHH0GAgAA+QMAAA4AAABkcnMvZTJvRG9jLnhtbK1TS27bMBDdF+gd&#10;CO5rWYnTj2A5CGK4KJC2AdIegKYoi6jIIYa0JfcA7Q26yqb7nsvn6JCS3SbdZNENMRwOH997M5xf&#10;9qZlO4Vegy15PplypqyESttNyT9/Wr14zZkPwlaiBatKvleeXy6eP5t3rlBn0EBbKWQEYn3RuZI3&#10;Ibgiy7xslBF+Ak5ZOqwBjQi0xU1WoegI3bTZ2XT6MusAK4cglfeUXQ6HfETEpwBCXWupliC3Rtkw&#10;oKJqRSBJvtHO80ViW9dKho917VVgbclJaUgrPULxOq7ZYi6KDQrXaDlSEE+h8EiTEdrSoyeopQiC&#10;bVH/A2W0RPBQh4kEkw1CkiOkIp8+8uauEU4lLWS1dyfT/f+DlR92t8h0VfJXnFlhqOGHH98P978O&#10;P7+xPI/+dM4XVHbnbjEq9O4G5BfPLFw3wm7UFSJ0jRIVsUr12YMLcePpKlt376EieLENkKzqazQR&#10;kExgferI/tQR1QcmKZnnszfnF5xJOsrP89nsIjLKRHG87NCHtwoMi0HJkRqewMXuxoeh9FgS37Kw&#10;0m2bmt7aBwnCjJlEPvIddId+3Y8WrKHakwyEYYboB1HQAH7lrKP5Kbml78JZ+86SEXHUjgEeg/Ux&#10;EFbSxZIHzobwOgwjuXWoNw3h5kmEd1dk1konIdHIgcPIkiYiWTFObxy5v/ep6s+PX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L/SwtAAAAADAQAADwAAAAAAAAABACAAAAAiAAAAZHJzL2Rvd25y&#10;ZXYueG1sUEsBAhQAFAAAAAgAh07iQM9qHH0GAgAA+QMAAA4AAAAAAAAAAQAgAAAAHwEAAGRycy9l&#10;Mm9Eb2MueG1sUEsFBgAAAAAGAAYAWQEAAJcFAAAAAA==&#10;">
              <v:fill on="f" focussize="0,0"/>
              <v:stroke on="f"/>
              <v:imagedata o:title=""/>
              <o:lock v:ext="edit" aspectratio="f"/>
              <v:textbox inset="0mm,0mm,0mm,0mm" style="mso-fit-shape-to-text:t;">
                <w:txbxContent>
                  <w:p>
                    <w:pPr>
                      <w:pStyle w:val="51"/>
                    </w:pPr>
                    <w:r>
                      <w:fldChar w:fldCharType="begin"/>
                    </w:r>
                    <w:r>
                      <w:instrText xml:space="preserve"> PAGE  \* MERGEFORMAT </w:instrText>
                    </w:r>
                    <w:r>
                      <w:fldChar w:fldCharType="separate"/>
                    </w:r>
                    <w:r>
                      <w:t>29</w:t>
                    </w:r>
                    <w:r>
                      <w:fldChar w:fldCharType="end"/>
                    </w:r>
                  </w:p>
                </w:txbxContent>
              </v:textbox>
            </v:rect>
          </w:pict>
        </mc:Fallback>
      </mc:AlternateContent>
    </w:r>
    <w:r>
      <w:rPr>
        <w:rFonts w:ascii="楷体_GB2312" w:eastAsia="楷体_GB2312"/>
        <w:color w:val="0000FF"/>
        <w:u w:val="thick"/>
      </w:rPr>
      <w:drawing>
        <wp:anchor distT="0" distB="0" distL="114300" distR="114300" simplePos="0" relativeHeight="251663360" behindDoc="0" locked="0" layoutInCell="1" allowOverlap="1">
          <wp:simplePos x="0" y="0"/>
          <wp:positionH relativeFrom="column">
            <wp:posOffset>-5080</wp:posOffset>
          </wp:positionH>
          <wp:positionV relativeFrom="paragraph">
            <wp:posOffset>-229870</wp:posOffset>
          </wp:positionV>
          <wp:extent cx="1023620" cy="351155"/>
          <wp:effectExtent l="0" t="0" r="0" b="0"/>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3620" cy="35115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color w:val="0000FF"/>
        <w:u w:val="thick"/>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14935" cy="131445"/>
              <wp:effectExtent l="3810" t="0" r="0" b="1905"/>
              <wp:wrapNone/>
              <wp:docPr id="5" name="文本框 8"/>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pPr>
                            <w:pStyle w:val="51"/>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49</w:t>
                          </w:r>
                          <w:r>
                            <w:rPr>
                              <w:rFonts w:hint="eastAsia" w:eastAsia="宋体"/>
                            </w:rPr>
                            <w:fldChar w:fldCharType="end"/>
                          </w:r>
                        </w:p>
                      </w:txbxContent>
                    </wps:txbx>
                    <wps:bodyPr rot="0" vert="horz" wrap="none" lIns="0" tIns="0" rIns="0" bIns="0" anchor="t" anchorCtr="0" upright="1">
                      <a:spAutoFit/>
                    </wps:bodyPr>
                  </wps:wsp>
                </a:graphicData>
              </a:graphic>
            </wp:anchor>
          </w:drawing>
        </mc:Choice>
        <mc:Fallback>
          <w:pict>
            <v:rect id="文本框 8" o:spid="_x0000_s1026" o:spt="1" style="position:absolute;left:0pt;margin-top:0pt;height:10.35pt;width:9.05pt;mso-position-horizontal:right;mso-position-horizontal-relative:margin;mso-wrap-style:none;z-index:251662336;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FsXFqAFAgAA+AMAAA4AAABkcnMvZTJvRG9jLnhtbK1TwW4TMRC9I/EP&#10;lu9ks22KyiqbqmoUhFSgUuEDHK83a7H2WGMnu+ED4A84cemd78p3MPZuAi2XHrhYY3v85r034/lV&#10;b1q2U+g12JLnkylnykqotN2U/POn1atLznwQthItWFXyvfL8avHyxbxzhTqDBtpKISMQ64vOlbwJ&#10;wRVZ5mWjjPATcMrSZQ1oRKAtbrIKRUfops3OptPXWQdYOQSpvKfT5XDJR0R8DiDUtZZqCXJrlA0D&#10;KqpWBJLkG+08XyS2da1k+FjXXgXWlpyUhrRSEYrXcc0Wc1FsULhGy5GCeA6FJ5qM0JaKnqCWIgi2&#10;Rf0PlNESwUMdJhJMNghJjpCKfPrEm/tGOJW0kNXenUz3/w9WftjdIdNVyS84s8JQww8/vh9+/jo8&#10;fGOX0Z7O+YKy7t0dRoHe3YL84pmFm0bYjbpGhK5RoiJSeczPHj2IG09P2bp7DxWhi22A5FRfo4mA&#10;5AHrU0P2p4aoPjBJh3k+e3NOxCRd5ef5bHaRKoji+NihD28VGBaDkiP1O4GL3a0PkYwojimxloWV&#10;btvU89Y+OqDEeJLIR76D7tCv+9GCNVR7koEwjBB9IAoawK+cdTQ+Jbf0Wzhr31kyIk7aMcBjsD4G&#10;wkp6WPLA2RDehGEitw71piHcPInw7prMWukkJBo5cBhZ0kAkfePwxon7e5+y/nzY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v9LC0AAAAAMBAAAPAAAAAAAAAAEAIAAAACIAAABkcnMvZG93bnJl&#10;di54bWxQSwECFAAUAAAACACHTuJAWxcWoAUCAAD4AwAADgAAAAAAAAABACAAAAAfAQAAZHJzL2Uy&#10;b0RvYy54bWxQSwUGAAAAAAYABgBZAQAAlgUAAAAA&#10;">
              <v:fill on="f" focussize="0,0"/>
              <v:stroke on="f"/>
              <v:imagedata o:title=""/>
              <o:lock v:ext="edit" aspectratio="f"/>
              <v:textbox inset="0mm,0mm,0mm,0mm" style="mso-fit-shape-to-text:t;">
                <w:txbxContent>
                  <w:p>
                    <w:pPr>
                      <w:pStyle w:val="51"/>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49</w:t>
                    </w:r>
                    <w:r>
                      <w:rPr>
                        <w:rFonts w:hint="eastAsia" w:eastAsia="宋体"/>
                      </w:rPr>
                      <w:fldChar w:fldCharType="end"/>
                    </w:r>
                  </w:p>
                </w:txbxContent>
              </v:textbox>
            </v:rect>
          </w:pict>
        </mc:Fallback>
      </mc:AlternateContent>
    </w:r>
    <w:r>
      <w:rPr>
        <w:rFonts w:ascii="楷体_GB2312" w:eastAsia="楷体_GB2312"/>
        <w:color w:val="0000FF"/>
        <w:u w:val="thick"/>
      </w:rPr>
      <w:drawing>
        <wp:anchor distT="0" distB="0" distL="114300" distR="114300" simplePos="0" relativeHeight="251661312" behindDoc="0" locked="0" layoutInCell="1" allowOverlap="1">
          <wp:simplePos x="0" y="0"/>
          <wp:positionH relativeFrom="column">
            <wp:posOffset>85725</wp:posOffset>
          </wp:positionH>
          <wp:positionV relativeFrom="paragraph">
            <wp:posOffset>-135890</wp:posOffset>
          </wp:positionV>
          <wp:extent cx="1023620" cy="351155"/>
          <wp:effectExtent l="0" t="0" r="0" b="0"/>
          <wp:wrapNone/>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3620" cy="351155"/>
                  </a:xfrm>
                  <a:prstGeom prst="rect">
                    <a:avLst/>
                  </a:prstGeom>
                  <a:noFill/>
                  <a:ln>
                    <a:noFill/>
                  </a:ln>
                </pic:spPr>
              </pic:pic>
            </a:graphicData>
          </a:graphic>
        </wp:anchor>
      </w:drawing>
    </w:r>
    <w:r>
      <w:rPr>
        <w:color w:val="0000FF"/>
        <w:u w:val="thick"/>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80340"/>
              <wp:effectExtent l="3810" t="0" r="0" b="635"/>
              <wp:wrapNone/>
              <wp:docPr id="3" name="文本框 10"/>
              <wp:cNvGraphicFramePr/>
              <a:graphic xmlns:a="http://schemas.openxmlformats.org/drawingml/2006/main">
                <a:graphicData uri="http://schemas.microsoft.com/office/word/2010/wordprocessingShape">
                  <wps:wsp>
                    <wps:cNvSpPr>
                      <a:spLocks noChangeArrowheads="1"/>
                    </wps:cNvSpPr>
                    <wps:spPr bwMode="auto">
                      <a:xfrm>
                        <a:off x="0" y="0"/>
                        <a:ext cx="114935" cy="18034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rect id="文本框 10" o:spid="_x0000_s1026" o:spt="1" style="position:absolute;left:0pt;margin-top:0pt;height:14.2pt;width:9.05pt;mso-position-horizontal:right;mso-position-horizontal-relative:margin;mso-wrap-style:none;z-index:251660288;mso-width-relative:page;mso-height-relative:page;" filled="f" stroked="f" coordsize="21600,21600" o:gfxdata="UEsDBAoAAAAAAIdO4kAAAAAAAAAAAAAAAAAEAAAAZHJzL1BLAwQUAAAACACHTuJAL+9f/NEAAAAD&#10;AQAADwAAAGRycy9kb3ducmV2LnhtbE2PzU7DMBCE70i8g7VI3KidCKEoZNMDUiVAXJryAG68+RH2&#10;OrLdprw9Lhe4rDSa0cy3zfbirDhTiLNnhGKjQBD33sw8Inwedg8ViJg0G209E8I3Rdi2tzeNro1f&#10;eU/nLo0il3CsNcKU0lJLGfuJnI4bvxBnb/DB6ZRlGKUJes3lzspSqSfp9Mx5YdILvUzUf3UnhyAP&#10;3W6tOhuUfy+HD/v2uh/II97fFeoZRKJL+gvDFT+jQ5uZjv7EJgqLkB9Jv/fqVQWII0JZPYJsG/mf&#10;vf0BUEsDBBQAAAAIAIdO4kCbYBE1BgIAAPkDAAAOAAAAZHJzL2Uyb0RvYy54bWytU8FuEzEQvSPx&#10;D5bvZHebgsoqm6pqFIRUoFLhAxyvN2ux9lhjJ7vhA+APOHHpne/KdzD2Jiktlx64WOPx+Pm9N+PZ&#10;5WA6tlXoNdiKF5OcM2Ul1NquK/7l8/LVBWc+CFuLDqyq+E55fjl/+WLWu1KdQQtdrZARiPVl7yre&#10;huDKLPOyVUb4CThl6bABNCLQFtdZjaIndNNlZ3n+JusBa4cglfeUXYyH/ICIzwGEptFSLUBujLJh&#10;REXViUCSfKud5/PEtmmUDJ+axqvAuoqT0pBWeoTiVVyz+UyUaxSu1fJAQTyHwhNNRmhLj56gFiII&#10;tkH9D5TREsFDEyYSTDYKSY6QiiJ/4s1dK5xKWshq706m+/8HKz9ub5HpuuJTzqww1PD9zx/7X7/3&#10;999ZkfzpnS+p7M7dYlTo3Q3Ir55ZuG6FXasrROhbJWpiVUQ/s0cX4sbTVbbqP0BN8GITIFk1NGgi&#10;IJnAhtSR3akjaghMUrIozt9OX3Mm6ai4yKfniVEmyuNlhz68U2BYDCqO1PAELrY3PkQyojyWxLcs&#10;LHXXpaZ39lGCCmMmkY984wT5MgyrgapjuIJ6RzIQxhmiH0RBC/iNs57mp+KWvgtn3XtLRsRROwZ4&#10;DFbHQFhJFyseOBvD6zCO5MahXreEWyQR3l2RWUudhDxwOLCkiUj6DtMbR+7vfap6+LHz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vX/zRAAAAAwEAAA8AAAAAAAAAAQAgAAAAIgAAAGRycy9kb3du&#10;cmV2LnhtbFBLAQIUABQAAAAIAIdO4kCbYBE1BgIAAPkDAAAOAAAAAAAAAAEAIAAAACABAABkcnMv&#10;ZTJvRG9jLnhtbFBLBQYAAAAABgAGAFkBAACYBQAAAAA=&#10;">
              <v:fill on="f" focussize="0,0"/>
              <v:stroke on="f"/>
              <v:imagedata o:title=""/>
              <o:lock v:ext="edit" aspectratio="f"/>
              <v:textbox inset="0mm,0mm,0mm,0mm" style="mso-fit-shape-to-text:t;">
                <w:txbxContent>
                  <w:p/>
                </w:txbxContent>
              </v:textbox>
            </v:rect>
          </w:pict>
        </mc:Fallback>
      </mc:AlternateContent>
    </w:r>
    <w:r>
      <w:rPr>
        <w:rFonts w:hint="eastAsia" w:eastAsia="宋体"/>
        <w:color w:val="0000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color w:val="0000FF"/>
        <w:u w:val="thick"/>
      </w:rP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14935" cy="131445"/>
              <wp:effectExtent l="3810" t="0" r="0" b="1905"/>
              <wp:wrapNone/>
              <wp:docPr id="2" name="文本框 12"/>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pPr>
                            <w:pStyle w:val="51"/>
                          </w:pPr>
                          <w:r>
                            <w:fldChar w:fldCharType="begin"/>
                          </w:r>
                          <w:r>
                            <w:instrText xml:space="preserve"> PAGE  \* MERGEFORMAT </w:instrText>
                          </w:r>
                          <w:r>
                            <w:fldChar w:fldCharType="separate"/>
                          </w:r>
                          <w:r>
                            <w:t>67</w:t>
                          </w:r>
                          <w:r>
                            <w:fldChar w:fldCharType="end"/>
                          </w:r>
                        </w:p>
                      </w:txbxContent>
                    </wps:txbx>
                    <wps:bodyPr rot="0" vert="horz" wrap="none" lIns="0" tIns="0" rIns="0" bIns="0" anchor="t" anchorCtr="0" upright="1">
                      <a:spAutoFit/>
                    </wps:bodyPr>
                  </wps:wsp>
                </a:graphicData>
              </a:graphic>
            </wp:anchor>
          </w:drawing>
        </mc:Choice>
        <mc:Fallback>
          <w:pict>
            <v:rect id="文本框 12" o:spid="_x0000_s1026" o:spt="1" style="position:absolute;left:0pt;margin-top:0pt;height:10.35pt;width:9.05pt;mso-position-horizontal:right;mso-position-horizontal-relative:margin;mso-wrap-style:none;z-index:25166540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NLXp74GAgAA+QMAAA4AAABkcnMvZTJvRG9jLnhtbK1TwY7TMBC9I/EP&#10;lu80TbeLIGq6Wm1VhLTASgsf4DpOYxF7rLHbpHwA/AEnLtz5rn4HY6cp7HLZAxdrbI/fvPdmvLjq&#10;Tcv2Cr0GW/J8MuVMWQmVttuSf/q4fvGKMx+ErUQLVpX8oDy/Wj5/tuhcoWbQQFspZARifdG5kjch&#10;uCLLvGyUEX4CTlm6rAGNCLTFbVah6AjdtNlsOn2ZdYCVQ5DKezpdDZf8hIhPAYS61lKtQO6MsmFA&#10;RdWKQJJ8o53ny8S2rpUMH+raq8DakpPSkFYqQvEmrtlyIYotCtdoeaIgnkLhkSYjtKWiZ6iVCILt&#10;UP8DZbRE8FCHiQSTDUKSI6Qinz7y5r4RTiUtZLV3Z9P9/4OV7/d3yHRV8hlnVhhq+PH7t+OPX8ef&#10;X1k+i/50zheUdu/uMCr07hbkZ88s3DTCbtU1InSNEhWxymN+9uBB3Hh6yjbdO6gIXuwCJKv6Gk0E&#10;JBNYnzpyOHdE9YFJOszz+euLS84kXeUX+Xx+mSqIYnzs0Ic3CgyLQcmRGp7Axf7Wh0hGFGNKrGVh&#10;rds2Nb21Dw4oMZ4k8pHvoDv0m/5kwQaqA8lAGGaIfhAFDeAXzjqan5Jb+i6ctW8tGRFHbQxwDDZj&#10;IKykhyUPnA3hTRhGcudQbxvCzZMI767JrLVOQqKRA4cTS5qIpO80vXHk/t6nrD8/d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L/SwtAAAAADAQAADwAAAAAAAAABACAAAAAiAAAAZHJzL2Rvd25y&#10;ZXYueG1sUEsBAhQAFAAAAAgAh07iQNLXp74GAgAA+QMAAA4AAAAAAAAAAQAgAAAAHwEAAGRycy9l&#10;Mm9Eb2MueG1sUEsFBgAAAAAGAAYAWQEAAJcFAAAAAA==&#10;">
              <v:fill on="f" focussize="0,0"/>
              <v:stroke on="f"/>
              <v:imagedata o:title=""/>
              <o:lock v:ext="edit" aspectratio="f"/>
              <v:textbox inset="0mm,0mm,0mm,0mm" style="mso-fit-shape-to-text:t;">
                <w:txbxContent>
                  <w:p>
                    <w:pPr>
                      <w:pStyle w:val="51"/>
                    </w:pPr>
                    <w:r>
                      <w:fldChar w:fldCharType="begin"/>
                    </w:r>
                    <w:r>
                      <w:instrText xml:space="preserve"> PAGE  \* MERGEFORMAT </w:instrText>
                    </w:r>
                    <w:r>
                      <w:fldChar w:fldCharType="separate"/>
                    </w:r>
                    <w:r>
                      <w:t>67</w:t>
                    </w:r>
                    <w:r>
                      <w:fldChar w:fldCharType="end"/>
                    </w:r>
                  </w:p>
                </w:txbxContent>
              </v:textbox>
            </v:rect>
          </w:pict>
        </mc:Fallback>
      </mc:AlternateContent>
    </w:r>
    <w:r>
      <w:rPr>
        <w:rFonts w:ascii="楷体_GB2312" w:eastAsia="楷体_GB2312"/>
        <w:color w:val="0000FF"/>
        <w:u w:val="thick"/>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-135890</wp:posOffset>
          </wp:positionV>
          <wp:extent cx="1023620" cy="351155"/>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3620" cy="351155"/>
                  </a:xfrm>
                  <a:prstGeom prst="rect">
                    <a:avLst/>
                  </a:prstGeom>
                  <a:noFill/>
                  <a:ln>
                    <a:noFill/>
                  </a:ln>
                </pic:spPr>
              </pic:pic>
            </a:graphicData>
          </a:graphic>
        </wp:anchor>
      </w:drawing>
    </w:r>
    <w:r>
      <w:rPr>
        <w:rFonts w:hint="eastAsia" w:eastAsia="宋体"/>
        <w:color w:val="0000F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2"/>
      </w:rPr>
    </w:pPr>
    <w:r>
      <w:fldChar w:fldCharType="begin"/>
    </w:r>
    <w:r>
      <w:rPr>
        <w:rStyle w:val="82"/>
      </w:rPr>
      <w:instrText xml:space="preserve">PAGE  </w:instrText>
    </w:r>
    <w:r>
      <w:fldChar w:fldCharType="end"/>
    </w:r>
  </w:p>
  <w:p>
    <w:pPr>
      <w:pStyle w:val="5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jc w:val="both"/>
      <w:rPr>
        <w:rFonts w:eastAsia="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jc w:val="both"/>
      <w:rPr>
        <w:rFonts w:eastAsia="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4B821"/>
    <w:multiLevelType w:val="singleLevel"/>
    <w:tmpl w:val="84A4B821"/>
    <w:lvl w:ilvl="0" w:tentative="0">
      <w:start w:val="1"/>
      <w:numFmt w:val="chineseCounting"/>
      <w:suff w:val="nothing"/>
      <w:lvlText w:val="%1、"/>
      <w:lvlJc w:val="left"/>
      <w:rPr>
        <w:rFonts w:hint="eastAsia"/>
      </w:rPr>
    </w:lvl>
  </w:abstractNum>
  <w:abstractNum w:abstractNumId="1">
    <w:nsid w:val="9C2A0083"/>
    <w:multiLevelType w:val="singleLevel"/>
    <w:tmpl w:val="9C2A0083"/>
    <w:lvl w:ilvl="0" w:tentative="0">
      <w:start w:val="5"/>
      <w:numFmt w:val="chineseCounting"/>
      <w:suff w:val="nothing"/>
      <w:lvlText w:val="（%1）"/>
      <w:lvlJc w:val="left"/>
      <w:rPr>
        <w:rFonts w:hint="eastAsia"/>
      </w:rPr>
    </w:lvl>
  </w:abstractNum>
  <w:abstractNum w:abstractNumId="2">
    <w:nsid w:val="A7742D1F"/>
    <w:multiLevelType w:val="singleLevel"/>
    <w:tmpl w:val="A7742D1F"/>
    <w:lvl w:ilvl="0" w:tentative="0">
      <w:start w:val="1"/>
      <w:numFmt w:val="decimal"/>
      <w:suff w:val="nothing"/>
      <w:lvlText w:val="%1、"/>
      <w:lvlJc w:val="left"/>
    </w:lvl>
  </w:abstractNum>
  <w:abstractNum w:abstractNumId="3">
    <w:nsid w:val="B3D01A72"/>
    <w:multiLevelType w:val="singleLevel"/>
    <w:tmpl w:val="B3D01A72"/>
    <w:lvl w:ilvl="0" w:tentative="0">
      <w:start w:val="1"/>
      <w:numFmt w:val="chineseCounting"/>
      <w:suff w:val="space"/>
      <w:lvlText w:val="第%1部分"/>
      <w:lvlJc w:val="left"/>
      <w:rPr>
        <w:rFonts w:hint="eastAsia"/>
      </w:rPr>
    </w:lvl>
  </w:abstractNum>
  <w:abstractNum w:abstractNumId="4">
    <w:nsid w:val="B6F18073"/>
    <w:multiLevelType w:val="singleLevel"/>
    <w:tmpl w:val="B6F18073"/>
    <w:lvl w:ilvl="0" w:tentative="0">
      <w:start w:val="1"/>
      <w:numFmt w:val="decimal"/>
      <w:suff w:val="space"/>
      <w:lvlText w:val="%1."/>
      <w:lvlJc w:val="left"/>
    </w:lvl>
  </w:abstractNum>
  <w:abstractNum w:abstractNumId="5">
    <w:nsid w:val="D0EB7157"/>
    <w:multiLevelType w:val="singleLevel"/>
    <w:tmpl w:val="D0EB7157"/>
    <w:lvl w:ilvl="0" w:tentative="0">
      <w:start w:val="12"/>
      <w:numFmt w:val="chineseCounting"/>
      <w:suff w:val="nothing"/>
      <w:lvlText w:val="%1、"/>
      <w:lvlJc w:val="left"/>
      <w:rPr>
        <w:rFonts w:hint="eastAsia"/>
      </w:rPr>
    </w:lvl>
  </w:abstractNum>
  <w:abstractNum w:abstractNumId="6">
    <w:nsid w:val="E0D9C00F"/>
    <w:multiLevelType w:val="singleLevel"/>
    <w:tmpl w:val="E0D9C00F"/>
    <w:lvl w:ilvl="0" w:tentative="0">
      <w:start w:val="1"/>
      <w:numFmt w:val="decimal"/>
      <w:suff w:val="nothing"/>
      <w:lvlText w:val="%1）"/>
      <w:lvlJc w:val="left"/>
    </w:lvl>
  </w:abstractNum>
  <w:abstractNum w:abstractNumId="7">
    <w:nsid w:val="FB1146C5"/>
    <w:multiLevelType w:val="singleLevel"/>
    <w:tmpl w:val="FB1146C5"/>
    <w:lvl w:ilvl="0" w:tentative="0">
      <w:start w:val="6"/>
      <w:numFmt w:val="chineseCounting"/>
      <w:suff w:val="space"/>
      <w:lvlText w:val="%1、"/>
      <w:lvlJc w:val="left"/>
      <w:pPr>
        <w:ind w:left="302" w:firstLine="0"/>
      </w:pPr>
      <w:rPr>
        <w:rFonts w:hint="eastAsia"/>
      </w:rPr>
    </w:lvl>
  </w:abstractNum>
  <w:abstractNum w:abstractNumId="8">
    <w:nsid w:val="0000000E"/>
    <w:multiLevelType w:val="multilevel"/>
    <w:tmpl w:val="0000000E"/>
    <w:lvl w:ilvl="0" w:tentative="0">
      <w:start w:val="1"/>
      <w:numFmt w:val="bullet"/>
      <w:pStyle w:val="323"/>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9">
    <w:nsid w:val="004DB8B5"/>
    <w:multiLevelType w:val="singleLevel"/>
    <w:tmpl w:val="004DB8B5"/>
    <w:lvl w:ilvl="0" w:tentative="0">
      <w:start w:val="1"/>
      <w:numFmt w:val="decimal"/>
      <w:suff w:val="nothing"/>
      <w:lvlText w:val="（%1）"/>
      <w:lvlJc w:val="left"/>
    </w:lvl>
  </w:abstractNum>
  <w:abstractNum w:abstractNumId="10">
    <w:nsid w:val="0D407D28"/>
    <w:multiLevelType w:val="multilevel"/>
    <w:tmpl w:val="0D407D28"/>
    <w:lvl w:ilvl="0" w:tentative="0">
      <w:start w:val="1"/>
      <w:numFmt w:val="bullet"/>
      <w:pStyle w:val="105"/>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11">
    <w:nsid w:val="0FB26183"/>
    <w:multiLevelType w:val="multilevel"/>
    <w:tmpl w:val="0FB26183"/>
    <w:lvl w:ilvl="0" w:tentative="0">
      <w:start w:val="1"/>
      <w:numFmt w:val="bullet"/>
      <w:pStyle w:val="1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
    <w:nsid w:val="2470EC97"/>
    <w:multiLevelType w:val="multilevel"/>
    <w:tmpl w:val="2470EC97"/>
    <w:lvl w:ilvl="0" w:tentative="0">
      <w:start w:val="0"/>
      <w:numFmt w:val="bullet"/>
      <w:lvlText w:val="■"/>
      <w:lvlJc w:val="left"/>
      <w:pPr>
        <w:ind w:left="350"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988" w:hanging="241"/>
      </w:pPr>
      <w:rPr>
        <w:rFonts w:hint="default"/>
        <w:lang w:val="zh-CN" w:eastAsia="zh-CN" w:bidi="zh-CN"/>
      </w:rPr>
    </w:lvl>
    <w:lvl w:ilvl="2" w:tentative="0">
      <w:start w:val="0"/>
      <w:numFmt w:val="bullet"/>
      <w:lvlText w:val="•"/>
      <w:lvlJc w:val="left"/>
      <w:pPr>
        <w:ind w:left="1616" w:hanging="241"/>
      </w:pPr>
      <w:rPr>
        <w:rFonts w:hint="default"/>
        <w:lang w:val="zh-CN" w:eastAsia="zh-CN" w:bidi="zh-CN"/>
      </w:rPr>
    </w:lvl>
    <w:lvl w:ilvl="3" w:tentative="0">
      <w:start w:val="0"/>
      <w:numFmt w:val="bullet"/>
      <w:lvlText w:val="•"/>
      <w:lvlJc w:val="left"/>
      <w:pPr>
        <w:ind w:left="2244" w:hanging="241"/>
      </w:pPr>
      <w:rPr>
        <w:rFonts w:hint="default"/>
        <w:lang w:val="zh-CN" w:eastAsia="zh-CN" w:bidi="zh-CN"/>
      </w:rPr>
    </w:lvl>
    <w:lvl w:ilvl="4" w:tentative="0">
      <w:start w:val="0"/>
      <w:numFmt w:val="bullet"/>
      <w:lvlText w:val="•"/>
      <w:lvlJc w:val="left"/>
      <w:pPr>
        <w:ind w:left="2872" w:hanging="241"/>
      </w:pPr>
      <w:rPr>
        <w:rFonts w:hint="default"/>
        <w:lang w:val="zh-CN" w:eastAsia="zh-CN" w:bidi="zh-CN"/>
      </w:rPr>
    </w:lvl>
    <w:lvl w:ilvl="5" w:tentative="0">
      <w:start w:val="0"/>
      <w:numFmt w:val="bullet"/>
      <w:lvlText w:val="•"/>
      <w:lvlJc w:val="left"/>
      <w:pPr>
        <w:ind w:left="3501" w:hanging="241"/>
      </w:pPr>
      <w:rPr>
        <w:rFonts w:hint="default"/>
        <w:lang w:val="zh-CN" w:eastAsia="zh-CN" w:bidi="zh-CN"/>
      </w:rPr>
    </w:lvl>
    <w:lvl w:ilvl="6" w:tentative="0">
      <w:start w:val="0"/>
      <w:numFmt w:val="bullet"/>
      <w:lvlText w:val="•"/>
      <w:lvlJc w:val="left"/>
      <w:pPr>
        <w:ind w:left="4129" w:hanging="241"/>
      </w:pPr>
      <w:rPr>
        <w:rFonts w:hint="default"/>
        <w:lang w:val="zh-CN" w:eastAsia="zh-CN" w:bidi="zh-CN"/>
      </w:rPr>
    </w:lvl>
    <w:lvl w:ilvl="7" w:tentative="0">
      <w:start w:val="0"/>
      <w:numFmt w:val="bullet"/>
      <w:lvlText w:val="•"/>
      <w:lvlJc w:val="left"/>
      <w:pPr>
        <w:ind w:left="4757" w:hanging="241"/>
      </w:pPr>
      <w:rPr>
        <w:rFonts w:hint="default"/>
        <w:lang w:val="zh-CN" w:eastAsia="zh-CN" w:bidi="zh-CN"/>
      </w:rPr>
    </w:lvl>
    <w:lvl w:ilvl="8" w:tentative="0">
      <w:start w:val="0"/>
      <w:numFmt w:val="bullet"/>
      <w:lvlText w:val="•"/>
      <w:lvlJc w:val="left"/>
      <w:pPr>
        <w:ind w:left="5385" w:hanging="241"/>
      </w:pPr>
      <w:rPr>
        <w:rFonts w:hint="default"/>
        <w:lang w:val="zh-CN" w:eastAsia="zh-CN" w:bidi="zh-CN"/>
      </w:rPr>
    </w:lvl>
  </w:abstractNum>
  <w:abstractNum w:abstractNumId="13">
    <w:nsid w:val="2AE23305"/>
    <w:multiLevelType w:val="singleLevel"/>
    <w:tmpl w:val="2AE23305"/>
    <w:lvl w:ilvl="0" w:tentative="0">
      <w:start w:val="13"/>
      <w:numFmt w:val="chineseCounting"/>
      <w:suff w:val="nothing"/>
      <w:lvlText w:val="（%1）"/>
      <w:lvlJc w:val="left"/>
      <w:rPr>
        <w:rFonts w:hint="eastAsia"/>
      </w:rPr>
    </w:lvl>
  </w:abstractNum>
  <w:abstractNum w:abstractNumId="14">
    <w:nsid w:val="48C566B8"/>
    <w:multiLevelType w:val="singleLevel"/>
    <w:tmpl w:val="48C566B8"/>
    <w:lvl w:ilvl="0" w:tentative="0">
      <w:start w:val="3"/>
      <w:numFmt w:val="decimal"/>
      <w:suff w:val="nothing"/>
      <w:lvlText w:val="%1、"/>
      <w:lvlJc w:val="left"/>
    </w:lvl>
  </w:abstractNum>
  <w:abstractNum w:abstractNumId="15">
    <w:nsid w:val="54F403B5"/>
    <w:multiLevelType w:val="singleLevel"/>
    <w:tmpl w:val="54F403B5"/>
    <w:lvl w:ilvl="0" w:tentative="0">
      <w:start w:val="1"/>
      <w:numFmt w:val="chineseCounting"/>
      <w:suff w:val="nothing"/>
      <w:lvlText w:val="%1、"/>
      <w:lvlJc w:val="left"/>
    </w:lvl>
  </w:abstractNum>
  <w:abstractNum w:abstractNumId="16">
    <w:nsid w:val="557FD3DA"/>
    <w:multiLevelType w:val="singleLevel"/>
    <w:tmpl w:val="557FD3DA"/>
    <w:lvl w:ilvl="0" w:tentative="0">
      <w:start w:val="3"/>
      <w:numFmt w:val="chineseCounting"/>
      <w:suff w:val="nothing"/>
      <w:lvlText w:val="%1、"/>
      <w:lvlJc w:val="left"/>
    </w:lvl>
  </w:abstractNum>
  <w:abstractNum w:abstractNumId="17">
    <w:nsid w:val="57093153"/>
    <w:multiLevelType w:val="multilevel"/>
    <w:tmpl w:val="57093153"/>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59F84D04"/>
    <w:multiLevelType w:val="singleLevel"/>
    <w:tmpl w:val="59F84D04"/>
    <w:lvl w:ilvl="0" w:tentative="0">
      <w:start w:val="1"/>
      <w:numFmt w:val="chineseCounting"/>
      <w:suff w:val="nothing"/>
      <w:lvlText w:val="%1、"/>
      <w:lvlJc w:val="left"/>
      <w:rPr>
        <w:b/>
        <w:bCs/>
      </w:rPr>
    </w:lvl>
  </w:abstractNum>
  <w:abstractNum w:abstractNumId="19">
    <w:nsid w:val="5BCF60D9"/>
    <w:multiLevelType w:val="singleLevel"/>
    <w:tmpl w:val="5BCF60D9"/>
    <w:lvl w:ilvl="0" w:tentative="0">
      <w:start w:val="1"/>
      <w:numFmt w:val="bullet"/>
      <w:pStyle w:val="269"/>
      <w:lvlText w:val=""/>
      <w:lvlJc w:val="left"/>
      <w:pPr>
        <w:tabs>
          <w:tab w:val="left" w:pos="425"/>
        </w:tabs>
        <w:ind w:left="425" w:hanging="425"/>
      </w:pPr>
      <w:rPr>
        <w:rFonts w:hint="default" w:ascii="Wingdings" w:hAnsi="Wingdings"/>
      </w:rPr>
    </w:lvl>
  </w:abstractNum>
  <w:abstractNum w:abstractNumId="20">
    <w:nsid w:val="60AE39CC"/>
    <w:multiLevelType w:val="multilevel"/>
    <w:tmpl w:val="60AE39CC"/>
    <w:lvl w:ilvl="0" w:tentative="0">
      <w:start w:val="1"/>
      <w:numFmt w:val="chineseCountingThousand"/>
      <w:pStyle w:val="134"/>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8"/>
      <w:lvlText w:val="           "/>
      <w:lvlJc w:val="left"/>
      <w:pPr>
        <w:tabs>
          <w:tab w:val="left" w:pos="1440"/>
        </w:tabs>
        <w:ind w:left="1152" w:hanging="1152"/>
      </w:pPr>
    </w:lvl>
    <w:lvl w:ilvl="6" w:tentative="0">
      <w:start w:val="1"/>
      <w:numFmt w:val="decimal"/>
      <w:pStyle w:val="9"/>
      <w:lvlText w:val="%1.%2.%3.%4.%5.%6.%7"/>
      <w:lvlJc w:val="left"/>
      <w:pPr>
        <w:tabs>
          <w:tab w:val="left" w:pos="2520"/>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21">
    <w:nsid w:val="621D3DF3"/>
    <w:multiLevelType w:val="multilevel"/>
    <w:tmpl w:val="621D3DF3"/>
    <w:lvl w:ilvl="0" w:tentative="0">
      <w:start w:val="1"/>
      <w:numFmt w:val="bullet"/>
      <w:pStyle w:val="331"/>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5316F3"/>
    <w:multiLevelType w:val="multilevel"/>
    <w:tmpl w:val="765316F3"/>
    <w:lvl w:ilvl="0" w:tentative="0">
      <w:start w:val="1"/>
      <w:numFmt w:val="chineseCountingThousand"/>
      <w:pStyle w:val="2"/>
      <w:lvlText w:val="%1、"/>
      <w:lvlJc w:val="left"/>
      <w:pPr>
        <w:tabs>
          <w:tab w:val="left" w:pos="1110"/>
        </w:tabs>
        <w:ind w:left="-454" w:firstLine="454"/>
      </w:pPr>
      <w:rPr>
        <w:rFonts w:hint="default" w:ascii="??" w:hAnsi="??" w:eastAsia="??"/>
        <w:b/>
        <w:i w:val="0"/>
        <w:iCs w:val="0"/>
        <w:caps w:val="0"/>
        <w:smallCaps w:val="0"/>
        <w:strike w:val="0"/>
        <w:dstrike w:val="0"/>
        <w:color w:val="000000"/>
        <w:spacing w:val="0"/>
        <w:position w:val="0"/>
        <w:sz w:val="21"/>
        <w:szCs w:val="21"/>
        <w:u w:val="none"/>
      </w:rPr>
    </w:lvl>
    <w:lvl w:ilvl="1" w:tentative="0">
      <w:start w:val="1"/>
      <w:numFmt w:val="lowerLetter"/>
      <w:lvlText w:val="%2)"/>
      <w:lvlJc w:val="left"/>
      <w:pPr>
        <w:tabs>
          <w:tab w:val="left" w:pos="1149"/>
        </w:tabs>
        <w:ind w:left="589" w:hanging="420"/>
      </w:pPr>
    </w:lvl>
    <w:lvl w:ilvl="2" w:tentative="0">
      <w:start w:val="2"/>
      <w:numFmt w:val="japaneseCounting"/>
      <w:lvlText w:val="(%3)"/>
      <w:lvlJc w:val="left"/>
      <w:pPr>
        <w:tabs>
          <w:tab w:val="left" w:pos="1569"/>
        </w:tabs>
        <w:ind w:left="1009" w:hanging="420"/>
      </w:pPr>
    </w:lvl>
    <w:lvl w:ilvl="3" w:tentative="0">
      <w:start w:val="1"/>
      <w:numFmt w:val="japaneseCounting"/>
      <w:lvlText w:val="（%4）"/>
      <w:lvlJc w:val="left"/>
      <w:pPr>
        <w:tabs>
          <w:tab w:val="left" w:pos="2289"/>
        </w:tabs>
        <w:ind w:left="1729" w:hanging="720"/>
      </w:pPr>
    </w:lvl>
    <w:lvl w:ilvl="4" w:tentative="0">
      <w:start w:val="3"/>
      <w:numFmt w:val="japaneseCounting"/>
      <w:lvlText w:val="%5、"/>
      <w:lvlJc w:val="left"/>
      <w:pPr>
        <w:tabs>
          <w:tab w:val="left" w:pos="2409"/>
        </w:tabs>
        <w:ind w:left="1849" w:hanging="420"/>
      </w:pPr>
    </w:lvl>
    <w:lvl w:ilvl="5" w:tentative="0">
      <w:start w:val="1"/>
      <w:numFmt w:val="decimal"/>
      <w:lvlText w:val="%6、"/>
      <w:lvlJc w:val="left"/>
      <w:pPr>
        <w:tabs>
          <w:tab w:val="left" w:pos="3144"/>
        </w:tabs>
        <w:ind w:left="2584" w:hanging="735"/>
      </w:pPr>
      <w:rPr>
        <w:rFonts w:ascii="Times New Roman" w:hAnsi="Times New Roman" w:eastAsia="宋体" w:cs="Times New Roman"/>
      </w:rPr>
    </w:lvl>
    <w:lvl w:ilvl="6" w:tentative="0">
      <w:start w:val="1"/>
      <w:numFmt w:val="decimal"/>
      <w:lvlText w:val="%7."/>
      <w:lvlJc w:val="left"/>
      <w:pPr>
        <w:tabs>
          <w:tab w:val="left" w:pos="3249"/>
        </w:tabs>
        <w:ind w:left="2689" w:hanging="420"/>
      </w:pPr>
    </w:lvl>
    <w:lvl w:ilvl="7" w:tentative="0">
      <w:start w:val="1"/>
      <w:numFmt w:val="lowerLetter"/>
      <w:lvlText w:val="%8)"/>
      <w:lvlJc w:val="left"/>
      <w:pPr>
        <w:tabs>
          <w:tab w:val="left" w:pos="3669"/>
        </w:tabs>
        <w:ind w:left="3109" w:hanging="420"/>
      </w:pPr>
    </w:lvl>
    <w:lvl w:ilvl="8" w:tentative="0">
      <w:start w:val="1"/>
      <w:numFmt w:val="lowerRoman"/>
      <w:lvlText w:val="%9."/>
      <w:lvlJc w:val="right"/>
      <w:pPr>
        <w:tabs>
          <w:tab w:val="left" w:pos="4089"/>
        </w:tabs>
        <w:ind w:left="3529" w:hanging="420"/>
      </w:pPr>
    </w:lvl>
  </w:abstractNum>
  <w:abstractNum w:abstractNumId="23">
    <w:nsid w:val="79EB7B22"/>
    <w:multiLevelType w:val="multilevel"/>
    <w:tmpl w:val="79EB7B22"/>
    <w:lvl w:ilvl="0" w:tentative="0">
      <w:start w:val="1"/>
      <w:numFmt w:val="bullet"/>
      <w:pStyle w:val="124"/>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abstractNum w:abstractNumId="24">
    <w:nsid w:val="7FAE0A2B"/>
    <w:multiLevelType w:val="singleLevel"/>
    <w:tmpl w:val="7FAE0A2B"/>
    <w:lvl w:ilvl="0" w:tentative="0">
      <w:start w:val="5"/>
      <w:numFmt w:val="chineseCounting"/>
      <w:suff w:val="nothing"/>
      <w:lvlText w:val="%1、"/>
      <w:lvlJc w:val="left"/>
      <w:rPr>
        <w:rFonts w:hint="eastAsia"/>
      </w:rPr>
    </w:lvl>
  </w:abstractNum>
  <w:num w:numId="1">
    <w:abstractNumId w:val="22"/>
  </w:num>
  <w:num w:numId="2">
    <w:abstractNumId w:val="20"/>
  </w:num>
  <w:num w:numId="3">
    <w:abstractNumId w:val="11"/>
  </w:num>
  <w:num w:numId="4">
    <w:abstractNumId w:val="10"/>
  </w:num>
  <w:num w:numId="5">
    <w:abstractNumId w:val="23"/>
  </w:num>
  <w:num w:numId="6">
    <w:abstractNumId w:val="19"/>
  </w:num>
  <w:num w:numId="7">
    <w:abstractNumId w:val="8"/>
  </w:num>
  <w:num w:numId="8">
    <w:abstractNumId w:val="21"/>
  </w:num>
  <w:num w:numId="9">
    <w:abstractNumId w:val="3"/>
  </w:num>
  <w:num w:numId="10">
    <w:abstractNumId w:val="14"/>
  </w:num>
  <w:num w:numId="11">
    <w:abstractNumId w:val="9"/>
  </w:num>
  <w:num w:numId="12">
    <w:abstractNumId w:val="12"/>
  </w:num>
  <w:num w:numId="13">
    <w:abstractNumId w:val="13"/>
  </w:num>
  <w:num w:numId="14">
    <w:abstractNumId w:val="1"/>
  </w:num>
  <w:num w:numId="15">
    <w:abstractNumId w:val="17"/>
  </w:num>
  <w:num w:numId="16">
    <w:abstractNumId w:val="6"/>
  </w:num>
  <w:num w:numId="17">
    <w:abstractNumId w:val="7"/>
  </w:num>
  <w:num w:numId="18">
    <w:abstractNumId w:val="18"/>
  </w:num>
  <w:num w:numId="19">
    <w:abstractNumId w:val="4"/>
  </w:num>
  <w:num w:numId="20">
    <w:abstractNumId w:val="2"/>
  </w:num>
  <w:num w:numId="21">
    <w:abstractNumId w:val="0"/>
  </w:num>
  <w:num w:numId="22">
    <w:abstractNumId w:val="24"/>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97"/>
    <w:rsid w:val="00000E4B"/>
    <w:rsid w:val="0000282A"/>
    <w:rsid w:val="00004E47"/>
    <w:rsid w:val="000107B1"/>
    <w:rsid w:val="00012442"/>
    <w:rsid w:val="00012D7C"/>
    <w:rsid w:val="00013C96"/>
    <w:rsid w:val="00014366"/>
    <w:rsid w:val="000151AB"/>
    <w:rsid w:val="00016A50"/>
    <w:rsid w:val="00016EFE"/>
    <w:rsid w:val="000204DE"/>
    <w:rsid w:val="00021A6C"/>
    <w:rsid w:val="000277CF"/>
    <w:rsid w:val="00027FE8"/>
    <w:rsid w:val="000309C5"/>
    <w:rsid w:val="0003345D"/>
    <w:rsid w:val="00035520"/>
    <w:rsid w:val="00035599"/>
    <w:rsid w:val="00035E30"/>
    <w:rsid w:val="00035F17"/>
    <w:rsid w:val="00037BD3"/>
    <w:rsid w:val="0004192E"/>
    <w:rsid w:val="00042218"/>
    <w:rsid w:val="000446F6"/>
    <w:rsid w:val="0004700C"/>
    <w:rsid w:val="00047C00"/>
    <w:rsid w:val="00050DC6"/>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96856"/>
    <w:rsid w:val="000B0923"/>
    <w:rsid w:val="000B2120"/>
    <w:rsid w:val="000B2178"/>
    <w:rsid w:val="000B339B"/>
    <w:rsid w:val="000B4324"/>
    <w:rsid w:val="000B50E5"/>
    <w:rsid w:val="000B6B43"/>
    <w:rsid w:val="000C2E28"/>
    <w:rsid w:val="000C5C3D"/>
    <w:rsid w:val="000C62A5"/>
    <w:rsid w:val="000D0532"/>
    <w:rsid w:val="000D2414"/>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21A"/>
    <w:rsid w:val="000F15D4"/>
    <w:rsid w:val="000F21CE"/>
    <w:rsid w:val="000F28F9"/>
    <w:rsid w:val="000F6F52"/>
    <w:rsid w:val="000F78B3"/>
    <w:rsid w:val="000F78E2"/>
    <w:rsid w:val="0010081E"/>
    <w:rsid w:val="00100EFC"/>
    <w:rsid w:val="00102BEB"/>
    <w:rsid w:val="00102F93"/>
    <w:rsid w:val="0010472C"/>
    <w:rsid w:val="00107F09"/>
    <w:rsid w:val="00111535"/>
    <w:rsid w:val="001124F2"/>
    <w:rsid w:val="001125F4"/>
    <w:rsid w:val="001135A8"/>
    <w:rsid w:val="00114B5E"/>
    <w:rsid w:val="001219BA"/>
    <w:rsid w:val="00123EB7"/>
    <w:rsid w:val="00126CF3"/>
    <w:rsid w:val="00127579"/>
    <w:rsid w:val="00132A66"/>
    <w:rsid w:val="001337E3"/>
    <w:rsid w:val="00135386"/>
    <w:rsid w:val="0013617B"/>
    <w:rsid w:val="00136BCA"/>
    <w:rsid w:val="00136BF9"/>
    <w:rsid w:val="001372F7"/>
    <w:rsid w:val="00140B75"/>
    <w:rsid w:val="00141A82"/>
    <w:rsid w:val="00141C35"/>
    <w:rsid w:val="0014381E"/>
    <w:rsid w:val="00143934"/>
    <w:rsid w:val="001470F3"/>
    <w:rsid w:val="0015111D"/>
    <w:rsid w:val="001526DB"/>
    <w:rsid w:val="00152B7E"/>
    <w:rsid w:val="001531D5"/>
    <w:rsid w:val="0015456E"/>
    <w:rsid w:val="001563BD"/>
    <w:rsid w:val="00160D6E"/>
    <w:rsid w:val="00163965"/>
    <w:rsid w:val="00163FC5"/>
    <w:rsid w:val="00164596"/>
    <w:rsid w:val="00165D3E"/>
    <w:rsid w:val="00166B64"/>
    <w:rsid w:val="00166CF7"/>
    <w:rsid w:val="00166DC3"/>
    <w:rsid w:val="001675A1"/>
    <w:rsid w:val="00167A82"/>
    <w:rsid w:val="00172613"/>
    <w:rsid w:val="00174AD9"/>
    <w:rsid w:val="00182875"/>
    <w:rsid w:val="00182D9C"/>
    <w:rsid w:val="0018433F"/>
    <w:rsid w:val="00184B37"/>
    <w:rsid w:val="00184F02"/>
    <w:rsid w:val="00184F2D"/>
    <w:rsid w:val="00185231"/>
    <w:rsid w:val="00185961"/>
    <w:rsid w:val="00187DB0"/>
    <w:rsid w:val="00191BE9"/>
    <w:rsid w:val="00194DCD"/>
    <w:rsid w:val="00196652"/>
    <w:rsid w:val="00196B08"/>
    <w:rsid w:val="00196C4E"/>
    <w:rsid w:val="00196E80"/>
    <w:rsid w:val="00197AA5"/>
    <w:rsid w:val="001A5043"/>
    <w:rsid w:val="001B5734"/>
    <w:rsid w:val="001B580D"/>
    <w:rsid w:val="001B59C3"/>
    <w:rsid w:val="001C3AFE"/>
    <w:rsid w:val="001C4F32"/>
    <w:rsid w:val="001D29AC"/>
    <w:rsid w:val="001D47A2"/>
    <w:rsid w:val="001D5213"/>
    <w:rsid w:val="001D79FC"/>
    <w:rsid w:val="001E03AA"/>
    <w:rsid w:val="001E1DAF"/>
    <w:rsid w:val="001E1E79"/>
    <w:rsid w:val="001E277D"/>
    <w:rsid w:val="001E34A3"/>
    <w:rsid w:val="001E394A"/>
    <w:rsid w:val="001E3D12"/>
    <w:rsid w:val="001E4F1B"/>
    <w:rsid w:val="001F0A8E"/>
    <w:rsid w:val="001F2C53"/>
    <w:rsid w:val="001F31FE"/>
    <w:rsid w:val="001F38FB"/>
    <w:rsid w:val="001F3B2E"/>
    <w:rsid w:val="001F7650"/>
    <w:rsid w:val="00200ACD"/>
    <w:rsid w:val="00202D84"/>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3FA1"/>
    <w:rsid w:val="002262D9"/>
    <w:rsid w:val="0022671F"/>
    <w:rsid w:val="00232A60"/>
    <w:rsid w:val="00234313"/>
    <w:rsid w:val="002348B5"/>
    <w:rsid w:val="0023705B"/>
    <w:rsid w:val="002373CC"/>
    <w:rsid w:val="00240508"/>
    <w:rsid w:val="002405EF"/>
    <w:rsid w:val="002405F5"/>
    <w:rsid w:val="00240603"/>
    <w:rsid w:val="0024074A"/>
    <w:rsid w:val="002417B5"/>
    <w:rsid w:val="00242D52"/>
    <w:rsid w:val="002455B8"/>
    <w:rsid w:val="002465B1"/>
    <w:rsid w:val="00246C46"/>
    <w:rsid w:val="002519A6"/>
    <w:rsid w:val="00252C61"/>
    <w:rsid w:val="00253A44"/>
    <w:rsid w:val="00253C6A"/>
    <w:rsid w:val="0025475E"/>
    <w:rsid w:val="00256E7A"/>
    <w:rsid w:val="00261514"/>
    <w:rsid w:val="002616AC"/>
    <w:rsid w:val="00262035"/>
    <w:rsid w:val="00262292"/>
    <w:rsid w:val="00264B8C"/>
    <w:rsid w:val="00264B90"/>
    <w:rsid w:val="002652E2"/>
    <w:rsid w:val="00270ADB"/>
    <w:rsid w:val="00271909"/>
    <w:rsid w:val="00271E8C"/>
    <w:rsid w:val="00272DB1"/>
    <w:rsid w:val="00281B57"/>
    <w:rsid w:val="002833DF"/>
    <w:rsid w:val="00283722"/>
    <w:rsid w:val="00283CF9"/>
    <w:rsid w:val="002844EF"/>
    <w:rsid w:val="00285897"/>
    <w:rsid w:val="002859CC"/>
    <w:rsid w:val="00286E9C"/>
    <w:rsid w:val="002913BB"/>
    <w:rsid w:val="00292946"/>
    <w:rsid w:val="00292EA6"/>
    <w:rsid w:val="002931FE"/>
    <w:rsid w:val="00293F66"/>
    <w:rsid w:val="0029400F"/>
    <w:rsid w:val="00297024"/>
    <w:rsid w:val="00297DE5"/>
    <w:rsid w:val="002A0DDC"/>
    <w:rsid w:val="002A2975"/>
    <w:rsid w:val="002A3134"/>
    <w:rsid w:val="002A3861"/>
    <w:rsid w:val="002A3AA3"/>
    <w:rsid w:val="002A3E5D"/>
    <w:rsid w:val="002A45BB"/>
    <w:rsid w:val="002A4DA4"/>
    <w:rsid w:val="002A5B70"/>
    <w:rsid w:val="002A69C6"/>
    <w:rsid w:val="002A73C9"/>
    <w:rsid w:val="002A7BD8"/>
    <w:rsid w:val="002B0193"/>
    <w:rsid w:val="002B0378"/>
    <w:rsid w:val="002B1D9D"/>
    <w:rsid w:val="002B2761"/>
    <w:rsid w:val="002B4D63"/>
    <w:rsid w:val="002B6A2B"/>
    <w:rsid w:val="002B6BED"/>
    <w:rsid w:val="002C1467"/>
    <w:rsid w:val="002C27FF"/>
    <w:rsid w:val="002C5E7F"/>
    <w:rsid w:val="002C73E1"/>
    <w:rsid w:val="002D01D1"/>
    <w:rsid w:val="002D1D0B"/>
    <w:rsid w:val="002D1EC8"/>
    <w:rsid w:val="002D36AD"/>
    <w:rsid w:val="002E1E56"/>
    <w:rsid w:val="002E271C"/>
    <w:rsid w:val="002E4BBB"/>
    <w:rsid w:val="002E62DC"/>
    <w:rsid w:val="002E7954"/>
    <w:rsid w:val="002E7CB4"/>
    <w:rsid w:val="002F07FE"/>
    <w:rsid w:val="002F0D94"/>
    <w:rsid w:val="002F132E"/>
    <w:rsid w:val="002F38B7"/>
    <w:rsid w:val="002F6BA9"/>
    <w:rsid w:val="003016CD"/>
    <w:rsid w:val="00302133"/>
    <w:rsid w:val="003021AF"/>
    <w:rsid w:val="003029BF"/>
    <w:rsid w:val="003038BF"/>
    <w:rsid w:val="00304332"/>
    <w:rsid w:val="0030537F"/>
    <w:rsid w:val="00305C03"/>
    <w:rsid w:val="00306709"/>
    <w:rsid w:val="00306FCF"/>
    <w:rsid w:val="00307542"/>
    <w:rsid w:val="00307EC9"/>
    <w:rsid w:val="00310230"/>
    <w:rsid w:val="00311D86"/>
    <w:rsid w:val="003121A6"/>
    <w:rsid w:val="00315B4B"/>
    <w:rsid w:val="00316398"/>
    <w:rsid w:val="00317A11"/>
    <w:rsid w:val="00320953"/>
    <w:rsid w:val="003218E7"/>
    <w:rsid w:val="00321E94"/>
    <w:rsid w:val="003238AD"/>
    <w:rsid w:val="00323F0C"/>
    <w:rsid w:val="00326100"/>
    <w:rsid w:val="003269A7"/>
    <w:rsid w:val="00326DB1"/>
    <w:rsid w:val="00331293"/>
    <w:rsid w:val="00332FAF"/>
    <w:rsid w:val="00334039"/>
    <w:rsid w:val="00334E12"/>
    <w:rsid w:val="00334EC2"/>
    <w:rsid w:val="0033597A"/>
    <w:rsid w:val="003366AF"/>
    <w:rsid w:val="0033764B"/>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2251"/>
    <w:rsid w:val="00366F88"/>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91901"/>
    <w:rsid w:val="00392496"/>
    <w:rsid w:val="00395D04"/>
    <w:rsid w:val="00395FA3"/>
    <w:rsid w:val="003963A5"/>
    <w:rsid w:val="00396B13"/>
    <w:rsid w:val="003A07BB"/>
    <w:rsid w:val="003A1A0F"/>
    <w:rsid w:val="003A243F"/>
    <w:rsid w:val="003A2794"/>
    <w:rsid w:val="003A42BB"/>
    <w:rsid w:val="003A53F1"/>
    <w:rsid w:val="003A5CE7"/>
    <w:rsid w:val="003A6CEF"/>
    <w:rsid w:val="003A7270"/>
    <w:rsid w:val="003B00F7"/>
    <w:rsid w:val="003B1AF4"/>
    <w:rsid w:val="003B3A0C"/>
    <w:rsid w:val="003B6229"/>
    <w:rsid w:val="003B680B"/>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419"/>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7A6"/>
    <w:rsid w:val="00412995"/>
    <w:rsid w:val="00413715"/>
    <w:rsid w:val="00413FE9"/>
    <w:rsid w:val="00415734"/>
    <w:rsid w:val="00415E18"/>
    <w:rsid w:val="00415FDB"/>
    <w:rsid w:val="00416152"/>
    <w:rsid w:val="00417320"/>
    <w:rsid w:val="00417EA5"/>
    <w:rsid w:val="00420C8D"/>
    <w:rsid w:val="004239DA"/>
    <w:rsid w:val="00424AE5"/>
    <w:rsid w:val="004256C9"/>
    <w:rsid w:val="00426AD1"/>
    <w:rsid w:val="00426D86"/>
    <w:rsid w:val="00427393"/>
    <w:rsid w:val="004312E5"/>
    <w:rsid w:val="004342D5"/>
    <w:rsid w:val="004346C0"/>
    <w:rsid w:val="00444AF2"/>
    <w:rsid w:val="00445197"/>
    <w:rsid w:val="00450652"/>
    <w:rsid w:val="0045067D"/>
    <w:rsid w:val="0045098F"/>
    <w:rsid w:val="00450F4C"/>
    <w:rsid w:val="0045288E"/>
    <w:rsid w:val="004531DB"/>
    <w:rsid w:val="00461770"/>
    <w:rsid w:val="004619CE"/>
    <w:rsid w:val="00463C2D"/>
    <w:rsid w:val="004650FC"/>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898"/>
    <w:rsid w:val="004A1CFB"/>
    <w:rsid w:val="004A439C"/>
    <w:rsid w:val="004A59DA"/>
    <w:rsid w:val="004A59E9"/>
    <w:rsid w:val="004A5D23"/>
    <w:rsid w:val="004A6E3A"/>
    <w:rsid w:val="004A77B6"/>
    <w:rsid w:val="004B0E39"/>
    <w:rsid w:val="004B1024"/>
    <w:rsid w:val="004B18FB"/>
    <w:rsid w:val="004B1E59"/>
    <w:rsid w:val="004B2051"/>
    <w:rsid w:val="004B2541"/>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0DB0"/>
    <w:rsid w:val="004E1BC7"/>
    <w:rsid w:val="004E1C17"/>
    <w:rsid w:val="004E3610"/>
    <w:rsid w:val="004E3FBF"/>
    <w:rsid w:val="004E4874"/>
    <w:rsid w:val="004F00B1"/>
    <w:rsid w:val="004F04BF"/>
    <w:rsid w:val="004F1B07"/>
    <w:rsid w:val="004F2FE6"/>
    <w:rsid w:val="004F39DE"/>
    <w:rsid w:val="004F45D9"/>
    <w:rsid w:val="004F567A"/>
    <w:rsid w:val="004F6A19"/>
    <w:rsid w:val="004F769C"/>
    <w:rsid w:val="004F7752"/>
    <w:rsid w:val="00500AED"/>
    <w:rsid w:val="005012C2"/>
    <w:rsid w:val="005033C5"/>
    <w:rsid w:val="005052A3"/>
    <w:rsid w:val="005129B8"/>
    <w:rsid w:val="005133AF"/>
    <w:rsid w:val="0051505F"/>
    <w:rsid w:val="0051558B"/>
    <w:rsid w:val="00516C3D"/>
    <w:rsid w:val="00516F5C"/>
    <w:rsid w:val="005173BD"/>
    <w:rsid w:val="00517809"/>
    <w:rsid w:val="00517C40"/>
    <w:rsid w:val="005230F0"/>
    <w:rsid w:val="0052320B"/>
    <w:rsid w:val="00523B37"/>
    <w:rsid w:val="00523C3D"/>
    <w:rsid w:val="00525073"/>
    <w:rsid w:val="0052704D"/>
    <w:rsid w:val="00527B45"/>
    <w:rsid w:val="00531211"/>
    <w:rsid w:val="00531A93"/>
    <w:rsid w:val="00531B55"/>
    <w:rsid w:val="00532052"/>
    <w:rsid w:val="0053332C"/>
    <w:rsid w:val="00533D36"/>
    <w:rsid w:val="00534DC1"/>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2B6E"/>
    <w:rsid w:val="005634F0"/>
    <w:rsid w:val="00563923"/>
    <w:rsid w:val="005674DF"/>
    <w:rsid w:val="005677F5"/>
    <w:rsid w:val="0057047D"/>
    <w:rsid w:val="0057509C"/>
    <w:rsid w:val="00575376"/>
    <w:rsid w:val="00576885"/>
    <w:rsid w:val="005864B7"/>
    <w:rsid w:val="00587329"/>
    <w:rsid w:val="005873DC"/>
    <w:rsid w:val="005921F0"/>
    <w:rsid w:val="00595B3D"/>
    <w:rsid w:val="0059607D"/>
    <w:rsid w:val="00596922"/>
    <w:rsid w:val="00597829"/>
    <w:rsid w:val="00597B7E"/>
    <w:rsid w:val="005A2271"/>
    <w:rsid w:val="005A4D77"/>
    <w:rsid w:val="005B1907"/>
    <w:rsid w:val="005B1C50"/>
    <w:rsid w:val="005B3E8E"/>
    <w:rsid w:val="005B41AB"/>
    <w:rsid w:val="005B46D1"/>
    <w:rsid w:val="005B4DAE"/>
    <w:rsid w:val="005B59CB"/>
    <w:rsid w:val="005B65BC"/>
    <w:rsid w:val="005B7BDD"/>
    <w:rsid w:val="005C1638"/>
    <w:rsid w:val="005C1838"/>
    <w:rsid w:val="005C19BF"/>
    <w:rsid w:val="005C3200"/>
    <w:rsid w:val="005C428E"/>
    <w:rsid w:val="005C5FCC"/>
    <w:rsid w:val="005C6FBB"/>
    <w:rsid w:val="005D11E5"/>
    <w:rsid w:val="005D5E19"/>
    <w:rsid w:val="005D7EFA"/>
    <w:rsid w:val="005D7FB5"/>
    <w:rsid w:val="005E0632"/>
    <w:rsid w:val="005E105C"/>
    <w:rsid w:val="005E1B8D"/>
    <w:rsid w:val="005E2267"/>
    <w:rsid w:val="005E37D8"/>
    <w:rsid w:val="005E3859"/>
    <w:rsid w:val="005E4342"/>
    <w:rsid w:val="005E5B5A"/>
    <w:rsid w:val="005E5EFD"/>
    <w:rsid w:val="005E66EA"/>
    <w:rsid w:val="005E6904"/>
    <w:rsid w:val="005F0C79"/>
    <w:rsid w:val="005F0EFE"/>
    <w:rsid w:val="005F1764"/>
    <w:rsid w:val="005F7719"/>
    <w:rsid w:val="005F7D98"/>
    <w:rsid w:val="00603F3E"/>
    <w:rsid w:val="0060407C"/>
    <w:rsid w:val="00604758"/>
    <w:rsid w:val="006048BF"/>
    <w:rsid w:val="00605223"/>
    <w:rsid w:val="00606BA2"/>
    <w:rsid w:val="00606C5E"/>
    <w:rsid w:val="00606E86"/>
    <w:rsid w:val="006146A5"/>
    <w:rsid w:val="00615AEA"/>
    <w:rsid w:val="00617E60"/>
    <w:rsid w:val="00620131"/>
    <w:rsid w:val="00621E44"/>
    <w:rsid w:val="00624240"/>
    <w:rsid w:val="00624B7E"/>
    <w:rsid w:val="00626C50"/>
    <w:rsid w:val="00626FB9"/>
    <w:rsid w:val="0063085F"/>
    <w:rsid w:val="006336C7"/>
    <w:rsid w:val="00634747"/>
    <w:rsid w:val="0063507E"/>
    <w:rsid w:val="00637B97"/>
    <w:rsid w:val="0064196C"/>
    <w:rsid w:val="00645118"/>
    <w:rsid w:val="006461B6"/>
    <w:rsid w:val="00646950"/>
    <w:rsid w:val="00646D66"/>
    <w:rsid w:val="00647383"/>
    <w:rsid w:val="00650215"/>
    <w:rsid w:val="006510A8"/>
    <w:rsid w:val="006514FE"/>
    <w:rsid w:val="00651B33"/>
    <w:rsid w:val="006532CF"/>
    <w:rsid w:val="006536A1"/>
    <w:rsid w:val="00653EB9"/>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75311"/>
    <w:rsid w:val="00675A59"/>
    <w:rsid w:val="0068186D"/>
    <w:rsid w:val="006825A5"/>
    <w:rsid w:val="006846D5"/>
    <w:rsid w:val="00684839"/>
    <w:rsid w:val="0068503C"/>
    <w:rsid w:val="00685488"/>
    <w:rsid w:val="00686276"/>
    <w:rsid w:val="00686EFC"/>
    <w:rsid w:val="0068716E"/>
    <w:rsid w:val="006900C3"/>
    <w:rsid w:val="00691750"/>
    <w:rsid w:val="00692B74"/>
    <w:rsid w:val="0069570E"/>
    <w:rsid w:val="00696FEF"/>
    <w:rsid w:val="006972CC"/>
    <w:rsid w:val="006A01FD"/>
    <w:rsid w:val="006A068F"/>
    <w:rsid w:val="006A13EE"/>
    <w:rsid w:val="006A218D"/>
    <w:rsid w:val="006A3843"/>
    <w:rsid w:val="006A75BE"/>
    <w:rsid w:val="006A7E4E"/>
    <w:rsid w:val="006A7F64"/>
    <w:rsid w:val="006B5C65"/>
    <w:rsid w:val="006B61F3"/>
    <w:rsid w:val="006C1ECB"/>
    <w:rsid w:val="006C3C33"/>
    <w:rsid w:val="006C47E3"/>
    <w:rsid w:val="006C785B"/>
    <w:rsid w:val="006C793C"/>
    <w:rsid w:val="006D092A"/>
    <w:rsid w:val="006D34C5"/>
    <w:rsid w:val="006D6827"/>
    <w:rsid w:val="006E1487"/>
    <w:rsid w:val="006E215D"/>
    <w:rsid w:val="006E23BC"/>
    <w:rsid w:val="006E2A7D"/>
    <w:rsid w:val="006E5FB9"/>
    <w:rsid w:val="006E7CFA"/>
    <w:rsid w:val="006F0F00"/>
    <w:rsid w:val="006F2886"/>
    <w:rsid w:val="006F3DFA"/>
    <w:rsid w:val="006F76AB"/>
    <w:rsid w:val="00700308"/>
    <w:rsid w:val="00700C91"/>
    <w:rsid w:val="00702BA6"/>
    <w:rsid w:val="00704E0E"/>
    <w:rsid w:val="007053CF"/>
    <w:rsid w:val="00707C4E"/>
    <w:rsid w:val="007106C1"/>
    <w:rsid w:val="007106F3"/>
    <w:rsid w:val="0071088B"/>
    <w:rsid w:val="0071148F"/>
    <w:rsid w:val="00712E41"/>
    <w:rsid w:val="00714126"/>
    <w:rsid w:val="00722E6F"/>
    <w:rsid w:val="00723349"/>
    <w:rsid w:val="00724F3D"/>
    <w:rsid w:val="00725202"/>
    <w:rsid w:val="00726F85"/>
    <w:rsid w:val="00727632"/>
    <w:rsid w:val="00730D10"/>
    <w:rsid w:val="00730D14"/>
    <w:rsid w:val="007311F3"/>
    <w:rsid w:val="0073199C"/>
    <w:rsid w:val="007326B0"/>
    <w:rsid w:val="00732A34"/>
    <w:rsid w:val="00732C44"/>
    <w:rsid w:val="0073388B"/>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54E9"/>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0F51"/>
    <w:rsid w:val="007A259A"/>
    <w:rsid w:val="007A5FAD"/>
    <w:rsid w:val="007A7348"/>
    <w:rsid w:val="007A7AEB"/>
    <w:rsid w:val="007B08FD"/>
    <w:rsid w:val="007B2E4C"/>
    <w:rsid w:val="007B3CC2"/>
    <w:rsid w:val="007B42DB"/>
    <w:rsid w:val="007B449A"/>
    <w:rsid w:val="007B4C65"/>
    <w:rsid w:val="007B7E4B"/>
    <w:rsid w:val="007C026F"/>
    <w:rsid w:val="007C18DC"/>
    <w:rsid w:val="007C1BAF"/>
    <w:rsid w:val="007C2DD5"/>
    <w:rsid w:val="007C31BF"/>
    <w:rsid w:val="007C4014"/>
    <w:rsid w:val="007C47E7"/>
    <w:rsid w:val="007C5A0D"/>
    <w:rsid w:val="007C62C8"/>
    <w:rsid w:val="007C65E6"/>
    <w:rsid w:val="007D3C1C"/>
    <w:rsid w:val="007D3C68"/>
    <w:rsid w:val="007D42BF"/>
    <w:rsid w:val="007D5E4D"/>
    <w:rsid w:val="007D788E"/>
    <w:rsid w:val="007E21D3"/>
    <w:rsid w:val="007F0A25"/>
    <w:rsid w:val="007F18DD"/>
    <w:rsid w:val="007F28C1"/>
    <w:rsid w:val="007F5BBD"/>
    <w:rsid w:val="008025DD"/>
    <w:rsid w:val="00803A6B"/>
    <w:rsid w:val="00803C1D"/>
    <w:rsid w:val="00804F36"/>
    <w:rsid w:val="00807F37"/>
    <w:rsid w:val="00811770"/>
    <w:rsid w:val="008124CF"/>
    <w:rsid w:val="00812BF7"/>
    <w:rsid w:val="008153EE"/>
    <w:rsid w:val="00822033"/>
    <w:rsid w:val="00822B55"/>
    <w:rsid w:val="00823F7A"/>
    <w:rsid w:val="008241D3"/>
    <w:rsid w:val="00825003"/>
    <w:rsid w:val="008275FD"/>
    <w:rsid w:val="00830E0E"/>
    <w:rsid w:val="00830FAE"/>
    <w:rsid w:val="008317CA"/>
    <w:rsid w:val="0083289F"/>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0259"/>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1CF"/>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C1B"/>
    <w:rsid w:val="008C5DEC"/>
    <w:rsid w:val="008C6A9D"/>
    <w:rsid w:val="008C7E92"/>
    <w:rsid w:val="008D0131"/>
    <w:rsid w:val="008D08F2"/>
    <w:rsid w:val="008D157C"/>
    <w:rsid w:val="008D1DBE"/>
    <w:rsid w:val="008D2805"/>
    <w:rsid w:val="008D62C3"/>
    <w:rsid w:val="008D7A75"/>
    <w:rsid w:val="008E1537"/>
    <w:rsid w:val="008E1EBD"/>
    <w:rsid w:val="008E3D42"/>
    <w:rsid w:val="008E40ED"/>
    <w:rsid w:val="008E4F5C"/>
    <w:rsid w:val="008E5C01"/>
    <w:rsid w:val="008E6A15"/>
    <w:rsid w:val="008E7CB0"/>
    <w:rsid w:val="008F49EF"/>
    <w:rsid w:val="008F69AE"/>
    <w:rsid w:val="008F7EB7"/>
    <w:rsid w:val="00900145"/>
    <w:rsid w:val="009006CF"/>
    <w:rsid w:val="0090071D"/>
    <w:rsid w:val="00901058"/>
    <w:rsid w:val="009012E4"/>
    <w:rsid w:val="0090159F"/>
    <w:rsid w:val="00902173"/>
    <w:rsid w:val="0090232B"/>
    <w:rsid w:val="00903B95"/>
    <w:rsid w:val="009075BA"/>
    <w:rsid w:val="00911F3B"/>
    <w:rsid w:val="0091241A"/>
    <w:rsid w:val="009124FC"/>
    <w:rsid w:val="00913309"/>
    <w:rsid w:val="00914E62"/>
    <w:rsid w:val="0091568C"/>
    <w:rsid w:val="00915909"/>
    <w:rsid w:val="00915FEE"/>
    <w:rsid w:val="0092136A"/>
    <w:rsid w:val="00924810"/>
    <w:rsid w:val="0092567F"/>
    <w:rsid w:val="0092628F"/>
    <w:rsid w:val="0092727D"/>
    <w:rsid w:val="00930501"/>
    <w:rsid w:val="00932205"/>
    <w:rsid w:val="00933841"/>
    <w:rsid w:val="009338C5"/>
    <w:rsid w:val="00935EFA"/>
    <w:rsid w:val="00935F0D"/>
    <w:rsid w:val="009361BF"/>
    <w:rsid w:val="0093717C"/>
    <w:rsid w:val="00937273"/>
    <w:rsid w:val="00941651"/>
    <w:rsid w:val="009418DE"/>
    <w:rsid w:val="00941CF7"/>
    <w:rsid w:val="0094234C"/>
    <w:rsid w:val="00945D11"/>
    <w:rsid w:val="0094718C"/>
    <w:rsid w:val="00950310"/>
    <w:rsid w:val="00950BF3"/>
    <w:rsid w:val="00950F5A"/>
    <w:rsid w:val="00955657"/>
    <w:rsid w:val="00956A73"/>
    <w:rsid w:val="009612A8"/>
    <w:rsid w:val="009626D7"/>
    <w:rsid w:val="00964D37"/>
    <w:rsid w:val="00965D90"/>
    <w:rsid w:val="00970DDB"/>
    <w:rsid w:val="00971DBF"/>
    <w:rsid w:val="0097296A"/>
    <w:rsid w:val="0097381C"/>
    <w:rsid w:val="009759CA"/>
    <w:rsid w:val="00976B33"/>
    <w:rsid w:val="00976F72"/>
    <w:rsid w:val="0098729D"/>
    <w:rsid w:val="00987567"/>
    <w:rsid w:val="009906E0"/>
    <w:rsid w:val="00991FC9"/>
    <w:rsid w:val="00994DAC"/>
    <w:rsid w:val="00994FB2"/>
    <w:rsid w:val="00995D50"/>
    <w:rsid w:val="0099687B"/>
    <w:rsid w:val="00997DF8"/>
    <w:rsid w:val="009A2873"/>
    <w:rsid w:val="009A2924"/>
    <w:rsid w:val="009A3746"/>
    <w:rsid w:val="009A3DBB"/>
    <w:rsid w:val="009A4F09"/>
    <w:rsid w:val="009A55A5"/>
    <w:rsid w:val="009A7864"/>
    <w:rsid w:val="009B0154"/>
    <w:rsid w:val="009B092D"/>
    <w:rsid w:val="009B0CE1"/>
    <w:rsid w:val="009B0DB5"/>
    <w:rsid w:val="009B26BC"/>
    <w:rsid w:val="009B31BA"/>
    <w:rsid w:val="009B353C"/>
    <w:rsid w:val="009B3AD5"/>
    <w:rsid w:val="009B3CA0"/>
    <w:rsid w:val="009B4293"/>
    <w:rsid w:val="009B471D"/>
    <w:rsid w:val="009B6A27"/>
    <w:rsid w:val="009B6C93"/>
    <w:rsid w:val="009B7268"/>
    <w:rsid w:val="009B76CE"/>
    <w:rsid w:val="009C16D1"/>
    <w:rsid w:val="009C320E"/>
    <w:rsid w:val="009C4501"/>
    <w:rsid w:val="009C5388"/>
    <w:rsid w:val="009C6322"/>
    <w:rsid w:val="009C6EB1"/>
    <w:rsid w:val="009C7A89"/>
    <w:rsid w:val="009D02AB"/>
    <w:rsid w:val="009D02E6"/>
    <w:rsid w:val="009D0708"/>
    <w:rsid w:val="009D23F9"/>
    <w:rsid w:val="009D2FDD"/>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C76"/>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0FBD"/>
    <w:rsid w:val="00A22CDE"/>
    <w:rsid w:val="00A257AB"/>
    <w:rsid w:val="00A270F8"/>
    <w:rsid w:val="00A27460"/>
    <w:rsid w:val="00A27985"/>
    <w:rsid w:val="00A27A69"/>
    <w:rsid w:val="00A304F3"/>
    <w:rsid w:val="00A31890"/>
    <w:rsid w:val="00A31D25"/>
    <w:rsid w:val="00A377E2"/>
    <w:rsid w:val="00A40513"/>
    <w:rsid w:val="00A405E2"/>
    <w:rsid w:val="00A40980"/>
    <w:rsid w:val="00A424DD"/>
    <w:rsid w:val="00A42A76"/>
    <w:rsid w:val="00A42CB6"/>
    <w:rsid w:val="00A43D95"/>
    <w:rsid w:val="00A43FE7"/>
    <w:rsid w:val="00A4455C"/>
    <w:rsid w:val="00A44D70"/>
    <w:rsid w:val="00A51753"/>
    <w:rsid w:val="00A537EA"/>
    <w:rsid w:val="00A53C30"/>
    <w:rsid w:val="00A548C5"/>
    <w:rsid w:val="00A55AD8"/>
    <w:rsid w:val="00A61F7C"/>
    <w:rsid w:val="00A6401D"/>
    <w:rsid w:val="00A66763"/>
    <w:rsid w:val="00A66B82"/>
    <w:rsid w:val="00A66DFD"/>
    <w:rsid w:val="00A72C9B"/>
    <w:rsid w:val="00A754B9"/>
    <w:rsid w:val="00A76DDF"/>
    <w:rsid w:val="00A77B75"/>
    <w:rsid w:val="00A8020D"/>
    <w:rsid w:val="00A8059A"/>
    <w:rsid w:val="00A806BB"/>
    <w:rsid w:val="00A806ED"/>
    <w:rsid w:val="00A80853"/>
    <w:rsid w:val="00A80AFA"/>
    <w:rsid w:val="00A80C35"/>
    <w:rsid w:val="00A82D52"/>
    <w:rsid w:val="00A8659F"/>
    <w:rsid w:val="00A9173D"/>
    <w:rsid w:val="00A91F30"/>
    <w:rsid w:val="00A920DE"/>
    <w:rsid w:val="00A95C22"/>
    <w:rsid w:val="00A95CEB"/>
    <w:rsid w:val="00A97106"/>
    <w:rsid w:val="00AA16DD"/>
    <w:rsid w:val="00AA3B27"/>
    <w:rsid w:val="00AA4B3B"/>
    <w:rsid w:val="00AA5AC9"/>
    <w:rsid w:val="00AA63E3"/>
    <w:rsid w:val="00AA6D57"/>
    <w:rsid w:val="00AB00C3"/>
    <w:rsid w:val="00AB22FB"/>
    <w:rsid w:val="00AB472A"/>
    <w:rsid w:val="00AB68BC"/>
    <w:rsid w:val="00AC0E67"/>
    <w:rsid w:val="00AC0F6C"/>
    <w:rsid w:val="00AC2F2B"/>
    <w:rsid w:val="00AC500B"/>
    <w:rsid w:val="00AC50A0"/>
    <w:rsid w:val="00AC7031"/>
    <w:rsid w:val="00AD019E"/>
    <w:rsid w:val="00AD09FB"/>
    <w:rsid w:val="00AD10C2"/>
    <w:rsid w:val="00AD343F"/>
    <w:rsid w:val="00AD38CB"/>
    <w:rsid w:val="00AD49BD"/>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23C4"/>
    <w:rsid w:val="00B14042"/>
    <w:rsid w:val="00B14141"/>
    <w:rsid w:val="00B1621B"/>
    <w:rsid w:val="00B17C82"/>
    <w:rsid w:val="00B20E01"/>
    <w:rsid w:val="00B2164B"/>
    <w:rsid w:val="00B220DD"/>
    <w:rsid w:val="00B22234"/>
    <w:rsid w:val="00B24066"/>
    <w:rsid w:val="00B24A5E"/>
    <w:rsid w:val="00B2562E"/>
    <w:rsid w:val="00B2688C"/>
    <w:rsid w:val="00B26C46"/>
    <w:rsid w:val="00B27511"/>
    <w:rsid w:val="00B2784C"/>
    <w:rsid w:val="00B30453"/>
    <w:rsid w:val="00B31DC1"/>
    <w:rsid w:val="00B32F7E"/>
    <w:rsid w:val="00B33A29"/>
    <w:rsid w:val="00B35D6A"/>
    <w:rsid w:val="00B35DE1"/>
    <w:rsid w:val="00B37227"/>
    <w:rsid w:val="00B3738C"/>
    <w:rsid w:val="00B41CF8"/>
    <w:rsid w:val="00B42022"/>
    <w:rsid w:val="00B45C77"/>
    <w:rsid w:val="00B51C64"/>
    <w:rsid w:val="00B529BC"/>
    <w:rsid w:val="00B52CC7"/>
    <w:rsid w:val="00B52DEF"/>
    <w:rsid w:val="00B53152"/>
    <w:rsid w:val="00B53CC7"/>
    <w:rsid w:val="00B55C07"/>
    <w:rsid w:val="00B55D0F"/>
    <w:rsid w:val="00B56BF2"/>
    <w:rsid w:val="00B578A1"/>
    <w:rsid w:val="00B60053"/>
    <w:rsid w:val="00B60DA2"/>
    <w:rsid w:val="00B61D2F"/>
    <w:rsid w:val="00B64030"/>
    <w:rsid w:val="00B64D35"/>
    <w:rsid w:val="00B653D3"/>
    <w:rsid w:val="00B66D12"/>
    <w:rsid w:val="00B72A15"/>
    <w:rsid w:val="00B73A3F"/>
    <w:rsid w:val="00B743A2"/>
    <w:rsid w:val="00B749F3"/>
    <w:rsid w:val="00B74A24"/>
    <w:rsid w:val="00B74A5E"/>
    <w:rsid w:val="00B74BF9"/>
    <w:rsid w:val="00B80BC2"/>
    <w:rsid w:val="00B852CE"/>
    <w:rsid w:val="00B85E1A"/>
    <w:rsid w:val="00B86373"/>
    <w:rsid w:val="00B9023F"/>
    <w:rsid w:val="00B91B99"/>
    <w:rsid w:val="00B92BF9"/>
    <w:rsid w:val="00B94C4D"/>
    <w:rsid w:val="00B95D82"/>
    <w:rsid w:val="00B96E72"/>
    <w:rsid w:val="00B97FD6"/>
    <w:rsid w:val="00BA2DCC"/>
    <w:rsid w:val="00BA3C73"/>
    <w:rsid w:val="00BA4027"/>
    <w:rsid w:val="00BB2509"/>
    <w:rsid w:val="00BB2C4F"/>
    <w:rsid w:val="00BB3A35"/>
    <w:rsid w:val="00BB3CD9"/>
    <w:rsid w:val="00BB6576"/>
    <w:rsid w:val="00BB6E9C"/>
    <w:rsid w:val="00BB7332"/>
    <w:rsid w:val="00BC0BED"/>
    <w:rsid w:val="00BC312C"/>
    <w:rsid w:val="00BC3574"/>
    <w:rsid w:val="00BC3FBC"/>
    <w:rsid w:val="00BC4A7F"/>
    <w:rsid w:val="00BC529F"/>
    <w:rsid w:val="00BC70B6"/>
    <w:rsid w:val="00BC77FA"/>
    <w:rsid w:val="00BC77FD"/>
    <w:rsid w:val="00BD002F"/>
    <w:rsid w:val="00BD34C3"/>
    <w:rsid w:val="00BD3F37"/>
    <w:rsid w:val="00BD534C"/>
    <w:rsid w:val="00BD58EC"/>
    <w:rsid w:val="00BD5A65"/>
    <w:rsid w:val="00BD5AC6"/>
    <w:rsid w:val="00BD6F7A"/>
    <w:rsid w:val="00BD7FEE"/>
    <w:rsid w:val="00BE17B7"/>
    <w:rsid w:val="00BE3013"/>
    <w:rsid w:val="00BE3470"/>
    <w:rsid w:val="00BE4396"/>
    <w:rsid w:val="00BF1F71"/>
    <w:rsid w:val="00BF405F"/>
    <w:rsid w:val="00BF6486"/>
    <w:rsid w:val="00BF6A78"/>
    <w:rsid w:val="00C00042"/>
    <w:rsid w:val="00C009F8"/>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51D8"/>
    <w:rsid w:val="00C165D5"/>
    <w:rsid w:val="00C20C0C"/>
    <w:rsid w:val="00C23D79"/>
    <w:rsid w:val="00C24A79"/>
    <w:rsid w:val="00C24C87"/>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3FA1"/>
    <w:rsid w:val="00C65158"/>
    <w:rsid w:val="00C6549F"/>
    <w:rsid w:val="00C67168"/>
    <w:rsid w:val="00C706BA"/>
    <w:rsid w:val="00C70F0A"/>
    <w:rsid w:val="00C711DA"/>
    <w:rsid w:val="00C75914"/>
    <w:rsid w:val="00C76A00"/>
    <w:rsid w:val="00C77893"/>
    <w:rsid w:val="00C80E83"/>
    <w:rsid w:val="00C80FAA"/>
    <w:rsid w:val="00C8188D"/>
    <w:rsid w:val="00C81A89"/>
    <w:rsid w:val="00C820C1"/>
    <w:rsid w:val="00C82280"/>
    <w:rsid w:val="00C82445"/>
    <w:rsid w:val="00C8548E"/>
    <w:rsid w:val="00C85809"/>
    <w:rsid w:val="00C85ED5"/>
    <w:rsid w:val="00C8649F"/>
    <w:rsid w:val="00C872F4"/>
    <w:rsid w:val="00C87EA6"/>
    <w:rsid w:val="00C9342F"/>
    <w:rsid w:val="00C96D64"/>
    <w:rsid w:val="00C974B6"/>
    <w:rsid w:val="00CA097F"/>
    <w:rsid w:val="00CA09B6"/>
    <w:rsid w:val="00CA581F"/>
    <w:rsid w:val="00CB12CC"/>
    <w:rsid w:val="00CB14C8"/>
    <w:rsid w:val="00CB15F4"/>
    <w:rsid w:val="00CB1C8A"/>
    <w:rsid w:val="00CB2BF0"/>
    <w:rsid w:val="00CB56BE"/>
    <w:rsid w:val="00CB73E9"/>
    <w:rsid w:val="00CB7479"/>
    <w:rsid w:val="00CC03D4"/>
    <w:rsid w:val="00CC19C1"/>
    <w:rsid w:val="00CC1BA4"/>
    <w:rsid w:val="00CC1CB0"/>
    <w:rsid w:val="00CC34DB"/>
    <w:rsid w:val="00CC4572"/>
    <w:rsid w:val="00CC47F0"/>
    <w:rsid w:val="00CC5129"/>
    <w:rsid w:val="00CC6CE3"/>
    <w:rsid w:val="00CC7062"/>
    <w:rsid w:val="00CC77C8"/>
    <w:rsid w:val="00CD005F"/>
    <w:rsid w:val="00CD1705"/>
    <w:rsid w:val="00CD223F"/>
    <w:rsid w:val="00CD2E79"/>
    <w:rsid w:val="00CD36F4"/>
    <w:rsid w:val="00CD3B88"/>
    <w:rsid w:val="00CD4503"/>
    <w:rsid w:val="00CD5E49"/>
    <w:rsid w:val="00CD7741"/>
    <w:rsid w:val="00CE120F"/>
    <w:rsid w:val="00CE2F6B"/>
    <w:rsid w:val="00CE3297"/>
    <w:rsid w:val="00CF0312"/>
    <w:rsid w:val="00CF1C8E"/>
    <w:rsid w:val="00CF1D41"/>
    <w:rsid w:val="00CF2180"/>
    <w:rsid w:val="00CF265C"/>
    <w:rsid w:val="00CF31FA"/>
    <w:rsid w:val="00CF331B"/>
    <w:rsid w:val="00CF3625"/>
    <w:rsid w:val="00CF4DD3"/>
    <w:rsid w:val="00CF5E8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27D9E"/>
    <w:rsid w:val="00D31F3A"/>
    <w:rsid w:val="00D33613"/>
    <w:rsid w:val="00D3413C"/>
    <w:rsid w:val="00D40AAD"/>
    <w:rsid w:val="00D43532"/>
    <w:rsid w:val="00D43660"/>
    <w:rsid w:val="00D441CB"/>
    <w:rsid w:val="00D44A18"/>
    <w:rsid w:val="00D455A1"/>
    <w:rsid w:val="00D47142"/>
    <w:rsid w:val="00D523E8"/>
    <w:rsid w:val="00D52669"/>
    <w:rsid w:val="00D53617"/>
    <w:rsid w:val="00D5449F"/>
    <w:rsid w:val="00D57273"/>
    <w:rsid w:val="00D61193"/>
    <w:rsid w:val="00D61870"/>
    <w:rsid w:val="00D62C16"/>
    <w:rsid w:val="00D630BD"/>
    <w:rsid w:val="00D7172C"/>
    <w:rsid w:val="00D71F65"/>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041"/>
    <w:rsid w:val="00D92B86"/>
    <w:rsid w:val="00D93305"/>
    <w:rsid w:val="00D938D7"/>
    <w:rsid w:val="00D94EEE"/>
    <w:rsid w:val="00D95FD2"/>
    <w:rsid w:val="00D968CE"/>
    <w:rsid w:val="00D96CFD"/>
    <w:rsid w:val="00D9794E"/>
    <w:rsid w:val="00D97D41"/>
    <w:rsid w:val="00DA07B3"/>
    <w:rsid w:val="00DA09EF"/>
    <w:rsid w:val="00DA20CE"/>
    <w:rsid w:val="00DA2396"/>
    <w:rsid w:val="00DA51DD"/>
    <w:rsid w:val="00DA5227"/>
    <w:rsid w:val="00DA5B09"/>
    <w:rsid w:val="00DA715D"/>
    <w:rsid w:val="00DA750B"/>
    <w:rsid w:val="00DA7577"/>
    <w:rsid w:val="00DB031E"/>
    <w:rsid w:val="00DB0403"/>
    <w:rsid w:val="00DB1EA5"/>
    <w:rsid w:val="00DB5BAF"/>
    <w:rsid w:val="00DB5CEE"/>
    <w:rsid w:val="00DB7547"/>
    <w:rsid w:val="00DC073E"/>
    <w:rsid w:val="00DC0958"/>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4503"/>
    <w:rsid w:val="00DF61E8"/>
    <w:rsid w:val="00DF6705"/>
    <w:rsid w:val="00DF6921"/>
    <w:rsid w:val="00DF757E"/>
    <w:rsid w:val="00DF7DEC"/>
    <w:rsid w:val="00E0384E"/>
    <w:rsid w:val="00E04B5D"/>
    <w:rsid w:val="00E04E2B"/>
    <w:rsid w:val="00E05378"/>
    <w:rsid w:val="00E071CC"/>
    <w:rsid w:val="00E07B68"/>
    <w:rsid w:val="00E13D69"/>
    <w:rsid w:val="00E16384"/>
    <w:rsid w:val="00E164B2"/>
    <w:rsid w:val="00E168AC"/>
    <w:rsid w:val="00E17056"/>
    <w:rsid w:val="00E17539"/>
    <w:rsid w:val="00E179FD"/>
    <w:rsid w:val="00E212A9"/>
    <w:rsid w:val="00E244FD"/>
    <w:rsid w:val="00E24B14"/>
    <w:rsid w:val="00E25C6F"/>
    <w:rsid w:val="00E2704D"/>
    <w:rsid w:val="00E303E1"/>
    <w:rsid w:val="00E30C20"/>
    <w:rsid w:val="00E313EB"/>
    <w:rsid w:val="00E32CA8"/>
    <w:rsid w:val="00E3350A"/>
    <w:rsid w:val="00E33F06"/>
    <w:rsid w:val="00E35D95"/>
    <w:rsid w:val="00E35F09"/>
    <w:rsid w:val="00E37F6F"/>
    <w:rsid w:val="00E44542"/>
    <w:rsid w:val="00E4479D"/>
    <w:rsid w:val="00E4550A"/>
    <w:rsid w:val="00E45A14"/>
    <w:rsid w:val="00E5094F"/>
    <w:rsid w:val="00E52F0A"/>
    <w:rsid w:val="00E53147"/>
    <w:rsid w:val="00E53E8D"/>
    <w:rsid w:val="00E5475E"/>
    <w:rsid w:val="00E5480E"/>
    <w:rsid w:val="00E56EFC"/>
    <w:rsid w:val="00E6150B"/>
    <w:rsid w:val="00E616AC"/>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673D"/>
    <w:rsid w:val="00E873EF"/>
    <w:rsid w:val="00E87AB9"/>
    <w:rsid w:val="00E93296"/>
    <w:rsid w:val="00E936E0"/>
    <w:rsid w:val="00E93D5D"/>
    <w:rsid w:val="00E941A3"/>
    <w:rsid w:val="00E9461C"/>
    <w:rsid w:val="00E94C83"/>
    <w:rsid w:val="00E968B7"/>
    <w:rsid w:val="00EA104D"/>
    <w:rsid w:val="00EA3458"/>
    <w:rsid w:val="00EA3796"/>
    <w:rsid w:val="00EA38C8"/>
    <w:rsid w:val="00EA402F"/>
    <w:rsid w:val="00EA60AF"/>
    <w:rsid w:val="00EB2766"/>
    <w:rsid w:val="00EB2925"/>
    <w:rsid w:val="00EB3BC2"/>
    <w:rsid w:val="00EB4B5E"/>
    <w:rsid w:val="00EB5034"/>
    <w:rsid w:val="00EB5039"/>
    <w:rsid w:val="00EB5205"/>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C7ECB"/>
    <w:rsid w:val="00ED0D58"/>
    <w:rsid w:val="00ED0DB8"/>
    <w:rsid w:val="00ED1096"/>
    <w:rsid w:val="00ED1843"/>
    <w:rsid w:val="00ED297C"/>
    <w:rsid w:val="00ED7EEF"/>
    <w:rsid w:val="00EE0956"/>
    <w:rsid w:val="00EE22E2"/>
    <w:rsid w:val="00EE2FF2"/>
    <w:rsid w:val="00EE32E9"/>
    <w:rsid w:val="00EE4191"/>
    <w:rsid w:val="00EE42AD"/>
    <w:rsid w:val="00EE4992"/>
    <w:rsid w:val="00EE686F"/>
    <w:rsid w:val="00EE6D02"/>
    <w:rsid w:val="00EF268A"/>
    <w:rsid w:val="00EF2A03"/>
    <w:rsid w:val="00EF39EA"/>
    <w:rsid w:val="00EF4195"/>
    <w:rsid w:val="00EF4B19"/>
    <w:rsid w:val="00EF5D7D"/>
    <w:rsid w:val="00EF6699"/>
    <w:rsid w:val="00F00690"/>
    <w:rsid w:val="00F00AC4"/>
    <w:rsid w:val="00F0164B"/>
    <w:rsid w:val="00F02B30"/>
    <w:rsid w:val="00F036AC"/>
    <w:rsid w:val="00F045FF"/>
    <w:rsid w:val="00F06CA9"/>
    <w:rsid w:val="00F10434"/>
    <w:rsid w:val="00F111C4"/>
    <w:rsid w:val="00F11A57"/>
    <w:rsid w:val="00F12060"/>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6185"/>
    <w:rsid w:val="00F47EA9"/>
    <w:rsid w:val="00F50110"/>
    <w:rsid w:val="00F530D0"/>
    <w:rsid w:val="00F53E25"/>
    <w:rsid w:val="00F57C35"/>
    <w:rsid w:val="00F63C8E"/>
    <w:rsid w:val="00F6454A"/>
    <w:rsid w:val="00F653FC"/>
    <w:rsid w:val="00F65B08"/>
    <w:rsid w:val="00F66649"/>
    <w:rsid w:val="00F70A3F"/>
    <w:rsid w:val="00F70D1C"/>
    <w:rsid w:val="00F7147C"/>
    <w:rsid w:val="00F812ED"/>
    <w:rsid w:val="00F813CB"/>
    <w:rsid w:val="00F81E98"/>
    <w:rsid w:val="00F81FEB"/>
    <w:rsid w:val="00F8220D"/>
    <w:rsid w:val="00F8265B"/>
    <w:rsid w:val="00F8335E"/>
    <w:rsid w:val="00F8523D"/>
    <w:rsid w:val="00F87114"/>
    <w:rsid w:val="00F875F6"/>
    <w:rsid w:val="00F91B5F"/>
    <w:rsid w:val="00F9219E"/>
    <w:rsid w:val="00F9235C"/>
    <w:rsid w:val="00F976A3"/>
    <w:rsid w:val="00F97855"/>
    <w:rsid w:val="00FA0F81"/>
    <w:rsid w:val="00FA10B0"/>
    <w:rsid w:val="00FA1765"/>
    <w:rsid w:val="00FA25D2"/>
    <w:rsid w:val="00FA64AB"/>
    <w:rsid w:val="00FB248A"/>
    <w:rsid w:val="00FB272F"/>
    <w:rsid w:val="00FB3D87"/>
    <w:rsid w:val="00FB4464"/>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42C0"/>
    <w:rsid w:val="00FE5E93"/>
    <w:rsid w:val="00FE644C"/>
    <w:rsid w:val="00FE6F1F"/>
    <w:rsid w:val="00FE6FBE"/>
    <w:rsid w:val="00FF03B0"/>
    <w:rsid w:val="00FF207D"/>
    <w:rsid w:val="00FF28BC"/>
    <w:rsid w:val="00FF321C"/>
    <w:rsid w:val="00FF4998"/>
    <w:rsid w:val="00FF59A4"/>
    <w:rsid w:val="00FF5A5F"/>
    <w:rsid w:val="00FF5DFC"/>
    <w:rsid w:val="00FF5FB2"/>
    <w:rsid w:val="00FF700E"/>
    <w:rsid w:val="010739A4"/>
    <w:rsid w:val="01186B66"/>
    <w:rsid w:val="01211975"/>
    <w:rsid w:val="01362154"/>
    <w:rsid w:val="014E5781"/>
    <w:rsid w:val="017F318F"/>
    <w:rsid w:val="01883C45"/>
    <w:rsid w:val="019B6FA8"/>
    <w:rsid w:val="01AD5BF7"/>
    <w:rsid w:val="01BB5180"/>
    <w:rsid w:val="01C103F8"/>
    <w:rsid w:val="01E6685C"/>
    <w:rsid w:val="01FA07B0"/>
    <w:rsid w:val="02313F2A"/>
    <w:rsid w:val="024E7C02"/>
    <w:rsid w:val="0275404D"/>
    <w:rsid w:val="029F15CA"/>
    <w:rsid w:val="02E01568"/>
    <w:rsid w:val="02FA0B58"/>
    <w:rsid w:val="03046375"/>
    <w:rsid w:val="0346630E"/>
    <w:rsid w:val="03700089"/>
    <w:rsid w:val="038714A4"/>
    <w:rsid w:val="03984105"/>
    <w:rsid w:val="03A7606A"/>
    <w:rsid w:val="03CF5D5C"/>
    <w:rsid w:val="03D701FE"/>
    <w:rsid w:val="03DB2498"/>
    <w:rsid w:val="041C5514"/>
    <w:rsid w:val="043625FE"/>
    <w:rsid w:val="043C129B"/>
    <w:rsid w:val="045F2F2F"/>
    <w:rsid w:val="046E73B7"/>
    <w:rsid w:val="04733514"/>
    <w:rsid w:val="04850918"/>
    <w:rsid w:val="04857096"/>
    <w:rsid w:val="0487299C"/>
    <w:rsid w:val="048A4314"/>
    <w:rsid w:val="04924634"/>
    <w:rsid w:val="04A2167D"/>
    <w:rsid w:val="04BD7859"/>
    <w:rsid w:val="04E935C6"/>
    <w:rsid w:val="04F31D4A"/>
    <w:rsid w:val="05007D48"/>
    <w:rsid w:val="05352112"/>
    <w:rsid w:val="05467EAB"/>
    <w:rsid w:val="056D24AB"/>
    <w:rsid w:val="05706921"/>
    <w:rsid w:val="05796BEA"/>
    <w:rsid w:val="05846550"/>
    <w:rsid w:val="05903865"/>
    <w:rsid w:val="05CA327E"/>
    <w:rsid w:val="05DA7960"/>
    <w:rsid w:val="05F32611"/>
    <w:rsid w:val="06167DA5"/>
    <w:rsid w:val="06430CB6"/>
    <w:rsid w:val="06774985"/>
    <w:rsid w:val="06923779"/>
    <w:rsid w:val="069E11BE"/>
    <w:rsid w:val="06BF1F63"/>
    <w:rsid w:val="06E239EF"/>
    <w:rsid w:val="06EF4B87"/>
    <w:rsid w:val="07212F5E"/>
    <w:rsid w:val="07291206"/>
    <w:rsid w:val="073923B4"/>
    <w:rsid w:val="073C47BA"/>
    <w:rsid w:val="07413A95"/>
    <w:rsid w:val="07496910"/>
    <w:rsid w:val="07835860"/>
    <w:rsid w:val="07A10F26"/>
    <w:rsid w:val="07AB135D"/>
    <w:rsid w:val="07C0082E"/>
    <w:rsid w:val="07C2064A"/>
    <w:rsid w:val="07C3125D"/>
    <w:rsid w:val="07C44A63"/>
    <w:rsid w:val="07CA44D6"/>
    <w:rsid w:val="07CF7EA2"/>
    <w:rsid w:val="07D201C3"/>
    <w:rsid w:val="07D81DD9"/>
    <w:rsid w:val="07F551F5"/>
    <w:rsid w:val="080C3D33"/>
    <w:rsid w:val="081F2A89"/>
    <w:rsid w:val="08370E8F"/>
    <w:rsid w:val="083771A8"/>
    <w:rsid w:val="084556CF"/>
    <w:rsid w:val="084F1750"/>
    <w:rsid w:val="08A25C0E"/>
    <w:rsid w:val="08A9717D"/>
    <w:rsid w:val="08CB050A"/>
    <w:rsid w:val="08DD4CB6"/>
    <w:rsid w:val="08E34101"/>
    <w:rsid w:val="08E65E35"/>
    <w:rsid w:val="09021840"/>
    <w:rsid w:val="0921049E"/>
    <w:rsid w:val="092335EB"/>
    <w:rsid w:val="092B4F51"/>
    <w:rsid w:val="096E46D5"/>
    <w:rsid w:val="097D29DA"/>
    <w:rsid w:val="098F4396"/>
    <w:rsid w:val="09934557"/>
    <w:rsid w:val="099E28DA"/>
    <w:rsid w:val="09BC77A2"/>
    <w:rsid w:val="09EC4DBB"/>
    <w:rsid w:val="0A5B043C"/>
    <w:rsid w:val="0A5E71AF"/>
    <w:rsid w:val="0A6B261E"/>
    <w:rsid w:val="0A725EC6"/>
    <w:rsid w:val="0AB51F5E"/>
    <w:rsid w:val="0ABF2AFB"/>
    <w:rsid w:val="0AD464AF"/>
    <w:rsid w:val="0AE32174"/>
    <w:rsid w:val="0AED2B4D"/>
    <w:rsid w:val="0AF54016"/>
    <w:rsid w:val="0AFB1237"/>
    <w:rsid w:val="0B1A6369"/>
    <w:rsid w:val="0B2B0148"/>
    <w:rsid w:val="0B433477"/>
    <w:rsid w:val="0B514F31"/>
    <w:rsid w:val="0B623276"/>
    <w:rsid w:val="0B8278DF"/>
    <w:rsid w:val="0BB7492C"/>
    <w:rsid w:val="0BD20695"/>
    <w:rsid w:val="0BD74505"/>
    <w:rsid w:val="0BE10F11"/>
    <w:rsid w:val="0BE41651"/>
    <w:rsid w:val="0C853F88"/>
    <w:rsid w:val="0C8F7597"/>
    <w:rsid w:val="0C92053F"/>
    <w:rsid w:val="0CC35432"/>
    <w:rsid w:val="0CCD2561"/>
    <w:rsid w:val="0CDC0970"/>
    <w:rsid w:val="0CF6223E"/>
    <w:rsid w:val="0CF92E68"/>
    <w:rsid w:val="0CFF6A38"/>
    <w:rsid w:val="0D1348B8"/>
    <w:rsid w:val="0D4B1615"/>
    <w:rsid w:val="0D55787D"/>
    <w:rsid w:val="0D762D89"/>
    <w:rsid w:val="0DBF4CE3"/>
    <w:rsid w:val="0E06117A"/>
    <w:rsid w:val="0E174BA7"/>
    <w:rsid w:val="0E340D01"/>
    <w:rsid w:val="0E47765E"/>
    <w:rsid w:val="0E491E5D"/>
    <w:rsid w:val="0EB914DB"/>
    <w:rsid w:val="0ED16AB1"/>
    <w:rsid w:val="0ED221FE"/>
    <w:rsid w:val="0EFF256E"/>
    <w:rsid w:val="0F0D25C9"/>
    <w:rsid w:val="0F2910C0"/>
    <w:rsid w:val="0F6C30D0"/>
    <w:rsid w:val="0F7722CC"/>
    <w:rsid w:val="0F87187A"/>
    <w:rsid w:val="0FA135A1"/>
    <w:rsid w:val="0FBB51AF"/>
    <w:rsid w:val="0FEF3A91"/>
    <w:rsid w:val="10032189"/>
    <w:rsid w:val="103A7685"/>
    <w:rsid w:val="104657AB"/>
    <w:rsid w:val="1073306D"/>
    <w:rsid w:val="1077029D"/>
    <w:rsid w:val="10C67EC2"/>
    <w:rsid w:val="10ED777A"/>
    <w:rsid w:val="10F03FA8"/>
    <w:rsid w:val="11196728"/>
    <w:rsid w:val="112B09B3"/>
    <w:rsid w:val="112B2D07"/>
    <w:rsid w:val="113440CA"/>
    <w:rsid w:val="11413E7B"/>
    <w:rsid w:val="114C321C"/>
    <w:rsid w:val="11551DB0"/>
    <w:rsid w:val="11607970"/>
    <w:rsid w:val="11776175"/>
    <w:rsid w:val="11A75ACB"/>
    <w:rsid w:val="11D6143A"/>
    <w:rsid w:val="121C1A71"/>
    <w:rsid w:val="12640C27"/>
    <w:rsid w:val="1294794D"/>
    <w:rsid w:val="12966AF3"/>
    <w:rsid w:val="12A00F5E"/>
    <w:rsid w:val="12A124B6"/>
    <w:rsid w:val="12B326F2"/>
    <w:rsid w:val="12DF5F41"/>
    <w:rsid w:val="12F30869"/>
    <w:rsid w:val="12FE0FC0"/>
    <w:rsid w:val="12FE519E"/>
    <w:rsid w:val="13157735"/>
    <w:rsid w:val="131E56C0"/>
    <w:rsid w:val="1335146C"/>
    <w:rsid w:val="13881780"/>
    <w:rsid w:val="138D307E"/>
    <w:rsid w:val="13A132D5"/>
    <w:rsid w:val="13BC1C5E"/>
    <w:rsid w:val="13FC7CD2"/>
    <w:rsid w:val="14095E3D"/>
    <w:rsid w:val="140D3B4D"/>
    <w:rsid w:val="141D0FC2"/>
    <w:rsid w:val="141D29E0"/>
    <w:rsid w:val="142D0A93"/>
    <w:rsid w:val="143A43BA"/>
    <w:rsid w:val="143C3D3B"/>
    <w:rsid w:val="14513440"/>
    <w:rsid w:val="146C4654"/>
    <w:rsid w:val="14D36C5E"/>
    <w:rsid w:val="14D443C4"/>
    <w:rsid w:val="14EE7F82"/>
    <w:rsid w:val="15003A5D"/>
    <w:rsid w:val="15093730"/>
    <w:rsid w:val="15162C30"/>
    <w:rsid w:val="151E75D1"/>
    <w:rsid w:val="153703B1"/>
    <w:rsid w:val="153C6916"/>
    <w:rsid w:val="15702B4E"/>
    <w:rsid w:val="15724A9E"/>
    <w:rsid w:val="15944F85"/>
    <w:rsid w:val="15C37959"/>
    <w:rsid w:val="15F0307C"/>
    <w:rsid w:val="15F17062"/>
    <w:rsid w:val="164E6B26"/>
    <w:rsid w:val="16501D32"/>
    <w:rsid w:val="165A05EA"/>
    <w:rsid w:val="169D04D6"/>
    <w:rsid w:val="16A56B3A"/>
    <w:rsid w:val="16A82188"/>
    <w:rsid w:val="16E858FC"/>
    <w:rsid w:val="16FB6522"/>
    <w:rsid w:val="171B2ADB"/>
    <w:rsid w:val="171D5758"/>
    <w:rsid w:val="17323BCF"/>
    <w:rsid w:val="175E174E"/>
    <w:rsid w:val="176B2C1E"/>
    <w:rsid w:val="17770D86"/>
    <w:rsid w:val="1787521B"/>
    <w:rsid w:val="178A5ED6"/>
    <w:rsid w:val="178E5E27"/>
    <w:rsid w:val="17C35A77"/>
    <w:rsid w:val="17C4317A"/>
    <w:rsid w:val="17EF42F9"/>
    <w:rsid w:val="17F12891"/>
    <w:rsid w:val="17FB6D27"/>
    <w:rsid w:val="18075C34"/>
    <w:rsid w:val="180C188B"/>
    <w:rsid w:val="18105703"/>
    <w:rsid w:val="184318DB"/>
    <w:rsid w:val="18622C45"/>
    <w:rsid w:val="186D408C"/>
    <w:rsid w:val="18890248"/>
    <w:rsid w:val="188D2D0A"/>
    <w:rsid w:val="18DF5F25"/>
    <w:rsid w:val="18E71A86"/>
    <w:rsid w:val="18EA1D61"/>
    <w:rsid w:val="190F396D"/>
    <w:rsid w:val="19192D89"/>
    <w:rsid w:val="191E46DC"/>
    <w:rsid w:val="19336E8C"/>
    <w:rsid w:val="1934514E"/>
    <w:rsid w:val="19362033"/>
    <w:rsid w:val="196D749E"/>
    <w:rsid w:val="198F224F"/>
    <w:rsid w:val="1998192D"/>
    <w:rsid w:val="199A349F"/>
    <w:rsid w:val="199D4179"/>
    <w:rsid w:val="19AC5014"/>
    <w:rsid w:val="19C80C5B"/>
    <w:rsid w:val="19D92B69"/>
    <w:rsid w:val="19EC6237"/>
    <w:rsid w:val="1A0D7322"/>
    <w:rsid w:val="1A1214A6"/>
    <w:rsid w:val="1A366524"/>
    <w:rsid w:val="1A681199"/>
    <w:rsid w:val="1A6D49D4"/>
    <w:rsid w:val="1A97486B"/>
    <w:rsid w:val="1AAE37D7"/>
    <w:rsid w:val="1AB167CC"/>
    <w:rsid w:val="1AD61694"/>
    <w:rsid w:val="1ADF1A19"/>
    <w:rsid w:val="1B0B5832"/>
    <w:rsid w:val="1B2435A0"/>
    <w:rsid w:val="1B342067"/>
    <w:rsid w:val="1B346283"/>
    <w:rsid w:val="1B534665"/>
    <w:rsid w:val="1B874432"/>
    <w:rsid w:val="1BC070FA"/>
    <w:rsid w:val="1BEC3E7A"/>
    <w:rsid w:val="1BF551C5"/>
    <w:rsid w:val="1C000C8E"/>
    <w:rsid w:val="1C0B468A"/>
    <w:rsid w:val="1C0E7896"/>
    <w:rsid w:val="1C1076DE"/>
    <w:rsid w:val="1C2374A5"/>
    <w:rsid w:val="1C3D5B41"/>
    <w:rsid w:val="1C4C269E"/>
    <w:rsid w:val="1C5225A8"/>
    <w:rsid w:val="1C5E6690"/>
    <w:rsid w:val="1C757DB5"/>
    <w:rsid w:val="1C761A98"/>
    <w:rsid w:val="1C8403CB"/>
    <w:rsid w:val="1CAD4724"/>
    <w:rsid w:val="1D0751C1"/>
    <w:rsid w:val="1D2563A8"/>
    <w:rsid w:val="1D2F40BA"/>
    <w:rsid w:val="1D435DFB"/>
    <w:rsid w:val="1D6A02D7"/>
    <w:rsid w:val="1D7B5175"/>
    <w:rsid w:val="1D7B6030"/>
    <w:rsid w:val="1D842DC2"/>
    <w:rsid w:val="1D877980"/>
    <w:rsid w:val="1D9F48BC"/>
    <w:rsid w:val="1DA96EF1"/>
    <w:rsid w:val="1DBF7431"/>
    <w:rsid w:val="1DC01261"/>
    <w:rsid w:val="1DC45E9A"/>
    <w:rsid w:val="1DCA031E"/>
    <w:rsid w:val="1E0F5267"/>
    <w:rsid w:val="1E3859A4"/>
    <w:rsid w:val="1E7516E7"/>
    <w:rsid w:val="1E857360"/>
    <w:rsid w:val="1E9654AF"/>
    <w:rsid w:val="1E9A0AF3"/>
    <w:rsid w:val="1EDE1E56"/>
    <w:rsid w:val="1EF13381"/>
    <w:rsid w:val="1EFC3FD6"/>
    <w:rsid w:val="1F022092"/>
    <w:rsid w:val="1F145A83"/>
    <w:rsid w:val="1F306E32"/>
    <w:rsid w:val="1F492905"/>
    <w:rsid w:val="1FA9409D"/>
    <w:rsid w:val="1FB546E1"/>
    <w:rsid w:val="1FD87EEC"/>
    <w:rsid w:val="1FEA34B2"/>
    <w:rsid w:val="20075BF3"/>
    <w:rsid w:val="2008712C"/>
    <w:rsid w:val="20353D1F"/>
    <w:rsid w:val="203825B9"/>
    <w:rsid w:val="20426910"/>
    <w:rsid w:val="205677C5"/>
    <w:rsid w:val="206315BD"/>
    <w:rsid w:val="20A17AEF"/>
    <w:rsid w:val="20AE6B02"/>
    <w:rsid w:val="20D024C2"/>
    <w:rsid w:val="20EC2DA8"/>
    <w:rsid w:val="21035F97"/>
    <w:rsid w:val="210E7827"/>
    <w:rsid w:val="211C2301"/>
    <w:rsid w:val="21261D84"/>
    <w:rsid w:val="21393E6A"/>
    <w:rsid w:val="2154729C"/>
    <w:rsid w:val="2168444E"/>
    <w:rsid w:val="217C1844"/>
    <w:rsid w:val="2180706C"/>
    <w:rsid w:val="218347D9"/>
    <w:rsid w:val="219A439D"/>
    <w:rsid w:val="220B144C"/>
    <w:rsid w:val="2229120A"/>
    <w:rsid w:val="22A24231"/>
    <w:rsid w:val="22A33518"/>
    <w:rsid w:val="22C26C24"/>
    <w:rsid w:val="22CE2D0F"/>
    <w:rsid w:val="22F10A77"/>
    <w:rsid w:val="23015753"/>
    <w:rsid w:val="2314403B"/>
    <w:rsid w:val="23261965"/>
    <w:rsid w:val="23327BB2"/>
    <w:rsid w:val="23872EDF"/>
    <w:rsid w:val="238B120D"/>
    <w:rsid w:val="23A137AE"/>
    <w:rsid w:val="23AB3DF5"/>
    <w:rsid w:val="23B12939"/>
    <w:rsid w:val="23C30A49"/>
    <w:rsid w:val="23C32E1C"/>
    <w:rsid w:val="23CB298C"/>
    <w:rsid w:val="23D7079B"/>
    <w:rsid w:val="23E359D2"/>
    <w:rsid w:val="23EF6A65"/>
    <w:rsid w:val="23F36DD6"/>
    <w:rsid w:val="24894B38"/>
    <w:rsid w:val="2489681F"/>
    <w:rsid w:val="24AE0FE6"/>
    <w:rsid w:val="24D25AC6"/>
    <w:rsid w:val="24DE528B"/>
    <w:rsid w:val="24F54FAD"/>
    <w:rsid w:val="250C1CDD"/>
    <w:rsid w:val="251116B1"/>
    <w:rsid w:val="251C1489"/>
    <w:rsid w:val="251C2FD5"/>
    <w:rsid w:val="252047F4"/>
    <w:rsid w:val="25421B0C"/>
    <w:rsid w:val="25786F5B"/>
    <w:rsid w:val="259524DA"/>
    <w:rsid w:val="259C79F3"/>
    <w:rsid w:val="259E3A6C"/>
    <w:rsid w:val="25A651A9"/>
    <w:rsid w:val="25C835CF"/>
    <w:rsid w:val="260A6A20"/>
    <w:rsid w:val="262C55EE"/>
    <w:rsid w:val="263C43A1"/>
    <w:rsid w:val="264D425B"/>
    <w:rsid w:val="2650127F"/>
    <w:rsid w:val="265367A2"/>
    <w:rsid w:val="2666350C"/>
    <w:rsid w:val="2668502A"/>
    <w:rsid w:val="266F38DE"/>
    <w:rsid w:val="26871406"/>
    <w:rsid w:val="269A0503"/>
    <w:rsid w:val="26A967F0"/>
    <w:rsid w:val="26D41EE0"/>
    <w:rsid w:val="26ED0629"/>
    <w:rsid w:val="2712641C"/>
    <w:rsid w:val="273808F3"/>
    <w:rsid w:val="276A548B"/>
    <w:rsid w:val="276E4F09"/>
    <w:rsid w:val="279A09AD"/>
    <w:rsid w:val="27A34CED"/>
    <w:rsid w:val="27A525C8"/>
    <w:rsid w:val="27A75B21"/>
    <w:rsid w:val="27AC4FBB"/>
    <w:rsid w:val="27AD4550"/>
    <w:rsid w:val="27BF7063"/>
    <w:rsid w:val="288F6F25"/>
    <w:rsid w:val="28C3168F"/>
    <w:rsid w:val="28EC6CD8"/>
    <w:rsid w:val="28F5395F"/>
    <w:rsid w:val="28FA09F6"/>
    <w:rsid w:val="292146E1"/>
    <w:rsid w:val="2937713E"/>
    <w:rsid w:val="294D106E"/>
    <w:rsid w:val="29635763"/>
    <w:rsid w:val="29696DB5"/>
    <w:rsid w:val="29750ECB"/>
    <w:rsid w:val="29760C95"/>
    <w:rsid w:val="29A37A01"/>
    <w:rsid w:val="29B13A13"/>
    <w:rsid w:val="29CA2340"/>
    <w:rsid w:val="29D3068E"/>
    <w:rsid w:val="29DF21B0"/>
    <w:rsid w:val="29E57EBF"/>
    <w:rsid w:val="29EB2FDA"/>
    <w:rsid w:val="2A3B1C68"/>
    <w:rsid w:val="2A575538"/>
    <w:rsid w:val="2A59060A"/>
    <w:rsid w:val="2A610A4B"/>
    <w:rsid w:val="2A633308"/>
    <w:rsid w:val="2A902860"/>
    <w:rsid w:val="2A987773"/>
    <w:rsid w:val="2A9F1722"/>
    <w:rsid w:val="2AA02ED3"/>
    <w:rsid w:val="2ACE5826"/>
    <w:rsid w:val="2ACF7EA3"/>
    <w:rsid w:val="2AD639EA"/>
    <w:rsid w:val="2AD700D4"/>
    <w:rsid w:val="2AE71E00"/>
    <w:rsid w:val="2AF1429C"/>
    <w:rsid w:val="2AF30749"/>
    <w:rsid w:val="2AF77486"/>
    <w:rsid w:val="2AFE235C"/>
    <w:rsid w:val="2B0361A9"/>
    <w:rsid w:val="2B0B1180"/>
    <w:rsid w:val="2B144C2C"/>
    <w:rsid w:val="2B505822"/>
    <w:rsid w:val="2BC714CB"/>
    <w:rsid w:val="2BF57785"/>
    <w:rsid w:val="2BF6328C"/>
    <w:rsid w:val="2C247C7C"/>
    <w:rsid w:val="2C30047F"/>
    <w:rsid w:val="2C470A2A"/>
    <w:rsid w:val="2C5043FD"/>
    <w:rsid w:val="2C5134AF"/>
    <w:rsid w:val="2C58111A"/>
    <w:rsid w:val="2C582142"/>
    <w:rsid w:val="2C8055B9"/>
    <w:rsid w:val="2C865673"/>
    <w:rsid w:val="2CC51E87"/>
    <w:rsid w:val="2CE1364C"/>
    <w:rsid w:val="2D077D59"/>
    <w:rsid w:val="2D126521"/>
    <w:rsid w:val="2D203581"/>
    <w:rsid w:val="2D355FA7"/>
    <w:rsid w:val="2D643327"/>
    <w:rsid w:val="2D82209B"/>
    <w:rsid w:val="2D8861A8"/>
    <w:rsid w:val="2E255FAB"/>
    <w:rsid w:val="2E2F448C"/>
    <w:rsid w:val="2E3E78ED"/>
    <w:rsid w:val="2E673A88"/>
    <w:rsid w:val="2E6D4479"/>
    <w:rsid w:val="2E9D1D9C"/>
    <w:rsid w:val="2EAF1EA7"/>
    <w:rsid w:val="2EBB7049"/>
    <w:rsid w:val="2ECA3698"/>
    <w:rsid w:val="2ED13AB3"/>
    <w:rsid w:val="2ED60930"/>
    <w:rsid w:val="2EDC440B"/>
    <w:rsid w:val="2EDD3B09"/>
    <w:rsid w:val="2F070570"/>
    <w:rsid w:val="2F4859CC"/>
    <w:rsid w:val="2FA26F75"/>
    <w:rsid w:val="2FA92733"/>
    <w:rsid w:val="2FAF1DC0"/>
    <w:rsid w:val="2FB4785E"/>
    <w:rsid w:val="2FDB1A58"/>
    <w:rsid w:val="2FF5479D"/>
    <w:rsid w:val="300F310A"/>
    <w:rsid w:val="30164626"/>
    <w:rsid w:val="309019B5"/>
    <w:rsid w:val="30A14845"/>
    <w:rsid w:val="30B6490B"/>
    <w:rsid w:val="30BE2FA1"/>
    <w:rsid w:val="30E34424"/>
    <w:rsid w:val="30F73355"/>
    <w:rsid w:val="30FB63F2"/>
    <w:rsid w:val="31097038"/>
    <w:rsid w:val="31126EB4"/>
    <w:rsid w:val="31245E6F"/>
    <w:rsid w:val="312B7F89"/>
    <w:rsid w:val="318A4205"/>
    <w:rsid w:val="31C35C5D"/>
    <w:rsid w:val="31C44CBD"/>
    <w:rsid w:val="320F23C2"/>
    <w:rsid w:val="3259331B"/>
    <w:rsid w:val="32594630"/>
    <w:rsid w:val="32753B74"/>
    <w:rsid w:val="329B6E5E"/>
    <w:rsid w:val="32A83749"/>
    <w:rsid w:val="32B1779F"/>
    <w:rsid w:val="32DB717D"/>
    <w:rsid w:val="32F43218"/>
    <w:rsid w:val="33296423"/>
    <w:rsid w:val="334C354E"/>
    <w:rsid w:val="3352679E"/>
    <w:rsid w:val="336F0A70"/>
    <w:rsid w:val="337B1F07"/>
    <w:rsid w:val="33920679"/>
    <w:rsid w:val="33EC718C"/>
    <w:rsid w:val="33F569AA"/>
    <w:rsid w:val="33F95CEB"/>
    <w:rsid w:val="34036C9A"/>
    <w:rsid w:val="342C7624"/>
    <w:rsid w:val="343E1443"/>
    <w:rsid w:val="343E22E2"/>
    <w:rsid w:val="34563F2C"/>
    <w:rsid w:val="34762FC1"/>
    <w:rsid w:val="34810D88"/>
    <w:rsid w:val="349D2033"/>
    <w:rsid w:val="34AB4F22"/>
    <w:rsid w:val="34AD0603"/>
    <w:rsid w:val="34B13CE5"/>
    <w:rsid w:val="34C102DF"/>
    <w:rsid w:val="34C7641D"/>
    <w:rsid w:val="34C9157E"/>
    <w:rsid w:val="34CC4278"/>
    <w:rsid w:val="34EC7D5C"/>
    <w:rsid w:val="34FC7C96"/>
    <w:rsid w:val="35132CB4"/>
    <w:rsid w:val="351F3669"/>
    <w:rsid w:val="35345376"/>
    <w:rsid w:val="35497CD2"/>
    <w:rsid w:val="3561499D"/>
    <w:rsid w:val="35A24F5C"/>
    <w:rsid w:val="35AF2F3A"/>
    <w:rsid w:val="35C94004"/>
    <w:rsid w:val="35D93D4F"/>
    <w:rsid w:val="361C77CB"/>
    <w:rsid w:val="36203A46"/>
    <w:rsid w:val="3640288A"/>
    <w:rsid w:val="36495181"/>
    <w:rsid w:val="36894C3A"/>
    <w:rsid w:val="36D26623"/>
    <w:rsid w:val="36E17279"/>
    <w:rsid w:val="3713763E"/>
    <w:rsid w:val="372A204B"/>
    <w:rsid w:val="379B6EDB"/>
    <w:rsid w:val="37BB0586"/>
    <w:rsid w:val="37EB36C4"/>
    <w:rsid w:val="380B1AC9"/>
    <w:rsid w:val="381C1F9C"/>
    <w:rsid w:val="38240AC5"/>
    <w:rsid w:val="382563C7"/>
    <w:rsid w:val="382C2C61"/>
    <w:rsid w:val="3832671F"/>
    <w:rsid w:val="3838185E"/>
    <w:rsid w:val="384A0F7C"/>
    <w:rsid w:val="388266D9"/>
    <w:rsid w:val="388A0841"/>
    <w:rsid w:val="388D0E68"/>
    <w:rsid w:val="389F1247"/>
    <w:rsid w:val="38E33B21"/>
    <w:rsid w:val="38F97C8F"/>
    <w:rsid w:val="39055BFC"/>
    <w:rsid w:val="390A2C48"/>
    <w:rsid w:val="392213F1"/>
    <w:rsid w:val="395077F0"/>
    <w:rsid w:val="396F1AD3"/>
    <w:rsid w:val="397200C0"/>
    <w:rsid w:val="3977253A"/>
    <w:rsid w:val="397F146D"/>
    <w:rsid w:val="3994237E"/>
    <w:rsid w:val="39A41479"/>
    <w:rsid w:val="39CA6372"/>
    <w:rsid w:val="39D42F61"/>
    <w:rsid w:val="39E43490"/>
    <w:rsid w:val="39F52BBB"/>
    <w:rsid w:val="3A1566B1"/>
    <w:rsid w:val="3A25387D"/>
    <w:rsid w:val="3A312EC4"/>
    <w:rsid w:val="3A360CFC"/>
    <w:rsid w:val="3A4C1238"/>
    <w:rsid w:val="3A4F16D3"/>
    <w:rsid w:val="3A6A629D"/>
    <w:rsid w:val="3A904555"/>
    <w:rsid w:val="3A936424"/>
    <w:rsid w:val="3AA5567A"/>
    <w:rsid w:val="3AB17F39"/>
    <w:rsid w:val="3AB9513F"/>
    <w:rsid w:val="3AC8117B"/>
    <w:rsid w:val="3AE2535A"/>
    <w:rsid w:val="3AE825EA"/>
    <w:rsid w:val="3AFB078A"/>
    <w:rsid w:val="3B0875A8"/>
    <w:rsid w:val="3B1C36D5"/>
    <w:rsid w:val="3B426652"/>
    <w:rsid w:val="3B8A1AFA"/>
    <w:rsid w:val="3B990828"/>
    <w:rsid w:val="3BDB4034"/>
    <w:rsid w:val="3C004233"/>
    <w:rsid w:val="3C270C6E"/>
    <w:rsid w:val="3C5F3334"/>
    <w:rsid w:val="3C727D23"/>
    <w:rsid w:val="3CA508DB"/>
    <w:rsid w:val="3CD01DF9"/>
    <w:rsid w:val="3CE609A9"/>
    <w:rsid w:val="3CE7661A"/>
    <w:rsid w:val="3CF94FF9"/>
    <w:rsid w:val="3D214A62"/>
    <w:rsid w:val="3D2343ED"/>
    <w:rsid w:val="3D2A4734"/>
    <w:rsid w:val="3D3C14BA"/>
    <w:rsid w:val="3D417216"/>
    <w:rsid w:val="3D622DCF"/>
    <w:rsid w:val="3D651B10"/>
    <w:rsid w:val="3D8F2959"/>
    <w:rsid w:val="3D9F7566"/>
    <w:rsid w:val="3DA35CE6"/>
    <w:rsid w:val="3DE4134A"/>
    <w:rsid w:val="3DFF76B9"/>
    <w:rsid w:val="3E004701"/>
    <w:rsid w:val="3E130551"/>
    <w:rsid w:val="3E171565"/>
    <w:rsid w:val="3E1D3A7C"/>
    <w:rsid w:val="3E445B74"/>
    <w:rsid w:val="3E4D2497"/>
    <w:rsid w:val="3E500E94"/>
    <w:rsid w:val="3E964815"/>
    <w:rsid w:val="3EAE71F2"/>
    <w:rsid w:val="3EB63546"/>
    <w:rsid w:val="3EBF1C19"/>
    <w:rsid w:val="3EF268B1"/>
    <w:rsid w:val="3EF83068"/>
    <w:rsid w:val="3F2F49DC"/>
    <w:rsid w:val="3F3C090C"/>
    <w:rsid w:val="3F442945"/>
    <w:rsid w:val="3F6538E7"/>
    <w:rsid w:val="3F7E27E2"/>
    <w:rsid w:val="3F8D2355"/>
    <w:rsid w:val="3F9F6207"/>
    <w:rsid w:val="3FC71046"/>
    <w:rsid w:val="3FE96941"/>
    <w:rsid w:val="3FEE2A29"/>
    <w:rsid w:val="3FF81320"/>
    <w:rsid w:val="40200E8D"/>
    <w:rsid w:val="40210A98"/>
    <w:rsid w:val="40324378"/>
    <w:rsid w:val="403D7F5D"/>
    <w:rsid w:val="4063109C"/>
    <w:rsid w:val="406E430C"/>
    <w:rsid w:val="4094020B"/>
    <w:rsid w:val="40A55546"/>
    <w:rsid w:val="40B36282"/>
    <w:rsid w:val="40C521D8"/>
    <w:rsid w:val="410B3671"/>
    <w:rsid w:val="41295026"/>
    <w:rsid w:val="414A2152"/>
    <w:rsid w:val="41685545"/>
    <w:rsid w:val="41993DDB"/>
    <w:rsid w:val="41A2496E"/>
    <w:rsid w:val="41AA27D5"/>
    <w:rsid w:val="41D5107C"/>
    <w:rsid w:val="41DD49A0"/>
    <w:rsid w:val="41ED1E4F"/>
    <w:rsid w:val="420F4C19"/>
    <w:rsid w:val="421F0534"/>
    <w:rsid w:val="42286022"/>
    <w:rsid w:val="42432FAA"/>
    <w:rsid w:val="42D6137E"/>
    <w:rsid w:val="42DA5A81"/>
    <w:rsid w:val="42E00FF4"/>
    <w:rsid w:val="42E40AD2"/>
    <w:rsid w:val="435F43D1"/>
    <w:rsid w:val="438C75CD"/>
    <w:rsid w:val="43AD4EC5"/>
    <w:rsid w:val="43BF0838"/>
    <w:rsid w:val="43C474DF"/>
    <w:rsid w:val="43EB0BC6"/>
    <w:rsid w:val="444E4FEA"/>
    <w:rsid w:val="44557508"/>
    <w:rsid w:val="44592DA4"/>
    <w:rsid w:val="445D346B"/>
    <w:rsid w:val="44897B9A"/>
    <w:rsid w:val="449378AD"/>
    <w:rsid w:val="44A344A3"/>
    <w:rsid w:val="44C80252"/>
    <w:rsid w:val="44FB2E63"/>
    <w:rsid w:val="450B3A80"/>
    <w:rsid w:val="451E605E"/>
    <w:rsid w:val="457D5EA1"/>
    <w:rsid w:val="45804CFC"/>
    <w:rsid w:val="4585348D"/>
    <w:rsid w:val="45863F59"/>
    <w:rsid w:val="45A31E69"/>
    <w:rsid w:val="45A47388"/>
    <w:rsid w:val="45F146E0"/>
    <w:rsid w:val="46101CCC"/>
    <w:rsid w:val="461D64BE"/>
    <w:rsid w:val="462A3A67"/>
    <w:rsid w:val="464B34F5"/>
    <w:rsid w:val="466A1B1B"/>
    <w:rsid w:val="467C599A"/>
    <w:rsid w:val="46855242"/>
    <w:rsid w:val="46BD7464"/>
    <w:rsid w:val="46E1327F"/>
    <w:rsid w:val="46FC7E8B"/>
    <w:rsid w:val="46FD0AFD"/>
    <w:rsid w:val="47083695"/>
    <w:rsid w:val="47085A17"/>
    <w:rsid w:val="470920FE"/>
    <w:rsid w:val="47410E17"/>
    <w:rsid w:val="4760077B"/>
    <w:rsid w:val="476378FC"/>
    <w:rsid w:val="476F2295"/>
    <w:rsid w:val="479445B2"/>
    <w:rsid w:val="47A23A66"/>
    <w:rsid w:val="47A44642"/>
    <w:rsid w:val="47AD69EF"/>
    <w:rsid w:val="47C66328"/>
    <w:rsid w:val="47DF35AB"/>
    <w:rsid w:val="47FE67F6"/>
    <w:rsid w:val="482D069F"/>
    <w:rsid w:val="484F66EE"/>
    <w:rsid w:val="485959DF"/>
    <w:rsid w:val="48754529"/>
    <w:rsid w:val="487D5F19"/>
    <w:rsid w:val="48E9201D"/>
    <w:rsid w:val="48EA48AC"/>
    <w:rsid w:val="49092504"/>
    <w:rsid w:val="4917106F"/>
    <w:rsid w:val="49515FF9"/>
    <w:rsid w:val="495C5D50"/>
    <w:rsid w:val="497A2AF4"/>
    <w:rsid w:val="498C15B9"/>
    <w:rsid w:val="499C1EB2"/>
    <w:rsid w:val="49AA3180"/>
    <w:rsid w:val="49DA0795"/>
    <w:rsid w:val="49E17CEA"/>
    <w:rsid w:val="4A030FA6"/>
    <w:rsid w:val="4A123A9E"/>
    <w:rsid w:val="4A1914E6"/>
    <w:rsid w:val="4A2C2C73"/>
    <w:rsid w:val="4A347A18"/>
    <w:rsid w:val="4A371526"/>
    <w:rsid w:val="4A3C250F"/>
    <w:rsid w:val="4A7C087B"/>
    <w:rsid w:val="4AA45BE1"/>
    <w:rsid w:val="4AA65B3B"/>
    <w:rsid w:val="4ACD0406"/>
    <w:rsid w:val="4AE37101"/>
    <w:rsid w:val="4AFC74DF"/>
    <w:rsid w:val="4B0509D9"/>
    <w:rsid w:val="4B0C7CB1"/>
    <w:rsid w:val="4B5A3802"/>
    <w:rsid w:val="4B5F77AD"/>
    <w:rsid w:val="4B8025B9"/>
    <w:rsid w:val="4B833213"/>
    <w:rsid w:val="4B886EA5"/>
    <w:rsid w:val="4BAF7CF0"/>
    <w:rsid w:val="4BB6393F"/>
    <w:rsid w:val="4BF503F4"/>
    <w:rsid w:val="4C377209"/>
    <w:rsid w:val="4C3C1AA8"/>
    <w:rsid w:val="4C4E5C70"/>
    <w:rsid w:val="4C5E2334"/>
    <w:rsid w:val="4C777171"/>
    <w:rsid w:val="4C8463EE"/>
    <w:rsid w:val="4C953EF3"/>
    <w:rsid w:val="4CB7461B"/>
    <w:rsid w:val="4CC06BFB"/>
    <w:rsid w:val="4CF142DA"/>
    <w:rsid w:val="4D005B65"/>
    <w:rsid w:val="4D4F113F"/>
    <w:rsid w:val="4DA14C8D"/>
    <w:rsid w:val="4DB51E3A"/>
    <w:rsid w:val="4DCE2B54"/>
    <w:rsid w:val="4DD652C1"/>
    <w:rsid w:val="4DDA1A4C"/>
    <w:rsid w:val="4DE87042"/>
    <w:rsid w:val="4DFA2866"/>
    <w:rsid w:val="4E1A5C09"/>
    <w:rsid w:val="4E2F2359"/>
    <w:rsid w:val="4E431849"/>
    <w:rsid w:val="4E6934F3"/>
    <w:rsid w:val="4E7901BE"/>
    <w:rsid w:val="4EA04CD9"/>
    <w:rsid w:val="4EBB5959"/>
    <w:rsid w:val="4EC70442"/>
    <w:rsid w:val="4EF14F49"/>
    <w:rsid w:val="4EF6050D"/>
    <w:rsid w:val="4EFC7002"/>
    <w:rsid w:val="4F04752C"/>
    <w:rsid w:val="4F1A59BF"/>
    <w:rsid w:val="4F1B4D7A"/>
    <w:rsid w:val="4F540E4B"/>
    <w:rsid w:val="4FDC0882"/>
    <w:rsid w:val="50123891"/>
    <w:rsid w:val="502A4A4C"/>
    <w:rsid w:val="505D0330"/>
    <w:rsid w:val="507A0ADC"/>
    <w:rsid w:val="50D83106"/>
    <w:rsid w:val="51282EA5"/>
    <w:rsid w:val="512D6046"/>
    <w:rsid w:val="51374ED8"/>
    <w:rsid w:val="51391253"/>
    <w:rsid w:val="51652482"/>
    <w:rsid w:val="5165357A"/>
    <w:rsid w:val="51884B5E"/>
    <w:rsid w:val="518D3779"/>
    <w:rsid w:val="51D050D1"/>
    <w:rsid w:val="51D7211E"/>
    <w:rsid w:val="51F240AD"/>
    <w:rsid w:val="51FB366C"/>
    <w:rsid w:val="520D2CEE"/>
    <w:rsid w:val="52502D3D"/>
    <w:rsid w:val="52505661"/>
    <w:rsid w:val="52555F04"/>
    <w:rsid w:val="5257610A"/>
    <w:rsid w:val="526E5CB5"/>
    <w:rsid w:val="52A71504"/>
    <w:rsid w:val="52B727CE"/>
    <w:rsid w:val="52B74537"/>
    <w:rsid w:val="52D03F18"/>
    <w:rsid w:val="53157900"/>
    <w:rsid w:val="537F30C8"/>
    <w:rsid w:val="53865274"/>
    <w:rsid w:val="539B2AE5"/>
    <w:rsid w:val="53A41F49"/>
    <w:rsid w:val="53A4364B"/>
    <w:rsid w:val="53E25B3B"/>
    <w:rsid w:val="54084499"/>
    <w:rsid w:val="54272FB7"/>
    <w:rsid w:val="542E1C7D"/>
    <w:rsid w:val="54394DE8"/>
    <w:rsid w:val="54683D67"/>
    <w:rsid w:val="546D6E5E"/>
    <w:rsid w:val="547C2592"/>
    <w:rsid w:val="54A21BB2"/>
    <w:rsid w:val="54A32459"/>
    <w:rsid w:val="54C254CA"/>
    <w:rsid w:val="54C45561"/>
    <w:rsid w:val="54FB0113"/>
    <w:rsid w:val="54FC1185"/>
    <w:rsid w:val="552D2829"/>
    <w:rsid w:val="55714EE7"/>
    <w:rsid w:val="557D4A55"/>
    <w:rsid w:val="55B95A64"/>
    <w:rsid w:val="55C83C9F"/>
    <w:rsid w:val="55D73E9E"/>
    <w:rsid w:val="55DD2479"/>
    <w:rsid w:val="55EC768B"/>
    <w:rsid w:val="55F826CC"/>
    <w:rsid w:val="55FF5737"/>
    <w:rsid w:val="56022458"/>
    <w:rsid w:val="56081C2F"/>
    <w:rsid w:val="560E62B4"/>
    <w:rsid w:val="561D267A"/>
    <w:rsid w:val="5625004C"/>
    <w:rsid w:val="56400CAD"/>
    <w:rsid w:val="567A3833"/>
    <w:rsid w:val="569B386F"/>
    <w:rsid w:val="56CC7D61"/>
    <w:rsid w:val="56CF6A18"/>
    <w:rsid w:val="575710A5"/>
    <w:rsid w:val="57672E5F"/>
    <w:rsid w:val="57C10BD1"/>
    <w:rsid w:val="57C13AE6"/>
    <w:rsid w:val="57D74231"/>
    <w:rsid w:val="57F7496D"/>
    <w:rsid w:val="580977E8"/>
    <w:rsid w:val="582B5058"/>
    <w:rsid w:val="583615BF"/>
    <w:rsid w:val="58391457"/>
    <w:rsid w:val="58407FE2"/>
    <w:rsid w:val="58417391"/>
    <w:rsid w:val="585B0093"/>
    <w:rsid w:val="586E2123"/>
    <w:rsid w:val="58855324"/>
    <w:rsid w:val="58B6008E"/>
    <w:rsid w:val="58B945E0"/>
    <w:rsid w:val="58C42CBE"/>
    <w:rsid w:val="58C554EA"/>
    <w:rsid w:val="58C95294"/>
    <w:rsid w:val="58D858C7"/>
    <w:rsid w:val="59186B24"/>
    <w:rsid w:val="592C2178"/>
    <w:rsid w:val="593E3AF5"/>
    <w:rsid w:val="5980115E"/>
    <w:rsid w:val="598E2C77"/>
    <w:rsid w:val="59B40DDE"/>
    <w:rsid w:val="59B954D7"/>
    <w:rsid w:val="59C90589"/>
    <w:rsid w:val="5A090817"/>
    <w:rsid w:val="5A733775"/>
    <w:rsid w:val="5A764AEA"/>
    <w:rsid w:val="5A7C6794"/>
    <w:rsid w:val="5AC22AB0"/>
    <w:rsid w:val="5ACE2A81"/>
    <w:rsid w:val="5ACF0B14"/>
    <w:rsid w:val="5ACF4D8D"/>
    <w:rsid w:val="5AD97D44"/>
    <w:rsid w:val="5AF21231"/>
    <w:rsid w:val="5AFE2B3E"/>
    <w:rsid w:val="5B0A03B1"/>
    <w:rsid w:val="5B22024B"/>
    <w:rsid w:val="5B2E624D"/>
    <w:rsid w:val="5B835103"/>
    <w:rsid w:val="5B882D28"/>
    <w:rsid w:val="5B8A39E3"/>
    <w:rsid w:val="5BAF2355"/>
    <w:rsid w:val="5BEE301D"/>
    <w:rsid w:val="5BF60B78"/>
    <w:rsid w:val="5C097FA1"/>
    <w:rsid w:val="5C0A3D46"/>
    <w:rsid w:val="5C101E48"/>
    <w:rsid w:val="5C1668CF"/>
    <w:rsid w:val="5C2448DF"/>
    <w:rsid w:val="5C281A1F"/>
    <w:rsid w:val="5C6B638D"/>
    <w:rsid w:val="5C7E749C"/>
    <w:rsid w:val="5C800C68"/>
    <w:rsid w:val="5CAE7AA5"/>
    <w:rsid w:val="5D05202B"/>
    <w:rsid w:val="5D0727AC"/>
    <w:rsid w:val="5D345369"/>
    <w:rsid w:val="5D376DB8"/>
    <w:rsid w:val="5D6947DB"/>
    <w:rsid w:val="5D9B7B2C"/>
    <w:rsid w:val="5DB27F4B"/>
    <w:rsid w:val="5DF06288"/>
    <w:rsid w:val="5E052F60"/>
    <w:rsid w:val="5E0C0936"/>
    <w:rsid w:val="5E145B26"/>
    <w:rsid w:val="5E3326E6"/>
    <w:rsid w:val="5E484D06"/>
    <w:rsid w:val="5E812E1A"/>
    <w:rsid w:val="5E8507B5"/>
    <w:rsid w:val="5E8B06C3"/>
    <w:rsid w:val="5E8B3830"/>
    <w:rsid w:val="5E995CB6"/>
    <w:rsid w:val="5EBD054E"/>
    <w:rsid w:val="5ED91228"/>
    <w:rsid w:val="5EE972C4"/>
    <w:rsid w:val="5F4B0427"/>
    <w:rsid w:val="5F4B4928"/>
    <w:rsid w:val="5F58319A"/>
    <w:rsid w:val="5F6D1766"/>
    <w:rsid w:val="5FA06C93"/>
    <w:rsid w:val="5FB6382F"/>
    <w:rsid w:val="602737D9"/>
    <w:rsid w:val="602E4FFB"/>
    <w:rsid w:val="60441CEC"/>
    <w:rsid w:val="60787DEF"/>
    <w:rsid w:val="608A019A"/>
    <w:rsid w:val="609A134E"/>
    <w:rsid w:val="60B97D7B"/>
    <w:rsid w:val="60C471C8"/>
    <w:rsid w:val="60CC20E8"/>
    <w:rsid w:val="60CD034A"/>
    <w:rsid w:val="60DE592D"/>
    <w:rsid w:val="60E450C8"/>
    <w:rsid w:val="60F0127D"/>
    <w:rsid w:val="610229C7"/>
    <w:rsid w:val="611A52A4"/>
    <w:rsid w:val="61222C4E"/>
    <w:rsid w:val="61575DB9"/>
    <w:rsid w:val="615D62A4"/>
    <w:rsid w:val="61890BEE"/>
    <w:rsid w:val="61A9603A"/>
    <w:rsid w:val="61DE7C20"/>
    <w:rsid w:val="61E915DE"/>
    <w:rsid w:val="62282029"/>
    <w:rsid w:val="622B7960"/>
    <w:rsid w:val="622F4764"/>
    <w:rsid w:val="6231093A"/>
    <w:rsid w:val="62352101"/>
    <w:rsid w:val="624942F2"/>
    <w:rsid w:val="624D13D2"/>
    <w:rsid w:val="62952C26"/>
    <w:rsid w:val="62B7354B"/>
    <w:rsid w:val="62DC7DAD"/>
    <w:rsid w:val="62E03330"/>
    <w:rsid w:val="62FC1E78"/>
    <w:rsid w:val="63030A38"/>
    <w:rsid w:val="6344401E"/>
    <w:rsid w:val="63661CC6"/>
    <w:rsid w:val="636E2A44"/>
    <w:rsid w:val="636E5887"/>
    <w:rsid w:val="639844F4"/>
    <w:rsid w:val="63B91878"/>
    <w:rsid w:val="63CD184C"/>
    <w:rsid w:val="63D84F93"/>
    <w:rsid w:val="640C4D66"/>
    <w:rsid w:val="642D7140"/>
    <w:rsid w:val="643D6AEA"/>
    <w:rsid w:val="644704AA"/>
    <w:rsid w:val="64512008"/>
    <w:rsid w:val="645218BC"/>
    <w:rsid w:val="64537576"/>
    <w:rsid w:val="6458507E"/>
    <w:rsid w:val="64645B09"/>
    <w:rsid w:val="647F4E68"/>
    <w:rsid w:val="64836A7E"/>
    <w:rsid w:val="648E183D"/>
    <w:rsid w:val="648E248D"/>
    <w:rsid w:val="649C00B8"/>
    <w:rsid w:val="64E20321"/>
    <w:rsid w:val="64E404AB"/>
    <w:rsid w:val="64EB3D59"/>
    <w:rsid w:val="64F37D8E"/>
    <w:rsid w:val="65177A81"/>
    <w:rsid w:val="651D7D2C"/>
    <w:rsid w:val="65344221"/>
    <w:rsid w:val="655273E2"/>
    <w:rsid w:val="6558426F"/>
    <w:rsid w:val="65593354"/>
    <w:rsid w:val="65893755"/>
    <w:rsid w:val="658C1862"/>
    <w:rsid w:val="65AB5BB1"/>
    <w:rsid w:val="65C014DD"/>
    <w:rsid w:val="65DE5918"/>
    <w:rsid w:val="66004664"/>
    <w:rsid w:val="66334E81"/>
    <w:rsid w:val="6667261C"/>
    <w:rsid w:val="66693D7A"/>
    <w:rsid w:val="66932504"/>
    <w:rsid w:val="66A024CA"/>
    <w:rsid w:val="66AB2CB8"/>
    <w:rsid w:val="66C53576"/>
    <w:rsid w:val="66EF434C"/>
    <w:rsid w:val="66EF70F7"/>
    <w:rsid w:val="66F06CBD"/>
    <w:rsid w:val="67085112"/>
    <w:rsid w:val="670D1094"/>
    <w:rsid w:val="6716631D"/>
    <w:rsid w:val="6727355B"/>
    <w:rsid w:val="676C1A88"/>
    <w:rsid w:val="677B7505"/>
    <w:rsid w:val="67A62A5E"/>
    <w:rsid w:val="67E35FC0"/>
    <w:rsid w:val="67E66E23"/>
    <w:rsid w:val="680D3F1A"/>
    <w:rsid w:val="68105ADD"/>
    <w:rsid w:val="68210FA1"/>
    <w:rsid w:val="68290DEF"/>
    <w:rsid w:val="68577855"/>
    <w:rsid w:val="688C494F"/>
    <w:rsid w:val="68B34444"/>
    <w:rsid w:val="68E52730"/>
    <w:rsid w:val="68FA22B3"/>
    <w:rsid w:val="69013A3D"/>
    <w:rsid w:val="69031495"/>
    <w:rsid w:val="691E3B2F"/>
    <w:rsid w:val="697D10D3"/>
    <w:rsid w:val="69882C1F"/>
    <w:rsid w:val="69AA7CB9"/>
    <w:rsid w:val="6A2A1F27"/>
    <w:rsid w:val="6A2D4E91"/>
    <w:rsid w:val="6A3645BE"/>
    <w:rsid w:val="6A431105"/>
    <w:rsid w:val="6A8E3175"/>
    <w:rsid w:val="6A9937FB"/>
    <w:rsid w:val="6AA02C6C"/>
    <w:rsid w:val="6AA2046B"/>
    <w:rsid w:val="6AE911DF"/>
    <w:rsid w:val="6B090794"/>
    <w:rsid w:val="6B0E6819"/>
    <w:rsid w:val="6B546F7E"/>
    <w:rsid w:val="6B600CFC"/>
    <w:rsid w:val="6B666DC1"/>
    <w:rsid w:val="6B732357"/>
    <w:rsid w:val="6B7C1514"/>
    <w:rsid w:val="6B815528"/>
    <w:rsid w:val="6B910287"/>
    <w:rsid w:val="6B9A767B"/>
    <w:rsid w:val="6B9F20E8"/>
    <w:rsid w:val="6BA23EB1"/>
    <w:rsid w:val="6BC25B93"/>
    <w:rsid w:val="6BD239C1"/>
    <w:rsid w:val="6BD85097"/>
    <w:rsid w:val="6C2F2D0A"/>
    <w:rsid w:val="6C913258"/>
    <w:rsid w:val="6CAB7663"/>
    <w:rsid w:val="6CE14C19"/>
    <w:rsid w:val="6CE63810"/>
    <w:rsid w:val="6D5007F3"/>
    <w:rsid w:val="6D58085D"/>
    <w:rsid w:val="6D5E3CEE"/>
    <w:rsid w:val="6D7B5101"/>
    <w:rsid w:val="6D7E60C3"/>
    <w:rsid w:val="6DB70626"/>
    <w:rsid w:val="6DDC4A31"/>
    <w:rsid w:val="6E1319A6"/>
    <w:rsid w:val="6E5D40C3"/>
    <w:rsid w:val="6E9D4317"/>
    <w:rsid w:val="6EA43E65"/>
    <w:rsid w:val="6EBA43CA"/>
    <w:rsid w:val="6ED215D0"/>
    <w:rsid w:val="6F11121C"/>
    <w:rsid w:val="6F14149C"/>
    <w:rsid w:val="6F141C58"/>
    <w:rsid w:val="6F2523FB"/>
    <w:rsid w:val="6F326914"/>
    <w:rsid w:val="6F446672"/>
    <w:rsid w:val="6F804137"/>
    <w:rsid w:val="6F8D629E"/>
    <w:rsid w:val="6FC20A76"/>
    <w:rsid w:val="70042754"/>
    <w:rsid w:val="70101720"/>
    <w:rsid w:val="70161370"/>
    <w:rsid w:val="70281C68"/>
    <w:rsid w:val="703377EA"/>
    <w:rsid w:val="705A5823"/>
    <w:rsid w:val="70933D76"/>
    <w:rsid w:val="709E1E79"/>
    <w:rsid w:val="70B0597B"/>
    <w:rsid w:val="70B10776"/>
    <w:rsid w:val="70EB10F0"/>
    <w:rsid w:val="70FB2537"/>
    <w:rsid w:val="710525B1"/>
    <w:rsid w:val="71547407"/>
    <w:rsid w:val="71814DB2"/>
    <w:rsid w:val="71C941E3"/>
    <w:rsid w:val="71F9515F"/>
    <w:rsid w:val="720319B0"/>
    <w:rsid w:val="72253032"/>
    <w:rsid w:val="7226650F"/>
    <w:rsid w:val="72645099"/>
    <w:rsid w:val="726D1F0A"/>
    <w:rsid w:val="726D2211"/>
    <w:rsid w:val="73565DB4"/>
    <w:rsid w:val="735D3A1C"/>
    <w:rsid w:val="73721926"/>
    <w:rsid w:val="73BD7D1D"/>
    <w:rsid w:val="73DF31A4"/>
    <w:rsid w:val="740C13F8"/>
    <w:rsid w:val="741B5D09"/>
    <w:rsid w:val="746026AF"/>
    <w:rsid w:val="74741F55"/>
    <w:rsid w:val="74812D69"/>
    <w:rsid w:val="74816CD1"/>
    <w:rsid w:val="74BD7656"/>
    <w:rsid w:val="74D4090E"/>
    <w:rsid w:val="74D70755"/>
    <w:rsid w:val="74EF6C49"/>
    <w:rsid w:val="74F3291B"/>
    <w:rsid w:val="74FE4193"/>
    <w:rsid w:val="750E40B4"/>
    <w:rsid w:val="7514080C"/>
    <w:rsid w:val="751C1E37"/>
    <w:rsid w:val="75325822"/>
    <w:rsid w:val="754001E3"/>
    <w:rsid w:val="755C3C99"/>
    <w:rsid w:val="757310D2"/>
    <w:rsid w:val="75A03CD1"/>
    <w:rsid w:val="75A66AF0"/>
    <w:rsid w:val="75A7741F"/>
    <w:rsid w:val="75B40985"/>
    <w:rsid w:val="75BB590C"/>
    <w:rsid w:val="75D97917"/>
    <w:rsid w:val="76124A7B"/>
    <w:rsid w:val="76134F53"/>
    <w:rsid w:val="764551CA"/>
    <w:rsid w:val="76515436"/>
    <w:rsid w:val="765330DD"/>
    <w:rsid w:val="766D6914"/>
    <w:rsid w:val="76850C11"/>
    <w:rsid w:val="768F791E"/>
    <w:rsid w:val="769E1EB6"/>
    <w:rsid w:val="76BA38E3"/>
    <w:rsid w:val="76C15435"/>
    <w:rsid w:val="76C57885"/>
    <w:rsid w:val="76D95C71"/>
    <w:rsid w:val="76DD75B8"/>
    <w:rsid w:val="77074DCA"/>
    <w:rsid w:val="77256674"/>
    <w:rsid w:val="772927F4"/>
    <w:rsid w:val="772A2634"/>
    <w:rsid w:val="774B7334"/>
    <w:rsid w:val="77883EA5"/>
    <w:rsid w:val="77B2659D"/>
    <w:rsid w:val="77BE4B43"/>
    <w:rsid w:val="77BF17B7"/>
    <w:rsid w:val="77BF38DB"/>
    <w:rsid w:val="77D668A4"/>
    <w:rsid w:val="780C2F8B"/>
    <w:rsid w:val="781B0B95"/>
    <w:rsid w:val="78322F00"/>
    <w:rsid w:val="783711AA"/>
    <w:rsid w:val="78661AC3"/>
    <w:rsid w:val="788D72AC"/>
    <w:rsid w:val="78DF3D07"/>
    <w:rsid w:val="7906300B"/>
    <w:rsid w:val="790F01DA"/>
    <w:rsid w:val="796B05A5"/>
    <w:rsid w:val="79775F17"/>
    <w:rsid w:val="79A11D1D"/>
    <w:rsid w:val="79A43FE1"/>
    <w:rsid w:val="79B57CC2"/>
    <w:rsid w:val="79B80657"/>
    <w:rsid w:val="79CA39E0"/>
    <w:rsid w:val="79CB38F7"/>
    <w:rsid w:val="79F70A30"/>
    <w:rsid w:val="79FF2965"/>
    <w:rsid w:val="7A3913E2"/>
    <w:rsid w:val="7A4C3B6C"/>
    <w:rsid w:val="7A5378C7"/>
    <w:rsid w:val="7A7169DB"/>
    <w:rsid w:val="7A721D3D"/>
    <w:rsid w:val="7A926046"/>
    <w:rsid w:val="7A9E5420"/>
    <w:rsid w:val="7ADD7225"/>
    <w:rsid w:val="7B0A4446"/>
    <w:rsid w:val="7B0E1AFB"/>
    <w:rsid w:val="7B0E5AAD"/>
    <w:rsid w:val="7B6C6B2F"/>
    <w:rsid w:val="7B9D24D3"/>
    <w:rsid w:val="7B9F5675"/>
    <w:rsid w:val="7BD132F1"/>
    <w:rsid w:val="7BFE53A3"/>
    <w:rsid w:val="7C2F6A6C"/>
    <w:rsid w:val="7C5363C0"/>
    <w:rsid w:val="7C677BE9"/>
    <w:rsid w:val="7C81697F"/>
    <w:rsid w:val="7C883222"/>
    <w:rsid w:val="7CAA57FE"/>
    <w:rsid w:val="7D0C6883"/>
    <w:rsid w:val="7D170593"/>
    <w:rsid w:val="7D300598"/>
    <w:rsid w:val="7D352B20"/>
    <w:rsid w:val="7D4F5F80"/>
    <w:rsid w:val="7D5354FA"/>
    <w:rsid w:val="7D9B0A0E"/>
    <w:rsid w:val="7DE7361F"/>
    <w:rsid w:val="7E277D54"/>
    <w:rsid w:val="7E657EAF"/>
    <w:rsid w:val="7E69543C"/>
    <w:rsid w:val="7E7D31F2"/>
    <w:rsid w:val="7E82324A"/>
    <w:rsid w:val="7EAD764E"/>
    <w:rsid w:val="7EB47327"/>
    <w:rsid w:val="7EB57BDC"/>
    <w:rsid w:val="7EBB1F93"/>
    <w:rsid w:val="7ECB089F"/>
    <w:rsid w:val="7EDA04BC"/>
    <w:rsid w:val="7EF45586"/>
    <w:rsid w:val="7F0511FB"/>
    <w:rsid w:val="7F106CC1"/>
    <w:rsid w:val="7F125F0A"/>
    <w:rsid w:val="7F186A39"/>
    <w:rsid w:val="7F1D2FE6"/>
    <w:rsid w:val="7F3650DA"/>
    <w:rsid w:val="7FB86BFF"/>
    <w:rsid w:val="7FE5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4">
    <w:name w:val="heading 1"/>
    <w:basedOn w:val="1"/>
    <w:next w:val="1"/>
    <w:link w:val="493"/>
    <w:qFormat/>
    <w:uiPriority w:val="0"/>
    <w:pPr>
      <w:keepNext/>
      <w:widowControl/>
      <w:spacing w:line="360" w:lineRule="auto"/>
      <w:jc w:val="center"/>
      <w:outlineLvl w:val="0"/>
    </w:pPr>
    <w:rPr>
      <w:rFonts w:ascii="??" w:hAnsi="??" w:eastAsia="??" w:cs="宋体"/>
      <w:b/>
      <w:kern w:val="36"/>
      <w:sz w:val="32"/>
      <w:szCs w:val="28"/>
    </w:rPr>
  </w:style>
  <w:style w:type="paragraph" w:styleId="2">
    <w:name w:val="heading 2"/>
    <w:basedOn w:val="1"/>
    <w:next w:val="1"/>
    <w:link w:val="478"/>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5">
    <w:name w:val="heading 3"/>
    <w:basedOn w:val="1"/>
    <w:next w:val="1"/>
    <w:link w:val="428"/>
    <w:qFormat/>
    <w:uiPriority w:val="0"/>
    <w:pPr>
      <w:keepNext/>
      <w:keepLines/>
      <w:widowControl/>
      <w:numPr>
        <w:ilvl w:val="2"/>
        <w:numId w:val="2"/>
      </w:numPr>
      <w:tabs>
        <w:tab w:val="left" w:pos="-839"/>
      </w:tabs>
      <w:spacing w:before="120" w:after="120" w:line="360" w:lineRule="auto"/>
      <w:jc w:val="center"/>
      <w:outlineLvl w:val="2"/>
    </w:pPr>
    <w:rPr>
      <w:rFonts w:ascii="Times New Roman" w:hAnsi="Times New Roman" w:eastAsia="??"/>
      <w:b/>
      <w:kern w:val="0"/>
      <w:sz w:val="32"/>
      <w:szCs w:val="28"/>
    </w:rPr>
  </w:style>
  <w:style w:type="paragraph" w:styleId="6">
    <w:name w:val="heading 4"/>
    <w:basedOn w:val="1"/>
    <w:next w:val="1"/>
    <w:link w:val="422"/>
    <w:qFormat/>
    <w:uiPriority w:val="0"/>
    <w:pPr>
      <w:keepNext/>
      <w:keepLines/>
      <w:spacing w:before="280" w:after="290" w:line="376" w:lineRule="auto"/>
      <w:outlineLvl w:val="3"/>
    </w:pPr>
    <w:rPr>
      <w:rFonts w:ascii="Arial" w:hAnsi="Arial" w:eastAsia="??" w:cs="Arial"/>
      <w:b/>
      <w:bCs/>
      <w:sz w:val="28"/>
      <w:szCs w:val="28"/>
    </w:rPr>
  </w:style>
  <w:style w:type="paragraph" w:styleId="7">
    <w:name w:val="heading 5"/>
    <w:basedOn w:val="1"/>
    <w:next w:val="1"/>
    <w:link w:val="446"/>
    <w:qFormat/>
    <w:uiPriority w:val="0"/>
    <w:pPr>
      <w:keepNext/>
      <w:keepLines/>
      <w:spacing w:before="280" w:after="290" w:line="376" w:lineRule="auto"/>
      <w:outlineLvl w:val="4"/>
    </w:pPr>
    <w:rPr>
      <w:rFonts w:ascii="Times New Roman" w:hAnsi="Times New Roman" w:eastAsia="??"/>
      <w:b/>
      <w:bCs/>
      <w:sz w:val="28"/>
      <w:szCs w:val="28"/>
    </w:rPr>
  </w:style>
  <w:style w:type="paragraph" w:styleId="8">
    <w:name w:val="heading 6"/>
    <w:basedOn w:val="7"/>
    <w:next w:val="1"/>
    <w:link w:val="500"/>
    <w:qFormat/>
    <w:uiPriority w:val="0"/>
    <w:pPr>
      <w:widowControl/>
      <w:numPr>
        <w:ilvl w:val="5"/>
        <w:numId w:val="2"/>
      </w:numPr>
      <w:tabs>
        <w:tab w:val="left" w:pos="-839"/>
      </w:tabs>
      <w:spacing w:before="240" w:after="64" w:line="319" w:lineRule="auto"/>
      <w:jc w:val="left"/>
      <w:outlineLvl w:val="5"/>
    </w:pPr>
    <w:rPr>
      <w:rFonts w:ascii="Arial" w:hAnsi="Arial" w:cs="Arial"/>
      <w:kern w:val="0"/>
      <w:sz w:val="24"/>
    </w:rPr>
  </w:style>
  <w:style w:type="paragraph" w:styleId="9">
    <w:name w:val="heading 7"/>
    <w:basedOn w:val="1"/>
    <w:next w:val="1"/>
    <w:link w:val="453"/>
    <w:qFormat/>
    <w:uiPriority w:val="0"/>
    <w:pPr>
      <w:keepNext/>
      <w:keepLines/>
      <w:widowControl/>
      <w:numPr>
        <w:ilvl w:val="6"/>
        <w:numId w:val="2"/>
      </w:numPr>
      <w:tabs>
        <w:tab w:val="left" w:pos="-839"/>
      </w:tabs>
      <w:spacing w:before="240" w:after="64" w:line="319" w:lineRule="auto"/>
      <w:jc w:val="left"/>
      <w:outlineLvl w:val="6"/>
    </w:pPr>
    <w:rPr>
      <w:rFonts w:ascii="Times New Roman" w:hAnsi="Times New Roman" w:eastAsia="??"/>
      <w:b/>
      <w:bCs/>
      <w:kern w:val="0"/>
      <w:sz w:val="24"/>
      <w:szCs w:val="28"/>
    </w:rPr>
  </w:style>
  <w:style w:type="paragraph" w:styleId="10">
    <w:name w:val="heading 8"/>
    <w:basedOn w:val="1"/>
    <w:next w:val="1"/>
    <w:link w:val="484"/>
    <w:qFormat/>
    <w:uiPriority w:val="0"/>
    <w:pPr>
      <w:keepNext/>
      <w:keepLines/>
      <w:widowControl/>
      <w:numPr>
        <w:ilvl w:val="7"/>
        <w:numId w:val="2"/>
      </w:numPr>
      <w:tabs>
        <w:tab w:val="left" w:pos="-839"/>
      </w:tabs>
      <w:spacing w:before="240" w:after="64" w:line="319" w:lineRule="auto"/>
      <w:jc w:val="left"/>
      <w:outlineLvl w:val="7"/>
    </w:pPr>
    <w:rPr>
      <w:rFonts w:ascii="Arial" w:hAnsi="Arial" w:eastAsia="??" w:cs="Arial"/>
      <w:kern w:val="0"/>
      <w:sz w:val="24"/>
      <w:szCs w:val="28"/>
    </w:rPr>
  </w:style>
  <w:style w:type="paragraph" w:styleId="11">
    <w:name w:val="heading 9"/>
    <w:basedOn w:val="1"/>
    <w:next w:val="1"/>
    <w:link w:val="463"/>
    <w:qFormat/>
    <w:uiPriority w:val="0"/>
    <w:pPr>
      <w:keepNext/>
      <w:keepLines/>
      <w:widowControl/>
      <w:numPr>
        <w:ilvl w:val="8"/>
        <w:numId w:val="2"/>
      </w:numPr>
      <w:tabs>
        <w:tab w:val="left" w:pos="-839"/>
      </w:tabs>
      <w:spacing w:before="240" w:after="64" w:line="319" w:lineRule="auto"/>
      <w:jc w:val="left"/>
      <w:outlineLvl w:val="8"/>
    </w:pPr>
    <w:rPr>
      <w:rFonts w:ascii="Arial" w:hAnsi="Arial" w:eastAsia="??" w:cs="Arial"/>
      <w:kern w:val="0"/>
      <w:szCs w:val="21"/>
    </w:rPr>
  </w:style>
  <w:style w:type="character" w:default="1" w:styleId="80">
    <w:name w:val="Default Paragraph Font"/>
    <w:semiHidden/>
    <w:unhideWhenUsed/>
    <w:qFormat/>
    <w:uiPriority w:val="1"/>
  </w:style>
  <w:style w:type="table" w:default="1" w:styleId="78">
    <w:name w:val="Normal Table"/>
    <w:semiHidden/>
    <w:unhideWhenUsed/>
    <w:qFormat/>
    <w:uiPriority w:val="99"/>
    <w:tblPr>
      <w:tblCellMar>
        <w:top w:w="0" w:type="dxa"/>
        <w:left w:w="108" w:type="dxa"/>
        <w:bottom w:w="0" w:type="dxa"/>
        <w:right w:w="108" w:type="dxa"/>
      </w:tblCellMar>
    </w:tblPr>
  </w:style>
  <w:style w:type="paragraph" w:styleId="3">
    <w:name w:val="macro"/>
    <w:link w:val="43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toc 7"/>
    <w:basedOn w:val="1"/>
    <w:next w:val="1"/>
    <w:qFormat/>
    <w:uiPriority w:val="0"/>
    <w:pPr>
      <w:ind w:left="1260"/>
      <w:jc w:val="left"/>
    </w:pPr>
    <w:rPr>
      <w:sz w:val="18"/>
      <w:szCs w:val="18"/>
    </w:rPr>
  </w:style>
  <w:style w:type="paragraph" w:styleId="13">
    <w:name w:val="List Number 2"/>
    <w:basedOn w:val="1"/>
    <w:qFormat/>
    <w:uiPriority w:val="0"/>
    <w:pPr>
      <w:numPr>
        <w:ilvl w:val="0"/>
        <w:numId w:val="3"/>
      </w:numPr>
      <w:spacing w:line="360" w:lineRule="auto"/>
    </w:pPr>
    <w:rPr>
      <w:sz w:val="24"/>
    </w:rPr>
  </w:style>
  <w:style w:type="paragraph" w:styleId="14">
    <w:name w:val="table of authorities"/>
    <w:basedOn w:val="1"/>
    <w:next w:val="1"/>
    <w:qFormat/>
    <w:uiPriority w:val="0"/>
    <w:pPr>
      <w:spacing w:line="360" w:lineRule="auto"/>
      <w:ind w:left="420" w:leftChars="200"/>
    </w:pPr>
    <w:rPr>
      <w:rFonts w:eastAsia="楷体_GB2312"/>
      <w:sz w:val="24"/>
    </w:rPr>
  </w:style>
  <w:style w:type="paragraph" w:styleId="15">
    <w:name w:val="List Bullet 4"/>
    <w:basedOn w:val="1"/>
    <w:qFormat/>
    <w:uiPriority w:val="0"/>
    <w:pPr>
      <w:tabs>
        <w:tab w:val="left" w:pos="1620"/>
      </w:tabs>
      <w:spacing w:line="360" w:lineRule="auto"/>
      <w:ind w:left="1620" w:leftChars="600" w:hanging="360" w:hangingChars="200"/>
    </w:pPr>
    <w:rPr>
      <w:rFonts w:eastAsia="楷体_GB2312"/>
      <w:sz w:val="24"/>
    </w:rPr>
  </w:style>
  <w:style w:type="paragraph" w:styleId="16">
    <w:name w:val="index 8"/>
    <w:basedOn w:val="1"/>
    <w:next w:val="1"/>
    <w:qFormat/>
    <w:uiPriority w:val="0"/>
    <w:pPr>
      <w:spacing w:line="360" w:lineRule="auto"/>
      <w:ind w:left="1400" w:leftChars="1400"/>
    </w:pPr>
    <w:rPr>
      <w:rFonts w:eastAsia="楷体_GB2312"/>
      <w:sz w:val="24"/>
    </w:rPr>
  </w:style>
  <w:style w:type="paragraph" w:styleId="17">
    <w:name w:val="E-mail Signature"/>
    <w:basedOn w:val="1"/>
    <w:link w:val="450"/>
    <w:qFormat/>
    <w:uiPriority w:val="0"/>
    <w:pPr>
      <w:spacing w:line="360" w:lineRule="auto"/>
    </w:pPr>
    <w:rPr>
      <w:rFonts w:ascii="Times New Roman" w:hAnsi="Times New Roman" w:eastAsia="楷体_GB2312"/>
      <w:sz w:val="24"/>
    </w:rPr>
  </w:style>
  <w:style w:type="paragraph" w:styleId="18">
    <w:name w:val="List Number"/>
    <w:basedOn w:val="1"/>
    <w:qFormat/>
    <w:uiPriority w:val="0"/>
    <w:pPr>
      <w:tabs>
        <w:tab w:val="left" w:pos="360"/>
      </w:tabs>
      <w:spacing w:line="360" w:lineRule="auto"/>
      <w:ind w:left="360" w:hanging="360" w:hangingChars="200"/>
    </w:pPr>
    <w:rPr>
      <w:rFonts w:eastAsia="楷体_GB2312"/>
      <w:sz w:val="24"/>
    </w:rPr>
  </w:style>
  <w:style w:type="paragraph" w:styleId="19">
    <w:name w:val="Normal Indent"/>
    <w:basedOn w:val="1"/>
    <w:next w:val="1"/>
    <w:link w:val="495"/>
    <w:qFormat/>
    <w:uiPriority w:val="0"/>
    <w:pPr>
      <w:widowControl/>
      <w:ind w:firstLine="420"/>
      <w:jc w:val="left"/>
    </w:pPr>
    <w:rPr>
      <w:rFonts w:ascii="Times New Roman" w:hAnsi="Times New Roman" w:eastAsia="??"/>
      <w:kern w:val="0"/>
      <w:sz w:val="24"/>
    </w:rPr>
  </w:style>
  <w:style w:type="paragraph" w:styleId="20">
    <w:name w:val="caption"/>
    <w:basedOn w:val="1"/>
    <w:next w:val="1"/>
    <w:link w:val="456"/>
    <w:qFormat/>
    <w:uiPriority w:val="0"/>
    <w:pPr>
      <w:spacing w:before="152" w:after="160" w:line="360" w:lineRule="auto"/>
    </w:pPr>
    <w:rPr>
      <w:rFonts w:ascii="Arial" w:hAnsi="Arial" w:eastAsia="黑体" w:cs="Arial"/>
      <w:sz w:val="20"/>
      <w:szCs w:val="20"/>
    </w:rPr>
  </w:style>
  <w:style w:type="paragraph" w:styleId="21">
    <w:name w:val="index 5"/>
    <w:basedOn w:val="1"/>
    <w:next w:val="1"/>
    <w:qFormat/>
    <w:uiPriority w:val="0"/>
    <w:pPr>
      <w:spacing w:line="360" w:lineRule="auto"/>
      <w:ind w:left="800" w:leftChars="800"/>
    </w:pPr>
    <w:rPr>
      <w:rFonts w:eastAsia="楷体_GB2312"/>
      <w:sz w:val="24"/>
    </w:rPr>
  </w:style>
  <w:style w:type="paragraph" w:styleId="22">
    <w:name w:val="List Bullet"/>
    <w:basedOn w:val="1"/>
    <w:qFormat/>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3">
    <w:name w:val="Document Map"/>
    <w:basedOn w:val="1"/>
    <w:qFormat/>
    <w:uiPriority w:val="0"/>
    <w:pPr>
      <w:shd w:val="clear" w:color="auto" w:fill="000080"/>
    </w:pPr>
    <w:rPr>
      <w:rFonts w:eastAsia="??"/>
      <w:sz w:val="28"/>
      <w:szCs w:val="28"/>
    </w:rPr>
  </w:style>
  <w:style w:type="paragraph" w:styleId="24">
    <w:name w:val="toa heading"/>
    <w:basedOn w:val="1"/>
    <w:next w:val="1"/>
    <w:qFormat/>
    <w:uiPriority w:val="0"/>
    <w:pPr>
      <w:spacing w:before="120" w:line="360" w:lineRule="auto"/>
    </w:pPr>
    <w:rPr>
      <w:rFonts w:ascii="Arial" w:hAnsi="Arial" w:eastAsia="楷体_GB2312" w:cs="Arial"/>
      <w:sz w:val="24"/>
    </w:rPr>
  </w:style>
  <w:style w:type="paragraph" w:styleId="25">
    <w:name w:val="annotation text"/>
    <w:basedOn w:val="1"/>
    <w:link w:val="417"/>
    <w:qFormat/>
    <w:uiPriority w:val="0"/>
    <w:pPr>
      <w:jc w:val="left"/>
    </w:pPr>
    <w:rPr>
      <w:rFonts w:ascii="Times New Roman" w:hAnsi="Times New Roman" w:cs="Lucida Sans"/>
      <w:szCs w:val="20"/>
    </w:rPr>
  </w:style>
  <w:style w:type="paragraph" w:styleId="26">
    <w:name w:val="index 6"/>
    <w:basedOn w:val="1"/>
    <w:next w:val="1"/>
    <w:qFormat/>
    <w:uiPriority w:val="0"/>
    <w:pPr>
      <w:spacing w:line="360" w:lineRule="auto"/>
      <w:ind w:left="1000" w:leftChars="1000"/>
    </w:pPr>
    <w:rPr>
      <w:rFonts w:eastAsia="楷体_GB2312"/>
      <w:sz w:val="24"/>
    </w:rPr>
  </w:style>
  <w:style w:type="paragraph" w:styleId="27">
    <w:name w:val="Salutation"/>
    <w:basedOn w:val="1"/>
    <w:next w:val="1"/>
    <w:link w:val="502"/>
    <w:qFormat/>
    <w:uiPriority w:val="0"/>
    <w:rPr>
      <w:rFonts w:ascii="仿宋_GB2312" w:hAnsi="Times New Roman" w:eastAsia="仿宋_GB2312"/>
      <w:sz w:val="28"/>
      <w:szCs w:val="20"/>
    </w:rPr>
  </w:style>
  <w:style w:type="paragraph" w:styleId="28">
    <w:name w:val="Body Text 3"/>
    <w:basedOn w:val="1"/>
    <w:link w:val="494"/>
    <w:qFormat/>
    <w:uiPriority w:val="0"/>
    <w:pPr>
      <w:jc w:val="center"/>
    </w:pPr>
    <w:rPr>
      <w:rFonts w:ascii="Times New Roman" w:hAnsi="Times New Roman"/>
      <w:szCs w:val="20"/>
    </w:rPr>
  </w:style>
  <w:style w:type="paragraph" w:styleId="29">
    <w:name w:val="List Bullet 3"/>
    <w:basedOn w:val="1"/>
    <w:qFormat/>
    <w:uiPriority w:val="0"/>
    <w:pPr>
      <w:tabs>
        <w:tab w:val="left" w:pos="1200"/>
      </w:tabs>
      <w:spacing w:line="360" w:lineRule="auto"/>
      <w:ind w:left="1200" w:leftChars="400" w:hanging="360" w:hangingChars="200"/>
    </w:pPr>
    <w:rPr>
      <w:rFonts w:eastAsia="楷体_GB2312"/>
      <w:sz w:val="24"/>
    </w:rPr>
  </w:style>
  <w:style w:type="paragraph" w:styleId="30">
    <w:name w:val="Body Text"/>
    <w:basedOn w:val="1"/>
    <w:next w:val="1"/>
    <w:qFormat/>
    <w:uiPriority w:val="0"/>
    <w:rPr>
      <w:rFonts w:eastAsia="??"/>
      <w:sz w:val="24"/>
      <w:szCs w:val="28"/>
    </w:rPr>
  </w:style>
  <w:style w:type="paragraph" w:styleId="31">
    <w:name w:val="Body Text Indent"/>
    <w:basedOn w:val="1"/>
    <w:next w:val="1"/>
    <w:link w:val="489"/>
    <w:qFormat/>
    <w:uiPriority w:val="0"/>
    <w:pPr>
      <w:spacing w:line="480" w:lineRule="atLeast"/>
      <w:ind w:firstLine="570"/>
    </w:pPr>
    <w:rPr>
      <w:rFonts w:ascii="??" w:hAnsi="??" w:eastAsia="??"/>
      <w:sz w:val="28"/>
      <w:szCs w:val="28"/>
    </w:rPr>
  </w:style>
  <w:style w:type="paragraph" w:styleId="32">
    <w:name w:val="List Number 3"/>
    <w:basedOn w:val="1"/>
    <w:qFormat/>
    <w:uiPriority w:val="0"/>
    <w:pPr>
      <w:tabs>
        <w:tab w:val="left" w:pos="1200"/>
      </w:tabs>
      <w:spacing w:line="360" w:lineRule="auto"/>
      <w:ind w:left="1200" w:leftChars="400" w:hanging="360" w:hangingChars="200"/>
    </w:pPr>
    <w:rPr>
      <w:rFonts w:eastAsia="楷体_GB2312"/>
      <w:sz w:val="24"/>
    </w:rPr>
  </w:style>
  <w:style w:type="paragraph" w:styleId="33">
    <w:name w:val="List 2"/>
    <w:basedOn w:val="1"/>
    <w:unhideWhenUsed/>
    <w:qFormat/>
    <w:uiPriority w:val="0"/>
    <w:pPr>
      <w:spacing w:line="360" w:lineRule="auto"/>
      <w:ind w:left="100" w:leftChars="200" w:hanging="200" w:hangingChars="200"/>
      <w:contextualSpacing/>
    </w:pPr>
    <w:rPr>
      <w:sz w:val="24"/>
    </w:rPr>
  </w:style>
  <w:style w:type="paragraph" w:styleId="34">
    <w:name w:val="List Continue"/>
    <w:basedOn w:val="1"/>
    <w:qFormat/>
    <w:uiPriority w:val="0"/>
    <w:pPr>
      <w:spacing w:after="120" w:line="360" w:lineRule="auto"/>
      <w:ind w:left="420" w:leftChars="200"/>
    </w:pPr>
    <w:rPr>
      <w:rFonts w:eastAsia="楷体_GB2312"/>
      <w:sz w:val="24"/>
    </w:rPr>
  </w:style>
  <w:style w:type="paragraph" w:styleId="35">
    <w:name w:val="Block Text"/>
    <w:basedOn w:val="1"/>
    <w:qFormat/>
    <w:uiPriority w:val="0"/>
    <w:pPr>
      <w:widowControl/>
      <w:spacing w:line="360" w:lineRule="auto"/>
      <w:ind w:left="720" w:right="-240"/>
      <w:jc w:val="left"/>
    </w:pPr>
    <w:rPr>
      <w:rFonts w:eastAsia="楷体_GB2312"/>
      <w:kern w:val="0"/>
      <w:sz w:val="24"/>
      <w:szCs w:val="20"/>
    </w:rPr>
  </w:style>
  <w:style w:type="paragraph" w:styleId="36">
    <w:name w:val="List Bullet 2"/>
    <w:basedOn w:val="1"/>
    <w:qFormat/>
    <w:uiPriority w:val="0"/>
    <w:pPr>
      <w:tabs>
        <w:tab w:val="left" w:pos="780"/>
      </w:tabs>
      <w:spacing w:line="360" w:lineRule="auto"/>
      <w:ind w:left="780" w:leftChars="200" w:hanging="360" w:hangingChars="200"/>
    </w:pPr>
    <w:rPr>
      <w:rFonts w:eastAsia="楷体_GB2312"/>
      <w:sz w:val="24"/>
    </w:rPr>
  </w:style>
  <w:style w:type="paragraph" w:styleId="37">
    <w:name w:val="index 4"/>
    <w:basedOn w:val="1"/>
    <w:next w:val="1"/>
    <w:qFormat/>
    <w:uiPriority w:val="0"/>
    <w:pPr>
      <w:spacing w:line="360" w:lineRule="auto"/>
      <w:ind w:left="600" w:leftChars="600"/>
    </w:pPr>
    <w:rPr>
      <w:rFonts w:eastAsia="楷体_GB2312"/>
      <w:sz w:val="24"/>
    </w:rPr>
  </w:style>
  <w:style w:type="paragraph" w:styleId="38">
    <w:name w:val="toc 5"/>
    <w:basedOn w:val="1"/>
    <w:next w:val="1"/>
    <w:qFormat/>
    <w:uiPriority w:val="0"/>
    <w:pPr>
      <w:ind w:left="840"/>
      <w:jc w:val="left"/>
    </w:pPr>
    <w:rPr>
      <w:sz w:val="18"/>
      <w:szCs w:val="18"/>
    </w:rPr>
  </w:style>
  <w:style w:type="paragraph" w:styleId="39">
    <w:name w:val="toc 3"/>
    <w:basedOn w:val="1"/>
    <w:next w:val="1"/>
    <w:qFormat/>
    <w:uiPriority w:val="0"/>
    <w:pPr>
      <w:ind w:left="420"/>
      <w:jc w:val="left"/>
    </w:pPr>
    <w:rPr>
      <w:i/>
      <w:iCs/>
      <w:sz w:val="20"/>
      <w:szCs w:val="20"/>
    </w:rPr>
  </w:style>
  <w:style w:type="paragraph" w:styleId="40">
    <w:name w:val="Plain Text"/>
    <w:basedOn w:val="1"/>
    <w:next w:val="1"/>
    <w:link w:val="496"/>
    <w:qFormat/>
    <w:uiPriority w:val="0"/>
    <w:rPr>
      <w:rFonts w:ascii="??" w:hAnsi="??" w:eastAsia="??"/>
      <w:szCs w:val="21"/>
    </w:rPr>
  </w:style>
  <w:style w:type="paragraph" w:styleId="41">
    <w:name w:val="List Bullet 5"/>
    <w:basedOn w:val="1"/>
    <w:qFormat/>
    <w:uiPriority w:val="0"/>
    <w:pPr>
      <w:tabs>
        <w:tab w:val="left" w:pos="2040"/>
      </w:tabs>
      <w:spacing w:line="360" w:lineRule="auto"/>
      <w:ind w:left="2040" w:leftChars="800" w:hanging="360" w:hangingChars="200"/>
    </w:pPr>
    <w:rPr>
      <w:rFonts w:eastAsia="楷体_GB2312"/>
      <w:sz w:val="24"/>
    </w:rPr>
  </w:style>
  <w:style w:type="paragraph" w:styleId="42">
    <w:name w:val="List Number 4"/>
    <w:basedOn w:val="1"/>
    <w:qFormat/>
    <w:uiPriority w:val="0"/>
    <w:pPr>
      <w:tabs>
        <w:tab w:val="left" w:pos="1620"/>
      </w:tabs>
      <w:spacing w:line="360" w:lineRule="auto"/>
      <w:ind w:left="1620" w:leftChars="600" w:hanging="360" w:hangingChars="200"/>
    </w:pPr>
    <w:rPr>
      <w:rFonts w:eastAsia="楷体_GB2312"/>
      <w:sz w:val="24"/>
    </w:rPr>
  </w:style>
  <w:style w:type="paragraph" w:styleId="43">
    <w:name w:val="toc 8"/>
    <w:basedOn w:val="1"/>
    <w:next w:val="1"/>
    <w:qFormat/>
    <w:uiPriority w:val="0"/>
    <w:pPr>
      <w:ind w:left="1470"/>
      <w:jc w:val="left"/>
    </w:pPr>
    <w:rPr>
      <w:sz w:val="18"/>
      <w:szCs w:val="18"/>
    </w:rPr>
  </w:style>
  <w:style w:type="paragraph" w:styleId="44">
    <w:name w:val="index 3"/>
    <w:basedOn w:val="1"/>
    <w:next w:val="1"/>
    <w:qFormat/>
    <w:uiPriority w:val="0"/>
    <w:pPr>
      <w:spacing w:line="360" w:lineRule="auto"/>
      <w:ind w:left="400" w:leftChars="400"/>
    </w:pPr>
    <w:rPr>
      <w:rFonts w:eastAsia="楷体_GB2312"/>
      <w:sz w:val="24"/>
    </w:rPr>
  </w:style>
  <w:style w:type="paragraph" w:styleId="45">
    <w:name w:val="Date"/>
    <w:basedOn w:val="1"/>
    <w:next w:val="1"/>
    <w:link w:val="468"/>
    <w:qFormat/>
    <w:uiPriority w:val="0"/>
    <w:pPr>
      <w:adjustRightInd w:val="0"/>
      <w:jc w:val="right"/>
      <w:textAlignment w:val="baseline"/>
    </w:pPr>
    <w:rPr>
      <w:rFonts w:ascii="Times New Roman" w:hAnsi="Times New Roman" w:eastAsia="??_GB2312"/>
      <w:b/>
      <w:kern w:val="0"/>
      <w:sz w:val="28"/>
      <w:szCs w:val="28"/>
    </w:rPr>
  </w:style>
  <w:style w:type="paragraph" w:styleId="46">
    <w:name w:val="Body Text Indent 2"/>
    <w:basedOn w:val="1"/>
    <w:next w:val="47"/>
    <w:link w:val="434"/>
    <w:qFormat/>
    <w:uiPriority w:val="0"/>
    <w:pPr>
      <w:spacing w:line="520" w:lineRule="exact"/>
      <w:ind w:firstLine="303" w:firstLineChars="303"/>
    </w:pPr>
    <w:rPr>
      <w:rFonts w:ascii="??" w:hAnsi="??" w:eastAsia="??" w:cs="宋体"/>
      <w:sz w:val="28"/>
      <w:szCs w:val="28"/>
    </w:rPr>
  </w:style>
  <w:style w:type="paragraph" w:customStyle="1" w:styleId="47">
    <w:name w:val="目录 22"/>
    <w:next w:val="1"/>
    <w:qFormat/>
    <w:uiPriority w:val="0"/>
    <w:pPr>
      <w:wordWrap w:val="0"/>
      <w:jc w:val="both"/>
    </w:pPr>
    <w:rPr>
      <w:rFonts w:ascii="Times New Roman" w:hAnsi="Times New Roman" w:eastAsia="宋体" w:cs="Times New Roman"/>
      <w:sz w:val="21"/>
      <w:lang w:val="en-US" w:eastAsia="zh-CN" w:bidi="ar-SA"/>
    </w:rPr>
  </w:style>
  <w:style w:type="paragraph" w:styleId="48">
    <w:name w:val="endnote text"/>
    <w:basedOn w:val="1"/>
    <w:link w:val="451"/>
    <w:qFormat/>
    <w:uiPriority w:val="0"/>
    <w:pPr>
      <w:snapToGrid w:val="0"/>
      <w:spacing w:line="360" w:lineRule="auto"/>
      <w:jc w:val="left"/>
    </w:pPr>
    <w:rPr>
      <w:rFonts w:ascii="Times New Roman" w:hAnsi="Times New Roman" w:eastAsia="楷体_GB2312"/>
      <w:sz w:val="24"/>
    </w:rPr>
  </w:style>
  <w:style w:type="paragraph" w:styleId="49">
    <w:name w:val="List Continue 5"/>
    <w:basedOn w:val="1"/>
    <w:qFormat/>
    <w:uiPriority w:val="0"/>
    <w:pPr>
      <w:spacing w:after="120" w:line="360" w:lineRule="auto"/>
      <w:ind w:left="2100" w:leftChars="1000"/>
    </w:pPr>
    <w:rPr>
      <w:rFonts w:eastAsia="楷体_GB2312"/>
      <w:sz w:val="24"/>
    </w:rPr>
  </w:style>
  <w:style w:type="paragraph" w:styleId="50">
    <w:name w:val="Balloon Text"/>
    <w:basedOn w:val="1"/>
    <w:link w:val="436"/>
    <w:qFormat/>
    <w:uiPriority w:val="0"/>
    <w:rPr>
      <w:rFonts w:ascii="Times New Roman" w:hAnsi="Times New Roman" w:eastAsia="??"/>
      <w:sz w:val="18"/>
      <w:szCs w:val="18"/>
    </w:rPr>
  </w:style>
  <w:style w:type="paragraph" w:styleId="51">
    <w:name w:val="footer"/>
    <w:basedOn w:val="1"/>
    <w:link w:val="467"/>
    <w:qFormat/>
    <w:uiPriority w:val="0"/>
    <w:pPr>
      <w:tabs>
        <w:tab w:val="center" w:pos="4153"/>
        <w:tab w:val="right" w:pos="8306"/>
      </w:tabs>
      <w:snapToGrid w:val="0"/>
      <w:jc w:val="left"/>
    </w:pPr>
    <w:rPr>
      <w:rFonts w:ascii="Times New Roman" w:hAnsi="Times New Roman" w:eastAsia="??"/>
      <w:sz w:val="18"/>
      <w:szCs w:val="28"/>
    </w:rPr>
  </w:style>
  <w:style w:type="paragraph" w:styleId="52">
    <w:name w:val="header"/>
    <w:basedOn w:val="1"/>
    <w:link w:val="442"/>
    <w:qFormat/>
    <w:uiPriority w:val="0"/>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53">
    <w:name w:val="Signature"/>
    <w:basedOn w:val="1"/>
    <w:link w:val="445"/>
    <w:qFormat/>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54">
    <w:name w:val="toc 1"/>
    <w:basedOn w:val="1"/>
    <w:next w:val="1"/>
    <w:qFormat/>
    <w:uiPriority w:val="39"/>
    <w:pPr>
      <w:spacing w:before="120" w:after="120"/>
      <w:jc w:val="left"/>
    </w:pPr>
    <w:rPr>
      <w:b/>
      <w:bCs/>
      <w:caps/>
      <w:sz w:val="20"/>
      <w:szCs w:val="20"/>
    </w:rPr>
  </w:style>
  <w:style w:type="paragraph" w:styleId="55">
    <w:name w:val="List Continue 4"/>
    <w:basedOn w:val="1"/>
    <w:qFormat/>
    <w:uiPriority w:val="0"/>
    <w:pPr>
      <w:spacing w:after="120" w:line="360" w:lineRule="auto"/>
      <w:ind w:left="1680" w:leftChars="800"/>
    </w:pPr>
    <w:rPr>
      <w:rFonts w:eastAsia="楷体_GB2312"/>
      <w:sz w:val="24"/>
    </w:rPr>
  </w:style>
  <w:style w:type="paragraph" w:styleId="56">
    <w:name w:val="toc 4"/>
    <w:basedOn w:val="1"/>
    <w:next w:val="1"/>
    <w:qFormat/>
    <w:uiPriority w:val="0"/>
    <w:pPr>
      <w:ind w:left="630"/>
      <w:jc w:val="left"/>
    </w:pPr>
    <w:rPr>
      <w:sz w:val="18"/>
      <w:szCs w:val="18"/>
    </w:rPr>
  </w:style>
  <w:style w:type="paragraph" w:styleId="57">
    <w:name w:val="index heading"/>
    <w:basedOn w:val="1"/>
    <w:next w:val="58"/>
    <w:qFormat/>
    <w:uiPriority w:val="0"/>
    <w:pPr>
      <w:spacing w:line="360" w:lineRule="auto"/>
    </w:pPr>
    <w:rPr>
      <w:rFonts w:ascii="Arial" w:hAnsi="Arial" w:eastAsia="楷体_GB2312" w:cs="Arial"/>
      <w:b/>
      <w:bCs/>
      <w:sz w:val="24"/>
    </w:rPr>
  </w:style>
  <w:style w:type="paragraph" w:styleId="58">
    <w:name w:val="index 1"/>
    <w:basedOn w:val="1"/>
    <w:next w:val="1"/>
    <w:qFormat/>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59">
    <w:name w:val="List Number 5"/>
    <w:basedOn w:val="1"/>
    <w:qFormat/>
    <w:uiPriority w:val="0"/>
    <w:pPr>
      <w:tabs>
        <w:tab w:val="left" w:pos="2040"/>
      </w:tabs>
      <w:spacing w:line="360" w:lineRule="auto"/>
      <w:ind w:left="2040" w:leftChars="800" w:hanging="360" w:hangingChars="200"/>
    </w:pPr>
    <w:rPr>
      <w:rFonts w:eastAsia="楷体_GB2312"/>
      <w:sz w:val="24"/>
    </w:rPr>
  </w:style>
  <w:style w:type="paragraph" w:styleId="60">
    <w:name w:val="footnote text"/>
    <w:basedOn w:val="1"/>
    <w:link w:val="423"/>
    <w:qFormat/>
    <w:uiPriority w:val="0"/>
    <w:pPr>
      <w:snapToGrid w:val="0"/>
      <w:spacing w:line="360" w:lineRule="auto"/>
      <w:jc w:val="left"/>
    </w:pPr>
    <w:rPr>
      <w:rFonts w:ascii="Times New Roman" w:hAnsi="Times New Roman" w:eastAsia="楷体_GB2312"/>
      <w:sz w:val="18"/>
      <w:szCs w:val="18"/>
    </w:rPr>
  </w:style>
  <w:style w:type="paragraph" w:styleId="61">
    <w:name w:val="toc 6"/>
    <w:basedOn w:val="1"/>
    <w:next w:val="1"/>
    <w:qFormat/>
    <w:uiPriority w:val="0"/>
    <w:pPr>
      <w:ind w:left="1050"/>
      <w:jc w:val="left"/>
    </w:pPr>
    <w:rPr>
      <w:sz w:val="18"/>
      <w:szCs w:val="18"/>
    </w:rPr>
  </w:style>
  <w:style w:type="paragraph" w:styleId="62">
    <w:name w:val="Body Text Indent 3"/>
    <w:basedOn w:val="1"/>
    <w:next w:val="63"/>
    <w:link w:val="485"/>
    <w:qFormat/>
    <w:uiPriority w:val="0"/>
    <w:pPr>
      <w:spacing w:line="520" w:lineRule="exact"/>
      <w:ind w:firstLine="547"/>
    </w:pPr>
    <w:rPr>
      <w:rFonts w:ascii="Times New Roman" w:hAnsi="Times New Roman" w:eastAsia="??"/>
      <w:sz w:val="28"/>
      <w:szCs w:val="28"/>
    </w:rPr>
  </w:style>
  <w:style w:type="paragraph" w:customStyle="1" w:styleId="63">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paragraph" w:styleId="64">
    <w:name w:val="index 7"/>
    <w:basedOn w:val="1"/>
    <w:next w:val="1"/>
    <w:qFormat/>
    <w:uiPriority w:val="0"/>
    <w:pPr>
      <w:spacing w:line="360" w:lineRule="auto"/>
      <w:ind w:left="1200" w:leftChars="1200"/>
    </w:pPr>
    <w:rPr>
      <w:rFonts w:eastAsia="楷体_GB2312"/>
      <w:sz w:val="24"/>
    </w:rPr>
  </w:style>
  <w:style w:type="paragraph" w:styleId="65">
    <w:name w:val="index 9"/>
    <w:basedOn w:val="1"/>
    <w:next w:val="1"/>
    <w:qFormat/>
    <w:uiPriority w:val="0"/>
    <w:pPr>
      <w:spacing w:line="360" w:lineRule="auto"/>
      <w:ind w:left="1600" w:leftChars="1600"/>
    </w:pPr>
    <w:rPr>
      <w:rFonts w:eastAsia="楷体_GB2312"/>
      <w:sz w:val="24"/>
    </w:rPr>
  </w:style>
  <w:style w:type="paragraph" w:styleId="66">
    <w:name w:val="table of figures"/>
    <w:basedOn w:val="1"/>
    <w:next w:val="1"/>
    <w:qFormat/>
    <w:uiPriority w:val="0"/>
    <w:pPr>
      <w:ind w:left="560" w:hanging="560"/>
      <w:jc w:val="left"/>
    </w:pPr>
    <w:rPr>
      <w:rFonts w:ascii="Calibri" w:hAnsi="Calibri" w:eastAsia="??" w:cs="宋体"/>
      <w:smallCaps/>
      <w:sz w:val="20"/>
      <w:szCs w:val="28"/>
    </w:rPr>
  </w:style>
  <w:style w:type="paragraph" w:styleId="67">
    <w:name w:val="toc 2"/>
    <w:basedOn w:val="1"/>
    <w:next w:val="1"/>
    <w:qFormat/>
    <w:uiPriority w:val="39"/>
    <w:pPr>
      <w:ind w:left="210"/>
      <w:jc w:val="left"/>
    </w:pPr>
    <w:rPr>
      <w:smallCaps/>
      <w:sz w:val="20"/>
      <w:szCs w:val="20"/>
    </w:rPr>
  </w:style>
  <w:style w:type="paragraph" w:styleId="68">
    <w:name w:val="toc 9"/>
    <w:basedOn w:val="1"/>
    <w:next w:val="1"/>
    <w:qFormat/>
    <w:uiPriority w:val="0"/>
    <w:pPr>
      <w:ind w:left="1680"/>
      <w:jc w:val="left"/>
    </w:pPr>
    <w:rPr>
      <w:sz w:val="18"/>
      <w:szCs w:val="18"/>
    </w:rPr>
  </w:style>
  <w:style w:type="paragraph" w:styleId="69">
    <w:name w:val="Body Text 2"/>
    <w:basedOn w:val="1"/>
    <w:link w:val="454"/>
    <w:qFormat/>
    <w:uiPriority w:val="0"/>
    <w:pPr>
      <w:spacing w:after="120" w:line="480" w:lineRule="auto"/>
    </w:pPr>
    <w:rPr>
      <w:rFonts w:ascii="Times New Roman" w:hAnsi="Times New Roman"/>
      <w:szCs w:val="20"/>
    </w:rPr>
  </w:style>
  <w:style w:type="paragraph" w:styleId="70">
    <w:name w:val="List Continue 2"/>
    <w:basedOn w:val="1"/>
    <w:qFormat/>
    <w:uiPriority w:val="0"/>
    <w:pPr>
      <w:spacing w:after="120" w:line="360" w:lineRule="auto"/>
      <w:ind w:left="840" w:leftChars="400"/>
    </w:pPr>
    <w:rPr>
      <w:rFonts w:eastAsia="楷体_GB2312"/>
      <w:sz w:val="24"/>
    </w:rPr>
  </w:style>
  <w:style w:type="paragraph" w:styleId="71">
    <w:name w:val="HTML Preformatted"/>
    <w:basedOn w:val="1"/>
    <w:link w:val="4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2">
    <w:name w:val="Normal (Web)"/>
    <w:basedOn w:val="1"/>
    <w:qFormat/>
    <w:uiPriority w:val="0"/>
    <w:pPr>
      <w:widowControl/>
      <w:spacing w:before="100" w:beforeAutospacing="1" w:after="100" w:afterAutospacing="1"/>
      <w:jc w:val="left"/>
    </w:pPr>
    <w:rPr>
      <w:rFonts w:ascii="??" w:hAnsi="??" w:eastAsia="??" w:cs="宋体"/>
      <w:kern w:val="0"/>
      <w:sz w:val="24"/>
    </w:rPr>
  </w:style>
  <w:style w:type="paragraph" w:styleId="73">
    <w:name w:val="index 2"/>
    <w:basedOn w:val="1"/>
    <w:next w:val="1"/>
    <w:qFormat/>
    <w:uiPriority w:val="0"/>
    <w:pPr>
      <w:spacing w:line="360" w:lineRule="auto"/>
      <w:ind w:left="200" w:leftChars="200"/>
    </w:pPr>
    <w:rPr>
      <w:rFonts w:eastAsia="楷体_GB2312"/>
      <w:sz w:val="24"/>
    </w:rPr>
  </w:style>
  <w:style w:type="paragraph" w:styleId="74">
    <w:name w:val="Title"/>
    <w:basedOn w:val="1"/>
    <w:link w:val="441"/>
    <w:qFormat/>
    <w:uiPriority w:val="0"/>
    <w:pPr>
      <w:widowControl/>
      <w:overflowPunct w:val="0"/>
      <w:autoSpaceDE w:val="0"/>
      <w:autoSpaceDN w:val="0"/>
      <w:adjustRightInd w:val="0"/>
      <w:jc w:val="center"/>
      <w:textAlignment w:val="baseline"/>
    </w:pPr>
    <w:rPr>
      <w:rFonts w:ascii="Times New Roman" w:hAnsi="Times New Roman" w:eastAsia="??"/>
      <w:b/>
      <w:kern w:val="0"/>
      <w:sz w:val="24"/>
      <w:szCs w:val="28"/>
    </w:rPr>
  </w:style>
  <w:style w:type="paragraph" w:styleId="75">
    <w:name w:val="annotation subject"/>
    <w:basedOn w:val="25"/>
    <w:next w:val="25"/>
    <w:link w:val="469"/>
    <w:qFormat/>
    <w:uiPriority w:val="0"/>
    <w:rPr>
      <w:rFonts w:cs="Times New Roman"/>
      <w:b/>
    </w:rPr>
  </w:style>
  <w:style w:type="paragraph" w:styleId="76">
    <w:name w:val="Body Text First Indent"/>
    <w:basedOn w:val="30"/>
    <w:next w:val="1"/>
    <w:link w:val="470"/>
    <w:qFormat/>
    <w:uiPriority w:val="0"/>
    <w:pPr>
      <w:autoSpaceDE w:val="0"/>
      <w:autoSpaceDN w:val="0"/>
      <w:adjustRightInd w:val="0"/>
      <w:spacing w:line="360" w:lineRule="auto"/>
      <w:ind w:firstLine="420"/>
    </w:pPr>
    <w:rPr>
      <w:rFonts w:ascii="宋体" w:hAnsi="Times New Roman" w:eastAsia="宋体"/>
      <w:szCs w:val="20"/>
      <w:lang w:val="zh-CN"/>
    </w:rPr>
  </w:style>
  <w:style w:type="paragraph" w:styleId="77">
    <w:name w:val="Body Text First Indent 2"/>
    <w:basedOn w:val="31"/>
    <w:qFormat/>
    <w:uiPriority w:val="0"/>
    <w:pPr>
      <w:spacing w:after="120" w:line="240" w:lineRule="auto"/>
      <w:ind w:left="420" w:leftChars="200" w:firstLine="420" w:firstLineChars="200"/>
    </w:pPr>
    <w:rPr>
      <w:rFonts w:ascii="Times New Roman" w:hAnsi="Times New Roman" w:eastAsia="宋体"/>
      <w:sz w:val="21"/>
      <w:szCs w:val="20"/>
    </w:rPr>
  </w:style>
  <w:style w:type="table" w:styleId="79">
    <w:name w:val="Table Grid"/>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1">
    <w:name w:val="Strong"/>
    <w:qFormat/>
    <w:uiPriority w:val="0"/>
    <w:rPr>
      <w:b/>
    </w:rPr>
  </w:style>
  <w:style w:type="character" w:styleId="82">
    <w:name w:val="page number"/>
    <w:qFormat/>
    <w:uiPriority w:val="0"/>
  </w:style>
  <w:style w:type="character" w:styleId="83">
    <w:name w:val="FollowedHyperlink"/>
    <w:qFormat/>
    <w:uiPriority w:val="0"/>
    <w:rPr>
      <w:color w:val="800080"/>
      <w:u w:val="single"/>
    </w:rPr>
  </w:style>
  <w:style w:type="character" w:styleId="84">
    <w:name w:val="Emphasis"/>
    <w:qFormat/>
    <w:uiPriority w:val="0"/>
    <w:rPr>
      <w:i/>
    </w:rPr>
  </w:style>
  <w:style w:type="character" w:styleId="85">
    <w:name w:val="line number"/>
    <w:basedOn w:val="80"/>
    <w:qFormat/>
    <w:uiPriority w:val="0"/>
  </w:style>
  <w:style w:type="character" w:styleId="86">
    <w:name w:val="Hyperlink"/>
    <w:qFormat/>
    <w:uiPriority w:val="99"/>
    <w:rPr>
      <w:color w:val="0000FF"/>
      <w:u w:val="single"/>
    </w:rPr>
  </w:style>
  <w:style w:type="character" w:styleId="87">
    <w:name w:val="annotation reference"/>
    <w:qFormat/>
    <w:uiPriority w:val="0"/>
    <w:rPr>
      <w:sz w:val="21"/>
    </w:rPr>
  </w:style>
  <w:style w:type="paragraph" w:customStyle="1" w:styleId="88">
    <w:name w:val="[Normal]"/>
    <w:qFormat/>
    <w:uiPriority w:val="0"/>
    <w:rPr>
      <w:rFonts w:ascii="宋体" w:hAnsi="宋体" w:eastAsia="宋体" w:cs="Times New Roman"/>
      <w:sz w:val="24"/>
      <w:szCs w:val="22"/>
      <w:lang w:val="zh-CN" w:eastAsia="zh-CN" w:bidi="ar-SA"/>
    </w:rPr>
  </w:style>
  <w:style w:type="paragraph" w:customStyle="1" w:styleId="89">
    <w:name w:val="正文文本首行缩进 21"/>
    <w:basedOn w:val="31"/>
    <w:qFormat/>
    <w:uiPriority w:val="99"/>
    <w:pPr>
      <w:spacing w:line="200" w:lineRule="atLeast"/>
      <w:ind w:firstLine="420"/>
    </w:pPr>
    <w:rPr>
      <w:rFonts w:ascii="宋体" w:hAnsi="Courier New"/>
      <w:spacing w:val="-4"/>
      <w:sz w:val="18"/>
    </w:rPr>
  </w:style>
  <w:style w:type="paragraph" w:customStyle="1" w:styleId="90">
    <w:name w:val="表格文字"/>
    <w:basedOn w:val="1"/>
    <w:next w:val="30"/>
    <w:qFormat/>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91">
    <w:name w:val="正文首行缩进两字"/>
    <w:link w:val="452"/>
    <w:qFormat/>
    <w:uiPriority w:val="0"/>
    <w:pPr>
      <w:spacing w:after="163" w:afterLines="50" w:line="300" w:lineRule="auto"/>
      <w:ind w:firstLine="480" w:firstLineChars="200"/>
    </w:pPr>
    <w:rPr>
      <w:rFonts w:ascii="Times New Roman" w:hAnsi="Times New Roman" w:eastAsia="宋体" w:cs="Times New Roman"/>
      <w:sz w:val="24"/>
      <w:szCs w:val="24"/>
      <w:lang w:val="en-US" w:eastAsia="zh-CN" w:bidi="ar-SA"/>
    </w:rPr>
  </w:style>
  <w:style w:type="paragraph" w:customStyle="1" w:styleId="92">
    <w:name w:val="WPSOffice手动目录 1"/>
    <w:qFormat/>
    <w:uiPriority w:val="0"/>
    <w:rPr>
      <w:rFonts w:ascii="Times New Roman" w:hAnsi="Times New Roman" w:eastAsia="宋体" w:cs="Times New Roman"/>
      <w:lang w:val="en-US" w:eastAsia="zh-CN" w:bidi="ar-SA"/>
    </w:rPr>
  </w:style>
  <w:style w:type="paragraph" w:customStyle="1" w:styleId="93">
    <w:name w:val="xl144"/>
    <w:basedOn w:val="1"/>
    <w:qFormat/>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94">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95">
    <w:name w:val="公文标题 2"/>
    <w:basedOn w:val="96"/>
    <w:next w:val="97"/>
    <w:qFormat/>
    <w:uiPriority w:val="0"/>
    <w:pPr>
      <w:ind w:firstLine="561"/>
      <w:outlineLvl w:val="1"/>
    </w:pPr>
    <w:rPr>
      <w:sz w:val="28"/>
      <w:lang w:val="en-US"/>
    </w:rPr>
  </w:style>
  <w:style w:type="paragraph" w:customStyle="1" w:styleId="96">
    <w:name w:val="公文标题 1"/>
    <w:basedOn w:val="1"/>
    <w:next w:val="1"/>
    <w:qFormat/>
    <w:uiPriority w:val="0"/>
    <w:pPr>
      <w:spacing w:line="360" w:lineRule="auto"/>
      <w:outlineLvl w:val="0"/>
    </w:pPr>
    <w:rPr>
      <w:rFonts w:ascii="仿宋_GB2312" w:hAnsi="宋体" w:eastAsia="仿宋_GB2312"/>
      <w:kern w:val="28"/>
      <w:sz w:val="24"/>
      <w:lang w:val="zh-CN"/>
    </w:rPr>
  </w:style>
  <w:style w:type="paragraph" w:customStyle="1" w:styleId="97">
    <w:name w:val="公文正文"/>
    <w:basedOn w:val="1"/>
    <w:link w:val="443"/>
    <w:qFormat/>
    <w:uiPriority w:val="0"/>
    <w:pPr>
      <w:spacing w:before="156" w:line="360" w:lineRule="auto"/>
      <w:ind w:firstLine="200" w:firstLineChars="200"/>
    </w:pPr>
    <w:rPr>
      <w:rFonts w:ascii="??_GB2312" w:hAnsi="??_GB2312" w:eastAsia="??_GB2312" w:cs="宋体"/>
      <w:sz w:val="24"/>
    </w:rPr>
  </w:style>
  <w:style w:type="paragraph" w:customStyle="1" w:styleId="98">
    <w:name w:val="xl12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99">
    <w:name w:val="符号 2"/>
    <w:basedOn w:val="100"/>
    <w:qFormat/>
    <w:uiPriority w:val="0"/>
    <w:pPr>
      <w:tabs>
        <w:tab w:val="left" w:pos="900"/>
        <w:tab w:val="left" w:pos="1320"/>
      </w:tabs>
      <w:ind w:left="1320"/>
    </w:pPr>
  </w:style>
  <w:style w:type="paragraph" w:customStyle="1" w:styleId="100">
    <w:name w:val="符号 1"/>
    <w:basedOn w:val="31"/>
    <w:qFormat/>
    <w:uiPriority w:val="0"/>
    <w:pPr>
      <w:tabs>
        <w:tab w:val="left" w:pos="900"/>
      </w:tabs>
      <w:spacing w:line="360" w:lineRule="auto"/>
      <w:ind w:left="900" w:hanging="420"/>
    </w:pPr>
    <w:rPr>
      <w:rFonts w:ascii="Times New Roman" w:hAnsi="Times New Roman" w:eastAsia="楷体_GB2312"/>
      <w:kern w:val="28"/>
      <w:sz w:val="24"/>
      <w:szCs w:val="24"/>
    </w:rPr>
  </w:style>
  <w:style w:type="paragraph" w:customStyle="1" w:styleId="101">
    <w:name w:val="xl94"/>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02">
    <w:name w:val="xl68"/>
    <w:basedOn w:val="1"/>
    <w:qFormat/>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03">
    <w:name w:val="xl8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104">
    <w:name w:val="条1"/>
    <w:basedOn w:val="1"/>
    <w:qFormat/>
    <w:uiPriority w:val="0"/>
    <w:pPr>
      <w:tabs>
        <w:tab w:val="left" w:pos="900"/>
      </w:tabs>
      <w:spacing w:before="156" w:line="360" w:lineRule="auto"/>
      <w:ind w:left="900" w:hanging="420"/>
    </w:pPr>
    <w:rPr>
      <w:rFonts w:eastAsia="黑体"/>
      <w:sz w:val="24"/>
      <w:szCs w:val="20"/>
    </w:rPr>
  </w:style>
  <w:style w:type="paragraph" w:customStyle="1" w:styleId="105">
    <w:name w:val="符号》"/>
    <w:basedOn w:val="1"/>
    <w:qFormat/>
    <w:uiPriority w:val="0"/>
    <w:pPr>
      <w:widowControl/>
      <w:numPr>
        <w:ilvl w:val="0"/>
        <w:numId w:val="4"/>
      </w:numPr>
      <w:spacing w:line="360" w:lineRule="auto"/>
      <w:jc w:val="left"/>
    </w:pPr>
    <w:rPr>
      <w:rFonts w:ascii="宋体" w:hAnsi="宋体" w:eastAsia="楷体_GB2312" w:cs="宋体"/>
      <w:kern w:val="0"/>
      <w:sz w:val="24"/>
    </w:rPr>
  </w:style>
  <w:style w:type="paragraph" w:customStyle="1" w:styleId="106">
    <w:name w:val="正文 首行缩进:  2 字符 Char Char"/>
    <w:basedOn w:val="1"/>
    <w:qFormat/>
    <w:uiPriority w:val="0"/>
    <w:pPr>
      <w:spacing w:line="360" w:lineRule="auto"/>
      <w:ind w:firstLine="480"/>
    </w:pPr>
    <w:rPr>
      <w:rFonts w:ascii="楷体_GB2312" w:eastAsia="楷体_GB2312"/>
      <w:bCs/>
      <w:sz w:val="24"/>
    </w:rPr>
  </w:style>
  <w:style w:type="paragraph" w:customStyle="1" w:styleId="107">
    <w:name w:val="xl69"/>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108">
    <w:name w:val="正文 + 首行缩进:  2 字符"/>
    <w:basedOn w:val="1"/>
    <w:qFormat/>
    <w:uiPriority w:val="0"/>
    <w:pPr>
      <w:spacing w:line="360" w:lineRule="auto"/>
      <w:ind w:left="-34" w:firstLine="482"/>
    </w:pPr>
    <w:rPr>
      <w:rFonts w:ascii="宋体" w:hAnsi="宋体"/>
      <w:bCs/>
      <w:sz w:val="24"/>
      <w:szCs w:val="20"/>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110">
    <w:name w:val="Char Char1 Char"/>
    <w:basedOn w:val="1"/>
    <w:qFormat/>
    <w:uiPriority w:val="0"/>
    <w:rPr>
      <w:rFonts w:ascii="仿宋_GB2312" w:eastAsia="仿宋_GB2312"/>
      <w:b/>
      <w:sz w:val="32"/>
      <w:szCs w:val="32"/>
    </w:rPr>
  </w:style>
  <w:style w:type="paragraph" w:customStyle="1" w:styleId="111">
    <w:name w:val="正文 首行缩进"/>
    <w:basedOn w:val="1"/>
    <w:qFormat/>
    <w:uiPriority w:val="0"/>
    <w:pPr>
      <w:spacing w:line="360" w:lineRule="auto"/>
      <w:ind w:firstLine="200" w:firstLineChars="200"/>
    </w:pPr>
    <w:rPr>
      <w:rFonts w:eastAsia="楷体_GB2312"/>
      <w:sz w:val="28"/>
      <w:szCs w:val="20"/>
    </w:rPr>
  </w:style>
  <w:style w:type="paragraph" w:customStyle="1" w:styleId="112">
    <w:name w:val="标题1"/>
    <w:basedOn w:val="1"/>
    <w:qFormat/>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113">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114">
    <w:name w:val="中文标题 2"/>
    <w:basedOn w:val="31"/>
    <w:next w:val="31"/>
    <w:qFormat/>
    <w:uiPriority w:val="0"/>
    <w:pPr>
      <w:spacing w:before="100" w:beforeAutospacing="1" w:after="100" w:afterAutospacing="1" w:line="360" w:lineRule="auto"/>
      <w:ind w:firstLine="482"/>
      <w:outlineLvl w:val="1"/>
    </w:pPr>
    <w:rPr>
      <w:rFonts w:ascii="Times New Roman" w:hAnsi="Times New Roman" w:eastAsia="楷体_GB2312"/>
      <w:kern w:val="28"/>
      <w:sz w:val="24"/>
      <w:szCs w:val="24"/>
    </w:rPr>
  </w:style>
  <w:style w:type="paragraph" w:customStyle="1" w:styleId="115">
    <w:name w:val="标准小四"/>
    <w:basedOn w:val="1"/>
    <w:qFormat/>
    <w:uiPriority w:val="0"/>
    <w:pPr>
      <w:spacing w:line="360" w:lineRule="auto"/>
      <w:ind w:firstLine="480" w:firstLineChars="200"/>
    </w:pPr>
    <w:rPr>
      <w:rFonts w:ascii="Arial" w:hAnsi="Arial"/>
      <w:sz w:val="24"/>
      <w:szCs w:val="20"/>
    </w:rPr>
  </w:style>
  <w:style w:type="paragraph" w:customStyle="1" w:styleId="116">
    <w:name w:val="标题 5l"/>
    <w:basedOn w:val="7"/>
    <w:qFormat/>
    <w:uiPriority w:val="0"/>
    <w:pPr>
      <w:tabs>
        <w:tab w:val="left" w:pos="0"/>
      </w:tabs>
      <w:adjustRightInd w:val="0"/>
      <w:spacing w:line="376" w:lineRule="atLeast"/>
      <w:textAlignment w:val="baseline"/>
    </w:pPr>
    <w:rPr>
      <w:rFonts w:eastAsia="楷体_GB2312"/>
      <w:kern w:val="0"/>
    </w:rPr>
  </w:style>
  <w:style w:type="paragraph" w:customStyle="1" w:styleId="117">
    <w:name w:val="自由格式"/>
    <w:qFormat/>
    <w:uiPriority w:val="0"/>
    <w:rPr>
      <w:rFonts w:ascii="Cambria" w:hAnsi="Cambria" w:eastAsia="Cambria" w:cs="Cambria"/>
      <w:color w:val="000000"/>
      <w:sz w:val="24"/>
      <w:szCs w:val="24"/>
      <w:lang w:val="en-US" w:eastAsia="zh-CN" w:bidi="ar-SA"/>
    </w:rPr>
  </w:style>
  <w:style w:type="paragraph" w:customStyle="1" w:styleId="118">
    <w:name w:val="xl112"/>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119">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120">
    <w:name w:val="2"/>
    <w:basedOn w:val="1"/>
    <w:qFormat/>
    <w:uiPriority w:val="0"/>
    <w:rPr>
      <w:rFonts w:ascii="Tahoma" w:hAnsi="Tahoma" w:eastAsia="??" w:cs="Tahoma"/>
      <w:sz w:val="24"/>
      <w:szCs w:val="28"/>
    </w:rPr>
  </w:style>
  <w:style w:type="paragraph" w:customStyle="1" w:styleId="121">
    <w:name w:val="xl1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12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123">
    <w:name w:val="正文 首行缩进:  2 字符"/>
    <w:basedOn w:val="1"/>
    <w:qFormat/>
    <w:uiPriority w:val="0"/>
    <w:pPr>
      <w:spacing w:line="360" w:lineRule="auto"/>
      <w:ind w:firstLine="480" w:firstLineChars="200"/>
    </w:pPr>
    <w:rPr>
      <w:rFonts w:eastAsia="楷体_GB2312" w:cs="宋体"/>
      <w:sz w:val="24"/>
      <w:szCs w:val="20"/>
    </w:rPr>
  </w:style>
  <w:style w:type="paragraph" w:customStyle="1" w:styleId="124">
    <w:name w:val="标准小三"/>
    <w:basedOn w:val="1"/>
    <w:qFormat/>
    <w:uiPriority w:val="0"/>
    <w:pPr>
      <w:widowControl/>
      <w:numPr>
        <w:ilvl w:val="0"/>
        <w:numId w:val="5"/>
      </w:numPr>
      <w:spacing w:line="700" w:lineRule="exact"/>
      <w:ind w:left="0" w:firstLine="200" w:firstLineChars="200"/>
      <w:jc w:val="left"/>
    </w:pPr>
    <w:rPr>
      <w:rFonts w:ascii="宋体" w:hAnsi="Arial" w:eastAsia="仿宋_GB2312" w:cs="宋体"/>
      <w:snapToGrid w:val="0"/>
      <w:kern w:val="0"/>
      <w:sz w:val="30"/>
      <w:szCs w:val="32"/>
    </w:rPr>
  </w:style>
  <w:style w:type="paragraph" w:customStyle="1" w:styleId="125">
    <w:name w:val="xl74"/>
    <w:basedOn w:val="1"/>
    <w:qFormat/>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12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127">
    <w:name w:val="正文文字表格居中"/>
    <w:basedOn w:val="1"/>
    <w:next w:val="69"/>
    <w:qFormat/>
    <w:uiPriority w:val="0"/>
    <w:pPr>
      <w:snapToGrid w:val="0"/>
      <w:spacing w:line="360" w:lineRule="auto"/>
    </w:pPr>
    <w:rPr>
      <w:rFonts w:ascii="宋体"/>
      <w:b/>
      <w:sz w:val="24"/>
      <w:szCs w:val="20"/>
    </w:rPr>
  </w:style>
  <w:style w:type="paragraph" w:customStyle="1" w:styleId="128">
    <w:name w:val="Char Char"/>
    <w:basedOn w:val="1"/>
    <w:qFormat/>
    <w:uiPriority w:val="0"/>
    <w:pPr>
      <w:spacing w:line="360" w:lineRule="auto"/>
    </w:pPr>
    <w:rPr>
      <w:rFonts w:ascii="Tahoma" w:hAnsi="Tahoma" w:cs="Lucida Sans"/>
      <w:sz w:val="24"/>
      <w:szCs w:val="20"/>
    </w:rPr>
  </w:style>
  <w:style w:type="paragraph" w:customStyle="1" w:styleId="129">
    <w:name w:val="样式 样式 样式 我的正文首行缩进 + 首行缩进:  2 字符 + 首行缩进:  2 字符 + 首行缩进:  2 字符"/>
    <w:basedOn w:val="1"/>
    <w:qFormat/>
    <w:uiPriority w:val="0"/>
    <w:pPr>
      <w:widowControl/>
      <w:tabs>
        <w:tab w:val="left" w:pos="840"/>
      </w:tabs>
      <w:spacing w:after="120" w:line="300" w:lineRule="auto"/>
      <w:ind w:left="840" w:hanging="360"/>
      <w:jc w:val="left"/>
    </w:pPr>
    <w:rPr>
      <w:rFonts w:eastAsia="华文细黑"/>
      <w:kern w:val="0"/>
      <w:sz w:val="24"/>
    </w:rPr>
  </w:style>
  <w:style w:type="paragraph" w:customStyle="1" w:styleId="130">
    <w:name w:val="功能列表"/>
    <w:basedOn w:val="1"/>
    <w:qFormat/>
    <w:uiPriority w:val="0"/>
    <w:pPr>
      <w:tabs>
        <w:tab w:val="left" w:pos="0"/>
        <w:tab w:val="left" w:pos="900"/>
      </w:tabs>
      <w:spacing w:line="360" w:lineRule="auto"/>
      <w:ind w:firstLine="200" w:firstLineChars="200"/>
    </w:pPr>
    <w:rPr>
      <w:sz w:val="24"/>
      <w:szCs w:val="20"/>
    </w:rPr>
  </w:style>
  <w:style w:type="paragraph" w:customStyle="1" w:styleId="131">
    <w:name w:val="Char2 Char Char"/>
    <w:basedOn w:val="1"/>
    <w:qFormat/>
    <w:uiPriority w:val="0"/>
    <w:rPr>
      <w:rFonts w:ascii="Tahoma" w:hAnsi="Tahoma"/>
      <w:sz w:val="24"/>
      <w:szCs w:val="20"/>
    </w:rPr>
  </w:style>
  <w:style w:type="paragraph" w:customStyle="1" w:styleId="132">
    <w:name w:val="首行缩进正文"/>
    <w:basedOn w:val="1"/>
    <w:qFormat/>
    <w:uiPriority w:val="0"/>
    <w:pPr>
      <w:spacing w:line="360" w:lineRule="auto"/>
      <w:ind w:firstLine="480"/>
    </w:pPr>
    <w:rPr>
      <w:rFonts w:eastAsia="楷体_GB2312"/>
      <w:sz w:val="24"/>
      <w:szCs w:val="20"/>
    </w:rPr>
  </w:style>
  <w:style w:type="paragraph" w:customStyle="1" w:styleId="133">
    <w:name w:val="段 Char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4">
    <w:name w:val="样式1"/>
    <w:basedOn w:val="4"/>
    <w:link w:val="427"/>
    <w:qFormat/>
    <w:uiPriority w:val="0"/>
    <w:pPr>
      <w:numPr>
        <w:ilvl w:val="0"/>
        <w:numId w:val="2"/>
      </w:numPr>
    </w:pPr>
    <w:rPr>
      <w:rFonts w:cs="Times New Roman"/>
      <w:kern w:val="0"/>
    </w:rPr>
  </w:style>
  <w:style w:type="paragraph" w:customStyle="1" w:styleId="135">
    <w:name w:val="页眉与页脚"/>
    <w:unhideWhenUsed/>
    <w:qFormat/>
    <w:uiPriority w:val="99"/>
    <w:pPr>
      <w:tabs>
        <w:tab w:val="right" w:pos="9020"/>
      </w:tabs>
    </w:pPr>
    <w:rPr>
      <w:rFonts w:hint="eastAsia" w:ascii="Helvetica" w:hAnsi="Arial Unicode MS" w:eastAsia="Times New Roman" w:cs="Times New Roman"/>
      <w:color w:val="000000"/>
      <w:sz w:val="24"/>
      <w:szCs w:val="22"/>
      <w:lang w:val="en-US" w:eastAsia="zh-CN" w:bidi="ar-SA"/>
    </w:rPr>
  </w:style>
  <w:style w:type="paragraph" w:customStyle="1" w:styleId="136">
    <w:name w:val="Char Char Char Char"/>
    <w:basedOn w:val="1"/>
    <w:qFormat/>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137">
    <w:name w:val="Char Char1 Char Char Char Char Char Char"/>
    <w:basedOn w:val="1"/>
    <w:qFormat/>
    <w:uiPriority w:val="0"/>
    <w:rPr>
      <w:rFonts w:ascii="仿宋_GB2312" w:eastAsia="仿宋_GB2312"/>
      <w:b/>
      <w:sz w:val="32"/>
      <w:szCs w:val="20"/>
    </w:rPr>
  </w:style>
  <w:style w:type="paragraph" w:customStyle="1" w:styleId="138">
    <w:name w:val="aspnumfaautoadjustrightr"/>
    <w:qFormat/>
    <w:uiPriority w:val="0"/>
    <w:pPr>
      <w:widowControl w:val="0"/>
      <w:autoSpaceDE w:val="0"/>
      <w:autoSpaceDN w:val="0"/>
      <w:adjustRightInd w:val="0"/>
      <w:ind w:firstLine="720"/>
      <w:jc w:val="both"/>
    </w:pPr>
    <w:rPr>
      <w:rFonts w:ascii="Times New Roman" w:hAnsi="Times New Roman" w:eastAsia="??" w:cs="Times New Roman"/>
      <w:szCs w:val="28"/>
      <w:lang w:val="en-US" w:eastAsia="zh-CN" w:bidi="ar-SA"/>
    </w:rPr>
  </w:style>
  <w:style w:type="paragraph" w:customStyle="1" w:styleId="13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140">
    <w:name w:val="xl66"/>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141">
    <w:name w:val="xl13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142">
    <w:name w:val="Char"/>
    <w:basedOn w:val="1"/>
    <w:qFormat/>
    <w:uiPriority w:val="0"/>
    <w:rPr>
      <w:rFonts w:eastAsia="??_GB2312"/>
      <w:sz w:val="28"/>
    </w:rPr>
  </w:style>
  <w:style w:type="paragraph" w:customStyle="1" w:styleId="143">
    <w:name w:val="Char1 Char Char Char"/>
    <w:basedOn w:val="1"/>
    <w:qFormat/>
    <w:uiPriority w:val="0"/>
    <w:rPr>
      <w:rFonts w:ascii="仿宋_GB2312" w:hAnsi="仿宋_GB2312" w:eastAsia="仿宋_GB2312" w:cs="Lucida Sans"/>
      <w:b/>
      <w:sz w:val="32"/>
      <w:szCs w:val="32"/>
    </w:rPr>
  </w:style>
  <w:style w:type="paragraph" w:customStyle="1" w:styleId="144">
    <w:name w:val="正文 首行缩进2字符 Char Char"/>
    <w:basedOn w:val="1"/>
    <w:qFormat/>
    <w:uiPriority w:val="0"/>
    <w:pPr>
      <w:spacing w:line="360" w:lineRule="auto"/>
      <w:ind w:firstLine="200" w:firstLineChars="200"/>
    </w:pPr>
    <w:rPr>
      <w:rFonts w:eastAsia="楷体_GB2312"/>
      <w:sz w:val="24"/>
    </w:rPr>
  </w:style>
  <w:style w:type="paragraph" w:customStyle="1" w:styleId="145">
    <w:name w:val="font6"/>
    <w:basedOn w:val="1"/>
    <w:qFormat/>
    <w:uiPriority w:val="0"/>
    <w:pPr>
      <w:widowControl/>
      <w:spacing w:before="100" w:beforeAutospacing="1" w:after="100" w:afterAutospacing="1"/>
      <w:jc w:val="left"/>
    </w:pPr>
    <w:rPr>
      <w:rFonts w:ascii="宋体" w:hAnsi="宋体"/>
      <w:kern w:val="0"/>
      <w:sz w:val="18"/>
      <w:szCs w:val="20"/>
    </w:rPr>
  </w:style>
  <w:style w:type="paragraph" w:customStyle="1" w:styleId="14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147">
    <w:name w:val="正文文字缩进 3"/>
    <w:basedOn w:val="1"/>
    <w:qFormat/>
    <w:uiPriority w:val="0"/>
    <w:pPr>
      <w:suppressAutoHyphens/>
      <w:spacing w:line="360" w:lineRule="auto"/>
      <w:ind w:left="481" w:firstLine="480"/>
    </w:pPr>
    <w:rPr>
      <w:rFonts w:eastAsia="楷体_GB2312"/>
      <w:kern w:val="1"/>
      <w:sz w:val="24"/>
      <w:szCs w:val="20"/>
      <w:lang w:eastAsia="ar-SA"/>
    </w:rPr>
  </w:style>
  <w:style w:type="paragraph" w:customStyle="1" w:styleId="148">
    <w:name w:val="正文2"/>
    <w:basedOn w:val="1"/>
    <w:link w:val="471"/>
    <w:qFormat/>
    <w:uiPriority w:val="0"/>
    <w:pPr>
      <w:spacing w:before="156" w:line="360" w:lineRule="auto"/>
      <w:ind w:firstLine="200" w:firstLineChars="200"/>
    </w:pPr>
    <w:rPr>
      <w:rFonts w:ascii="Times New Roman" w:hAnsi="Times New Roman" w:eastAsia="??"/>
      <w:sz w:val="24"/>
      <w:szCs w:val="28"/>
    </w:rPr>
  </w:style>
  <w:style w:type="paragraph" w:customStyle="1" w:styleId="149">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150">
    <w:name w:val="规范正文"/>
    <w:basedOn w:val="1"/>
    <w:qFormat/>
    <w:uiPriority w:val="0"/>
    <w:pPr>
      <w:tabs>
        <w:tab w:val="left" w:pos="900"/>
      </w:tabs>
      <w:adjustRightInd w:val="0"/>
      <w:spacing w:before="156" w:beforeLines="50" w:line="360" w:lineRule="auto"/>
      <w:ind w:left="900" w:hanging="420"/>
      <w:textAlignment w:val="baseline"/>
    </w:pPr>
    <w:rPr>
      <w:szCs w:val="20"/>
    </w:rPr>
  </w:style>
  <w:style w:type="paragraph" w:customStyle="1" w:styleId="151">
    <w:name w:val="xl100"/>
    <w:basedOn w:val="1"/>
    <w:qFormat/>
    <w:uiPriority w:val="0"/>
    <w:pPr>
      <w:widowControl/>
      <w:spacing w:before="100" w:beforeAutospacing="1" w:after="100" w:afterAutospacing="1"/>
      <w:jc w:val="left"/>
    </w:pPr>
    <w:rPr>
      <w:rFonts w:ascii="Arial" w:hAnsi="Arial"/>
      <w:kern w:val="0"/>
      <w:sz w:val="24"/>
      <w:szCs w:val="20"/>
    </w:rPr>
  </w:style>
  <w:style w:type="paragraph" w:customStyle="1" w:styleId="152">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153">
    <w:name w:val="_Style 47"/>
    <w:basedOn w:val="1"/>
    <w:qFormat/>
    <w:uiPriority w:val="0"/>
    <w:rPr>
      <w:rFonts w:ascii="仿宋_GB2312" w:eastAsia="仿宋_GB2312"/>
      <w:b/>
      <w:sz w:val="32"/>
      <w:szCs w:val="32"/>
    </w:rPr>
  </w:style>
  <w:style w:type="paragraph" w:customStyle="1" w:styleId="154">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155">
    <w:name w:val="xl96"/>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56">
    <w:name w:val="_Style 152"/>
    <w:basedOn w:val="1"/>
    <w:next w:val="1"/>
    <w:qFormat/>
    <w:uiPriority w:val="0"/>
    <w:pPr>
      <w:pBdr>
        <w:top w:val="single" w:color="auto" w:sz="6" w:space="1"/>
      </w:pBdr>
      <w:jc w:val="center"/>
    </w:pPr>
    <w:rPr>
      <w:rFonts w:ascii="Arial"/>
      <w:vanish/>
      <w:sz w:val="16"/>
    </w:rPr>
  </w:style>
  <w:style w:type="paragraph" w:customStyle="1" w:styleId="157">
    <w:name w:val="xl61"/>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158">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160">
    <w:name w:val="Char Char Char"/>
    <w:basedOn w:val="1"/>
    <w:qFormat/>
    <w:uiPriority w:val="0"/>
    <w:rPr>
      <w:rFonts w:ascii="Tahoma" w:hAnsi="Tahoma"/>
      <w:sz w:val="24"/>
      <w:szCs w:val="20"/>
    </w:rPr>
  </w:style>
  <w:style w:type="paragraph" w:customStyle="1" w:styleId="161">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162">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63">
    <w:name w:val="xl62"/>
    <w:basedOn w:val="1"/>
    <w:qFormat/>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164">
    <w:name w:val="表格正文"/>
    <w:basedOn w:val="1"/>
    <w:qFormat/>
    <w:uiPriority w:val="0"/>
    <w:pPr>
      <w:spacing w:line="360" w:lineRule="auto"/>
    </w:pPr>
    <w:rPr>
      <w:rFonts w:ascii="宋体" w:hAnsi="宋体" w:eastAsia="楷体_GB2312" w:cs="宋体"/>
      <w:sz w:val="24"/>
      <w:szCs w:val="20"/>
    </w:rPr>
  </w:style>
  <w:style w:type="paragraph" w:customStyle="1" w:styleId="165">
    <w:name w:val="_Style 161"/>
    <w:basedOn w:val="1"/>
    <w:next w:val="1"/>
    <w:qFormat/>
    <w:uiPriority w:val="0"/>
    <w:pPr>
      <w:pBdr>
        <w:bottom w:val="single" w:color="auto" w:sz="6" w:space="1"/>
      </w:pBdr>
      <w:jc w:val="center"/>
    </w:pPr>
    <w:rPr>
      <w:rFonts w:ascii="Arial"/>
      <w:vanish/>
      <w:sz w:val="16"/>
    </w:rPr>
  </w:style>
  <w:style w:type="paragraph" w:customStyle="1" w:styleId="166">
    <w:name w:val="公文标题"/>
    <w:basedOn w:val="97"/>
    <w:next w:val="97"/>
    <w:qFormat/>
    <w:uiPriority w:val="0"/>
    <w:pPr>
      <w:spacing w:before="0"/>
      <w:ind w:firstLine="0" w:firstLineChars="0"/>
      <w:jc w:val="center"/>
    </w:pPr>
    <w:rPr>
      <w:rFonts w:ascii="仿宋_GB2312" w:hAnsi="宋体" w:eastAsia="仿宋_GB2312" w:cs="Times New Roman"/>
      <w:b/>
      <w:bCs/>
      <w:kern w:val="28"/>
      <w:sz w:val="44"/>
    </w:rPr>
  </w:style>
  <w:style w:type="paragraph" w:customStyle="1" w:styleId="16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16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169">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170">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171">
    <w:name w:val="图样式"/>
    <w:basedOn w:val="1"/>
    <w:qFormat/>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172">
    <w:name w:val="Char Char1"/>
    <w:basedOn w:val="1"/>
    <w:qFormat/>
    <w:uiPriority w:val="0"/>
    <w:pPr>
      <w:widowControl/>
      <w:spacing w:after="160" w:line="240" w:lineRule="exact"/>
      <w:jc w:val="left"/>
    </w:pPr>
    <w:rPr>
      <w:rFonts w:eastAsia="仿宋_GB2312"/>
      <w:sz w:val="28"/>
      <w:szCs w:val="20"/>
    </w:rPr>
  </w:style>
  <w:style w:type="paragraph" w:customStyle="1" w:styleId="173">
    <w:name w:val="Char Char Char Char Char Char Char Char Char Char"/>
    <w:basedOn w:val="1"/>
    <w:qFormat/>
    <w:uiPriority w:val="0"/>
    <w:rPr>
      <w:rFonts w:ascii="仿宋_GB2312" w:eastAsia="仿宋_GB2312"/>
      <w:b/>
      <w:sz w:val="32"/>
      <w:szCs w:val="20"/>
    </w:rPr>
  </w:style>
  <w:style w:type="paragraph" w:customStyle="1" w:styleId="174">
    <w:name w:val="xl9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175">
    <w:name w:val="pa-69"/>
    <w:basedOn w:val="1"/>
    <w:qFormat/>
    <w:uiPriority w:val="0"/>
    <w:pPr>
      <w:widowControl/>
      <w:spacing w:line="330" w:lineRule="atLeast"/>
      <w:ind w:firstLine="3840"/>
      <w:jc w:val="left"/>
    </w:pPr>
    <w:rPr>
      <w:rFonts w:ascii="宋体" w:hAnsi="宋体" w:cs="宋体"/>
      <w:kern w:val="0"/>
      <w:sz w:val="24"/>
    </w:rPr>
  </w:style>
  <w:style w:type="paragraph" w:customStyle="1" w:styleId="176">
    <w:name w:val="正文 首行缩进:  2 字符 Char Char Char Char"/>
    <w:basedOn w:val="1"/>
    <w:qFormat/>
    <w:uiPriority w:val="0"/>
    <w:pPr>
      <w:spacing w:line="360" w:lineRule="auto"/>
      <w:ind w:firstLine="480"/>
    </w:pPr>
    <w:rPr>
      <w:rFonts w:eastAsia="楷体_GB2312" w:cs="宋体"/>
      <w:sz w:val="24"/>
    </w:rPr>
  </w:style>
  <w:style w:type="paragraph" w:customStyle="1" w:styleId="177">
    <w:name w:val="xl38"/>
    <w:basedOn w:val="1"/>
    <w:qFormat/>
    <w:uiPriority w:val="0"/>
    <w:pPr>
      <w:widowControl/>
      <w:spacing w:before="100" w:beforeAutospacing="1" w:after="100" w:afterAutospacing="1"/>
      <w:jc w:val="center"/>
    </w:pPr>
    <w:rPr>
      <w:rFonts w:ascii="Arial" w:hAnsi="Arial"/>
      <w:kern w:val="0"/>
      <w:sz w:val="20"/>
      <w:szCs w:val="20"/>
    </w:rPr>
  </w:style>
  <w:style w:type="paragraph" w:customStyle="1" w:styleId="178">
    <w:name w:val="xl32"/>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17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0">
    <w:name w:val="button"/>
    <w:basedOn w:val="1"/>
    <w:qFormat/>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181">
    <w:name w:val="正文内"/>
    <w:basedOn w:val="1"/>
    <w:qFormat/>
    <w:uiPriority w:val="0"/>
    <w:pPr>
      <w:spacing w:line="400" w:lineRule="exact"/>
      <w:ind w:firstLine="200" w:firstLineChars="200"/>
    </w:pPr>
    <w:rPr>
      <w:rFonts w:ascii="??" w:hAnsi="??" w:eastAsia="??" w:cs="宋体"/>
      <w:szCs w:val="28"/>
    </w:rPr>
  </w:style>
  <w:style w:type="paragraph" w:customStyle="1" w:styleId="182">
    <w:name w:val="xl12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18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18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185">
    <w:name w:val="样式 标题 2H2h2Heading 2 HiddenHeading 2 CCBSl2heading 2I22n...1"/>
    <w:basedOn w:val="2"/>
    <w:qFormat/>
    <w:uiPriority w:val="0"/>
    <w:pPr>
      <w:numPr>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186">
    <w:name w:val="列出段落4"/>
    <w:basedOn w:val="1"/>
    <w:qFormat/>
    <w:uiPriority w:val="34"/>
    <w:pPr>
      <w:widowControl/>
      <w:ind w:firstLine="200" w:firstLineChars="200"/>
      <w:jc w:val="left"/>
    </w:pPr>
    <w:rPr>
      <w:rFonts w:ascii="??" w:hAnsi="??" w:eastAsia="??" w:cs="??"/>
      <w:kern w:val="0"/>
      <w:sz w:val="24"/>
    </w:rPr>
  </w:style>
  <w:style w:type="paragraph" w:customStyle="1" w:styleId="187">
    <w:name w:val="列出段落3"/>
    <w:basedOn w:val="1"/>
    <w:qFormat/>
    <w:uiPriority w:val="99"/>
    <w:pPr>
      <w:snapToGrid w:val="0"/>
      <w:spacing w:line="276" w:lineRule="auto"/>
      <w:ind w:firstLine="420" w:firstLineChars="200"/>
    </w:pPr>
    <w:rPr>
      <w:rFonts w:ascii="Calibri" w:hAnsi="Calibri" w:eastAsia="微软雅黑"/>
      <w:sz w:val="24"/>
      <w:szCs w:val="21"/>
    </w:rPr>
  </w:style>
  <w:style w:type="paragraph" w:customStyle="1" w:styleId="18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189">
    <w:name w:val="xl31"/>
    <w:basedOn w:val="1"/>
    <w:qFormat/>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190">
    <w:name w:val="xl12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191">
    <w:name w:val="样式 正文缩进正文（首行缩进两字）表正文正文非缩进特点段1段1 Charno-step正文双线四号首行缩进..."/>
    <w:basedOn w:val="19"/>
    <w:qFormat/>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19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93">
    <w:name w:val="样式4 Char"/>
    <w:basedOn w:val="1"/>
    <w:qFormat/>
    <w:uiPriority w:val="0"/>
    <w:pPr>
      <w:widowControl/>
      <w:spacing w:line="360" w:lineRule="auto"/>
      <w:ind w:firstLine="480"/>
      <w:jc w:val="left"/>
    </w:pPr>
    <w:rPr>
      <w:rFonts w:eastAsia="楷体_GB2312" w:cs="宋体"/>
      <w:color w:val="000000"/>
      <w:kern w:val="0"/>
      <w:sz w:val="24"/>
    </w:rPr>
  </w:style>
  <w:style w:type="paragraph" w:customStyle="1" w:styleId="194">
    <w:name w:val="Char Char2"/>
    <w:basedOn w:val="1"/>
    <w:qFormat/>
    <w:uiPriority w:val="0"/>
    <w:rPr>
      <w:rFonts w:ascii="Tahoma" w:hAnsi="Tahoma" w:eastAsia="??" w:cs="Tahoma"/>
      <w:sz w:val="24"/>
      <w:szCs w:val="28"/>
    </w:rPr>
  </w:style>
  <w:style w:type="paragraph" w:customStyle="1" w:styleId="195">
    <w:name w:val="xl8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96">
    <w:name w:val="编号 3"/>
    <w:basedOn w:val="1"/>
    <w:qFormat/>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19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8">
    <w:name w:val="常用正文"/>
    <w:qFormat/>
    <w:uiPriority w:val="0"/>
    <w:pPr>
      <w:widowControl w:val="0"/>
      <w:spacing w:line="360" w:lineRule="auto"/>
      <w:ind w:firstLine="200"/>
      <w:textAlignment w:val="bottom"/>
    </w:pPr>
    <w:rPr>
      <w:rFonts w:ascii="Arial" w:hAnsi="Arial" w:eastAsia="楷体_GB2312" w:cs="Times New Roman"/>
      <w:sz w:val="28"/>
      <w:lang w:val="en-US" w:eastAsia="zh-CN" w:bidi="ar-SA"/>
    </w:rPr>
  </w:style>
  <w:style w:type="paragraph" w:customStyle="1" w:styleId="199">
    <w:name w:val="xl1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200">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xl7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202">
    <w:name w:val="font5"/>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03">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204">
    <w:name w:val="xl102"/>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05">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206">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07">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208">
    <w:name w:val="样式 正文文本缩进 2 + 仿宋_GB2312 黑色 行距: 1.5 倍行距"/>
    <w:basedOn w:val="46"/>
    <w:qFormat/>
    <w:uiPriority w:val="0"/>
    <w:pPr>
      <w:spacing w:line="360" w:lineRule="auto"/>
      <w:ind w:firstLine="560" w:firstLineChars="200"/>
    </w:pPr>
    <w:rPr>
      <w:rFonts w:ascii="宋体" w:hAnsi="宋体" w:eastAsia="宋体"/>
      <w:color w:val="000000"/>
      <w:sz w:val="24"/>
      <w:szCs w:val="20"/>
    </w:rPr>
  </w:style>
  <w:style w:type="paragraph" w:customStyle="1" w:styleId="209">
    <w:name w:val="Normal Indent1"/>
    <w:basedOn w:val="1"/>
    <w:qFormat/>
    <w:uiPriority w:val="0"/>
    <w:pPr>
      <w:ind w:firstLine="420"/>
    </w:pPr>
    <w:rPr>
      <w:rFonts w:ascii="Times New Roman" w:hAnsi="Times New Roman"/>
      <w:szCs w:val="20"/>
    </w:rPr>
  </w:style>
  <w:style w:type="paragraph" w:customStyle="1" w:styleId="210">
    <w:name w:val="xl7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11">
    <w:name w:val="列出段落1"/>
    <w:basedOn w:val="1"/>
    <w:qFormat/>
    <w:uiPriority w:val="34"/>
    <w:pPr>
      <w:ind w:firstLine="420" w:firstLineChars="200"/>
    </w:pPr>
  </w:style>
  <w:style w:type="paragraph" w:customStyle="1" w:styleId="21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3">
    <w:name w:val="正文 居中"/>
    <w:basedOn w:val="1"/>
    <w:qFormat/>
    <w:uiPriority w:val="0"/>
    <w:pPr>
      <w:spacing w:line="360" w:lineRule="auto"/>
      <w:jc w:val="center"/>
    </w:pPr>
    <w:rPr>
      <w:sz w:val="24"/>
      <w:szCs w:val="20"/>
    </w:rPr>
  </w:style>
  <w:style w:type="paragraph" w:customStyle="1" w:styleId="214">
    <w:name w:val="Char Char Char Char1"/>
    <w:basedOn w:val="1"/>
    <w:qFormat/>
    <w:uiPriority w:val="0"/>
    <w:rPr>
      <w:szCs w:val="20"/>
    </w:rPr>
  </w:style>
  <w:style w:type="paragraph" w:customStyle="1" w:styleId="215">
    <w:name w:val="xl6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216">
    <w:name w:val="xl49"/>
    <w:basedOn w:val="1"/>
    <w:qFormat/>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17">
    <w:name w:val="xl101"/>
    <w:basedOn w:val="1"/>
    <w:qFormat/>
    <w:uiPriority w:val="0"/>
    <w:pPr>
      <w:widowControl/>
      <w:spacing w:before="100" w:beforeAutospacing="1" w:after="100" w:afterAutospacing="1"/>
      <w:jc w:val="center"/>
    </w:pPr>
    <w:rPr>
      <w:rFonts w:ascii="Arial" w:hAnsi="Arial"/>
      <w:kern w:val="0"/>
      <w:sz w:val="18"/>
      <w:szCs w:val="20"/>
    </w:rPr>
  </w:style>
  <w:style w:type="paragraph" w:customStyle="1" w:styleId="218">
    <w:name w:val="样式 标题 1H1标书1h1Level 1 Topic Heading1st levelSection Headl..."/>
    <w:basedOn w:val="4"/>
    <w:qFormat/>
    <w:uiPriority w:val="0"/>
    <w:pPr>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219">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20">
    <w:name w:val="中等深浅网格 2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21">
    <w:name w:val="样式 仿宋_GB2312 三号"/>
    <w:basedOn w:val="1"/>
    <w:qFormat/>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222">
    <w:name w:val="xl86"/>
    <w:basedOn w:val="1"/>
    <w:qFormat/>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23">
    <w:name w:val="xl11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24">
    <w:name w:val="font7"/>
    <w:basedOn w:val="1"/>
    <w:qFormat/>
    <w:uiPriority w:val="0"/>
    <w:pPr>
      <w:widowControl/>
      <w:spacing w:before="100" w:beforeAutospacing="1" w:after="100" w:afterAutospacing="1"/>
      <w:jc w:val="left"/>
    </w:pPr>
    <w:rPr>
      <w:rFonts w:ascii="Arial" w:hAnsi="Arial"/>
      <w:kern w:val="0"/>
      <w:sz w:val="20"/>
      <w:szCs w:val="20"/>
    </w:rPr>
  </w:style>
  <w:style w:type="paragraph" w:customStyle="1" w:styleId="225">
    <w:name w:val="font8"/>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226">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227">
    <w:name w:val="xl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228">
    <w:name w:val="Normal_20"/>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229">
    <w:name w:val="正文4"/>
    <w:basedOn w:val="1"/>
    <w:link w:val="449"/>
    <w:qFormat/>
    <w:uiPriority w:val="0"/>
    <w:pPr>
      <w:spacing w:before="60" w:after="60" w:line="360" w:lineRule="auto"/>
    </w:pPr>
    <w:rPr>
      <w:rFonts w:ascii="Times New Roman" w:hAnsi="Times New Roman" w:eastAsia="楷体_GB2312"/>
      <w:sz w:val="24"/>
    </w:rPr>
  </w:style>
  <w:style w:type="paragraph" w:customStyle="1" w:styleId="230">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31">
    <w:name w:val="Normal_13"/>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232">
    <w:name w:val="正文段"/>
    <w:basedOn w:val="1"/>
    <w:qFormat/>
    <w:uiPriority w:val="0"/>
    <w:pPr>
      <w:widowControl/>
      <w:snapToGrid w:val="0"/>
      <w:spacing w:afterLines="50"/>
      <w:ind w:firstLine="200" w:firstLineChars="200"/>
    </w:pPr>
    <w:rPr>
      <w:rFonts w:eastAsia="??"/>
      <w:kern w:val="0"/>
      <w:sz w:val="24"/>
      <w:szCs w:val="28"/>
    </w:rPr>
  </w:style>
  <w:style w:type="paragraph" w:customStyle="1" w:styleId="233">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234">
    <w:name w:val="xl87"/>
    <w:basedOn w:val="1"/>
    <w:qFormat/>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235">
    <w:name w:val="_Style 40"/>
    <w:basedOn w:val="1"/>
    <w:qFormat/>
    <w:uiPriority w:val="0"/>
    <w:rPr>
      <w:rFonts w:eastAsia="??"/>
      <w:szCs w:val="28"/>
    </w:rPr>
  </w:style>
  <w:style w:type="paragraph" w:customStyle="1" w:styleId="236">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237">
    <w:name w:val="正文（首行缩进2字符）"/>
    <w:basedOn w:val="1"/>
    <w:qFormat/>
    <w:uiPriority w:val="0"/>
    <w:pPr>
      <w:spacing w:line="360" w:lineRule="auto"/>
      <w:ind w:firstLine="420" w:firstLineChars="200"/>
    </w:pPr>
    <w:rPr>
      <w:rFonts w:ascii="Calibri" w:hAnsi="Calibri"/>
      <w:szCs w:val="21"/>
    </w:rPr>
  </w:style>
  <w:style w:type="paragraph" w:customStyle="1" w:styleId="238">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239">
    <w:name w:val="xl9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240">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24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42">
    <w:name w:val="xl127"/>
    <w:basedOn w:val="1"/>
    <w:qFormat/>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243">
    <w:name w:val="Body text|1"/>
    <w:basedOn w:val="1"/>
    <w:qFormat/>
    <w:uiPriority w:val="0"/>
    <w:pPr>
      <w:spacing w:line="425" w:lineRule="auto"/>
      <w:ind w:firstLine="400"/>
    </w:pPr>
    <w:rPr>
      <w:rFonts w:ascii="宋体" w:hAnsi="宋体" w:cs="宋体"/>
      <w:sz w:val="20"/>
      <w:szCs w:val="20"/>
      <w:lang w:val="zh-CN" w:bidi="zh-CN"/>
    </w:rPr>
  </w:style>
  <w:style w:type="paragraph" w:customStyle="1" w:styleId="244">
    <w:name w:val="默认段落字体 Para Char"/>
    <w:basedOn w:val="1"/>
    <w:qFormat/>
    <w:uiPriority w:val="0"/>
    <w:rPr>
      <w:rFonts w:ascii="Tahoma" w:hAnsi="Tahoma"/>
      <w:sz w:val="24"/>
      <w:szCs w:val="20"/>
    </w:rPr>
  </w:style>
  <w:style w:type="paragraph" w:customStyle="1" w:styleId="245">
    <w:name w:val="p0"/>
    <w:basedOn w:val="1"/>
    <w:qFormat/>
    <w:uiPriority w:val="0"/>
    <w:pPr>
      <w:widowControl/>
    </w:pPr>
    <w:rPr>
      <w:kern w:val="0"/>
      <w:szCs w:val="21"/>
    </w:rPr>
  </w:style>
  <w:style w:type="paragraph" w:customStyle="1" w:styleId="246">
    <w:name w:val="xl1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47">
    <w:name w:val="DN-正文"/>
    <w:basedOn w:val="19"/>
    <w:link w:val="455"/>
    <w:qFormat/>
    <w:uiPriority w:val="0"/>
    <w:pPr>
      <w:widowControl w:val="0"/>
      <w:spacing w:line="400" w:lineRule="exact"/>
      <w:ind w:firstLine="200" w:firstLineChars="200"/>
      <w:jc w:val="both"/>
    </w:pPr>
    <w:rPr>
      <w:rFonts w:eastAsia="宋体"/>
      <w:kern w:val="2"/>
      <w:sz w:val="21"/>
    </w:rPr>
  </w:style>
  <w:style w:type="paragraph" w:customStyle="1" w:styleId="248">
    <w:name w:val="公文标题 4"/>
    <w:basedOn w:val="249"/>
    <w:next w:val="97"/>
    <w:qFormat/>
    <w:uiPriority w:val="0"/>
    <w:pPr>
      <w:outlineLvl w:val="9"/>
    </w:pPr>
  </w:style>
  <w:style w:type="paragraph" w:customStyle="1" w:styleId="249">
    <w:name w:val="公文标题 3"/>
    <w:basedOn w:val="95"/>
    <w:next w:val="97"/>
    <w:qFormat/>
    <w:uiPriority w:val="0"/>
    <w:pPr>
      <w:outlineLvl w:val="2"/>
    </w:pPr>
  </w:style>
  <w:style w:type="paragraph" w:customStyle="1" w:styleId="250">
    <w:name w:val="xl13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51">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2">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253">
    <w:name w:val="Char Char12"/>
    <w:basedOn w:val="1"/>
    <w:qFormat/>
    <w:uiPriority w:val="0"/>
  </w:style>
  <w:style w:type="paragraph" w:customStyle="1" w:styleId="254">
    <w:name w:val="无间隔1"/>
    <w:link w:val="433"/>
    <w:qFormat/>
    <w:uiPriority w:val="0"/>
    <w:pPr>
      <w:widowControl w:val="0"/>
      <w:jc w:val="both"/>
    </w:pPr>
    <w:rPr>
      <w:rFonts w:ascii="Times New Roman" w:hAnsi="Times New Roman" w:eastAsia="楷体_GB2312" w:cs="Lucida Sans"/>
      <w:kern w:val="2"/>
      <w:sz w:val="24"/>
      <w:szCs w:val="24"/>
      <w:lang w:val="en-US" w:eastAsia="zh-CN" w:bidi="ar-SA"/>
    </w:rPr>
  </w:style>
  <w:style w:type="paragraph" w:customStyle="1" w:styleId="255">
    <w:name w:val="xl128"/>
    <w:basedOn w:val="1"/>
    <w:qFormat/>
    <w:uiPriority w:val="0"/>
    <w:pPr>
      <w:widowControl/>
      <w:spacing w:before="100" w:beforeAutospacing="1" w:after="100" w:afterAutospacing="1"/>
      <w:jc w:val="center"/>
    </w:pPr>
    <w:rPr>
      <w:rFonts w:ascii="Arial" w:hAnsi="Arial"/>
      <w:kern w:val="0"/>
      <w:sz w:val="24"/>
      <w:szCs w:val="20"/>
    </w:rPr>
  </w:style>
  <w:style w:type="paragraph" w:customStyle="1" w:styleId="256">
    <w:name w:val="xl72"/>
    <w:basedOn w:val="1"/>
    <w:qFormat/>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57">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258">
    <w:name w:val="xl10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59">
    <w:name w:val="pa-68"/>
    <w:basedOn w:val="1"/>
    <w:qFormat/>
    <w:uiPriority w:val="0"/>
    <w:pPr>
      <w:widowControl/>
      <w:spacing w:line="330" w:lineRule="atLeast"/>
      <w:jc w:val="left"/>
    </w:pPr>
    <w:rPr>
      <w:rFonts w:ascii="宋体" w:hAnsi="宋体" w:cs="宋体"/>
      <w:kern w:val="0"/>
      <w:sz w:val="24"/>
    </w:rPr>
  </w:style>
  <w:style w:type="paragraph" w:customStyle="1" w:styleId="260">
    <w:name w:val="xl14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261">
    <w:name w:val="Char11"/>
    <w:basedOn w:val="1"/>
    <w:qFormat/>
    <w:uiPriority w:val="0"/>
    <w:rPr>
      <w:rFonts w:ascii="仿宋_GB2312" w:eastAsia="仿宋_GB2312"/>
      <w:b/>
      <w:sz w:val="32"/>
      <w:szCs w:val="32"/>
    </w:rPr>
  </w:style>
  <w:style w:type="paragraph" w:customStyle="1" w:styleId="262">
    <w:name w:val="_Style 258"/>
    <w:semiHidden/>
    <w:qFormat/>
    <w:uiPriority w:val="0"/>
    <w:rPr>
      <w:rFonts w:ascii="Times New Roman" w:hAnsi="Times New Roman" w:eastAsia="宋体" w:cs="Times New Roman"/>
      <w:kern w:val="2"/>
      <w:sz w:val="21"/>
      <w:lang w:val="en-US" w:eastAsia="zh-CN" w:bidi="ar-SA"/>
    </w:rPr>
  </w:style>
  <w:style w:type="paragraph" w:customStyle="1" w:styleId="263">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26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265">
    <w:name w:val="表格标题"/>
    <w:basedOn w:val="164"/>
    <w:qFormat/>
    <w:uiPriority w:val="0"/>
    <w:pPr>
      <w:jc w:val="center"/>
    </w:pPr>
    <w:rPr>
      <w:b/>
    </w:rPr>
  </w:style>
  <w:style w:type="paragraph" w:customStyle="1" w:styleId="266">
    <w:name w:val="正文1"/>
    <w:basedOn w:val="39"/>
    <w:next w:val="1"/>
    <w:qFormat/>
    <w:uiPriority w:val="0"/>
    <w:pPr>
      <w:spacing w:before="156" w:line="360" w:lineRule="auto"/>
      <w:ind w:left="426"/>
    </w:pPr>
    <w:rPr>
      <w:sz w:val="24"/>
    </w:rPr>
  </w:style>
  <w:style w:type="paragraph" w:customStyle="1" w:styleId="267">
    <w:name w:val="xl12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268">
    <w:name w:val="font12"/>
    <w:basedOn w:val="1"/>
    <w:qFormat/>
    <w:uiPriority w:val="0"/>
    <w:pPr>
      <w:widowControl/>
      <w:spacing w:before="100" w:beforeAutospacing="1" w:after="100" w:afterAutospacing="1"/>
      <w:jc w:val="left"/>
    </w:pPr>
    <w:rPr>
      <w:rFonts w:ascii="Arial" w:hAnsi="Arial"/>
      <w:color w:val="FF0000"/>
      <w:kern w:val="0"/>
      <w:sz w:val="18"/>
      <w:szCs w:val="20"/>
    </w:rPr>
  </w:style>
  <w:style w:type="paragraph" w:customStyle="1" w:styleId="269">
    <w:name w:val="带标题正文"/>
    <w:basedOn w:val="1"/>
    <w:qFormat/>
    <w:uiPriority w:val="0"/>
    <w:pPr>
      <w:numPr>
        <w:ilvl w:val="0"/>
        <w:numId w:val="6"/>
      </w:numPr>
      <w:snapToGrid w:val="0"/>
      <w:spacing w:before="100" w:after="100"/>
      <w:ind w:firstLine="115"/>
    </w:pPr>
    <w:rPr>
      <w:rFonts w:ascii="楷体" w:eastAsia="楷体"/>
      <w:b/>
      <w:sz w:val="28"/>
      <w:szCs w:val="20"/>
    </w:rPr>
  </w:style>
  <w:style w:type="paragraph" w:customStyle="1" w:styleId="270">
    <w:name w:val="良渚正文"/>
    <w:basedOn w:val="1"/>
    <w:link w:val="435"/>
    <w:qFormat/>
    <w:uiPriority w:val="0"/>
    <w:pPr>
      <w:ind w:firstLine="560" w:firstLineChars="200"/>
    </w:pPr>
    <w:rPr>
      <w:rFonts w:ascii="仿宋" w:hAnsi="仿宋" w:eastAsia="仿宋_GB2312"/>
      <w:sz w:val="28"/>
      <w:szCs w:val="28"/>
    </w:rPr>
  </w:style>
  <w:style w:type="paragraph" w:customStyle="1" w:styleId="271">
    <w:name w:val="xl33"/>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72">
    <w:name w:val="font13"/>
    <w:basedOn w:val="1"/>
    <w:qFormat/>
    <w:uiPriority w:val="0"/>
    <w:pPr>
      <w:widowControl/>
      <w:spacing w:before="100" w:beforeAutospacing="1" w:after="100" w:afterAutospacing="1"/>
      <w:jc w:val="left"/>
    </w:pPr>
    <w:rPr>
      <w:rFonts w:ascii="Arial" w:hAnsi="Arial"/>
      <w:kern w:val="0"/>
      <w:sz w:val="24"/>
      <w:szCs w:val="20"/>
    </w:rPr>
  </w:style>
  <w:style w:type="paragraph" w:customStyle="1" w:styleId="273">
    <w:name w:val="内文正文"/>
    <w:qFormat/>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274">
    <w:name w:val="样式 样式 样式 我的正文首行缩进 + 首行缩进:  2 字符 + 首行缩进:  2 字符 + 首行缩进:  2 字符1"/>
    <w:basedOn w:val="1"/>
    <w:qFormat/>
    <w:uiPriority w:val="0"/>
    <w:pPr>
      <w:widowControl/>
      <w:spacing w:after="120"/>
      <w:ind w:firstLine="200" w:firstLineChars="200"/>
      <w:jc w:val="left"/>
    </w:pPr>
    <w:rPr>
      <w:rFonts w:eastAsia="华文细黑"/>
      <w:sz w:val="24"/>
    </w:rPr>
  </w:style>
  <w:style w:type="paragraph" w:customStyle="1" w:styleId="275">
    <w:name w:val="图"/>
    <w:basedOn w:val="1"/>
    <w:qFormat/>
    <w:uiPriority w:val="0"/>
    <w:pPr>
      <w:spacing w:line="360" w:lineRule="auto"/>
      <w:jc w:val="center"/>
    </w:pPr>
    <w:rPr>
      <w:rFonts w:ascii="宋体" w:hAnsi="宋体" w:eastAsia="楷体_GB2312" w:cs="宋体"/>
      <w:sz w:val="24"/>
      <w:szCs w:val="20"/>
    </w:rPr>
  </w:style>
  <w:style w:type="paragraph" w:customStyle="1" w:styleId="276">
    <w:name w:val="xl6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277">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78">
    <w:name w:val="二级条标题"/>
    <w:basedOn w:val="1"/>
    <w:next w:val="279"/>
    <w:qFormat/>
    <w:uiPriority w:val="0"/>
    <w:pPr>
      <w:widowControl/>
      <w:jc w:val="left"/>
      <w:outlineLvl w:val="3"/>
    </w:pPr>
    <w:rPr>
      <w:rFonts w:ascii="黑体" w:eastAsia="黑体"/>
      <w:kern w:val="0"/>
      <w:sz w:val="24"/>
      <w:szCs w:val="20"/>
    </w:rPr>
  </w:style>
  <w:style w:type="paragraph" w:customStyle="1" w:styleId="27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0">
    <w:name w:val="正文 首行缩进:  2 字符 Char"/>
    <w:basedOn w:val="1"/>
    <w:qFormat/>
    <w:uiPriority w:val="0"/>
    <w:pPr>
      <w:spacing w:line="360" w:lineRule="auto"/>
      <w:ind w:firstLine="480"/>
    </w:pPr>
    <w:rPr>
      <w:rFonts w:cs="宋体"/>
      <w:sz w:val="24"/>
      <w:szCs w:val="20"/>
    </w:rPr>
  </w:style>
  <w:style w:type="paragraph" w:customStyle="1" w:styleId="281">
    <w:name w:val="样式 Arial 左侧:  0.43 厘米 段前: 1.4 磅 段后: 2.8 磅"/>
    <w:basedOn w:val="1"/>
    <w:qFormat/>
    <w:uiPriority w:val="0"/>
    <w:pPr>
      <w:spacing w:before="28" w:after="56" w:line="360" w:lineRule="auto"/>
      <w:ind w:left="244" w:firstLine="540" w:firstLineChars="225"/>
    </w:pPr>
    <w:rPr>
      <w:rFonts w:ascii="Arial" w:hAnsi="Arial" w:eastAsia="楷体_GB2312" w:cs="宋体"/>
      <w:sz w:val="24"/>
    </w:rPr>
  </w:style>
  <w:style w:type="paragraph" w:customStyle="1" w:styleId="282">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283">
    <w:name w:val="正文缩"/>
    <w:basedOn w:val="1"/>
    <w:link w:val="457"/>
    <w:qFormat/>
    <w:uiPriority w:val="0"/>
    <w:pPr>
      <w:spacing w:line="360" w:lineRule="auto"/>
      <w:ind w:firstLine="200" w:firstLineChars="200"/>
    </w:pPr>
    <w:rPr>
      <w:rFonts w:ascii="Times New Roman" w:hAnsi="Times New Roman" w:eastAsia="楷体_GB2312"/>
      <w:sz w:val="24"/>
    </w:rPr>
  </w:style>
  <w:style w:type="paragraph" w:customStyle="1" w:styleId="284">
    <w:name w:val="xl1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285">
    <w:name w:val="Test2"/>
    <w:basedOn w:val="2"/>
    <w:qFormat/>
    <w:uiPriority w:val="0"/>
    <w:pPr>
      <w:widowControl/>
      <w:numPr>
        <w:numId w:val="0"/>
      </w:numPr>
      <w:tabs>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286">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287">
    <w:name w:val="xl63"/>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88">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89">
    <w:name w:val="Char Char Char1 Char Char Char1 Char"/>
    <w:basedOn w:val="1"/>
    <w:qFormat/>
    <w:uiPriority w:val="0"/>
    <w:pPr>
      <w:tabs>
        <w:tab w:val="left" w:pos="360"/>
      </w:tabs>
    </w:pPr>
    <w:rPr>
      <w:sz w:val="24"/>
    </w:rPr>
  </w:style>
  <w:style w:type="paragraph" w:customStyle="1" w:styleId="290">
    <w:name w:val="Char2"/>
    <w:basedOn w:val="1"/>
    <w:qFormat/>
    <w:uiPriority w:val="0"/>
    <w:rPr>
      <w:rFonts w:ascii="仿宋_GB2312" w:hAnsi="仿宋_GB2312" w:eastAsia="仿宋_GB2312" w:cs="Lucida Sans"/>
      <w:b/>
      <w:sz w:val="32"/>
      <w:szCs w:val="32"/>
    </w:rPr>
  </w:style>
  <w:style w:type="paragraph" w:customStyle="1" w:styleId="291">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292">
    <w:name w:val="5 Char"/>
    <w:basedOn w:val="1"/>
    <w:qFormat/>
    <w:uiPriority w:val="0"/>
    <w:rPr>
      <w:rFonts w:eastAsia="楷体_GB2312"/>
    </w:rPr>
  </w:style>
  <w:style w:type="paragraph" w:customStyle="1" w:styleId="293">
    <w:name w:val="样式 首行缩进:  2 字符"/>
    <w:basedOn w:val="1"/>
    <w:qFormat/>
    <w:uiPriority w:val="0"/>
    <w:pPr>
      <w:snapToGrid w:val="0"/>
      <w:spacing w:line="360" w:lineRule="auto"/>
    </w:pPr>
    <w:rPr>
      <w:rFonts w:ascii="仿宋_GB2312" w:hAnsi="宋体" w:eastAsia="仿宋_GB2312"/>
      <w:color w:val="000000"/>
      <w:kern w:val="0"/>
      <w:sz w:val="28"/>
      <w:szCs w:val="20"/>
    </w:rPr>
  </w:style>
  <w:style w:type="paragraph" w:customStyle="1" w:styleId="294">
    <w:name w:val="哈哈正文"/>
    <w:basedOn w:val="1"/>
    <w:link w:val="501"/>
    <w:qFormat/>
    <w:uiPriority w:val="0"/>
    <w:pPr>
      <w:spacing w:line="360" w:lineRule="auto"/>
      <w:ind w:firstLine="200" w:firstLineChars="200"/>
    </w:pPr>
    <w:rPr>
      <w:rFonts w:ascii="宋体" w:hAnsi="宋体"/>
      <w:sz w:val="24"/>
      <w:szCs w:val="20"/>
    </w:rPr>
  </w:style>
  <w:style w:type="paragraph" w:customStyle="1" w:styleId="295">
    <w:name w:val="网格型1"/>
    <w:qFormat/>
    <w:uiPriority w:val="0"/>
    <w:rPr>
      <w:rFonts w:ascii="Cambria" w:hAnsi="Cambria" w:eastAsia="Cambria" w:cs="Cambria"/>
      <w:color w:val="000000"/>
      <w:sz w:val="24"/>
      <w:szCs w:val="24"/>
      <w:lang w:val="en-US" w:eastAsia="zh-CN" w:bidi="ar-SA"/>
    </w:rPr>
  </w:style>
  <w:style w:type="paragraph" w:customStyle="1" w:styleId="296">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297">
    <w:name w:val="jd-正文1"/>
    <w:basedOn w:val="1"/>
    <w:qFormat/>
    <w:uiPriority w:val="0"/>
    <w:pPr>
      <w:widowControl/>
      <w:spacing w:line="360" w:lineRule="auto"/>
      <w:ind w:firstLine="482" w:firstLineChars="200"/>
    </w:pPr>
    <w:rPr>
      <w:rFonts w:ascii="宋体" w:hAnsi="宋体" w:cs="宋体"/>
      <w:sz w:val="24"/>
      <w:szCs w:val="20"/>
    </w:rPr>
  </w:style>
  <w:style w:type="paragraph" w:customStyle="1" w:styleId="298">
    <w:name w:val="大标题"/>
    <w:basedOn w:val="1"/>
    <w:next w:val="1"/>
    <w:qFormat/>
    <w:uiPriority w:val="0"/>
    <w:pPr>
      <w:pageBreakBefore/>
      <w:tabs>
        <w:tab w:val="left" w:pos="900"/>
      </w:tabs>
      <w:spacing w:line="360" w:lineRule="auto"/>
      <w:ind w:hanging="420" w:firstLineChars="200"/>
      <w:outlineLvl w:val="0"/>
    </w:pPr>
    <w:rPr>
      <w:b/>
      <w:iCs/>
      <w:sz w:val="44"/>
    </w:rPr>
  </w:style>
  <w:style w:type="paragraph" w:customStyle="1" w:styleId="299">
    <w:name w:val="彩色列表 - 强调文字颜色 11"/>
    <w:basedOn w:val="1"/>
    <w:qFormat/>
    <w:uiPriority w:val="34"/>
    <w:pPr>
      <w:ind w:firstLine="420" w:firstLineChars="200"/>
    </w:pPr>
  </w:style>
  <w:style w:type="paragraph" w:customStyle="1" w:styleId="300">
    <w:name w:val="xl140"/>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301">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30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303">
    <w:name w:val="Char Char Char Char Char Char Char"/>
    <w:basedOn w:val="1"/>
    <w:semiHidden/>
    <w:qFormat/>
    <w:uiPriority w:val="0"/>
    <w:pPr>
      <w:spacing w:line="360" w:lineRule="auto"/>
      <w:ind w:firstLine="480" w:firstLineChars="200"/>
    </w:pPr>
    <w:rPr>
      <w:rFonts w:ascii="Tahoma" w:hAnsi="Tahoma" w:cs="宋体"/>
      <w:sz w:val="24"/>
      <w:szCs w:val="20"/>
    </w:rPr>
  </w:style>
  <w:style w:type="paragraph" w:customStyle="1" w:styleId="304">
    <w:name w:val="gf正文1"/>
    <w:basedOn w:val="1"/>
    <w:link w:val="466"/>
    <w:qFormat/>
    <w:uiPriority w:val="0"/>
    <w:pPr>
      <w:adjustRightInd w:val="0"/>
      <w:snapToGrid w:val="0"/>
      <w:spacing w:before="156" w:beforeLines="50" w:line="360" w:lineRule="auto"/>
      <w:ind w:firstLine="480" w:firstLineChars="200"/>
    </w:pPr>
    <w:rPr>
      <w:rFonts w:ascii="宋体" w:hAnsi="宋体"/>
      <w:sz w:val="24"/>
      <w:szCs w:val="20"/>
    </w:rPr>
  </w:style>
  <w:style w:type="paragraph" w:customStyle="1" w:styleId="305">
    <w:name w:val="文档正文"/>
    <w:basedOn w:val="1"/>
    <w:qFormat/>
    <w:uiPriority w:val="0"/>
    <w:pPr>
      <w:adjustRightInd w:val="0"/>
      <w:spacing w:line="480" w:lineRule="atLeast"/>
      <w:ind w:firstLine="567"/>
      <w:textAlignment w:val="baseline"/>
    </w:pPr>
    <w:rPr>
      <w:kern w:val="0"/>
      <w:sz w:val="24"/>
      <w:szCs w:val="20"/>
    </w:rPr>
  </w:style>
  <w:style w:type="paragraph" w:customStyle="1" w:styleId="306">
    <w:name w:val="p1"/>
    <w:qFormat/>
    <w:uiPriority w:val="0"/>
    <w:pPr>
      <w:spacing w:line="320" w:lineRule="atLeast"/>
    </w:pPr>
    <w:rPr>
      <w:rFonts w:ascii="Helvetica Neue" w:hAnsi="Helvetica Neue" w:eastAsia="Helvetica Neue" w:cs="Times New Roman"/>
      <w:color w:val="000000"/>
      <w:sz w:val="22"/>
      <w:szCs w:val="22"/>
      <w:lang w:val="en-US" w:eastAsia="zh-CN" w:bidi="ar-SA"/>
    </w:rPr>
  </w:style>
  <w:style w:type="paragraph" w:customStyle="1" w:styleId="307">
    <w:name w:val="Table Paragraph"/>
    <w:basedOn w:val="1"/>
    <w:qFormat/>
    <w:uiPriority w:val="0"/>
    <w:rPr>
      <w:rFonts w:ascii="宋体" w:hAnsi="宋体" w:cs="宋体"/>
      <w:lang w:val="zh-CN" w:bidi="zh-CN"/>
    </w:rPr>
  </w:style>
  <w:style w:type="paragraph" w:customStyle="1" w:styleId="308">
    <w:name w:val="段 1"/>
    <w:basedOn w:val="1"/>
    <w:qFormat/>
    <w:uiPriority w:val="0"/>
    <w:pPr>
      <w:spacing w:line="360" w:lineRule="auto"/>
    </w:pPr>
    <w:rPr>
      <w:rFonts w:eastAsia="楷体_GB2312"/>
      <w:b/>
      <w:bCs/>
      <w:sz w:val="24"/>
    </w:rPr>
  </w:style>
  <w:style w:type="paragraph" w:customStyle="1" w:styleId="309">
    <w:name w:val="默认段落字体 Para Char Char Char1 Char"/>
    <w:basedOn w:val="1"/>
    <w:next w:val="1"/>
    <w:qFormat/>
    <w:uiPriority w:val="0"/>
    <w:pPr>
      <w:spacing w:line="240" w:lineRule="atLeast"/>
      <w:ind w:left="420" w:firstLine="420"/>
      <w:jc w:val="left"/>
    </w:pPr>
    <w:rPr>
      <w:kern w:val="0"/>
      <w:szCs w:val="21"/>
    </w:rPr>
  </w:style>
  <w:style w:type="paragraph" w:customStyle="1" w:styleId="31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11">
    <w:name w:val="样式 样式 首行缩进:  0.74 厘米 行距: 1.5 倍行距 + 段后: 0.5 行"/>
    <w:basedOn w:val="1"/>
    <w:qFormat/>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312">
    <w:name w:val="中文标题 3"/>
    <w:basedOn w:val="31"/>
    <w:qFormat/>
    <w:uiPriority w:val="0"/>
    <w:pPr>
      <w:spacing w:before="100" w:beforeAutospacing="1" w:after="100" w:afterAutospacing="1" w:line="360" w:lineRule="auto"/>
      <w:ind w:firstLine="482"/>
    </w:pPr>
    <w:rPr>
      <w:rFonts w:ascii="Times New Roman" w:hAnsi="Times New Roman" w:eastAsia="楷体_GB2312"/>
      <w:kern w:val="28"/>
      <w:sz w:val="24"/>
      <w:szCs w:val="24"/>
    </w:rPr>
  </w:style>
  <w:style w:type="paragraph" w:customStyle="1" w:styleId="31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314">
    <w:name w:val="样式 标题 3标题 3 Char第二层条h33Bold Headbh章标题1小标题level_3PIM 3..."/>
    <w:basedOn w:val="5"/>
    <w:qFormat/>
    <w:uiPriority w:val="0"/>
    <w:pPr>
      <w:widowControl w:val="0"/>
      <w:numPr>
        <w:numId w:val="0"/>
      </w:numPr>
      <w:adjustRightInd w:val="0"/>
      <w:snapToGrid w:val="0"/>
      <w:spacing w:before="0" w:after="0"/>
      <w:jc w:val="both"/>
    </w:pPr>
    <w:rPr>
      <w:rFonts w:ascii="黑体" w:hAnsi="宋体" w:eastAsia="黑体"/>
      <w:b w:val="0"/>
      <w:color w:val="000000"/>
      <w:sz w:val="28"/>
      <w:szCs w:val="20"/>
    </w:rPr>
  </w:style>
  <w:style w:type="paragraph" w:customStyle="1" w:styleId="315">
    <w:name w:val="font11"/>
    <w:basedOn w:val="1"/>
    <w:qFormat/>
    <w:uiPriority w:val="0"/>
    <w:pPr>
      <w:widowControl/>
      <w:spacing w:before="100" w:beforeAutospacing="1" w:after="100" w:afterAutospacing="1"/>
      <w:jc w:val="left"/>
    </w:pPr>
    <w:rPr>
      <w:rFonts w:ascii="宋体" w:hAnsi="宋体"/>
      <w:color w:val="FF0000"/>
      <w:kern w:val="0"/>
      <w:sz w:val="18"/>
      <w:szCs w:val="20"/>
    </w:rPr>
  </w:style>
  <w:style w:type="paragraph" w:customStyle="1" w:styleId="316">
    <w:name w:val="模板普通正文"/>
    <w:basedOn w:val="31"/>
    <w:qFormat/>
    <w:uiPriority w:val="0"/>
    <w:pPr>
      <w:spacing w:before="156" w:beforeLines="50" w:after="10" w:line="360" w:lineRule="auto"/>
      <w:ind w:firstLine="490" w:firstLineChars="175"/>
      <w:jc w:val="left"/>
    </w:pPr>
    <w:rPr>
      <w:rFonts w:ascii="Times New Roman" w:hAnsi="Times New Roman" w:eastAsia="楷体_GB2312"/>
      <w:sz w:val="24"/>
      <w:szCs w:val="24"/>
    </w:rPr>
  </w:style>
  <w:style w:type="paragraph" w:customStyle="1" w:styleId="317">
    <w:name w:val="哈哈改"/>
    <w:basedOn w:val="294"/>
    <w:link w:val="474"/>
    <w:qFormat/>
    <w:uiPriority w:val="0"/>
    <w:pPr>
      <w:ind w:firstLine="480"/>
    </w:pPr>
    <w:rPr>
      <w:b/>
      <w:szCs w:val="24"/>
    </w:rPr>
  </w:style>
  <w:style w:type="paragraph" w:customStyle="1" w:styleId="318">
    <w:name w:val="样式 样式 我的正文首行缩进 + 首行缩进:  2 字符 + 首行缩进:  2 字符 Char Char Char Char Char Char Char Char Char Char Char Char"/>
    <w:basedOn w:val="1"/>
    <w:qFormat/>
    <w:uiPriority w:val="0"/>
    <w:pPr>
      <w:widowControl/>
      <w:spacing w:after="120"/>
      <w:ind w:firstLine="200" w:firstLineChars="200"/>
      <w:jc w:val="left"/>
    </w:pPr>
    <w:rPr>
      <w:rFonts w:eastAsia="华文细黑"/>
      <w:kern w:val="0"/>
      <w:sz w:val="24"/>
    </w:rPr>
  </w:style>
  <w:style w:type="paragraph" w:customStyle="1" w:styleId="319">
    <w:name w:val="_Style 317"/>
    <w:basedOn w:val="4"/>
    <w:next w:val="1"/>
    <w:qFormat/>
    <w:uiPriority w:val="0"/>
    <w:pPr>
      <w:keepLines/>
      <w:spacing w:before="480" w:line="276" w:lineRule="auto"/>
      <w:jc w:val="left"/>
      <w:outlineLvl w:val="9"/>
    </w:pPr>
    <w:rPr>
      <w:rFonts w:ascii="Cambria" w:hAnsi="Cambria"/>
      <w:bCs/>
      <w:color w:val="365F91"/>
      <w:kern w:val="0"/>
      <w:sz w:val="28"/>
    </w:rPr>
  </w:style>
  <w:style w:type="paragraph" w:customStyle="1" w:styleId="320">
    <w:name w:val="Char Char Char Char2"/>
    <w:basedOn w:val="1"/>
    <w:qFormat/>
    <w:uiPriority w:val="0"/>
    <w:rPr>
      <w:rFonts w:ascii="Tahoma" w:hAnsi="Tahoma"/>
      <w:sz w:val="24"/>
      <w:szCs w:val="20"/>
    </w:rPr>
  </w:style>
  <w:style w:type="paragraph" w:customStyle="1" w:styleId="321">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322">
    <w:name w:val="xl138"/>
    <w:basedOn w:val="1"/>
    <w:qFormat/>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23">
    <w:name w:val="首行缩进"/>
    <w:basedOn w:val="1"/>
    <w:qFormat/>
    <w:uiPriority w:val="0"/>
    <w:pPr>
      <w:numPr>
        <w:ilvl w:val="0"/>
        <w:numId w:val="7"/>
      </w:numPr>
      <w:spacing w:line="360" w:lineRule="auto"/>
    </w:pPr>
    <w:rPr>
      <w:rFonts w:eastAsia="仿宋_GB2312"/>
    </w:rPr>
  </w:style>
  <w:style w:type="paragraph" w:customStyle="1" w:styleId="32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32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26">
    <w:name w:val="pa-67"/>
    <w:basedOn w:val="1"/>
    <w:qFormat/>
    <w:uiPriority w:val="0"/>
    <w:pPr>
      <w:widowControl/>
      <w:spacing w:line="360" w:lineRule="atLeast"/>
      <w:ind w:firstLine="480"/>
      <w:jc w:val="center"/>
    </w:pPr>
    <w:rPr>
      <w:rFonts w:ascii="宋体" w:hAnsi="宋体" w:cs="宋体"/>
      <w:kern w:val="0"/>
      <w:sz w:val="24"/>
    </w:rPr>
  </w:style>
  <w:style w:type="paragraph" w:customStyle="1" w:styleId="327">
    <w:name w:val="xl13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32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29">
    <w:name w:val="无间隔11"/>
    <w:qFormat/>
    <w:uiPriority w:val="0"/>
    <w:rPr>
      <w:rFonts w:ascii="Times New Roman" w:hAnsi="Times New Roman" w:eastAsia="??" w:cs="宋体"/>
      <w:sz w:val="22"/>
      <w:szCs w:val="22"/>
      <w:lang w:val="en-US" w:eastAsia="en-US" w:bidi="ar-SA"/>
    </w:rPr>
  </w:style>
  <w:style w:type="paragraph" w:customStyle="1" w:styleId="330">
    <w:name w:val="Char Char1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1">
    <w:name w:val="正文6"/>
    <w:basedOn w:val="1"/>
    <w:qFormat/>
    <w:uiPriority w:val="0"/>
    <w:pPr>
      <w:numPr>
        <w:ilvl w:val="0"/>
        <w:numId w:val="8"/>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33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3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34">
    <w:name w:val="Char Char1 Char Char Char"/>
    <w:basedOn w:val="1"/>
    <w:qFormat/>
    <w:uiPriority w:val="0"/>
    <w:rPr>
      <w:rFonts w:ascii="仿宋_GB2312" w:eastAsia="仿宋_GB2312"/>
      <w:b/>
      <w:sz w:val="32"/>
      <w:szCs w:val="20"/>
    </w:rPr>
  </w:style>
  <w:style w:type="paragraph" w:customStyle="1" w:styleId="335">
    <w:name w:val="Char Char Char1 Char"/>
    <w:basedOn w:val="1"/>
    <w:qFormat/>
    <w:uiPriority w:val="0"/>
    <w:rPr>
      <w:szCs w:val="20"/>
    </w:rPr>
  </w:style>
  <w:style w:type="paragraph" w:customStyle="1" w:styleId="336">
    <w:name w:val="xl9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7">
    <w:name w:val="标准正文"/>
    <w:basedOn w:val="1"/>
    <w:link w:val="458"/>
    <w:qFormat/>
    <w:uiPriority w:val="0"/>
    <w:pPr>
      <w:spacing w:line="360" w:lineRule="auto"/>
      <w:ind w:firstLine="480" w:firstLineChars="200"/>
    </w:pPr>
    <w:rPr>
      <w:rFonts w:ascii="Times New Roman" w:hAnsi="Times New Roman"/>
      <w:kern w:val="0"/>
      <w:sz w:val="24"/>
      <w:szCs w:val="20"/>
    </w:rPr>
  </w:style>
  <w:style w:type="paragraph" w:customStyle="1" w:styleId="338">
    <w:name w:val="4"/>
    <w:basedOn w:val="1"/>
    <w:next w:val="46"/>
    <w:qFormat/>
    <w:uiPriority w:val="0"/>
    <w:pPr>
      <w:spacing w:after="120" w:line="480" w:lineRule="auto"/>
      <w:ind w:left="420" w:leftChars="200"/>
    </w:pPr>
    <w:rPr>
      <w:sz w:val="24"/>
      <w:szCs w:val="20"/>
    </w:rPr>
  </w:style>
  <w:style w:type="paragraph" w:customStyle="1" w:styleId="339">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340">
    <w:name w:val="样式 样式 标书正文 + 首行缩进:  0.01 字符 + 首行缩进:  0.01 字符"/>
    <w:basedOn w:val="1"/>
    <w:link w:val="483"/>
    <w:qFormat/>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paragraph" w:customStyle="1" w:styleId="341">
    <w:name w:val="font10"/>
    <w:basedOn w:val="1"/>
    <w:qFormat/>
    <w:uiPriority w:val="0"/>
    <w:pPr>
      <w:widowControl/>
      <w:spacing w:before="100" w:beforeAutospacing="1" w:after="100" w:afterAutospacing="1"/>
      <w:jc w:val="left"/>
    </w:pPr>
    <w:rPr>
      <w:rFonts w:ascii="Arial" w:hAnsi="Arial"/>
      <w:kern w:val="0"/>
      <w:sz w:val="18"/>
      <w:szCs w:val="20"/>
    </w:rPr>
  </w:style>
  <w:style w:type="paragraph" w:customStyle="1" w:styleId="342">
    <w:name w:val="普通段落"/>
    <w:basedOn w:val="1"/>
    <w:qFormat/>
    <w:uiPriority w:val="0"/>
    <w:pPr>
      <w:adjustRightInd w:val="0"/>
      <w:snapToGrid w:val="0"/>
      <w:spacing w:line="360" w:lineRule="auto"/>
      <w:ind w:firstLine="480" w:firstLineChars="200"/>
    </w:pPr>
    <w:rPr>
      <w:sz w:val="24"/>
      <w:szCs w:val="20"/>
    </w:rPr>
  </w:style>
  <w:style w:type="paragraph" w:customStyle="1" w:styleId="343">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44">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345">
    <w:name w:val="Char2 Char Char Char"/>
    <w:basedOn w:val="1"/>
    <w:qFormat/>
    <w:uiPriority w:val="0"/>
    <w:rPr>
      <w:rFonts w:ascii="仿宋_GB2312" w:eastAsia="仿宋_GB2312"/>
      <w:b/>
      <w:sz w:val="32"/>
      <w:szCs w:val="32"/>
    </w:rPr>
  </w:style>
  <w:style w:type="paragraph" w:customStyle="1" w:styleId="3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347">
    <w:name w:val="List Paragraph1"/>
    <w:basedOn w:val="1"/>
    <w:qFormat/>
    <w:uiPriority w:val="0"/>
    <w:pPr>
      <w:ind w:firstLine="420" w:firstLineChars="200"/>
    </w:pPr>
    <w:rPr>
      <w:szCs w:val="20"/>
    </w:rPr>
  </w:style>
  <w:style w:type="paragraph" w:customStyle="1" w:styleId="348">
    <w:name w:val="xl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349">
    <w:name w:val="Normal_3"/>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350">
    <w:name w:val="正文缩进1"/>
    <w:basedOn w:val="1"/>
    <w:next w:val="31"/>
    <w:qFormat/>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351">
    <w:name w:val="Char1"/>
    <w:basedOn w:val="1"/>
    <w:qFormat/>
    <w:uiPriority w:val="0"/>
    <w:rPr>
      <w:rFonts w:ascii="??_GB2312" w:hAnsi="??_GB2312" w:eastAsia="??_GB2312" w:cs="宋体"/>
      <w:b/>
      <w:sz w:val="32"/>
      <w:szCs w:val="32"/>
    </w:rPr>
  </w:style>
  <w:style w:type="paragraph" w:customStyle="1" w:styleId="352">
    <w:name w:val="0"/>
    <w:basedOn w:val="1"/>
    <w:qFormat/>
    <w:uiPriority w:val="0"/>
    <w:pPr>
      <w:widowControl/>
    </w:pPr>
    <w:rPr>
      <w:kern w:val="0"/>
      <w:sz w:val="24"/>
      <w:szCs w:val="20"/>
    </w:rPr>
  </w:style>
  <w:style w:type="paragraph" w:customStyle="1" w:styleId="353">
    <w:name w:val="样式 正文首行缩进 + 首行缩进:  1 字符"/>
    <w:basedOn w:val="76"/>
    <w:qFormat/>
    <w:uiPriority w:val="0"/>
    <w:pPr>
      <w:widowControl/>
      <w:adjustRightInd/>
      <w:spacing w:after="120" w:line="240" w:lineRule="auto"/>
      <w:ind w:firstLine="200" w:firstLineChars="200"/>
      <w:jc w:val="left"/>
    </w:pPr>
    <w:rPr>
      <w:rFonts w:ascii="Times New Roman" w:eastAsia="华文细黑"/>
      <w:kern w:val="0"/>
      <w:szCs w:val="24"/>
      <w:lang w:val="en-US"/>
    </w:rPr>
  </w:style>
  <w:style w:type="paragraph" w:customStyle="1" w:styleId="354">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355">
    <w:name w:val="样式 正文文本缩进 + 左侧:  0.63 厘米 首行缩进:  0 厘米"/>
    <w:basedOn w:val="31"/>
    <w:qFormat/>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356">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57">
    <w:name w:val="xl142"/>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358">
    <w:name w:val="paragraph1"/>
    <w:basedOn w:val="1"/>
    <w:qFormat/>
    <w:uiPriority w:val="0"/>
    <w:pPr>
      <w:spacing w:beforeLines="20" w:afterLines="30" w:line="360" w:lineRule="auto"/>
      <w:ind w:firstLine="200" w:firstLineChars="200"/>
    </w:pPr>
    <w:rPr>
      <w:sz w:val="24"/>
    </w:rPr>
  </w:style>
  <w:style w:type="paragraph" w:customStyle="1" w:styleId="359">
    <w:name w:val="Char Char Char Char Char Char Char Char Char Char1"/>
    <w:basedOn w:val="1"/>
    <w:qFormat/>
    <w:uiPriority w:val="0"/>
    <w:rPr>
      <w:rFonts w:ascii="仿宋_GB2312" w:eastAsia="仿宋_GB2312"/>
      <w:b/>
      <w:sz w:val="32"/>
      <w:szCs w:val="20"/>
    </w:rPr>
  </w:style>
  <w:style w:type="paragraph" w:customStyle="1" w:styleId="360">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3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362">
    <w:name w:val="中文标题 4"/>
    <w:basedOn w:val="31"/>
    <w:qFormat/>
    <w:uiPriority w:val="0"/>
    <w:pPr>
      <w:spacing w:before="100" w:beforeAutospacing="1" w:after="100" w:afterAutospacing="1" w:line="360" w:lineRule="auto"/>
      <w:ind w:firstLine="482"/>
    </w:pPr>
    <w:rPr>
      <w:rFonts w:ascii="Times New Roman" w:hAnsi="Times New Roman" w:eastAsia="楷体_GB2312"/>
      <w:kern w:val="28"/>
      <w:sz w:val="24"/>
      <w:szCs w:val="24"/>
    </w:rPr>
  </w:style>
  <w:style w:type="paragraph" w:customStyle="1" w:styleId="363">
    <w:name w:val="样式 正文文本缩进 + 仿宋_GB2312 四号"/>
    <w:basedOn w:val="1"/>
    <w:next w:val="8"/>
    <w:qFormat/>
    <w:uiPriority w:val="0"/>
    <w:pPr>
      <w:widowControl/>
      <w:spacing w:line="360" w:lineRule="auto"/>
      <w:jc w:val="left"/>
    </w:pPr>
    <w:rPr>
      <w:rFonts w:ascii="宋体" w:hAnsi="宋体" w:cs="宋体"/>
      <w:b/>
      <w:snapToGrid w:val="0"/>
      <w:kern w:val="0"/>
      <w:sz w:val="28"/>
      <w:szCs w:val="28"/>
    </w:rPr>
  </w:style>
  <w:style w:type="paragraph" w:customStyle="1" w:styleId="36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65">
    <w:name w:val="Char Char Char Char Char Char Char1"/>
    <w:basedOn w:val="1"/>
    <w:qFormat/>
    <w:uiPriority w:val="0"/>
    <w:rPr>
      <w:rFonts w:ascii="仿宋_GB2312" w:eastAsia="仿宋_GB2312"/>
      <w:b/>
      <w:sz w:val="32"/>
      <w:szCs w:val="20"/>
    </w:rPr>
  </w:style>
  <w:style w:type="paragraph" w:customStyle="1" w:styleId="366">
    <w:name w:val="默认段落字体 Para Char Char Char Char Char Char Char"/>
    <w:basedOn w:val="1"/>
    <w:qFormat/>
    <w:uiPriority w:val="0"/>
    <w:rPr>
      <w:rFonts w:eastAsia="仿宋_GB2312"/>
      <w:sz w:val="28"/>
      <w:szCs w:val="20"/>
    </w:rPr>
  </w:style>
  <w:style w:type="paragraph" w:customStyle="1" w:styleId="367">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368">
    <w:name w:val="word"/>
    <w:basedOn w:val="1"/>
    <w:qFormat/>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369">
    <w:name w:val="公文标2级"/>
    <w:basedOn w:val="1"/>
    <w:qFormat/>
    <w:uiPriority w:val="0"/>
    <w:rPr>
      <w:rFonts w:ascii="楷体_GB2312" w:hAnsi="楷体_GB2312" w:eastAsia="楷体" w:cs="楷体"/>
      <w:color w:val="000000"/>
      <w:kern w:val="1"/>
      <w:sz w:val="32"/>
    </w:rPr>
  </w:style>
  <w:style w:type="paragraph" w:customStyle="1" w:styleId="370">
    <w:name w:val="xl145"/>
    <w:basedOn w:val="1"/>
    <w:qFormat/>
    <w:uiPriority w:val="0"/>
    <w:pPr>
      <w:widowControl/>
      <w:spacing w:before="100" w:beforeAutospacing="1" w:after="100" w:afterAutospacing="1"/>
      <w:jc w:val="left"/>
    </w:pPr>
    <w:rPr>
      <w:rFonts w:ascii="宋体" w:hAnsi="宋体" w:cs="宋体"/>
      <w:kern w:val="0"/>
      <w:sz w:val="24"/>
    </w:rPr>
  </w:style>
  <w:style w:type="paragraph" w:customStyle="1" w:styleId="371">
    <w:name w:val="font9"/>
    <w:basedOn w:val="1"/>
    <w:qFormat/>
    <w:uiPriority w:val="0"/>
    <w:pPr>
      <w:widowControl/>
      <w:spacing w:before="100" w:beforeAutospacing="1" w:after="100" w:afterAutospacing="1"/>
      <w:jc w:val="left"/>
    </w:pPr>
    <w:rPr>
      <w:kern w:val="0"/>
      <w:sz w:val="18"/>
      <w:szCs w:val="20"/>
    </w:rPr>
  </w:style>
  <w:style w:type="paragraph" w:customStyle="1" w:styleId="372">
    <w:name w:val="样式4"/>
    <w:basedOn w:val="1"/>
    <w:qFormat/>
    <w:uiPriority w:val="0"/>
    <w:pPr>
      <w:widowControl/>
      <w:spacing w:line="360" w:lineRule="auto"/>
      <w:ind w:firstLine="480"/>
      <w:jc w:val="left"/>
    </w:pPr>
    <w:rPr>
      <w:rFonts w:eastAsia="楷体_GB2312" w:cs="宋体"/>
      <w:color w:val="000000"/>
      <w:sz w:val="24"/>
    </w:rPr>
  </w:style>
  <w:style w:type="paragraph" w:customStyle="1" w:styleId="373">
    <w:name w:val="列出段落2"/>
    <w:basedOn w:val="1"/>
    <w:qFormat/>
    <w:uiPriority w:val="0"/>
    <w:pPr>
      <w:ind w:firstLine="420" w:firstLineChars="200"/>
    </w:pPr>
    <w:rPr>
      <w:rFonts w:ascii="Calibri" w:hAnsi="Calibri"/>
      <w:szCs w:val="22"/>
    </w:rPr>
  </w:style>
  <w:style w:type="paragraph" w:customStyle="1" w:styleId="37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375">
    <w:name w:val="正文蓝"/>
    <w:basedOn w:val="1"/>
    <w:qFormat/>
    <w:uiPriority w:val="0"/>
    <w:pPr>
      <w:spacing w:before="156" w:line="360" w:lineRule="auto"/>
      <w:ind w:firstLine="360" w:firstLineChars="200"/>
    </w:pPr>
    <w:rPr>
      <w:rFonts w:ascii="仿宋_GB2312" w:eastAsia="仿宋_GB2312"/>
      <w:color w:val="000080"/>
      <w:sz w:val="24"/>
      <w:szCs w:val="20"/>
    </w:rPr>
  </w:style>
  <w:style w:type="paragraph" w:customStyle="1" w:styleId="376">
    <w:name w:val="Char Char Char Char Char Char Char Char Char Char Char Char Char Char Char Char Char Char Char Char Char Char Char Char Char1"/>
    <w:basedOn w:val="1"/>
    <w:qFormat/>
    <w:uiPriority w:val="0"/>
    <w:rPr>
      <w:rFonts w:ascii="Tahoma" w:hAnsi="Tahoma" w:eastAsia="??" w:cs="Tahoma"/>
      <w:sz w:val="24"/>
      <w:szCs w:val="28"/>
    </w:rPr>
  </w:style>
  <w:style w:type="paragraph" w:customStyle="1" w:styleId="377">
    <w:name w:val="xl126"/>
    <w:basedOn w:val="1"/>
    <w:qFormat/>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378">
    <w:name w:val="xl98"/>
    <w:basedOn w:val="1"/>
    <w:qFormat/>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379">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80">
    <w:name w:val="编号 2"/>
    <w:basedOn w:val="381"/>
    <w:qFormat/>
    <w:uiPriority w:val="0"/>
    <w:pPr>
      <w:tabs>
        <w:tab w:val="left" w:pos="1320"/>
        <w:tab w:val="left" w:pos="1560"/>
      </w:tabs>
      <w:ind w:left="-80"/>
    </w:pPr>
    <w:rPr>
      <w:szCs w:val="20"/>
    </w:rPr>
  </w:style>
  <w:style w:type="paragraph" w:customStyle="1" w:styleId="381">
    <w:name w:val="编号 1"/>
    <w:basedOn w:val="1"/>
    <w:qFormat/>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382">
    <w:name w:val="Char Char Char1"/>
    <w:basedOn w:val="1"/>
    <w:qFormat/>
    <w:uiPriority w:val="0"/>
    <w:pPr>
      <w:adjustRightInd w:val="0"/>
      <w:spacing w:line="312" w:lineRule="atLeast"/>
      <w:textAlignment w:val="baseline"/>
    </w:pPr>
    <w:rPr>
      <w:rFonts w:ascii="Tahoma" w:hAnsi="Tahoma"/>
      <w:b/>
      <w:kern w:val="0"/>
      <w:sz w:val="28"/>
      <w:szCs w:val="20"/>
    </w:rPr>
  </w:style>
  <w:style w:type="paragraph" w:customStyle="1" w:styleId="383">
    <w:name w:val="a1"/>
    <w:basedOn w:val="1"/>
    <w:qFormat/>
    <w:uiPriority w:val="0"/>
    <w:pPr>
      <w:widowControl/>
      <w:spacing w:line="300" w:lineRule="atLeast"/>
      <w:jc w:val="left"/>
    </w:pPr>
    <w:rPr>
      <w:rFonts w:ascii="宋体" w:hAnsi="宋体"/>
      <w:kern w:val="0"/>
      <w:sz w:val="18"/>
      <w:szCs w:val="20"/>
    </w:rPr>
  </w:style>
  <w:style w:type="paragraph" w:customStyle="1" w:styleId="384">
    <w:name w:val="正文 首行缩进2字符"/>
    <w:basedOn w:val="1"/>
    <w:qFormat/>
    <w:uiPriority w:val="0"/>
    <w:pPr>
      <w:spacing w:line="360" w:lineRule="auto"/>
      <w:ind w:firstLine="200" w:firstLineChars="200"/>
    </w:pPr>
    <w:rPr>
      <w:rFonts w:eastAsia="楷体_GB2312"/>
      <w:sz w:val="24"/>
      <w:szCs w:val="20"/>
    </w:rPr>
  </w:style>
  <w:style w:type="paragraph" w:customStyle="1" w:styleId="385">
    <w:name w:val="正文规范1"/>
    <w:basedOn w:val="1"/>
    <w:qFormat/>
    <w:uiPriority w:val="0"/>
    <w:pPr>
      <w:spacing w:line="360" w:lineRule="auto"/>
      <w:ind w:firstLine="480" w:firstLineChars="200"/>
    </w:pPr>
    <w:rPr>
      <w:sz w:val="24"/>
    </w:rPr>
  </w:style>
  <w:style w:type="paragraph" w:customStyle="1" w:styleId="386">
    <w:name w:val="中文标题 1"/>
    <w:basedOn w:val="31"/>
    <w:next w:val="31"/>
    <w:qFormat/>
    <w:uiPriority w:val="0"/>
    <w:pPr>
      <w:keepNext/>
      <w:spacing w:before="156" w:beforeLines="50" w:after="100" w:afterAutospacing="1" w:line="360" w:lineRule="auto"/>
      <w:ind w:firstLine="482"/>
      <w:outlineLvl w:val="0"/>
    </w:pPr>
    <w:rPr>
      <w:rFonts w:ascii="Times New Roman" w:hAnsi="Times New Roman" w:eastAsia="楷体_GB2312"/>
      <w:kern w:val="28"/>
      <w:sz w:val="24"/>
      <w:szCs w:val="24"/>
    </w:rPr>
  </w:style>
  <w:style w:type="paragraph" w:customStyle="1" w:styleId="387">
    <w:name w:val="Char Char1 Char Char Char1"/>
    <w:basedOn w:val="1"/>
    <w:qFormat/>
    <w:uiPriority w:val="0"/>
    <w:rPr>
      <w:rFonts w:ascii="仿宋_GB2312" w:eastAsia="仿宋_GB2312"/>
      <w:b/>
      <w:sz w:val="32"/>
      <w:szCs w:val="20"/>
    </w:rPr>
  </w:style>
  <w:style w:type="paragraph" w:customStyle="1" w:styleId="388">
    <w:name w:val="xl117"/>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89">
    <w:name w:val="Char 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0">
    <w:name w:val="Char Char Char Char Char Char Char Char"/>
    <w:basedOn w:val="1"/>
    <w:qFormat/>
    <w:uiPriority w:val="0"/>
    <w:pPr>
      <w:tabs>
        <w:tab w:val="left" w:pos="360"/>
      </w:tabs>
    </w:pPr>
    <w:rPr>
      <w:sz w:val="24"/>
      <w:szCs w:val="20"/>
    </w:rPr>
  </w:style>
  <w:style w:type="paragraph" w:customStyle="1" w:styleId="391">
    <w:name w:val="样式 正文缩进 + 首行缩进:  2 字符"/>
    <w:basedOn w:val="19"/>
    <w:qFormat/>
    <w:uiPriority w:val="0"/>
    <w:pPr>
      <w:widowControl w:val="0"/>
      <w:spacing w:line="360" w:lineRule="auto"/>
      <w:ind w:firstLine="200" w:firstLineChars="200"/>
      <w:jc w:val="both"/>
    </w:pPr>
    <w:rPr>
      <w:rFonts w:eastAsia="宋体" w:cs="宋体"/>
      <w:kern w:val="2"/>
      <w:szCs w:val="20"/>
    </w:rPr>
  </w:style>
  <w:style w:type="paragraph" w:customStyle="1" w:styleId="392">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393">
    <w:name w:val="xl7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394">
    <w:name w:val="正文文本 21"/>
    <w:basedOn w:val="1"/>
    <w:qFormat/>
    <w:uiPriority w:val="0"/>
    <w:pPr>
      <w:widowControl/>
      <w:overflowPunct w:val="0"/>
      <w:autoSpaceDE w:val="0"/>
      <w:autoSpaceDN w:val="0"/>
      <w:adjustRightInd w:val="0"/>
      <w:ind w:left="720" w:hanging="720"/>
      <w:textAlignment w:val="baseline"/>
    </w:pPr>
    <w:rPr>
      <w:kern w:val="0"/>
      <w:sz w:val="24"/>
      <w:szCs w:val="20"/>
    </w:rPr>
  </w:style>
  <w:style w:type="paragraph" w:customStyle="1" w:styleId="395">
    <w:name w:val="Char Char21"/>
    <w:basedOn w:val="1"/>
    <w:qFormat/>
    <w:uiPriority w:val="0"/>
    <w:rPr>
      <w:rFonts w:ascii="仿宋_GB2312" w:eastAsia="仿宋_GB2312"/>
      <w:b/>
      <w:sz w:val="32"/>
      <w:szCs w:val="32"/>
    </w:rPr>
  </w:style>
  <w:style w:type="paragraph" w:customStyle="1" w:styleId="396">
    <w:name w:val="列出段落11"/>
    <w:basedOn w:val="1"/>
    <w:qFormat/>
    <w:uiPriority w:val="34"/>
    <w:pPr>
      <w:snapToGrid w:val="0"/>
      <w:spacing w:line="276" w:lineRule="auto"/>
      <w:ind w:firstLine="420" w:firstLineChars="200"/>
    </w:pPr>
    <w:rPr>
      <w:rFonts w:ascii="Calibri" w:hAnsi="Calibri" w:eastAsia="微软雅黑"/>
      <w:sz w:val="24"/>
      <w:szCs w:val="21"/>
    </w:rPr>
  </w:style>
  <w:style w:type="paragraph" w:customStyle="1" w:styleId="39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98">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99">
    <w:name w:val="xl95"/>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00">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401">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402">
    <w:name w:val="标题 ４"/>
    <w:basedOn w:val="5"/>
    <w:qFormat/>
    <w:uiPriority w:val="0"/>
    <w:pPr>
      <w:widowControl w:val="0"/>
      <w:numPr>
        <w:numId w:val="0"/>
      </w:numPr>
      <w:tabs>
        <w:tab w:val="left" w:pos="993"/>
        <w:tab w:val="left" w:pos="1980"/>
        <w:tab w:val="clear" w:pos="-839"/>
        <w:tab w:val="clear" w:pos="720"/>
      </w:tabs>
      <w:spacing w:before="260" w:after="260" w:line="416" w:lineRule="auto"/>
      <w:ind w:left="1980" w:hanging="420"/>
      <w:jc w:val="both"/>
    </w:pPr>
    <w:rPr>
      <w:rFonts w:eastAsia="宋体"/>
      <w:bCs/>
      <w:kern w:val="2"/>
      <w:szCs w:val="32"/>
    </w:rPr>
  </w:style>
  <w:style w:type="paragraph" w:customStyle="1" w:styleId="403">
    <w:name w:val="No Spacing1"/>
    <w:qFormat/>
    <w:uiPriority w:val="0"/>
    <w:rPr>
      <w:rFonts w:ascii="Times New Roman" w:hAnsi="Times New Roman" w:eastAsia="??" w:cs="宋体"/>
      <w:sz w:val="22"/>
      <w:szCs w:val="22"/>
      <w:lang w:val="en-US" w:eastAsia="en-US" w:bidi="ar-SA"/>
    </w:rPr>
  </w:style>
  <w:style w:type="paragraph" w:customStyle="1" w:styleId="404">
    <w:name w:val="正文 A"/>
    <w:unhideWhenUsed/>
    <w:qFormat/>
    <w:uiPriority w:val="99"/>
    <w:pPr>
      <w:widowControl w:val="0"/>
      <w:jc w:val="both"/>
    </w:pPr>
    <w:rPr>
      <w:rFonts w:hint="eastAsia" w:ascii="Arial Unicode MS" w:hAnsi="Arial Unicode MS" w:eastAsia="宋体" w:cs="Times New Roman"/>
      <w:color w:val="000000"/>
      <w:kern w:val="2"/>
      <w:sz w:val="21"/>
      <w:szCs w:val="22"/>
      <w:u w:color="000000"/>
      <w:lang w:val="en-US" w:eastAsia="zh-CN" w:bidi="ar-SA"/>
    </w:rPr>
  </w:style>
  <w:style w:type="paragraph" w:customStyle="1" w:styleId="405">
    <w:name w:val="Char12"/>
    <w:basedOn w:val="1"/>
    <w:qFormat/>
    <w:uiPriority w:val="0"/>
    <w:rPr>
      <w:rFonts w:ascii="仿宋_GB2312" w:eastAsia="仿宋_GB2312"/>
      <w:b/>
      <w:sz w:val="32"/>
      <w:szCs w:val="20"/>
    </w:rPr>
  </w:style>
  <w:style w:type="paragraph" w:customStyle="1" w:styleId="406">
    <w:name w:val="标题4"/>
    <w:basedOn w:val="1"/>
    <w:qFormat/>
    <w:uiPriority w:val="0"/>
    <w:rPr>
      <w:rFonts w:eastAsia="??_GB2312"/>
      <w:sz w:val="32"/>
      <w:szCs w:val="28"/>
    </w:rPr>
  </w:style>
  <w:style w:type="paragraph" w:customStyle="1" w:styleId="407">
    <w:name w:val="FA正文"/>
    <w:basedOn w:val="1"/>
    <w:link w:val="440"/>
    <w:qFormat/>
    <w:uiPriority w:val="0"/>
    <w:pPr>
      <w:spacing w:line="360" w:lineRule="auto"/>
      <w:ind w:firstLine="480" w:firstLineChars="200"/>
    </w:pPr>
    <w:rPr>
      <w:rFonts w:ascii="Times New Roman" w:hAnsi="宋体"/>
      <w:sz w:val="24"/>
      <w:szCs w:val="20"/>
    </w:rPr>
  </w:style>
  <w:style w:type="paragraph" w:customStyle="1" w:styleId="408">
    <w:name w:val="表名和图名"/>
    <w:basedOn w:val="20"/>
    <w:qFormat/>
    <w:uiPriority w:val="0"/>
    <w:pPr>
      <w:keepNext/>
      <w:spacing w:before="60" w:after="60"/>
      <w:jc w:val="center"/>
    </w:pPr>
    <w:rPr>
      <w:rFonts w:ascii="Times New Roman" w:hAnsi="Times New Roman" w:eastAsia="宋体"/>
      <w:sz w:val="21"/>
      <w:szCs w:val="21"/>
    </w:rPr>
  </w:style>
  <w:style w:type="paragraph" w:customStyle="1" w:styleId="409">
    <w:name w:val="列出段落5"/>
    <w:basedOn w:val="1"/>
    <w:qFormat/>
    <w:uiPriority w:val="34"/>
    <w:pPr>
      <w:ind w:firstLine="420" w:firstLineChars="200"/>
    </w:pPr>
  </w:style>
  <w:style w:type="paragraph" w:customStyle="1" w:styleId="410">
    <w:name w:val="列表段落1"/>
    <w:basedOn w:val="1"/>
    <w:qFormat/>
    <w:uiPriority w:val="34"/>
    <w:pPr>
      <w:ind w:firstLine="420" w:firstLineChars="200"/>
    </w:pPr>
  </w:style>
  <w:style w:type="paragraph" w:customStyle="1" w:styleId="411">
    <w:name w:val="列表段落2"/>
    <w:basedOn w:val="1"/>
    <w:qFormat/>
    <w:uiPriority w:val="34"/>
    <w:pPr>
      <w:ind w:firstLine="420" w:firstLineChars="200"/>
    </w:pPr>
    <w:rPr>
      <w:rFonts w:ascii="Calibri" w:hAnsi="Calibri" w:cs="黑体"/>
      <w:szCs w:val="22"/>
    </w:rPr>
  </w:style>
  <w:style w:type="character" w:customStyle="1" w:styleId="412">
    <w:name w:val="样式4 Char Char"/>
    <w:qFormat/>
    <w:uiPriority w:val="0"/>
    <w:rPr>
      <w:rFonts w:eastAsia="宋体" w:cs="宋体"/>
      <w:color w:val="000000"/>
      <w:sz w:val="24"/>
      <w:szCs w:val="24"/>
      <w:lang w:val="en-US" w:eastAsia="zh-CN" w:bidi="ar-SA"/>
    </w:rPr>
  </w:style>
  <w:style w:type="character" w:customStyle="1" w:styleId="413">
    <w:name w:val="普通文字 Char Char"/>
    <w:qFormat/>
    <w:uiPriority w:val="0"/>
    <w:rPr>
      <w:rFonts w:ascii="宋体" w:hAnsi="Courier New" w:eastAsia="宋体"/>
      <w:kern w:val="2"/>
      <w:sz w:val="21"/>
      <w:szCs w:val="21"/>
      <w:lang w:bidi="ar-SA"/>
    </w:rPr>
  </w:style>
  <w:style w:type="character" w:customStyle="1" w:styleId="414">
    <w:name w:val="pword"/>
    <w:qFormat/>
    <w:uiPriority w:val="0"/>
  </w:style>
  <w:style w:type="character" w:customStyle="1" w:styleId="415">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416">
    <w:name w:val="fonts11"/>
    <w:qFormat/>
    <w:uiPriority w:val="0"/>
    <w:rPr>
      <w:sz w:val="18"/>
      <w:szCs w:val="18"/>
    </w:rPr>
  </w:style>
  <w:style w:type="character" w:customStyle="1" w:styleId="417">
    <w:name w:val="批注文字 字符"/>
    <w:link w:val="25"/>
    <w:qFormat/>
    <w:uiPriority w:val="0"/>
    <w:rPr>
      <w:rFonts w:eastAsia="宋体" w:cs="Lucida Sans"/>
      <w:kern w:val="2"/>
      <w:sz w:val="21"/>
      <w:lang w:val="en-US" w:eastAsia="zh-CN" w:bidi="ar-SA"/>
    </w:rPr>
  </w:style>
  <w:style w:type="character" w:customStyle="1" w:styleId="418">
    <w:name w:val="正文 首行缩进2字符 Char Char Char"/>
    <w:qFormat/>
    <w:uiPriority w:val="0"/>
    <w:rPr>
      <w:rFonts w:eastAsia="宋体"/>
      <w:kern w:val="2"/>
      <w:sz w:val="24"/>
      <w:szCs w:val="24"/>
      <w:lang w:val="en-US" w:eastAsia="zh-CN" w:bidi="ar-SA"/>
    </w:rPr>
  </w:style>
  <w:style w:type="character" w:customStyle="1" w:styleId="419">
    <w:name w:val="md"/>
    <w:basedOn w:val="80"/>
    <w:qFormat/>
    <w:uiPriority w:val="0"/>
  </w:style>
  <w:style w:type="character" w:customStyle="1" w:styleId="420">
    <w:name w:val="样式 样式4 + 加粗 首行缩进: Char Char Char Char"/>
    <w:qFormat/>
    <w:uiPriority w:val="0"/>
    <w:rPr>
      <w:rFonts w:eastAsia="宋体" w:cs="宋体"/>
      <w:b/>
      <w:bCs/>
      <w:color w:val="000000"/>
      <w:kern w:val="2"/>
      <w:sz w:val="24"/>
      <w:szCs w:val="24"/>
      <w:lang w:val="en-US" w:eastAsia="zh-CN" w:bidi="ar-SA"/>
    </w:rPr>
  </w:style>
  <w:style w:type="character" w:customStyle="1" w:styleId="421">
    <w:name w:val="ca-61"/>
    <w:qFormat/>
    <w:uiPriority w:val="0"/>
    <w:rPr>
      <w:rFonts w:hint="eastAsia" w:ascii="仿宋_GB2312" w:eastAsia="仿宋_GB2312"/>
      <w:b/>
      <w:bCs/>
      <w:spacing w:val="-20"/>
      <w:sz w:val="24"/>
      <w:szCs w:val="24"/>
    </w:rPr>
  </w:style>
  <w:style w:type="character" w:customStyle="1" w:styleId="422">
    <w:name w:val="标题 4 字符"/>
    <w:link w:val="6"/>
    <w:qFormat/>
    <w:uiPriority w:val="0"/>
    <w:rPr>
      <w:rFonts w:ascii="Arial" w:hAnsi="Arial" w:eastAsia="??" w:cs="Arial"/>
      <w:b/>
      <w:bCs/>
      <w:kern w:val="2"/>
      <w:sz w:val="28"/>
      <w:szCs w:val="28"/>
      <w:lang w:val="en-US" w:eastAsia="zh-CN" w:bidi="ar-SA"/>
    </w:rPr>
  </w:style>
  <w:style w:type="character" w:customStyle="1" w:styleId="423">
    <w:name w:val="脚注文本 字符"/>
    <w:link w:val="60"/>
    <w:qFormat/>
    <w:uiPriority w:val="0"/>
    <w:rPr>
      <w:rFonts w:eastAsia="楷体_GB2312"/>
      <w:kern w:val="2"/>
      <w:sz w:val="18"/>
      <w:szCs w:val="18"/>
      <w:lang w:bidi="ar-SA"/>
    </w:rPr>
  </w:style>
  <w:style w:type="character" w:customStyle="1" w:styleId="424">
    <w:name w:val="HTML 预设格式 字符"/>
    <w:link w:val="71"/>
    <w:qFormat/>
    <w:uiPriority w:val="0"/>
    <w:rPr>
      <w:rFonts w:ascii="??" w:hAnsi="??" w:eastAsia="??" w:cs="Courier New"/>
      <w:szCs w:val="28"/>
      <w:lang w:val="en-US" w:eastAsia="zh-CN" w:bidi="ar-SA"/>
    </w:rPr>
  </w:style>
  <w:style w:type="character" w:customStyle="1" w:styleId="425">
    <w:name w:val="段 Char Char Char"/>
    <w:qFormat/>
    <w:uiPriority w:val="0"/>
    <w:rPr>
      <w:rFonts w:ascii="宋体" w:eastAsia="宋体"/>
      <w:sz w:val="21"/>
      <w:lang w:val="en-US" w:eastAsia="zh-CN" w:bidi="ar-SA"/>
    </w:rPr>
  </w:style>
  <w:style w:type="character" w:customStyle="1" w:styleId="426">
    <w:name w:val="纯文本 Char"/>
    <w:qFormat/>
    <w:uiPriority w:val="0"/>
    <w:rPr>
      <w:rFonts w:ascii="??" w:hAnsi="??" w:eastAsia="??" w:cs="宋体"/>
      <w:kern w:val="2"/>
      <w:sz w:val="21"/>
      <w:szCs w:val="21"/>
    </w:rPr>
  </w:style>
  <w:style w:type="character" w:customStyle="1" w:styleId="427">
    <w:name w:val="样式1 Char Char"/>
    <w:link w:val="134"/>
    <w:qFormat/>
    <w:uiPriority w:val="0"/>
    <w:rPr>
      <w:rFonts w:ascii="??" w:hAnsi="??" w:eastAsia="??"/>
      <w:b/>
      <w:sz w:val="32"/>
      <w:szCs w:val="28"/>
    </w:rPr>
  </w:style>
  <w:style w:type="character" w:customStyle="1" w:styleId="428">
    <w:name w:val="标题 3 字符"/>
    <w:link w:val="5"/>
    <w:qFormat/>
    <w:uiPriority w:val="0"/>
    <w:rPr>
      <w:rFonts w:eastAsia="??"/>
      <w:b/>
      <w:sz w:val="32"/>
      <w:szCs w:val="28"/>
    </w:rPr>
  </w:style>
  <w:style w:type="character" w:customStyle="1" w:styleId="429">
    <w:name w:val="Char Char14"/>
    <w:qFormat/>
    <w:uiPriority w:val="0"/>
    <w:rPr>
      <w:kern w:val="2"/>
      <w:sz w:val="21"/>
    </w:rPr>
  </w:style>
  <w:style w:type="character" w:customStyle="1" w:styleId="430">
    <w:name w:val="宏文本 字符"/>
    <w:link w:val="3"/>
    <w:qFormat/>
    <w:uiPriority w:val="0"/>
    <w:rPr>
      <w:rFonts w:ascii="Courier New" w:hAnsi="Courier New" w:cs="Courier New"/>
      <w:kern w:val="2"/>
      <w:sz w:val="24"/>
      <w:szCs w:val="24"/>
      <w:lang w:val="en-US" w:eastAsia="zh-CN" w:bidi="ar-SA"/>
    </w:rPr>
  </w:style>
  <w:style w:type="character" w:customStyle="1" w:styleId="431">
    <w:name w:val="style161"/>
    <w:qFormat/>
    <w:uiPriority w:val="0"/>
    <w:rPr>
      <w:sz w:val="20"/>
      <w:szCs w:val="20"/>
    </w:rPr>
  </w:style>
  <w:style w:type="character" w:customStyle="1" w:styleId="432">
    <w:name w:val="Char Char16"/>
    <w:qFormat/>
    <w:uiPriority w:val="0"/>
    <w:rPr>
      <w:rFonts w:ascii="宋体" w:hAnsi="宋体" w:eastAsia="宋体" w:cs="Lucida Sans"/>
    </w:rPr>
  </w:style>
  <w:style w:type="character" w:customStyle="1" w:styleId="433">
    <w:name w:val="无间隔 Char"/>
    <w:link w:val="254"/>
    <w:qFormat/>
    <w:uiPriority w:val="0"/>
    <w:rPr>
      <w:rFonts w:eastAsia="楷体_GB2312" w:cs="Lucida Sans"/>
      <w:kern w:val="2"/>
      <w:sz w:val="24"/>
      <w:szCs w:val="24"/>
      <w:lang w:val="en-US" w:eastAsia="zh-CN" w:bidi="ar-SA"/>
    </w:rPr>
  </w:style>
  <w:style w:type="character" w:customStyle="1" w:styleId="434">
    <w:name w:val="正文文本缩进 2 字符"/>
    <w:link w:val="46"/>
    <w:qFormat/>
    <w:uiPriority w:val="0"/>
    <w:rPr>
      <w:rFonts w:ascii="??" w:hAnsi="??" w:eastAsia="??" w:cs="宋体"/>
      <w:kern w:val="2"/>
      <w:sz w:val="28"/>
      <w:szCs w:val="28"/>
      <w:lang w:val="en-US" w:eastAsia="zh-CN" w:bidi="ar-SA"/>
    </w:rPr>
  </w:style>
  <w:style w:type="character" w:customStyle="1" w:styleId="435">
    <w:name w:val="良渚正文 字符"/>
    <w:link w:val="270"/>
    <w:qFormat/>
    <w:uiPriority w:val="0"/>
    <w:rPr>
      <w:rFonts w:ascii="仿宋" w:hAnsi="仿宋" w:eastAsia="仿宋_GB2312"/>
      <w:kern w:val="2"/>
      <w:sz w:val="28"/>
      <w:szCs w:val="28"/>
    </w:rPr>
  </w:style>
  <w:style w:type="character" w:customStyle="1" w:styleId="436">
    <w:name w:val="批注框文本 字符"/>
    <w:link w:val="50"/>
    <w:qFormat/>
    <w:uiPriority w:val="0"/>
    <w:rPr>
      <w:rFonts w:eastAsia="??"/>
      <w:kern w:val="2"/>
      <w:sz w:val="18"/>
      <w:szCs w:val="18"/>
      <w:lang w:val="en-US" w:eastAsia="zh-CN" w:bidi="ar-SA"/>
    </w:rPr>
  </w:style>
  <w:style w:type="character" w:customStyle="1" w:styleId="437">
    <w:name w:val="纯文本 字符"/>
    <w:qFormat/>
    <w:uiPriority w:val="0"/>
    <w:rPr>
      <w:rFonts w:ascii="??" w:hAnsi="??" w:eastAsia="??" w:cs="宋体"/>
      <w:kern w:val="2"/>
      <w:sz w:val="21"/>
      <w:szCs w:val="21"/>
    </w:rPr>
  </w:style>
  <w:style w:type="character" w:customStyle="1" w:styleId="438">
    <w:name w:val="ca-41"/>
    <w:qFormat/>
    <w:uiPriority w:val="0"/>
    <w:rPr>
      <w:rFonts w:hint="eastAsia" w:ascii="仿宋_GB2312" w:eastAsia="仿宋_GB2312"/>
      <w:sz w:val="24"/>
      <w:szCs w:val="24"/>
    </w:rPr>
  </w:style>
  <w:style w:type="character" w:customStyle="1" w:styleId="439">
    <w:name w:val="title141"/>
    <w:qFormat/>
    <w:uiPriority w:val="0"/>
    <w:rPr>
      <w:sz w:val="25"/>
      <w:szCs w:val="25"/>
    </w:rPr>
  </w:style>
  <w:style w:type="character" w:customStyle="1" w:styleId="440">
    <w:name w:val="FA正文 Char Char"/>
    <w:link w:val="407"/>
    <w:qFormat/>
    <w:uiPriority w:val="0"/>
    <w:rPr>
      <w:rFonts w:hAnsi="宋体"/>
      <w:kern w:val="2"/>
      <w:sz w:val="24"/>
      <w:lang w:bidi="ar-SA"/>
    </w:rPr>
  </w:style>
  <w:style w:type="character" w:customStyle="1" w:styleId="441">
    <w:name w:val="标题 字符"/>
    <w:link w:val="74"/>
    <w:qFormat/>
    <w:uiPriority w:val="0"/>
    <w:rPr>
      <w:rFonts w:eastAsia="??"/>
      <w:b/>
      <w:sz w:val="24"/>
      <w:szCs w:val="28"/>
      <w:lang w:eastAsia="zh-CN" w:bidi="ar-SA"/>
    </w:rPr>
  </w:style>
  <w:style w:type="character" w:customStyle="1" w:styleId="442">
    <w:name w:val="页眉 字符"/>
    <w:link w:val="52"/>
    <w:qFormat/>
    <w:uiPriority w:val="0"/>
    <w:rPr>
      <w:rFonts w:eastAsia="??"/>
      <w:kern w:val="2"/>
      <w:sz w:val="18"/>
      <w:szCs w:val="28"/>
      <w:lang w:val="en-US" w:eastAsia="zh-CN" w:bidi="ar-SA"/>
    </w:rPr>
  </w:style>
  <w:style w:type="character" w:customStyle="1" w:styleId="443">
    <w:name w:val="公文正文 Char"/>
    <w:link w:val="97"/>
    <w:qFormat/>
    <w:uiPriority w:val="0"/>
    <w:rPr>
      <w:rFonts w:ascii="??_GB2312" w:hAnsi="??_GB2312" w:eastAsia="??_GB2312" w:cs="宋体"/>
      <w:kern w:val="2"/>
      <w:sz w:val="24"/>
      <w:szCs w:val="24"/>
      <w:lang w:val="en-US" w:eastAsia="zh-CN" w:bidi="ar-SA"/>
    </w:rPr>
  </w:style>
  <w:style w:type="character" w:customStyle="1" w:styleId="444">
    <w:name w:val="标题 5 Char Char Char Char Char Char Char Char Char Char Char Char Char"/>
    <w:qFormat/>
    <w:uiPriority w:val="0"/>
    <w:rPr>
      <w:rFonts w:eastAsia="宋体"/>
      <w:b/>
      <w:bCs/>
      <w:kern w:val="2"/>
      <w:sz w:val="28"/>
      <w:szCs w:val="28"/>
      <w:lang w:val="en-US" w:eastAsia="zh-CN" w:bidi="ar-SA"/>
    </w:rPr>
  </w:style>
  <w:style w:type="character" w:customStyle="1" w:styleId="445">
    <w:name w:val="签名 字符"/>
    <w:link w:val="53"/>
    <w:qFormat/>
    <w:uiPriority w:val="0"/>
    <w:rPr>
      <w:rFonts w:eastAsia="仿宋_GB2312"/>
      <w:sz w:val="24"/>
      <w:lang w:bidi="ar-SA"/>
    </w:rPr>
  </w:style>
  <w:style w:type="character" w:customStyle="1" w:styleId="446">
    <w:name w:val="标题 5 字符"/>
    <w:link w:val="7"/>
    <w:qFormat/>
    <w:uiPriority w:val="0"/>
    <w:rPr>
      <w:rFonts w:eastAsia="??"/>
      <w:b/>
      <w:bCs/>
      <w:kern w:val="2"/>
      <w:sz w:val="28"/>
      <w:szCs w:val="28"/>
      <w:lang w:val="en-US" w:eastAsia="zh-CN" w:bidi="ar-SA"/>
    </w:rPr>
  </w:style>
  <w:style w:type="character" w:customStyle="1" w:styleId="447">
    <w:name w:val="h3 Char1"/>
    <w:qFormat/>
    <w:uiPriority w:val="0"/>
    <w:rPr>
      <w:rFonts w:eastAsia="宋体"/>
      <w:b/>
      <w:bCs/>
      <w:kern w:val="2"/>
      <w:sz w:val="32"/>
      <w:szCs w:val="32"/>
      <w:lang w:val="en-US" w:eastAsia="zh-CN" w:bidi="ar-SA"/>
    </w:rPr>
  </w:style>
  <w:style w:type="character" w:customStyle="1" w:styleId="448">
    <w:name w:val="纯文本 Char1"/>
    <w:qFormat/>
    <w:uiPriority w:val="0"/>
    <w:rPr>
      <w:rFonts w:ascii="宋体" w:hAnsi="Courier New"/>
    </w:rPr>
  </w:style>
  <w:style w:type="character" w:customStyle="1" w:styleId="449">
    <w:name w:val="正文4 Char"/>
    <w:link w:val="229"/>
    <w:qFormat/>
    <w:uiPriority w:val="0"/>
    <w:rPr>
      <w:rFonts w:eastAsia="楷体_GB2312"/>
      <w:kern w:val="2"/>
      <w:sz w:val="24"/>
      <w:szCs w:val="24"/>
      <w:lang w:bidi="ar-SA"/>
    </w:rPr>
  </w:style>
  <w:style w:type="character" w:customStyle="1" w:styleId="450">
    <w:name w:val="电子邮件签名 字符"/>
    <w:link w:val="17"/>
    <w:qFormat/>
    <w:uiPriority w:val="0"/>
    <w:rPr>
      <w:rFonts w:eastAsia="楷体_GB2312"/>
      <w:kern w:val="2"/>
      <w:sz w:val="24"/>
      <w:szCs w:val="24"/>
      <w:lang w:bidi="ar-SA"/>
    </w:rPr>
  </w:style>
  <w:style w:type="character" w:customStyle="1" w:styleId="451">
    <w:name w:val="尾注文本 字符"/>
    <w:link w:val="48"/>
    <w:qFormat/>
    <w:uiPriority w:val="0"/>
    <w:rPr>
      <w:rFonts w:eastAsia="楷体_GB2312"/>
      <w:kern w:val="2"/>
      <w:sz w:val="24"/>
      <w:szCs w:val="24"/>
      <w:lang w:bidi="ar-SA"/>
    </w:rPr>
  </w:style>
  <w:style w:type="character" w:customStyle="1" w:styleId="452">
    <w:name w:val="正文首行缩进两字 Char"/>
    <w:link w:val="91"/>
    <w:qFormat/>
    <w:uiPriority w:val="0"/>
    <w:rPr>
      <w:sz w:val="24"/>
      <w:szCs w:val="24"/>
      <w:lang w:val="en-US" w:eastAsia="zh-CN" w:bidi="ar-SA"/>
    </w:rPr>
  </w:style>
  <w:style w:type="character" w:customStyle="1" w:styleId="453">
    <w:name w:val="标题 7 字符"/>
    <w:link w:val="9"/>
    <w:qFormat/>
    <w:uiPriority w:val="0"/>
    <w:rPr>
      <w:rFonts w:eastAsia="??"/>
      <w:b/>
      <w:bCs/>
      <w:sz w:val="24"/>
      <w:szCs w:val="28"/>
    </w:rPr>
  </w:style>
  <w:style w:type="character" w:customStyle="1" w:styleId="454">
    <w:name w:val="正文文本 2 字符"/>
    <w:link w:val="69"/>
    <w:qFormat/>
    <w:uiPriority w:val="0"/>
    <w:rPr>
      <w:rFonts w:eastAsia="宋体"/>
      <w:kern w:val="2"/>
      <w:sz w:val="21"/>
      <w:lang w:bidi="ar-SA"/>
    </w:rPr>
  </w:style>
  <w:style w:type="character" w:customStyle="1" w:styleId="455">
    <w:name w:val="DN-正文 Char Char"/>
    <w:link w:val="247"/>
    <w:qFormat/>
    <w:uiPriority w:val="0"/>
    <w:rPr>
      <w:kern w:val="2"/>
      <w:sz w:val="21"/>
      <w:szCs w:val="24"/>
      <w:lang w:bidi="ar-SA"/>
    </w:rPr>
  </w:style>
  <w:style w:type="character" w:customStyle="1" w:styleId="456">
    <w:name w:val="题注 字符"/>
    <w:link w:val="20"/>
    <w:qFormat/>
    <w:uiPriority w:val="0"/>
    <w:rPr>
      <w:rFonts w:ascii="Arial" w:hAnsi="Arial" w:eastAsia="黑体" w:cs="Arial"/>
      <w:kern w:val="2"/>
    </w:rPr>
  </w:style>
  <w:style w:type="character" w:customStyle="1" w:styleId="457">
    <w:name w:val="正文缩 Char"/>
    <w:link w:val="283"/>
    <w:qFormat/>
    <w:uiPriority w:val="0"/>
    <w:rPr>
      <w:rFonts w:eastAsia="楷体_GB2312"/>
      <w:kern w:val="2"/>
      <w:sz w:val="24"/>
      <w:szCs w:val="24"/>
      <w:lang w:bidi="ar-SA"/>
    </w:rPr>
  </w:style>
  <w:style w:type="character" w:customStyle="1" w:styleId="458">
    <w:name w:val="标准正文 Char"/>
    <w:link w:val="337"/>
    <w:qFormat/>
    <w:locked/>
    <w:uiPriority w:val="0"/>
    <w:rPr>
      <w:sz w:val="24"/>
      <w:lang w:bidi="ar-SA"/>
    </w:rPr>
  </w:style>
  <w:style w:type="character" w:customStyle="1" w:styleId="459">
    <w:name w:val="纯文本 Char2"/>
    <w:qFormat/>
    <w:uiPriority w:val="0"/>
    <w:rPr>
      <w:rFonts w:ascii="??" w:hAnsi="??" w:eastAsia="??" w:cs="宋体"/>
      <w:kern w:val="2"/>
      <w:sz w:val="21"/>
      <w:szCs w:val="21"/>
    </w:rPr>
  </w:style>
  <w:style w:type="character" w:customStyle="1" w:styleId="460">
    <w:name w:val="标题 2 Char1"/>
    <w:qFormat/>
    <w:uiPriority w:val="0"/>
    <w:rPr>
      <w:rFonts w:ascii="宋体" w:hAnsi="宋体" w:eastAsia="黑体"/>
      <w:bCs/>
      <w:kern w:val="2"/>
      <w:sz w:val="32"/>
      <w:szCs w:val="32"/>
    </w:rPr>
  </w:style>
  <w:style w:type="character" w:customStyle="1" w:styleId="461">
    <w:name w:val="dectext1"/>
    <w:qFormat/>
    <w:uiPriority w:val="0"/>
    <w:rPr>
      <w:rFonts w:ascii="宋体" w:hAnsi="宋体" w:eastAsia="宋体"/>
      <w:color w:val="333333"/>
      <w:sz w:val="21"/>
      <w:u w:val="none"/>
    </w:rPr>
  </w:style>
  <w:style w:type="character" w:customStyle="1" w:styleId="462">
    <w:name w:val="Char Char7"/>
    <w:qFormat/>
    <w:uiPriority w:val="0"/>
    <w:rPr>
      <w:rFonts w:ascii="宋体" w:eastAsia="宋体"/>
      <w:snapToGrid w:val="0"/>
      <w:color w:val="000000"/>
      <w:kern w:val="28"/>
      <w:sz w:val="28"/>
      <w:lang w:val="en-US" w:eastAsia="zh-CN"/>
    </w:rPr>
  </w:style>
  <w:style w:type="character" w:customStyle="1" w:styleId="463">
    <w:name w:val="标题 9 字符"/>
    <w:link w:val="11"/>
    <w:qFormat/>
    <w:uiPriority w:val="0"/>
    <w:rPr>
      <w:rFonts w:ascii="Arial" w:hAnsi="Arial" w:eastAsia="??" w:cs="Arial"/>
      <w:sz w:val="21"/>
      <w:szCs w:val="21"/>
    </w:rPr>
  </w:style>
  <w:style w:type="character" w:customStyle="1" w:styleId="464">
    <w:name w:val="页脚 Char"/>
    <w:qFormat/>
    <w:uiPriority w:val="0"/>
    <w:rPr>
      <w:rFonts w:eastAsia="Calibri"/>
      <w:sz w:val="21"/>
    </w:rPr>
  </w:style>
  <w:style w:type="character" w:customStyle="1" w:styleId="465">
    <w:name w:val="正文 首行缩进:  2 字符 Char Char Char"/>
    <w:qFormat/>
    <w:uiPriority w:val="0"/>
    <w:rPr>
      <w:rFonts w:eastAsia="宋体" w:cs="宋体"/>
      <w:kern w:val="2"/>
      <w:sz w:val="24"/>
      <w:lang w:val="en-US" w:eastAsia="zh-CN" w:bidi="ar-SA"/>
    </w:rPr>
  </w:style>
  <w:style w:type="character" w:customStyle="1" w:styleId="466">
    <w:name w:val="gf正文1 Char"/>
    <w:link w:val="304"/>
    <w:qFormat/>
    <w:uiPriority w:val="0"/>
    <w:rPr>
      <w:rFonts w:ascii="宋体" w:hAnsi="宋体" w:eastAsia="宋体"/>
      <w:kern w:val="2"/>
      <w:sz w:val="24"/>
      <w:lang w:val="en-US" w:eastAsia="zh-CN" w:bidi="ar-SA"/>
    </w:rPr>
  </w:style>
  <w:style w:type="character" w:customStyle="1" w:styleId="467">
    <w:name w:val="页脚 字符"/>
    <w:link w:val="51"/>
    <w:qFormat/>
    <w:uiPriority w:val="0"/>
    <w:rPr>
      <w:rFonts w:eastAsia="??"/>
      <w:kern w:val="2"/>
      <w:sz w:val="18"/>
      <w:szCs w:val="28"/>
      <w:lang w:val="en-US" w:eastAsia="zh-CN" w:bidi="ar-SA"/>
    </w:rPr>
  </w:style>
  <w:style w:type="character" w:customStyle="1" w:styleId="468">
    <w:name w:val="日期 字符"/>
    <w:link w:val="45"/>
    <w:qFormat/>
    <w:uiPriority w:val="0"/>
    <w:rPr>
      <w:rFonts w:eastAsia="??_GB2312"/>
      <w:b/>
      <w:sz w:val="28"/>
      <w:szCs w:val="28"/>
      <w:lang w:val="en-US" w:eastAsia="zh-CN" w:bidi="ar-SA"/>
    </w:rPr>
  </w:style>
  <w:style w:type="character" w:customStyle="1" w:styleId="469">
    <w:name w:val="批注主题 字符"/>
    <w:link w:val="75"/>
    <w:qFormat/>
    <w:uiPriority w:val="0"/>
    <w:rPr>
      <w:rFonts w:eastAsia="宋体"/>
      <w:b/>
      <w:kern w:val="2"/>
      <w:sz w:val="21"/>
      <w:lang w:bidi="ar-SA"/>
    </w:rPr>
  </w:style>
  <w:style w:type="character" w:customStyle="1" w:styleId="470">
    <w:name w:val="正文首行缩进 字符"/>
    <w:link w:val="76"/>
    <w:qFormat/>
    <w:uiPriority w:val="0"/>
    <w:rPr>
      <w:rFonts w:ascii="宋体" w:eastAsia="宋体"/>
      <w:kern w:val="2"/>
      <w:sz w:val="24"/>
      <w:lang w:val="zh-CN" w:eastAsia="zh-CN" w:bidi="ar-SA"/>
    </w:rPr>
  </w:style>
  <w:style w:type="character" w:customStyle="1" w:styleId="471">
    <w:name w:val="正文2 Char"/>
    <w:link w:val="148"/>
    <w:qFormat/>
    <w:locked/>
    <w:uiPriority w:val="0"/>
    <w:rPr>
      <w:rFonts w:eastAsia="??"/>
      <w:kern w:val="2"/>
      <w:sz w:val="24"/>
      <w:szCs w:val="28"/>
    </w:rPr>
  </w:style>
  <w:style w:type="character" w:customStyle="1" w:styleId="472">
    <w:name w:val="sony121"/>
    <w:qFormat/>
    <w:uiPriority w:val="0"/>
    <w:rPr>
      <w:rFonts w:hint="eastAsia" w:ascii="宋体" w:hAnsi="宋体" w:eastAsia="宋体"/>
      <w:sz w:val="18"/>
      <w:szCs w:val="18"/>
    </w:rPr>
  </w:style>
  <w:style w:type="character" w:customStyle="1" w:styleId="473">
    <w:name w:val="t_tag"/>
    <w:basedOn w:val="80"/>
    <w:qFormat/>
    <w:uiPriority w:val="0"/>
  </w:style>
  <w:style w:type="character" w:customStyle="1" w:styleId="474">
    <w:name w:val="哈哈改 Char"/>
    <w:link w:val="317"/>
    <w:qFormat/>
    <w:uiPriority w:val="0"/>
    <w:rPr>
      <w:rFonts w:ascii="宋体" w:hAnsi="宋体" w:eastAsia="宋体"/>
      <w:b/>
      <w:kern w:val="2"/>
      <w:sz w:val="24"/>
      <w:szCs w:val="24"/>
      <w:lang w:bidi="ar-SA"/>
    </w:rPr>
  </w:style>
  <w:style w:type="character" w:customStyle="1" w:styleId="475">
    <w:name w:val="Char Char15"/>
    <w:qFormat/>
    <w:uiPriority w:val="0"/>
    <w:rPr>
      <w:rFonts w:ascii="Times New Roman" w:hAnsi="Times New Roman"/>
      <w:sz w:val="18"/>
    </w:rPr>
  </w:style>
  <w:style w:type="character" w:customStyle="1" w:styleId="476">
    <w:name w:val="font21"/>
    <w:qFormat/>
    <w:uiPriority w:val="0"/>
    <w:rPr>
      <w:rFonts w:hint="eastAsia" w:ascii="宋体" w:hAnsi="宋体" w:eastAsia="宋体"/>
      <w:kern w:val="2"/>
      <w:sz w:val="28"/>
      <w:szCs w:val="28"/>
      <w:lang w:val="en-US" w:eastAsia="zh-CN" w:bidi="ar-SA"/>
    </w:rPr>
  </w:style>
  <w:style w:type="character" w:customStyle="1" w:styleId="477">
    <w:name w:val="占位符文本1"/>
    <w:semiHidden/>
    <w:qFormat/>
    <w:uiPriority w:val="0"/>
    <w:rPr>
      <w:color w:val="808080"/>
    </w:rPr>
  </w:style>
  <w:style w:type="character" w:customStyle="1" w:styleId="478">
    <w:name w:val="标题 2 字符"/>
    <w:link w:val="2"/>
    <w:qFormat/>
    <w:uiPriority w:val="0"/>
    <w:rPr>
      <w:rFonts w:ascii="Arial" w:hAnsi="Arial" w:eastAsia="??" w:cs="Arial"/>
      <w:b/>
      <w:bCs/>
      <w:kern w:val="2"/>
      <w:sz w:val="21"/>
      <w:szCs w:val="32"/>
    </w:rPr>
  </w:style>
  <w:style w:type="character" w:customStyle="1" w:styleId="479">
    <w:name w:val="正文2 Char Char"/>
    <w:qFormat/>
    <w:uiPriority w:val="0"/>
    <w:rPr>
      <w:rFonts w:eastAsia="??"/>
      <w:kern w:val="2"/>
      <w:sz w:val="24"/>
      <w:szCs w:val="28"/>
      <w:lang w:val="en-US" w:eastAsia="zh-CN" w:bidi="ar-SA"/>
    </w:rPr>
  </w:style>
  <w:style w:type="character" w:customStyle="1" w:styleId="480">
    <w:name w:val="正文非缩进 Char"/>
    <w:qFormat/>
    <w:uiPriority w:val="0"/>
    <w:rPr>
      <w:rFonts w:ascii="??" w:eastAsia="??"/>
      <w:snapToGrid w:val="0"/>
      <w:color w:val="000000"/>
      <w:kern w:val="28"/>
      <w:sz w:val="28"/>
      <w:lang w:val="en-US" w:eastAsia="zh-CN" w:bidi="ar-SA"/>
    </w:rPr>
  </w:style>
  <w:style w:type="character" w:customStyle="1" w:styleId="481">
    <w:name w:val="Char Char19"/>
    <w:qFormat/>
    <w:uiPriority w:val="0"/>
    <w:rPr>
      <w:kern w:val="2"/>
      <w:sz w:val="18"/>
    </w:rPr>
  </w:style>
  <w:style w:type="character" w:customStyle="1" w:styleId="482">
    <w:name w:val="subtitle1"/>
    <w:qFormat/>
    <w:uiPriority w:val="0"/>
    <w:rPr>
      <w:rFonts w:hint="default" w:ascii="Georgia" w:hAnsi="Georgia"/>
      <w:b/>
      <w:bCs/>
      <w:color w:val="666666"/>
      <w:sz w:val="18"/>
      <w:szCs w:val="18"/>
    </w:rPr>
  </w:style>
  <w:style w:type="character" w:customStyle="1" w:styleId="483">
    <w:name w:val="样式 样式 标书正文 + 首行缩进:  0.01 字符 + 首行缩进:  0.01 字符 Char"/>
    <w:link w:val="340"/>
    <w:qFormat/>
    <w:uiPriority w:val="0"/>
    <w:rPr>
      <w:rFonts w:ascii="宋体" w:hAnsi="宋体" w:eastAsia="宋体" w:cs="宋体"/>
      <w:sz w:val="28"/>
      <w:lang w:val="en-US" w:eastAsia="zh-CN" w:bidi="ar-SA"/>
    </w:rPr>
  </w:style>
  <w:style w:type="character" w:customStyle="1" w:styleId="484">
    <w:name w:val="标题 8 字符"/>
    <w:link w:val="10"/>
    <w:qFormat/>
    <w:uiPriority w:val="0"/>
    <w:rPr>
      <w:rFonts w:ascii="Arial" w:hAnsi="Arial" w:eastAsia="??" w:cs="Arial"/>
      <w:sz w:val="24"/>
      <w:szCs w:val="28"/>
    </w:rPr>
  </w:style>
  <w:style w:type="character" w:customStyle="1" w:styleId="485">
    <w:name w:val="正文文本缩进 3 字符"/>
    <w:link w:val="62"/>
    <w:qFormat/>
    <w:uiPriority w:val="0"/>
    <w:rPr>
      <w:rFonts w:eastAsia="??"/>
      <w:kern w:val="2"/>
      <w:sz w:val="28"/>
      <w:szCs w:val="28"/>
      <w:lang w:val="en-US" w:eastAsia="zh-CN" w:bidi="ar-SA"/>
    </w:rPr>
  </w:style>
  <w:style w:type="character" w:customStyle="1" w:styleId="486">
    <w:name w:val="normalfont1"/>
    <w:qFormat/>
    <w:uiPriority w:val="0"/>
    <w:rPr>
      <w:rFonts w:hint="default" w:ascii="ˎ̥" w:hAnsi="ˎ̥"/>
      <w:sz w:val="18"/>
      <w:szCs w:val="18"/>
      <w:u w:val="none"/>
    </w:rPr>
  </w:style>
  <w:style w:type="character" w:customStyle="1" w:styleId="487">
    <w:name w:val="unnamed11"/>
    <w:qFormat/>
    <w:uiPriority w:val="0"/>
    <w:rPr>
      <w:sz w:val="20"/>
    </w:rPr>
  </w:style>
  <w:style w:type="character" w:customStyle="1" w:styleId="488">
    <w:name w:val="Char Char6"/>
    <w:qFormat/>
    <w:uiPriority w:val="0"/>
    <w:rPr>
      <w:rFonts w:ascii="Times New Roman" w:hAnsi="Times New Roman"/>
      <w:kern w:val="28"/>
      <w:sz w:val="24"/>
      <w:szCs w:val="24"/>
    </w:rPr>
  </w:style>
  <w:style w:type="character" w:customStyle="1" w:styleId="489">
    <w:name w:val="正文文本缩进 字符"/>
    <w:link w:val="31"/>
    <w:qFormat/>
    <w:uiPriority w:val="0"/>
    <w:rPr>
      <w:rFonts w:ascii="??" w:hAnsi="??" w:eastAsia="??" w:cs="宋体"/>
      <w:kern w:val="2"/>
      <w:sz w:val="28"/>
      <w:szCs w:val="28"/>
    </w:rPr>
  </w:style>
  <w:style w:type="character" w:customStyle="1" w:styleId="490">
    <w:name w:val="param_td12"/>
    <w:qFormat/>
    <w:uiPriority w:val="0"/>
  </w:style>
  <w:style w:type="character" w:customStyle="1" w:styleId="491">
    <w:name w:val="shadow11"/>
    <w:qFormat/>
    <w:uiPriority w:val="0"/>
    <w:rPr>
      <w:color w:val="000000"/>
      <w:sz w:val="21"/>
    </w:rPr>
  </w:style>
  <w:style w:type="character" w:customStyle="1" w:styleId="492">
    <w:name w:val="Char121"/>
    <w:semiHidden/>
    <w:qFormat/>
    <w:uiPriority w:val="0"/>
    <w:rPr>
      <w:rFonts w:eastAsia="宋体"/>
      <w:kern w:val="2"/>
      <w:sz w:val="24"/>
      <w:szCs w:val="24"/>
      <w:lang w:val="en-US" w:eastAsia="zh-CN" w:bidi="ar-SA"/>
    </w:rPr>
  </w:style>
  <w:style w:type="character" w:customStyle="1" w:styleId="493">
    <w:name w:val="标题 1 字符"/>
    <w:link w:val="4"/>
    <w:qFormat/>
    <w:uiPriority w:val="0"/>
    <w:rPr>
      <w:rFonts w:ascii="??" w:hAnsi="??" w:eastAsia="??" w:cs="宋体"/>
      <w:b/>
      <w:kern w:val="36"/>
      <w:sz w:val="32"/>
      <w:szCs w:val="28"/>
      <w:lang w:val="en-US" w:eastAsia="zh-CN" w:bidi="ar-SA"/>
    </w:rPr>
  </w:style>
  <w:style w:type="character" w:customStyle="1" w:styleId="494">
    <w:name w:val="正文文本 3 字符"/>
    <w:link w:val="28"/>
    <w:qFormat/>
    <w:uiPriority w:val="0"/>
    <w:rPr>
      <w:rFonts w:eastAsia="宋体"/>
      <w:kern w:val="2"/>
      <w:sz w:val="21"/>
      <w:lang w:bidi="ar-SA"/>
    </w:rPr>
  </w:style>
  <w:style w:type="character" w:customStyle="1" w:styleId="495">
    <w:name w:val="正文缩进 字符"/>
    <w:link w:val="19"/>
    <w:qFormat/>
    <w:uiPriority w:val="0"/>
    <w:rPr>
      <w:rFonts w:eastAsia="??"/>
      <w:sz w:val="24"/>
      <w:szCs w:val="24"/>
      <w:lang w:val="en-US" w:eastAsia="zh-CN" w:bidi="ar-SA"/>
    </w:rPr>
  </w:style>
  <w:style w:type="character" w:customStyle="1" w:styleId="496">
    <w:name w:val="纯文本 字符1"/>
    <w:link w:val="40"/>
    <w:qFormat/>
    <w:uiPriority w:val="0"/>
    <w:rPr>
      <w:rFonts w:ascii="??" w:hAnsi="??" w:eastAsia="??" w:cs="宋体"/>
      <w:kern w:val="2"/>
      <w:sz w:val="21"/>
      <w:szCs w:val="21"/>
    </w:rPr>
  </w:style>
  <w:style w:type="character" w:customStyle="1" w:styleId="497">
    <w:name w:val="正文1 Char"/>
    <w:qFormat/>
    <w:uiPriority w:val="0"/>
    <w:rPr>
      <w:rFonts w:ascii="宋体" w:eastAsia="宋体"/>
      <w:snapToGrid w:val="0"/>
      <w:color w:val="000000"/>
      <w:kern w:val="28"/>
      <w:sz w:val="28"/>
      <w:lang w:val="en-US" w:eastAsia="zh-CN" w:bidi="ar-SA"/>
    </w:rPr>
  </w:style>
  <w:style w:type="character" w:customStyle="1" w:styleId="498">
    <w:name w:val="font-121"/>
    <w:qFormat/>
    <w:uiPriority w:val="0"/>
    <w:rPr>
      <w:color w:val="666666"/>
      <w:sz w:val="18"/>
      <w:szCs w:val="18"/>
      <w:u w:val="none"/>
    </w:rPr>
  </w:style>
  <w:style w:type="character" w:customStyle="1" w:styleId="499">
    <w:name w:val="ih151"/>
    <w:qFormat/>
    <w:uiPriority w:val="0"/>
    <w:rPr>
      <w:color w:val="666666"/>
      <w:sz w:val="18"/>
      <w:szCs w:val="18"/>
      <w:u w:val="none"/>
    </w:rPr>
  </w:style>
  <w:style w:type="character" w:customStyle="1" w:styleId="500">
    <w:name w:val="标题 6 字符"/>
    <w:link w:val="8"/>
    <w:qFormat/>
    <w:uiPriority w:val="0"/>
    <w:rPr>
      <w:rFonts w:ascii="Arial" w:hAnsi="Arial" w:eastAsia="??" w:cs="Arial"/>
      <w:b/>
      <w:bCs/>
      <w:sz w:val="24"/>
      <w:szCs w:val="28"/>
    </w:rPr>
  </w:style>
  <w:style w:type="character" w:customStyle="1" w:styleId="501">
    <w:name w:val="哈哈正文 Char"/>
    <w:link w:val="294"/>
    <w:qFormat/>
    <w:uiPriority w:val="0"/>
    <w:rPr>
      <w:rFonts w:ascii="宋体" w:hAnsi="宋体" w:eastAsia="宋体"/>
      <w:kern w:val="2"/>
      <w:sz w:val="24"/>
      <w:lang w:bidi="ar-SA"/>
    </w:rPr>
  </w:style>
  <w:style w:type="character" w:customStyle="1" w:styleId="502">
    <w:name w:val="称呼 字符"/>
    <w:link w:val="27"/>
    <w:qFormat/>
    <w:uiPriority w:val="0"/>
    <w:rPr>
      <w:rFonts w:ascii="仿宋_GB2312" w:eastAsia="仿宋_GB2312"/>
      <w:kern w:val="2"/>
      <w:sz w:val="28"/>
      <w:lang w:bidi="ar-SA"/>
    </w:rPr>
  </w:style>
  <w:style w:type="character" w:customStyle="1" w:styleId="503">
    <w:name w:val="font01"/>
    <w:basedOn w:val="80"/>
    <w:qFormat/>
    <w:uiPriority w:val="0"/>
    <w:rPr>
      <w:rFonts w:hint="default" w:ascii="仿宋_GB2312" w:eastAsia="仿宋_GB2312" w:cs="仿宋_GB2312"/>
      <w:color w:val="000000"/>
      <w:sz w:val="24"/>
      <w:szCs w:val="24"/>
      <w:u w:val="none"/>
      <w:vertAlign w:val="superscript"/>
    </w:rPr>
  </w:style>
  <w:style w:type="character" w:customStyle="1" w:styleId="504">
    <w:name w:val="font41"/>
    <w:basedOn w:val="80"/>
    <w:qFormat/>
    <w:uiPriority w:val="0"/>
    <w:rPr>
      <w:rFonts w:hint="eastAsia" w:ascii="宋体" w:hAnsi="宋体" w:eastAsia="宋体" w:cs="宋体"/>
      <w:color w:val="000000"/>
      <w:sz w:val="20"/>
      <w:szCs w:val="20"/>
      <w:u w:val="none"/>
    </w:rPr>
  </w:style>
  <w:style w:type="character" w:customStyle="1" w:styleId="505">
    <w:name w:val="font31"/>
    <w:basedOn w:val="80"/>
    <w:qFormat/>
    <w:uiPriority w:val="0"/>
    <w:rPr>
      <w:rFonts w:hint="eastAsia" w:ascii="仿宋" w:hAnsi="仿宋" w:eastAsia="仿宋" w:cs="仿宋"/>
      <w:color w:val="000000"/>
      <w:sz w:val="24"/>
      <w:szCs w:val="24"/>
      <w:u w:val="none"/>
    </w:rPr>
  </w:style>
  <w:style w:type="character" w:customStyle="1" w:styleId="506">
    <w:name w:val="fontstyle01"/>
    <w:qFormat/>
    <w:uiPriority w:val="0"/>
    <w:rPr>
      <w:rFonts w:hint="eastAsia" w:ascii="仿宋_GB2312" w:eastAsia="仿宋_GB2312"/>
      <w:color w:val="000000"/>
      <w:sz w:val="32"/>
      <w:szCs w:val="32"/>
    </w:rPr>
  </w:style>
  <w:style w:type="table" w:customStyle="1" w:styleId="507">
    <w:name w:val="Table Normal"/>
    <w:qFormat/>
    <w:uiPriority w:val="0"/>
    <w:tblPr>
      <w:tblCellMar>
        <w:top w:w="0" w:type="dxa"/>
        <w:left w:w="0" w:type="dxa"/>
        <w:bottom w:w="0" w:type="dxa"/>
        <w:right w:w="0" w:type="dxa"/>
      </w:tblCellMar>
    </w:tblPr>
  </w:style>
  <w:style w:type="table" w:customStyle="1" w:styleId="508">
    <w:name w:val="TableGrid"/>
    <w:qFormat/>
    <w:uiPriority w:val="0"/>
    <w:rPr>
      <w:rFonts w:ascii="等线" w:hAnsi="等线" w:eastAsia="等线"/>
    </w:rPr>
    <w:tblPr>
      <w:tblCellMar>
        <w:top w:w="0" w:type="dxa"/>
        <w:left w:w="0" w:type="dxa"/>
        <w:bottom w:w="0" w:type="dxa"/>
        <w:right w:w="0" w:type="dxa"/>
      </w:tblCellMar>
    </w:tblPr>
  </w:style>
  <w:style w:type="table" w:customStyle="1" w:styleId="509">
    <w:name w:val="Table Normal2"/>
    <w:qFormat/>
    <w:uiPriority w:val="0"/>
    <w:tblPr>
      <w:tblCellMar>
        <w:top w:w="0" w:type="dxa"/>
        <w:left w:w="0" w:type="dxa"/>
        <w:bottom w:w="0" w:type="dxa"/>
        <w:right w:w="0" w:type="dxa"/>
      </w:tblCellMar>
    </w:tblPr>
  </w:style>
  <w:style w:type="table" w:customStyle="1" w:styleId="510">
    <w:name w:val="Table Normal1"/>
    <w:qFormat/>
    <w:uiPriority w:val="0"/>
    <w:tblPr>
      <w:tblCellMar>
        <w:top w:w="0" w:type="dxa"/>
        <w:left w:w="0" w:type="dxa"/>
        <w:bottom w:w="0" w:type="dxa"/>
        <w:right w:w="0" w:type="dxa"/>
      </w:tblCellMar>
    </w:tblPr>
  </w:style>
  <w:style w:type="table" w:customStyle="1" w:styleId="511">
    <w:name w:val="中等深浅网格 2 - 强调文字颜色 11"/>
    <w:basedOn w:val="78"/>
    <w:qFormat/>
    <w:uiPriority w:val="68"/>
    <w:rPr>
      <w:rFonts w:ascii="Cambria" w:hAnsi="Cambria"/>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cPr>
        <w:shd w:val="clear" w:color="auto" w:fill="EDF2F8"/>
      </w:tcPr>
    </w:tblStylePr>
    <w:tblStylePr w:type="lastRow">
      <w:rPr>
        <w:b/>
        <w:bCs/>
        <w:color w:val="000000"/>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cPr>
        <w:tcBorders>
          <w:top w:val="nil"/>
          <w:left w:val="nil"/>
          <w:bottom w:val="nil"/>
          <w:right w:val="nil"/>
          <w:insideH w:val="nil"/>
          <w:insideV w:val="nil"/>
          <w:tl2br w:val="nil"/>
          <w:tr2bl w:val="nil"/>
        </w:tcBorders>
        <w:shd w:val="clear" w:color="auto" w:fill="DBE5F1"/>
      </w:tcPr>
    </w:tblStylePr>
    <w:tblStylePr w:type="band1Vert">
      <w:tcPr>
        <w:shd w:val="clear" w:color="auto" w:fill="A7C0DE"/>
      </w:tcPr>
    </w:tblStylePr>
    <w:tblStylePr w:type="band1Horz">
      <w:tcPr>
        <w:shd w:val="clear" w:color="auto" w:fill="A7C0DE"/>
      </w:tcPr>
    </w:tblStylePr>
    <w:tblStylePr w:type="nwCell">
      <w:tcPr>
        <w:shd w:val="clear" w:color="auto" w:fill="FFFFFF"/>
      </w:tcPr>
    </w:tblStylePr>
  </w:style>
  <w:style w:type="paragraph" w:styleId="512">
    <w:name w:val="List Paragraph"/>
    <w:basedOn w:val="1"/>
    <w:qFormat/>
    <w:uiPriority w:val="99"/>
    <w:pPr>
      <w:ind w:firstLine="420" w:firstLineChars="200"/>
    </w:pPr>
  </w:style>
  <w:style w:type="paragraph" w:styleId="5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14">
    <w:name w:val="Plain Text"/>
    <w:basedOn w:val="1"/>
    <w:qFormat/>
    <w:uiPriority w:val="0"/>
    <w:pPr>
      <w:spacing w:before="156" w:beforeLines="50" w:after="156" w:afterLines="50" w:line="400" w:lineRule="exact"/>
    </w:pPr>
    <w:rPr>
      <w:rFonts w:ascii="宋体" w:hAnsi="Courier New"/>
      <w:sz w:val="24"/>
    </w:rPr>
  </w:style>
  <w:style w:type="paragraph" w:customStyle="1" w:styleId="515">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耀华建设管理有限公司</Company>
  <Pages>67</Pages>
  <Words>6517</Words>
  <Characters>37149</Characters>
  <Lines>309</Lines>
  <Paragraphs>87</Paragraphs>
  <TotalTime>10</TotalTime>
  <ScaleCrop>false</ScaleCrop>
  <LinksUpToDate>false</LinksUpToDate>
  <CharactersWithSpaces>43579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2021-10-12T08:37:00Z</dcterms:created>
  <dc:creator>单成燕</dc:creator>
  <cp:lastModifiedBy>hi</cp:lastModifiedBy>
  <cp:lastPrinted>2021-10-11T01:37:00Z</cp:lastPrinted>
  <dcterms:modified xsi:type="dcterms:W3CDTF">2021-10-15T06:48:31Z</dcterms:modified>
  <dc:subject>耀华代理招标采购文件范本</dc:subject>
  <dc:title>耀华代理招标采购文件范本</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599889856_cloud</vt:lpwstr>
  </property>
  <property fmtid="{D5CDD505-2E9C-101B-9397-08002B2CF9AE}" pid="4" name="ICV">
    <vt:lpwstr>774D7B8B2ECD44FB998DC1583F566965</vt:lpwstr>
  </property>
</Properties>
</file>