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1"/>
        <w:jc w:val="center"/>
        <w:rPr>
          <w:rFonts w:hint="eastAsia" w:ascii="宋体" w:hAnsi="宋体" w:eastAsia="宋体" w:cs="宋体"/>
          <w:b/>
          <w:bCs/>
          <w:kern w:val="2"/>
          <w:sz w:val="40"/>
          <w:szCs w:val="40"/>
          <w:highlight w:val="none"/>
          <w:lang w:val="en-US" w:eastAsia="zh-CN" w:bidi="ar-SA"/>
        </w:rPr>
      </w:pPr>
      <w:r>
        <w:rPr>
          <w:rFonts w:hint="eastAsia" w:ascii="宋体" w:hAnsi="宋体" w:eastAsia="宋体" w:cs="宋体"/>
          <w:b/>
          <w:bCs/>
          <w:kern w:val="2"/>
          <w:sz w:val="40"/>
          <w:szCs w:val="40"/>
          <w:highlight w:val="none"/>
          <w:lang w:val="en-US" w:eastAsia="zh-CN" w:bidi="ar-SA"/>
        </w:rPr>
        <w:t>疏附县2024年建设项目预算评审服务采购项目</w:t>
      </w:r>
      <w:r>
        <w:rPr>
          <w:rFonts w:hint="eastAsia" w:ascii="宋体" w:hAnsi="宋体" w:cs="宋体"/>
          <w:b/>
          <w:bCs/>
          <w:kern w:val="2"/>
          <w:sz w:val="36"/>
          <w:szCs w:val="36"/>
          <w:highlight w:val="none"/>
          <w:lang w:val="en-US" w:eastAsia="zh-CN" w:bidi="ar-SA"/>
        </w:rPr>
        <w:t>竞争性磋商</w:t>
      </w:r>
      <w:r>
        <w:rPr>
          <w:rFonts w:hint="eastAsia" w:ascii="宋体" w:hAnsi="宋体" w:eastAsia="宋体" w:cs="宋体"/>
          <w:b/>
          <w:bCs/>
          <w:kern w:val="2"/>
          <w:sz w:val="36"/>
          <w:szCs w:val="36"/>
          <w:highlight w:val="none"/>
          <w:lang w:val="en-US" w:eastAsia="zh-CN" w:bidi="ar-SA"/>
        </w:rPr>
        <w:t>公告</w:t>
      </w:r>
      <w:r>
        <w:rPr>
          <w:rFonts w:hint="eastAsia" w:ascii="宋体" w:hAnsi="宋体" w:cs="宋体"/>
          <w:b/>
          <w:bCs/>
          <w:kern w:val="2"/>
          <w:sz w:val="36"/>
          <w:szCs w:val="36"/>
          <w:highlight w:val="none"/>
          <w:lang w:val="en-US" w:eastAsia="zh-CN" w:bidi="ar-SA"/>
        </w:rPr>
        <w:t>KSSFX(JZXCS)2024-09号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pPr>
              <w:numPr>
                <w:ilvl w:val="0"/>
                <w:numId w:val="0"/>
              </w:numPr>
              <w:tabs>
                <w:tab w:val="left" w:pos="0"/>
              </w:tabs>
              <w:snapToGrid w:val="0"/>
              <w:spacing w:before="0" w:after="0" w:line="240" w:lineRule="atLeast"/>
              <w:ind w:firstLine="480" w:firstLineChars="200"/>
              <w:jc w:val="both"/>
              <w:textAlignment w:val="baseline"/>
              <w:outlineLvl w:val="9"/>
              <w:rPr>
                <w:rFonts w:hint="eastAsia" w:ascii="宋体" w:hAnsi="宋体" w:eastAsia="宋体" w:cs="宋体"/>
                <w:highlight w:val="none"/>
                <w:lang w:val="en-US" w:eastAsia="zh-CN"/>
              </w:rPr>
            </w:pPr>
            <w:r>
              <w:rPr>
                <w:rFonts w:hint="eastAsia" w:ascii="宋体" w:hAnsi="宋体" w:eastAsia="宋体" w:cs="宋体"/>
                <w:b w:val="0"/>
                <w:color w:val="00B0F0"/>
                <w:kern w:val="2"/>
                <w:sz w:val="24"/>
                <w:szCs w:val="24"/>
                <w:highlight w:val="none"/>
                <w:u w:val="single"/>
                <w:lang w:val="en-US" w:eastAsia="zh-CN" w:bidi="ar-SA"/>
              </w:rPr>
              <w:t>疏附县2024年建设项目预算评审服务采购项目</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cs="宋体"/>
                <w:b w:val="0"/>
                <w:color w:val="00B0F0"/>
                <w:kern w:val="2"/>
                <w:sz w:val="24"/>
                <w:szCs w:val="24"/>
                <w:highlight w:val="none"/>
                <w:u w:val="single"/>
                <w:lang w:val="en-US" w:eastAsia="zh-CN" w:bidi="ar-SA"/>
              </w:rPr>
              <w:t>2024年7月24日10：30</w:t>
            </w:r>
            <w:r>
              <w:rPr>
                <w:rFonts w:hint="eastAsia" w:ascii="宋体" w:hAnsi="宋体" w:eastAsia="宋体" w:cs="宋体"/>
                <w:b w:val="0"/>
                <w:color w:val="00B0F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pPr>
        <w:keepNext w:val="0"/>
        <w:keepLines w:val="0"/>
        <w:pageBreakBefore w:val="0"/>
        <w:kinsoku/>
        <w:wordWrap/>
        <w:overflowPunct/>
        <w:topLinePunct w:val="0"/>
        <w:bidi w:val="0"/>
        <w:spacing w:line="420" w:lineRule="exact"/>
        <w:rPr>
          <w:rFonts w:hint="eastAsia" w:ascii="宋体" w:hAnsi="宋体" w:eastAsia="宋体" w:cs="宋体"/>
          <w:b/>
          <w:sz w:val="24"/>
          <w:highlight w:val="none"/>
        </w:rPr>
      </w:pPr>
      <w:bookmarkStart w:id="0" w:name="_Toc35393790"/>
      <w:bookmarkStart w:id="1" w:name="_Toc28217"/>
      <w:bookmarkStart w:id="2" w:name="_Toc28359002"/>
      <w:bookmarkStart w:id="3" w:name="_Toc35393621"/>
      <w:bookmarkStart w:id="4" w:name="_Toc28359079"/>
      <w:bookmarkStart w:id="5" w:name="_Toc28253"/>
      <w:bookmarkStart w:id="6" w:name="_Toc20970"/>
      <w:bookmarkStart w:id="7" w:name="_Hlk24379207"/>
      <w:r>
        <w:rPr>
          <w:rFonts w:hint="eastAsia" w:ascii="宋体" w:hAnsi="宋体" w:eastAsia="宋体" w:cs="宋体"/>
          <w:b/>
          <w:sz w:val="24"/>
          <w:highlight w:val="none"/>
        </w:rPr>
        <w:t>一、</w:t>
      </w:r>
      <w:bookmarkEnd w:id="0"/>
      <w:bookmarkEnd w:id="1"/>
      <w:bookmarkEnd w:id="2"/>
      <w:bookmarkEnd w:id="3"/>
      <w:bookmarkEnd w:id="4"/>
      <w:r>
        <w:rPr>
          <w:rFonts w:hint="eastAsia" w:ascii="宋体" w:hAnsi="宋体" w:eastAsia="宋体" w:cs="宋体"/>
          <w:b/>
          <w:sz w:val="24"/>
          <w:highlight w:val="none"/>
        </w:rPr>
        <w:t>项目基本情况</w:t>
      </w:r>
      <w:bookmarkEnd w:id="5"/>
      <w:bookmarkEnd w:id="6"/>
    </w:p>
    <w:p>
      <w:pPr>
        <w:keepNext w:val="0"/>
        <w:keepLines w:val="0"/>
        <w:pageBreakBefore w:val="0"/>
        <w:kinsoku/>
        <w:wordWrap/>
        <w:overflowPunct/>
        <w:topLinePunct w:val="0"/>
        <w:bidi w:val="0"/>
        <w:spacing w:line="420" w:lineRule="exact"/>
        <w:ind w:firstLine="480" w:firstLineChars="200"/>
        <w:rPr>
          <w:rFonts w:hint="eastAsia" w:ascii="宋体" w:hAnsi="宋体" w:cs="宋体"/>
          <w:b w:val="0"/>
          <w:color w:val="00B0F0"/>
          <w:kern w:val="2"/>
          <w:sz w:val="24"/>
          <w:szCs w:val="24"/>
          <w:highlight w:val="none"/>
          <w:u w:val="none"/>
          <w:lang w:val="en-US" w:eastAsia="zh-CN" w:bidi="ar-SA"/>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项目编号：</w:t>
      </w:r>
      <w:r>
        <w:rPr>
          <w:rFonts w:hint="eastAsia" w:ascii="宋体" w:hAnsi="宋体" w:cs="宋体"/>
          <w:b w:val="0"/>
          <w:color w:val="00B0F0"/>
          <w:kern w:val="2"/>
          <w:sz w:val="24"/>
          <w:szCs w:val="24"/>
          <w:highlight w:val="none"/>
          <w:u w:val="none"/>
          <w:lang w:val="en-US" w:eastAsia="zh-CN" w:bidi="ar-SA"/>
        </w:rPr>
        <w:t xml:space="preserve">KSSFX(JZXCS)2024-09号 </w:t>
      </w:r>
    </w:p>
    <w:p>
      <w:pPr>
        <w:keepNext w:val="0"/>
        <w:keepLines w:val="0"/>
        <w:pageBreakBefore w:val="0"/>
        <w:numPr>
          <w:ilvl w:val="0"/>
          <w:numId w:val="0"/>
        </w:numPr>
        <w:tabs>
          <w:tab w:val="left" w:pos="0"/>
        </w:tabs>
        <w:kinsoku/>
        <w:wordWrap/>
        <w:overflowPunct/>
        <w:topLinePunct w:val="0"/>
        <w:bidi w:val="0"/>
        <w:snapToGrid w:val="0"/>
        <w:spacing w:before="0" w:after="0" w:line="420" w:lineRule="exact"/>
        <w:ind w:firstLine="480" w:firstLineChars="200"/>
        <w:jc w:val="both"/>
        <w:textAlignment w:val="baseline"/>
        <w:outlineLvl w:val="9"/>
        <w:rPr>
          <w:rFonts w:hint="eastAsia" w:ascii="宋体" w:hAnsi="宋体" w:eastAsia="宋体" w:cs="宋体"/>
          <w:b w:val="0"/>
          <w:color w:val="00B0F0"/>
          <w:kern w:val="2"/>
          <w:sz w:val="24"/>
          <w:szCs w:val="24"/>
          <w:highlight w:val="none"/>
          <w:u w:val="none"/>
          <w:lang w:val="en-US" w:eastAsia="zh-CN" w:bidi="ar-SA"/>
        </w:rPr>
      </w:pPr>
      <w:r>
        <w:rPr>
          <w:rFonts w:hint="eastAsia" w:ascii="宋体" w:hAnsi="宋体" w:eastAsia="宋体" w:cs="宋体"/>
          <w:b w:val="0"/>
          <w:kern w:val="2"/>
          <w:sz w:val="24"/>
          <w:szCs w:val="24"/>
          <w:highlight w:val="none"/>
          <w:lang w:val="en-US" w:eastAsia="zh-CN" w:bidi="ar-SA"/>
        </w:rPr>
        <w:t>2.项目名称</w:t>
      </w:r>
      <w:r>
        <w:rPr>
          <w:rFonts w:hint="eastAsia" w:ascii="宋体" w:hAnsi="宋体" w:eastAsia="宋体" w:cs="宋体"/>
          <w:sz w:val="24"/>
          <w:highlight w:val="none"/>
        </w:rPr>
        <w:t>：</w:t>
      </w:r>
      <w:bookmarkEnd w:id="7"/>
      <w:r>
        <w:rPr>
          <w:rFonts w:hint="eastAsia" w:ascii="宋体" w:hAnsi="宋体" w:eastAsia="宋体" w:cs="宋体"/>
          <w:b w:val="0"/>
          <w:color w:val="00B0F0"/>
          <w:kern w:val="2"/>
          <w:sz w:val="24"/>
          <w:szCs w:val="24"/>
          <w:highlight w:val="none"/>
          <w:u w:val="none"/>
          <w:lang w:val="en-US" w:eastAsia="zh-CN" w:bidi="ar-SA"/>
        </w:rPr>
        <w:t>疏附县2024年建设项目预算评审服务采购项目</w:t>
      </w:r>
    </w:p>
    <w:p>
      <w:pPr>
        <w:keepNext w:val="0"/>
        <w:keepLines w:val="0"/>
        <w:pageBreakBefore w:val="0"/>
        <w:kinsoku/>
        <w:wordWrap/>
        <w:overflowPunct/>
        <w:topLinePunct w:val="0"/>
        <w:bidi w:val="0"/>
        <w:spacing w:line="42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采购方式：</w:t>
      </w:r>
      <w:r>
        <w:rPr>
          <w:rFonts w:hint="eastAsia" w:ascii="宋体" w:hAnsi="宋体" w:cs="宋体"/>
          <w:sz w:val="24"/>
          <w:highlight w:val="none"/>
          <w:lang w:val="en-US" w:eastAsia="zh-CN"/>
        </w:rPr>
        <w:t>竞争性磋商</w:t>
      </w:r>
    </w:p>
    <w:p>
      <w:pPr>
        <w:pStyle w:val="5"/>
        <w:keepNext w:val="0"/>
        <w:keepLines w:val="0"/>
        <w:pageBreakBefore w:val="0"/>
        <w:kinsoku/>
        <w:wordWrap/>
        <w:overflowPunct/>
        <w:topLinePunct w:val="0"/>
        <w:bidi w:val="0"/>
        <w:spacing w:line="420" w:lineRule="exact"/>
        <w:rPr>
          <w:rFonts w:hint="default" w:ascii="宋体" w:hAnsi="宋体" w:eastAsia="宋体" w:cs="宋体"/>
          <w:b w:val="0"/>
          <w:color w:val="00B0F0"/>
          <w:kern w:val="2"/>
          <w:sz w:val="24"/>
          <w:szCs w:val="24"/>
          <w:highlight w:val="none"/>
          <w:u w:val="none"/>
          <w:lang w:val="en-US" w:eastAsia="zh-CN" w:bidi="ar-SA"/>
        </w:rPr>
      </w:pPr>
      <w:r>
        <w:rPr>
          <w:rFonts w:hint="eastAsia" w:hAnsi="宋体" w:cs="宋体"/>
          <w:sz w:val="24"/>
          <w:highlight w:val="none"/>
          <w:lang w:val="en-US" w:eastAsia="zh-CN"/>
        </w:rPr>
        <w:t>4.预算价：</w:t>
      </w:r>
      <w:r>
        <w:rPr>
          <w:rFonts w:hint="eastAsia" w:hAnsi="宋体" w:cs="宋体"/>
          <w:b w:val="0"/>
          <w:color w:val="00B0F0"/>
          <w:kern w:val="2"/>
          <w:sz w:val="24"/>
          <w:szCs w:val="24"/>
          <w:highlight w:val="none"/>
          <w:u w:val="none"/>
          <w:lang w:val="en-US" w:eastAsia="zh-CN" w:bidi="ar-SA"/>
        </w:rPr>
        <w:t>0.05</w:t>
      </w:r>
      <w:r>
        <w:rPr>
          <w:rFonts w:hint="eastAsia" w:ascii="宋体" w:hAnsi="宋体" w:eastAsia="宋体" w:cs="宋体"/>
          <w:b w:val="0"/>
          <w:color w:val="00B0F0"/>
          <w:kern w:val="2"/>
          <w:sz w:val="24"/>
          <w:szCs w:val="24"/>
          <w:highlight w:val="none"/>
          <w:u w:val="none"/>
          <w:lang w:val="en-US" w:eastAsia="zh-CN" w:bidi="ar-SA"/>
        </w:rPr>
        <w:t>元</w:t>
      </w:r>
      <w:r>
        <w:rPr>
          <w:rFonts w:hint="eastAsia" w:hAnsi="宋体" w:cs="宋体"/>
          <w:b w:val="0"/>
          <w:color w:val="00B0F0"/>
          <w:kern w:val="2"/>
          <w:sz w:val="24"/>
          <w:szCs w:val="24"/>
          <w:highlight w:val="none"/>
          <w:u w:val="none"/>
          <w:lang w:val="en-US" w:eastAsia="zh-CN" w:bidi="ar-SA"/>
        </w:rPr>
        <w:t>/标段</w:t>
      </w:r>
      <w:bookmarkStart w:id="42" w:name="_GoBack"/>
      <w:bookmarkEnd w:id="42"/>
    </w:p>
    <w:p>
      <w:pPr>
        <w:pStyle w:val="5"/>
        <w:keepNext w:val="0"/>
        <w:keepLines w:val="0"/>
        <w:pageBreakBefore w:val="0"/>
        <w:kinsoku/>
        <w:wordWrap/>
        <w:overflowPunct/>
        <w:topLinePunct w:val="0"/>
        <w:bidi w:val="0"/>
        <w:spacing w:line="420" w:lineRule="exact"/>
        <w:rPr>
          <w:rFonts w:hint="default" w:hAnsi="宋体" w:cs="宋体"/>
          <w:sz w:val="24"/>
          <w:highlight w:val="none"/>
          <w:lang w:val="en-US" w:eastAsia="zh-CN"/>
        </w:rPr>
      </w:pPr>
      <w:r>
        <w:rPr>
          <w:rFonts w:hint="eastAsia" w:hAnsi="宋体" w:cs="宋体"/>
          <w:sz w:val="24"/>
          <w:highlight w:val="none"/>
          <w:lang w:val="en-US" w:eastAsia="zh-CN"/>
        </w:rPr>
        <w:t>5.最高限价：/</w:t>
      </w:r>
    </w:p>
    <w:p>
      <w:pPr>
        <w:pStyle w:val="5"/>
        <w:keepNext w:val="0"/>
        <w:keepLines w:val="0"/>
        <w:pageBreakBefore w:val="0"/>
        <w:kinsoku/>
        <w:wordWrap/>
        <w:overflowPunct/>
        <w:topLinePunct w:val="0"/>
        <w:bidi w:val="0"/>
        <w:spacing w:line="420" w:lineRule="exact"/>
        <w:rPr>
          <w:rFonts w:hint="eastAsia" w:ascii="宋体" w:hAnsi="宋体" w:eastAsia="宋体" w:cs="宋体"/>
          <w:sz w:val="24"/>
          <w:highlight w:val="none"/>
        </w:rPr>
      </w:pPr>
      <w:r>
        <w:rPr>
          <w:rFonts w:hint="eastAsia" w:hAnsi="宋体" w:cs="宋体"/>
          <w:sz w:val="24"/>
          <w:highlight w:val="none"/>
          <w:lang w:val="en-US" w:eastAsia="zh-CN"/>
        </w:rPr>
        <w:t>6</w:t>
      </w:r>
      <w:r>
        <w:rPr>
          <w:rFonts w:hint="eastAsia" w:ascii="宋体" w:hAnsi="宋体" w:cs="宋体"/>
          <w:sz w:val="24"/>
          <w:highlight w:val="none"/>
          <w:lang w:val="en-US" w:eastAsia="zh-CN"/>
        </w:rPr>
        <w:t>.</w:t>
      </w:r>
      <w:r>
        <w:rPr>
          <w:rFonts w:hint="eastAsia" w:ascii="宋体" w:hAnsi="宋体" w:eastAsia="宋体" w:cs="宋体"/>
          <w:sz w:val="24"/>
          <w:highlight w:val="none"/>
        </w:rPr>
        <w:t>采购需求：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color w:val="00B0F0"/>
          <w:kern w:val="2"/>
          <w:sz w:val="24"/>
          <w:szCs w:val="24"/>
          <w:highlight w:val="none"/>
          <w:u w:val="none"/>
          <w:lang w:val="en-US" w:eastAsia="zh-CN" w:bidi="ar-SA"/>
        </w:rPr>
      </w:pPr>
      <w:r>
        <w:rPr>
          <w:rFonts w:hint="eastAsia" w:ascii="宋体" w:hAnsi="宋体" w:eastAsia="宋体" w:cs="宋体"/>
          <w:b w:val="0"/>
          <w:color w:val="00B0F0"/>
          <w:kern w:val="2"/>
          <w:sz w:val="24"/>
          <w:szCs w:val="24"/>
          <w:highlight w:val="none"/>
          <w:u w:val="none"/>
          <w:lang w:val="en-US" w:eastAsia="zh-CN" w:bidi="ar-SA"/>
        </w:rPr>
        <w:t>采购20家第三方机构开展预算评审服务工作，每家完成</w:t>
      </w:r>
      <w:r>
        <w:rPr>
          <w:rFonts w:hint="default" w:ascii="宋体" w:hAnsi="宋体" w:eastAsia="宋体" w:cs="宋体"/>
          <w:b w:val="0"/>
          <w:color w:val="00B0F0"/>
          <w:kern w:val="2"/>
          <w:sz w:val="24"/>
          <w:szCs w:val="24"/>
          <w:highlight w:val="none"/>
          <w:u w:val="none"/>
          <w:lang w:val="en-US" w:eastAsia="zh-CN" w:bidi="ar-SA"/>
        </w:rPr>
        <w:t>1</w:t>
      </w:r>
      <w:r>
        <w:rPr>
          <w:rFonts w:hint="eastAsia" w:ascii="宋体" w:hAnsi="宋体" w:eastAsia="宋体" w:cs="宋体"/>
          <w:b w:val="0"/>
          <w:color w:val="00B0F0"/>
          <w:kern w:val="2"/>
          <w:sz w:val="24"/>
          <w:szCs w:val="24"/>
          <w:highlight w:val="none"/>
          <w:u w:val="none"/>
          <w:lang w:val="en-US" w:eastAsia="zh-CN" w:bidi="ar-SA"/>
        </w:rPr>
        <w:t>亿元评审任务。（分为</w:t>
      </w:r>
      <w:r>
        <w:rPr>
          <w:rFonts w:hint="default" w:ascii="宋体" w:hAnsi="宋体" w:eastAsia="宋体" w:cs="宋体"/>
          <w:b w:val="0"/>
          <w:color w:val="00B0F0"/>
          <w:kern w:val="2"/>
          <w:sz w:val="24"/>
          <w:szCs w:val="24"/>
          <w:highlight w:val="none"/>
          <w:u w:val="none"/>
          <w:lang w:val="en-US" w:eastAsia="zh-CN" w:bidi="ar-SA"/>
        </w:rPr>
        <w:t>20</w:t>
      </w:r>
      <w:r>
        <w:rPr>
          <w:rFonts w:hint="eastAsia" w:ascii="宋体" w:hAnsi="宋体" w:eastAsia="宋体" w:cs="宋体"/>
          <w:b w:val="0"/>
          <w:color w:val="00B0F0"/>
          <w:kern w:val="2"/>
          <w:sz w:val="24"/>
          <w:szCs w:val="24"/>
          <w:highlight w:val="none"/>
          <w:u w:val="none"/>
          <w:lang w:val="en-US" w:eastAsia="zh-CN" w:bidi="ar-SA"/>
        </w:rPr>
        <w:t>个标段，</w:t>
      </w:r>
      <w:r>
        <w:rPr>
          <w:rFonts w:hint="default" w:ascii="宋体" w:hAnsi="宋体" w:eastAsia="宋体" w:cs="宋体"/>
          <w:b w:val="0"/>
          <w:color w:val="00B0F0"/>
          <w:kern w:val="2"/>
          <w:sz w:val="24"/>
          <w:szCs w:val="24"/>
          <w:highlight w:val="none"/>
          <w:u w:val="none"/>
          <w:lang w:val="en-US" w:eastAsia="zh-CN" w:bidi="ar-SA"/>
        </w:rPr>
        <w:t>1</w:t>
      </w:r>
      <w:r>
        <w:rPr>
          <w:rFonts w:hint="eastAsia" w:ascii="宋体" w:hAnsi="宋体" w:eastAsia="宋体" w:cs="宋体"/>
          <w:b w:val="0"/>
          <w:color w:val="00B0F0"/>
          <w:kern w:val="2"/>
          <w:sz w:val="24"/>
          <w:szCs w:val="24"/>
          <w:highlight w:val="none"/>
          <w:u w:val="none"/>
          <w:lang w:val="en-US" w:eastAsia="zh-CN" w:bidi="ar-SA"/>
        </w:rPr>
        <w:t>亿/标段，不可兼中兼得）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color w:val="00B0F0"/>
          <w:kern w:val="2"/>
          <w:sz w:val="24"/>
          <w:szCs w:val="24"/>
          <w:highlight w:val="none"/>
          <w:u w:val="none"/>
          <w:lang w:val="en-US" w:eastAsia="zh-CN" w:bidi="ar-SA"/>
        </w:rPr>
      </w:pPr>
      <w:r>
        <w:rPr>
          <w:rFonts w:hint="eastAsia" w:ascii="宋体" w:hAnsi="宋体" w:eastAsia="宋体" w:cs="宋体"/>
          <w:b w:val="0"/>
          <w:color w:val="00B0F0"/>
          <w:kern w:val="2"/>
          <w:sz w:val="24"/>
          <w:szCs w:val="24"/>
          <w:highlight w:val="none"/>
          <w:u w:val="none"/>
          <w:lang w:val="en-US" w:eastAsia="zh-CN" w:bidi="ar-SA"/>
        </w:rPr>
        <w:t>服务收费标准按照关于下达《新疆维吾尔自治区工程造价咨询服务收费管理规定》的通知新计价房［</w:t>
      </w:r>
      <w:r>
        <w:rPr>
          <w:rFonts w:hint="default" w:ascii="宋体" w:hAnsi="宋体" w:eastAsia="宋体" w:cs="宋体"/>
          <w:b w:val="0"/>
          <w:color w:val="00B0F0"/>
          <w:kern w:val="2"/>
          <w:sz w:val="24"/>
          <w:szCs w:val="24"/>
          <w:highlight w:val="none"/>
          <w:u w:val="none"/>
          <w:lang w:val="en-US" w:eastAsia="zh-CN" w:bidi="ar-SA"/>
        </w:rPr>
        <w:t>2002</w:t>
      </w:r>
      <w:r>
        <w:rPr>
          <w:rFonts w:hint="eastAsia" w:ascii="宋体" w:hAnsi="宋体" w:eastAsia="宋体" w:cs="宋体"/>
          <w:b w:val="0"/>
          <w:color w:val="00B0F0"/>
          <w:kern w:val="2"/>
          <w:sz w:val="24"/>
          <w:szCs w:val="24"/>
          <w:highlight w:val="none"/>
          <w:u w:val="none"/>
          <w:lang w:val="en-US" w:eastAsia="zh-CN" w:bidi="ar-SA"/>
        </w:rPr>
        <w:t>］</w:t>
      </w:r>
      <w:r>
        <w:rPr>
          <w:rFonts w:hint="default" w:ascii="宋体" w:hAnsi="宋体" w:eastAsia="宋体" w:cs="宋体"/>
          <w:b w:val="0"/>
          <w:color w:val="00B0F0"/>
          <w:kern w:val="2"/>
          <w:sz w:val="24"/>
          <w:szCs w:val="24"/>
          <w:highlight w:val="none"/>
          <w:u w:val="none"/>
          <w:lang w:val="en-US" w:eastAsia="zh-CN" w:bidi="ar-SA"/>
        </w:rPr>
        <w:t>866</w:t>
      </w:r>
      <w:r>
        <w:rPr>
          <w:rFonts w:hint="eastAsia" w:ascii="宋体" w:hAnsi="宋体" w:eastAsia="宋体" w:cs="宋体"/>
          <w:b w:val="0"/>
          <w:color w:val="00B0F0"/>
          <w:kern w:val="2"/>
          <w:sz w:val="24"/>
          <w:szCs w:val="24"/>
          <w:highlight w:val="none"/>
          <w:u w:val="none"/>
          <w:lang w:val="en-US" w:eastAsia="zh-CN" w:bidi="ar-SA"/>
        </w:rPr>
        <w:t>号文件的取费标准作为基准价，就下浮率进行磋商。</w:t>
      </w:r>
    </w:p>
    <w:p>
      <w:pPr>
        <w:spacing w:before="21" w:line="244" w:lineRule="auto"/>
        <w:ind w:right="366"/>
        <w:jc w:val="center"/>
        <w:rPr>
          <w:b/>
          <w:sz w:val="48"/>
        </w:rPr>
      </w:pPr>
      <w:r>
        <w:rPr>
          <w:b/>
          <w:color w:val="FF0000"/>
          <w:w w:val="95"/>
          <w:sz w:val="40"/>
          <w:szCs w:val="21"/>
        </w:rPr>
        <w:t>关于下达《新疆维吾尔自治区工程造价</w:t>
      </w:r>
      <w:r>
        <w:rPr>
          <w:b/>
          <w:color w:val="FF0000"/>
          <w:sz w:val="40"/>
          <w:szCs w:val="21"/>
        </w:rPr>
        <w:t>咨询服务收费管理规定》的通知</w:t>
      </w:r>
    </w:p>
    <w:p>
      <w:pPr>
        <w:pStyle w:val="2"/>
        <w:spacing w:before="277"/>
        <w:ind w:left="3031" w:right="3069"/>
        <w:jc w:val="center"/>
        <w:rPr>
          <w:sz w:val="24"/>
        </w:rPr>
      </w:pPr>
      <w:r>
        <w:t xml:space="preserve">新计价房［2002］866 号 </w:t>
      </w:r>
    </w:p>
    <w:p>
      <w:pPr>
        <w:spacing w:before="0"/>
        <w:ind w:left="159" w:right="0" w:firstLine="0"/>
        <w:jc w:val="left"/>
        <w:rPr>
          <w:sz w:val="24"/>
        </w:rPr>
      </w:pPr>
      <w:r>
        <w:rPr>
          <w:b/>
          <w:sz w:val="30"/>
          <w:szCs w:val="30"/>
        </w:rPr>
        <w:t>伊犁哈萨克自治州计委（物价局）、建设局，各地、州、市计委 (物价局)、建设局：</w:t>
      </w:r>
      <w:r>
        <w:rPr>
          <w:w w:val="100"/>
          <w:sz w:val="21"/>
        </w:rPr>
        <w:t xml:space="preserve"> </w:t>
      </w:r>
    </w:p>
    <w:p>
      <w:pPr>
        <w:pStyle w:val="6"/>
        <w:spacing w:line="280" w:lineRule="auto"/>
        <w:ind w:left="159" w:right="318"/>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按照国务院及建设部有关规定，我区的工程造价咨询单位已完成了脱钩改制工作。为进一步加强对工程造价咨询单位收费的管理，规范收费行为，自治区计委、建设厅制定了《新疆维吾尔自治区工程造价咨询服务收费管理规定》 (以下简称《规定》)，现予以下达，请各地贯彻执行。  </w:t>
      </w:r>
    </w:p>
    <w:p>
      <w:pPr>
        <w:pStyle w:val="6"/>
        <w:spacing w:line="280" w:lineRule="auto"/>
        <w:ind w:left="159" w:right="318"/>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本《规定》施行前，已完成委托合同工作量 50％以上的，工程造价咨询收费仍按原合同执行；已完成委托合同工作量不足 50％的，工程造价咨询服务收费由委托双方参照本《规定》协商确定。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新规定施行后，原自治区物价局、计委新价非字［ 1994］30 号文件及附件同时废止。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附件： 1.新疆维吾尔自治区工程造价咨询服务收费管理规定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附件： 2.工程造价咨询服务收费标准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附件：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新疆维吾尔自治区工程造价咨询服务收费管理规定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第一条为规范工程造价咨询服务收费行为，维护当事人的合法权益，根据《中华人民共和国价格法》及有关法律、法规、规章，结合自治区实际情况，制定本规定。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第二条本规定及收费标准适用于自治区境内依法取得相关业务资质的建设工程造价咨询服务收费行为。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第三条本规定所称工程造价咨询服务收费包括：建设项目投资估算的编制、审核及项目经 济评价；工程概算、预算、结算、竣工决算、工程招标底价、投标报价的编制、审核；工程变更及合同价款的调整和索赔费用的计算；建设项目各阶段的工程造价控制；工程经济纠纷的鉴定以及其它与工程造价业务有关的服务。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第四条工程造价咨询服务收费根据服务内容分别实行政府指导价和市场调节价。工程概算、预算、竣工结 (决)算、工程招标底价、投标报价的审核以及工程经济纠纷的鉴定收费实行政府指导价。除上述服务内容外，第三条中的其它服务内容实行市场调节价。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第五条实行政府指导价的工程造价咨询服务收费标准按差额定率分档累进法计算，基准价见附表。根据工程项目难易程度，委托双方可以在基准价的基础上，上下 10％的浮动幅度范围内，协商确定具体收费标准。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实行市场调节价的工程造价咨询服务收费，由委托双方协商确定收费标准。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第六条对于涉外工程造价咨询业务中有特殊要求的，工程造价单位可与委托方协商确定咨询费用。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第七条工程造价咨询单位实施收费必须具备下列条件：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1．经工商行政管理部门批准，办理注册登记，取得《法人营业执照》；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2．持国家或自治区建设行政主管部门核发的《工程造价咨询单位资质证书》；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3．依法进行税务登记，取得税务登记证书。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第八条工程造价咨询单位服务收费时应遵循公开、公正、诚实信用的原则，与委托人签订 委托合同，明确服务内容、时限、质量、双方义务和责任、收费的方式、收费标准和付款时间。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第九条工程造价咨询单位应当按照国家计委第 8 号令《关于商品和服务实行明码标价的规定》，告知委托人有关服务项目、服务内容、收费依据以及收费标准。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第十条工程造价咨询实行自愿委托、委托人付费，任何部门、单位和个人都不得强制服务，强行收费。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第十一条工程造价咨询单位应按照国家和自治区有关造价咨询的法规、政策及业务规程提供咨询服务，保证成果文件的合法性和真实性。工程造价咨询结果达不到合同规定的工作内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容和深度的，工程造价咨询单位应负责修改完善，委托方不再另支付咨询费。咨询结果造成委托方经济损失的，应按合同法和委托合同承担相应的法律、经济责任。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第十二条委托方应按照合同规定及时间向工程造价咨询单位提供咨询业务所必须的工作条件和资料。由于委托方原因造成延长期限的，工程造价咨询单位不承担违约责任。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第十三条委托方对工程造价咨询结果有异议的，可按国家及自治区有关规定提请第三方进行复核。经复核后，确认误差在 ± 3％以内的，由委托方承担复核所造成的费用；误差在±3％以上的，原工程造价咨询单位承担复核所造成的费用，同时应退还收取的服务费，具体金额由双方在合同中约定。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第十四条违反本规定和国家有关价格法律、法规规定的，由政府价格主管部门依据《中华人民共和国价格法》、《价格违法行为行政处罚规定》予以处罚。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第十五条本规定及所附收费标准由自治区发展计划委员会负责解释。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第十六条本规定自二○○二年六月一日起施行。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drawing>
          <wp:anchor distT="0" distB="0" distL="114300" distR="114300" simplePos="0" relativeHeight="251659264" behindDoc="1" locked="0" layoutInCell="1" allowOverlap="1">
            <wp:simplePos x="0" y="0"/>
            <wp:positionH relativeFrom="page">
              <wp:posOffset>1118235</wp:posOffset>
            </wp:positionH>
            <wp:positionV relativeFrom="paragraph">
              <wp:posOffset>746125</wp:posOffset>
            </wp:positionV>
            <wp:extent cx="222250" cy="237490"/>
            <wp:effectExtent l="0" t="0" r="6350" b="1016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a:stretch>
                      <a:fillRect/>
                    </a:stretch>
                  </pic:blipFill>
                  <pic:spPr>
                    <a:xfrm>
                      <a:off x="0" y="0"/>
                      <a:ext cx="222250" cy="237490"/>
                    </a:xfrm>
                    <a:prstGeom prst="rect">
                      <a:avLst/>
                    </a:prstGeom>
                    <a:noFill/>
                    <a:ln>
                      <a:noFill/>
                    </a:ln>
                  </pic:spPr>
                </pic:pic>
              </a:graphicData>
            </a:graphic>
          </wp:anchor>
        </w:drawing>
      </w:r>
      <w:r>
        <w:rPr>
          <w:rFonts w:hint="eastAsia" w:ascii="仿宋_GB2312" w:hAnsi="仿宋_GB2312" w:eastAsia="仿宋_GB2312" w:cs="仿宋_GB2312"/>
          <w:kern w:val="2"/>
          <w:sz w:val="24"/>
          <w:szCs w:val="24"/>
          <w:lang w:val="en-US" w:eastAsia="zh-CN" w:bidi="ar-SA"/>
        </w:rPr>
        <w:t xml:space="preserve">    附件：工程造价咨询服务收费标准    (差额定率分档累进法)  </w:t>
      </w:r>
    </w:p>
    <w:tbl>
      <w:tblPr>
        <w:tblStyle w:val="18"/>
        <w:tblW w:w="8693" w:type="dxa"/>
        <w:tblInd w:w="-117" w:type="dxa"/>
        <w:tblBorders>
          <w:top w:val="single" w:color="EBE8D7" w:sz="6" w:space="0"/>
          <w:left w:val="single" w:color="EBE8D7" w:sz="6" w:space="0"/>
          <w:bottom w:val="single" w:color="EBE8D7" w:sz="6" w:space="0"/>
          <w:right w:val="single" w:color="EBE8D7" w:sz="6" w:space="0"/>
          <w:insideH w:val="single" w:color="EBE8D7" w:sz="6" w:space="0"/>
          <w:insideV w:val="single" w:color="EBE8D7" w:sz="6" w:space="0"/>
        </w:tblBorders>
        <w:tblLayout w:type="fixed"/>
        <w:tblCellMar>
          <w:top w:w="0" w:type="dxa"/>
          <w:left w:w="0" w:type="dxa"/>
          <w:bottom w:w="0" w:type="dxa"/>
          <w:right w:w="0" w:type="dxa"/>
        </w:tblCellMar>
      </w:tblPr>
      <w:tblGrid>
        <w:gridCol w:w="500"/>
        <w:gridCol w:w="960"/>
        <w:gridCol w:w="689"/>
        <w:gridCol w:w="907"/>
        <w:gridCol w:w="1137"/>
        <w:gridCol w:w="1168"/>
        <w:gridCol w:w="1194"/>
        <w:gridCol w:w="1194"/>
        <w:gridCol w:w="944"/>
      </w:tblGrid>
      <w:tr>
        <w:tblPrEx>
          <w:tblBorders>
            <w:top w:val="single" w:color="EBE8D7" w:sz="6" w:space="0"/>
            <w:left w:val="single" w:color="EBE8D7" w:sz="6" w:space="0"/>
            <w:bottom w:val="single" w:color="EBE8D7" w:sz="6" w:space="0"/>
            <w:right w:val="single" w:color="EBE8D7" w:sz="6" w:space="0"/>
            <w:insideH w:val="single" w:color="EBE8D7" w:sz="6" w:space="0"/>
            <w:insideV w:val="single" w:color="EBE8D7" w:sz="6" w:space="0"/>
          </w:tblBorders>
          <w:tblCellMar>
            <w:top w:w="0" w:type="dxa"/>
            <w:left w:w="0" w:type="dxa"/>
            <w:bottom w:w="0" w:type="dxa"/>
            <w:right w:w="0" w:type="dxa"/>
          </w:tblCellMar>
        </w:tblPrEx>
        <w:trPr>
          <w:trHeight w:val="90" w:hRule="atLeast"/>
        </w:trPr>
        <w:tc>
          <w:tcPr>
            <w:tcW w:w="500" w:type="dxa"/>
            <w:tcBorders>
              <w:left w:val="nil"/>
              <w:bottom w:val="nil"/>
              <w:right w:val="single" w:color="ACA899" w:sz="6" w:space="0"/>
            </w:tcBorders>
            <w:noWrap w:val="0"/>
            <w:vAlign w:val="top"/>
          </w:tcPr>
          <w:p>
            <w:pPr>
              <w:pStyle w:val="25"/>
              <w:rPr>
                <w:rFonts w:hint="eastAsia" w:ascii="仿宋_GB2312" w:hAnsi="仿宋_GB2312" w:eastAsia="仿宋_GB2312" w:cs="仿宋_GB2312"/>
                <w:kern w:val="2"/>
                <w:sz w:val="24"/>
                <w:szCs w:val="24"/>
                <w:lang w:val="en-US" w:eastAsia="zh-CN" w:bidi="ar-SA"/>
              </w:rPr>
            </w:pPr>
          </w:p>
        </w:tc>
        <w:tc>
          <w:tcPr>
            <w:tcW w:w="960" w:type="dxa"/>
            <w:vMerge w:val="restart"/>
            <w:tcBorders>
              <w:top w:val="single" w:color="ACA899" w:sz="12" w:space="0"/>
              <w:left w:val="single" w:color="ACA899" w:sz="6" w:space="0"/>
              <w:bottom w:val="single" w:color="ACA899" w:sz="12" w:space="0"/>
              <w:right w:val="double" w:color="ACA899" w:sz="2" w:space="0"/>
            </w:tcBorders>
            <w:noWrap w:val="0"/>
            <w:vAlign w:val="top"/>
          </w:tcPr>
          <w:p>
            <w:pPr>
              <w:pStyle w:val="25"/>
              <w:rPr>
                <w:rFonts w:hint="eastAsia" w:ascii="仿宋_GB2312" w:hAnsi="仿宋_GB2312" w:eastAsia="仿宋_GB2312" w:cs="仿宋_GB2312"/>
                <w:kern w:val="2"/>
                <w:sz w:val="24"/>
                <w:szCs w:val="24"/>
                <w:lang w:val="en-US" w:eastAsia="zh-CN" w:bidi="ar-SA"/>
              </w:rPr>
            </w:pPr>
          </w:p>
          <w:p>
            <w:pPr>
              <w:pStyle w:val="25"/>
              <w:spacing w:before="173"/>
              <w:ind w:left="33"/>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服务项目 </w:t>
            </w:r>
          </w:p>
        </w:tc>
        <w:tc>
          <w:tcPr>
            <w:tcW w:w="7233" w:type="dxa"/>
            <w:gridSpan w:val="7"/>
            <w:tcBorders>
              <w:top w:val="single" w:color="ACA899" w:sz="12" w:space="0"/>
              <w:left w:val="double" w:color="ACA899" w:sz="2" w:space="0"/>
              <w:bottom w:val="single" w:color="ACA899" w:sz="12" w:space="0"/>
              <w:right w:val="single" w:color="ACA899" w:sz="12" w:space="0"/>
            </w:tcBorders>
            <w:noWrap w:val="0"/>
            <w:vAlign w:val="top"/>
          </w:tcPr>
          <w:p>
            <w:pPr>
              <w:pStyle w:val="25"/>
              <w:spacing w:before="5"/>
              <w:ind w:left="21"/>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划分标准</w:t>
            </w:r>
          </w:p>
        </w:tc>
      </w:tr>
      <w:tr>
        <w:tblPrEx>
          <w:tblBorders>
            <w:top w:val="single" w:color="EBE8D7" w:sz="6" w:space="0"/>
            <w:left w:val="single" w:color="EBE8D7" w:sz="6" w:space="0"/>
            <w:bottom w:val="single" w:color="EBE8D7" w:sz="6" w:space="0"/>
            <w:right w:val="single" w:color="EBE8D7" w:sz="6" w:space="0"/>
            <w:insideH w:val="single" w:color="EBE8D7" w:sz="6" w:space="0"/>
            <w:insideV w:val="single" w:color="EBE8D7" w:sz="6" w:space="0"/>
          </w:tblBorders>
          <w:tblCellMar>
            <w:top w:w="0" w:type="dxa"/>
            <w:left w:w="0" w:type="dxa"/>
            <w:bottom w:w="0" w:type="dxa"/>
            <w:right w:w="0" w:type="dxa"/>
          </w:tblCellMar>
        </w:tblPrEx>
        <w:trPr>
          <w:trHeight w:val="963" w:hRule="atLeast"/>
        </w:trPr>
        <w:tc>
          <w:tcPr>
            <w:tcW w:w="500" w:type="dxa"/>
            <w:tcBorders>
              <w:top w:val="nil"/>
              <w:left w:val="single" w:color="EBE8D7" w:sz="12" w:space="0"/>
              <w:bottom w:val="single" w:color="ACA899" w:sz="12" w:space="0"/>
              <w:right w:val="single" w:color="ACA899" w:sz="12" w:space="0"/>
            </w:tcBorders>
            <w:noWrap w:val="0"/>
            <w:vAlign w:val="top"/>
          </w:tcPr>
          <w:p>
            <w:pPr>
              <w:pStyle w:val="25"/>
              <w:spacing w:line="217" w:lineRule="exact"/>
              <w:ind w:left="25"/>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序</w:t>
            </w:r>
          </w:p>
          <w:p>
            <w:pPr>
              <w:pStyle w:val="25"/>
              <w:spacing w:before="43"/>
              <w:ind w:left="25" w:right="-58"/>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号</w:t>
            </w:r>
          </w:p>
        </w:tc>
        <w:tc>
          <w:tcPr>
            <w:tcW w:w="960" w:type="dxa"/>
            <w:vMerge w:val="continue"/>
            <w:tcBorders>
              <w:top w:val="nil"/>
              <w:left w:val="single" w:color="ACA899" w:sz="6" w:space="0"/>
              <w:bottom w:val="single" w:color="ACA899" w:sz="12" w:space="0"/>
              <w:right w:val="double" w:color="ACA899" w:sz="2" w:space="0"/>
            </w:tcBorders>
            <w:noWrap w:val="0"/>
            <w:vAlign w:val="top"/>
          </w:tcPr>
          <w:p>
            <w:pPr>
              <w:rPr>
                <w:rFonts w:hint="eastAsia" w:ascii="仿宋_GB2312" w:hAnsi="仿宋_GB2312" w:eastAsia="仿宋_GB2312" w:cs="仿宋_GB2312"/>
                <w:kern w:val="2"/>
                <w:sz w:val="24"/>
                <w:szCs w:val="24"/>
                <w:lang w:val="en-US" w:eastAsia="zh-CN" w:bidi="ar-SA"/>
              </w:rPr>
            </w:pPr>
          </w:p>
        </w:tc>
        <w:tc>
          <w:tcPr>
            <w:tcW w:w="689" w:type="dxa"/>
            <w:tcBorders>
              <w:top w:val="single" w:color="ACA899" w:sz="12" w:space="0"/>
              <w:left w:val="double" w:color="ACA899" w:sz="2" w:space="0"/>
              <w:bottom w:val="single" w:color="ACA899" w:sz="12" w:space="0"/>
              <w:right w:val="double" w:color="ACA899" w:sz="2" w:space="0"/>
            </w:tcBorders>
            <w:noWrap w:val="0"/>
            <w:vAlign w:val="top"/>
          </w:tcPr>
          <w:p>
            <w:pPr>
              <w:pStyle w:val="25"/>
              <w:spacing w:before="158" w:line="278" w:lineRule="auto"/>
              <w:ind w:left="21" w:right="8"/>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收费基数</w:t>
            </w:r>
          </w:p>
        </w:tc>
        <w:tc>
          <w:tcPr>
            <w:tcW w:w="907" w:type="dxa"/>
            <w:tcBorders>
              <w:top w:val="single" w:color="ACA899" w:sz="12" w:space="0"/>
              <w:left w:val="double" w:color="ACA899" w:sz="2" w:space="0"/>
              <w:bottom w:val="single" w:color="ACA899" w:sz="12" w:space="0"/>
              <w:right w:val="double" w:color="ACA899" w:sz="2" w:space="0"/>
            </w:tcBorders>
            <w:noWrap w:val="0"/>
            <w:vAlign w:val="top"/>
          </w:tcPr>
          <w:p>
            <w:pPr>
              <w:pStyle w:val="25"/>
              <w:spacing w:before="158" w:line="278" w:lineRule="auto"/>
              <w:ind w:left="21"/>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200 万元及以下 </w:t>
            </w:r>
          </w:p>
        </w:tc>
        <w:tc>
          <w:tcPr>
            <w:tcW w:w="1137" w:type="dxa"/>
            <w:tcBorders>
              <w:top w:val="single" w:color="ACA899" w:sz="12" w:space="0"/>
              <w:left w:val="double" w:color="ACA899" w:sz="2" w:space="0"/>
              <w:bottom w:val="single" w:color="ACA899" w:sz="12" w:space="0"/>
              <w:right w:val="double" w:color="ACA899" w:sz="2" w:space="0"/>
            </w:tcBorders>
            <w:noWrap w:val="0"/>
            <w:vAlign w:val="top"/>
          </w:tcPr>
          <w:p>
            <w:pPr>
              <w:pStyle w:val="25"/>
              <w:spacing w:before="5"/>
              <w:ind w:left="21"/>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200万元以上至 500 万元 </w:t>
            </w:r>
          </w:p>
        </w:tc>
        <w:tc>
          <w:tcPr>
            <w:tcW w:w="1168" w:type="dxa"/>
            <w:tcBorders>
              <w:top w:val="single" w:color="ACA899" w:sz="12" w:space="0"/>
              <w:left w:val="double" w:color="ACA899" w:sz="2" w:space="0"/>
              <w:bottom w:val="single" w:color="ACA899" w:sz="12" w:space="0"/>
              <w:right w:val="single" w:color="ACA899" w:sz="12" w:space="0"/>
            </w:tcBorders>
            <w:noWrap w:val="0"/>
            <w:vAlign w:val="top"/>
          </w:tcPr>
          <w:p>
            <w:pPr>
              <w:pStyle w:val="25"/>
              <w:spacing w:before="5" w:line="278" w:lineRule="auto"/>
              <w:ind w:left="22" w:right="-15"/>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500 万元以上至1000 万元 </w:t>
            </w:r>
          </w:p>
        </w:tc>
        <w:tc>
          <w:tcPr>
            <w:tcW w:w="1194" w:type="dxa"/>
            <w:tcBorders>
              <w:top w:val="single" w:color="ACA899" w:sz="12" w:space="0"/>
              <w:left w:val="single" w:color="ACA899" w:sz="12" w:space="0"/>
              <w:bottom w:val="single" w:color="ACA899" w:sz="12" w:space="0"/>
              <w:right w:val="single" w:color="ACA899" w:sz="12" w:space="0"/>
            </w:tcBorders>
            <w:noWrap w:val="0"/>
            <w:vAlign w:val="top"/>
          </w:tcPr>
          <w:p>
            <w:pPr>
              <w:pStyle w:val="25"/>
              <w:spacing w:before="5" w:line="278" w:lineRule="auto"/>
              <w:ind w:left="28" w:right="-15"/>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1000 万元以上至 3000 万元 </w:t>
            </w:r>
          </w:p>
        </w:tc>
        <w:tc>
          <w:tcPr>
            <w:tcW w:w="1194" w:type="dxa"/>
            <w:tcBorders>
              <w:top w:val="single" w:color="ACA899" w:sz="12" w:space="0"/>
              <w:left w:val="single" w:color="ACA899" w:sz="12" w:space="0"/>
              <w:bottom w:val="single" w:color="ACA899" w:sz="12" w:space="0"/>
              <w:right w:val="single" w:color="ACA899" w:sz="12" w:space="0"/>
            </w:tcBorders>
            <w:noWrap w:val="0"/>
            <w:vAlign w:val="top"/>
          </w:tcPr>
          <w:p>
            <w:pPr>
              <w:pStyle w:val="25"/>
              <w:spacing w:before="5" w:line="278" w:lineRule="auto"/>
              <w:ind w:left="29" w:right="-15"/>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3000 万元以上至 5000 万元 </w:t>
            </w:r>
          </w:p>
        </w:tc>
        <w:tc>
          <w:tcPr>
            <w:tcW w:w="944" w:type="dxa"/>
            <w:tcBorders>
              <w:top w:val="single" w:color="ACA899" w:sz="12" w:space="0"/>
              <w:left w:val="single" w:color="ACA899" w:sz="12" w:space="0"/>
              <w:bottom w:val="single" w:color="ACA899" w:sz="12" w:space="0"/>
              <w:right w:val="single" w:color="ACA899" w:sz="12" w:space="0"/>
            </w:tcBorders>
            <w:noWrap w:val="0"/>
            <w:vAlign w:val="top"/>
          </w:tcPr>
          <w:p>
            <w:pPr>
              <w:pStyle w:val="25"/>
              <w:spacing w:before="158"/>
              <w:ind w:left="3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5000 万</w:t>
            </w:r>
          </w:p>
          <w:p>
            <w:pPr>
              <w:pStyle w:val="25"/>
              <w:spacing w:before="43"/>
              <w:ind w:left="3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元以上 </w:t>
            </w:r>
          </w:p>
        </w:tc>
      </w:tr>
      <w:tr>
        <w:tblPrEx>
          <w:tblBorders>
            <w:top w:val="single" w:color="EBE8D7" w:sz="6" w:space="0"/>
            <w:left w:val="single" w:color="EBE8D7" w:sz="6" w:space="0"/>
            <w:bottom w:val="single" w:color="EBE8D7" w:sz="6" w:space="0"/>
            <w:right w:val="single" w:color="EBE8D7" w:sz="6" w:space="0"/>
            <w:insideH w:val="single" w:color="EBE8D7" w:sz="6" w:space="0"/>
            <w:insideV w:val="single" w:color="EBE8D7" w:sz="6" w:space="0"/>
          </w:tblBorders>
          <w:tblCellMar>
            <w:top w:w="0" w:type="dxa"/>
            <w:left w:w="0" w:type="dxa"/>
            <w:bottom w:w="0" w:type="dxa"/>
            <w:right w:w="0" w:type="dxa"/>
          </w:tblCellMar>
        </w:tblPrEx>
        <w:trPr>
          <w:trHeight w:val="656" w:hRule="atLeast"/>
        </w:trPr>
        <w:tc>
          <w:tcPr>
            <w:tcW w:w="500" w:type="dxa"/>
            <w:tcBorders>
              <w:top w:val="single" w:color="ACA899" w:sz="12" w:space="0"/>
              <w:left w:val="single" w:color="EBE8D7" w:sz="12" w:space="0"/>
              <w:bottom w:val="single" w:color="ACA899" w:sz="12" w:space="0"/>
              <w:right w:val="single" w:color="ACA899" w:sz="12" w:space="0"/>
            </w:tcBorders>
            <w:noWrap w:val="0"/>
            <w:vAlign w:val="top"/>
          </w:tcPr>
          <w:p>
            <w:pPr>
              <w:pStyle w:val="25"/>
              <w:spacing w:before="158"/>
              <w:ind w:left="60" w:right="91"/>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960" w:type="dxa"/>
            <w:tcBorders>
              <w:top w:val="single" w:color="ACA899" w:sz="12" w:space="0"/>
              <w:left w:val="single" w:color="ACA899" w:sz="12" w:space="0"/>
              <w:bottom w:val="single" w:color="ACA899" w:sz="12" w:space="0"/>
              <w:right w:val="double" w:color="ACA899" w:sz="2" w:space="0"/>
            </w:tcBorders>
            <w:noWrap w:val="0"/>
            <w:vAlign w:val="top"/>
          </w:tcPr>
          <w:p>
            <w:pPr>
              <w:pStyle w:val="25"/>
              <w:spacing w:before="158"/>
              <w:ind w:left="26"/>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审核概算 </w:t>
            </w:r>
          </w:p>
        </w:tc>
        <w:tc>
          <w:tcPr>
            <w:tcW w:w="689" w:type="dxa"/>
            <w:tcBorders>
              <w:top w:val="single" w:color="ACA899" w:sz="12" w:space="0"/>
              <w:left w:val="double" w:color="ACA899" w:sz="2" w:space="0"/>
              <w:bottom w:val="single" w:color="ACA899" w:sz="12" w:space="0"/>
              <w:right w:val="double" w:color="ACA899" w:sz="2" w:space="0"/>
            </w:tcBorders>
            <w:noWrap w:val="0"/>
            <w:vAlign w:val="top"/>
          </w:tcPr>
          <w:p>
            <w:pPr>
              <w:pStyle w:val="25"/>
              <w:spacing w:before="5" w:line="278" w:lineRule="auto"/>
              <w:ind w:left="21" w:right="8"/>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设计概算</w:t>
            </w:r>
          </w:p>
        </w:tc>
        <w:tc>
          <w:tcPr>
            <w:tcW w:w="907" w:type="dxa"/>
            <w:tcBorders>
              <w:top w:val="single" w:color="ACA899" w:sz="12" w:space="0"/>
              <w:left w:val="double" w:color="ACA899" w:sz="2" w:space="0"/>
              <w:bottom w:val="single" w:color="ACA899" w:sz="12" w:space="0"/>
              <w:right w:val="double" w:color="ACA899" w:sz="2" w:space="0"/>
            </w:tcBorders>
            <w:noWrap w:val="0"/>
            <w:vAlign w:val="top"/>
          </w:tcPr>
          <w:p>
            <w:pPr>
              <w:pStyle w:val="25"/>
              <w:spacing w:before="158"/>
              <w:ind w:left="21"/>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2．0‰ </w:t>
            </w:r>
          </w:p>
        </w:tc>
        <w:tc>
          <w:tcPr>
            <w:tcW w:w="1137" w:type="dxa"/>
            <w:tcBorders>
              <w:top w:val="single" w:color="ACA899" w:sz="12" w:space="0"/>
              <w:left w:val="double" w:color="ACA899" w:sz="2" w:space="0"/>
              <w:bottom w:val="single" w:color="ACA899" w:sz="12" w:space="0"/>
              <w:right w:val="double" w:color="ACA899" w:sz="2" w:space="0"/>
            </w:tcBorders>
            <w:noWrap w:val="0"/>
            <w:vAlign w:val="top"/>
          </w:tcPr>
          <w:p>
            <w:pPr>
              <w:pStyle w:val="25"/>
              <w:spacing w:before="158"/>
              <w:ind w:left="21"/>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1．5‰ </w:t>
            </w:r>
          </w:p>
        </w:tc>
        <w:tc>
          <w:tcPr>
            <w:tcW w:w="1168" w:type="dxa"/>
            <w:tcBorders>
              <w:top w:val="single" w:color="ACA899" w:sz="12" w:space="0"/>
              <w:left w:val="double" w:color="ACA899" w:sz="2" w:space="0"/>
              <w:bottom w:val="single" w:color="ACA899" w:sz="12" w:space="0"/>
              <w:right w:val="single" w:color="ACA899" w:sz="12" w:space="0"/>
            </w:tcBorders>
            <w:noWrap w:val="0"/>
            <w:vAlign w:val="top"/>
          </w:tcPr>
          <w:p>
            <w:pPr>
              <w:pStyle w:val="25"/>
              <w:spacing w:before="158"/>
              <w:ind w:left="22"/>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1．0‰ </w:t>
            </w:r>
          </w:p>
        </w:tc>
        <w:tc>
          <w:tcPr>
            <w:tcW w:w="1194" w:type="dxa"/>
            <w:tcBorders>
              <w:top w:val="single" w:color="ACA899" w:sz="12" w:space="0"/>
              <w:left w:val="single" w:color="ACA899" w:sz="12" w:space="0"/>
              <w:bottom w:val="single" w:color="ACA899" w:sz="12" w:space="0"/>
              <w:right w:val="single" w:color="ACA899" w:sz="12" w:space="0"/>
            </w:tcBorders>
            <w:noWrap w:val="0"/>
            <w:vAlign w:val="top"/>
          </w:tcPr>
          <w:p>
            <w:pPr>
              <w:pStyle w:val="25"/>
              <w:spacing w:before="158"/>
              <w:ind w:left="28"/>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0．8‰ </w:t>
            </w:r>
          </w:p>
        </w:tc>
        <w:tc>
          <w:tcPr>
            <w:tcW w:w="1194" w:type="dxa"/>
            <w:tcBorders>
              <w:top w:val="single" w:color="ACA899" w:sz="12" w:space="0"/>
              <w:left w:val="single" w:color="ACA899" w:sz="12" w:space="0"/>
              <w:bottom w:val="single" w:color="ACA899" w:sz="12" w:space="0"/>
              <w:right w:val="single" w:color="ACA899" w:sz="12" w:space="0"/>
            </w:tcBorders>
            <w:noWrap w:val="0"/>
            <w:vAlign w:val="top"/>
          </w:tcPr>
          <w:p>
            <w:pPr>
              <w:pStyle w:val="25"/>
              <w:spacing w:before="158"/>
              <w:ind w:left="2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0．6‰ </w:t>
            </w:r>
          </w:p>
        </w:tc>
        <w:tc>
          <w:tcPr>
            <w:tcW w:w="944" w:type="dxa"/>
            <w:tcBorders>
              <w:top w:val="single" w:color="ACA899" w:sz="12" w:space="0"/>
              <w:left w:val="single" w:color="ACA899" w:sz="12" w:space="0"/>
              <w:bottom w:val="single" w:color="ACA899" w:sz="12" w:space="0"/>
              <w:right w:val="single" w:color="ACA899" w:sz="12" w:space="0"/>
            </w:tcBorders>
            <w:noWrap w:val="0"/>
            <w:vAlign w:val="top"/>
          </w:tcPr>
          <w:p>
            <w:pPr>
              <w:pStyle w:val="25"/>
              <w:spacing w:before="158"/>
              <w:ind w:left="3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0．4‰ </w:t>
            </w:r>
          </w:p>
        </w:tc>
      </w:tr>
      <w:tr>
        <w:tblPrEx>
          <w:tblBorders>
            <w:top w:val="single" w:color="EBE8D7" w:sz="6" w:space="0"/>
            <w:left w:val="single" w:color="EBE8D7" w:sz="6" w:space="0"/>
            <w:bottom w:val="single" w:color="EBE8D7" w:sz="6" w:space="0"/>
            <w:right w:val="single" w:color="EBE8D7" w:sz="6" w:space="0"/>
            <w:insideH w:val="single" w:color="EBE8D7" w:sz="6" w:space="0"/>
            <w:insideV w:val="single" w:color="EBE8D7" w:sz="6" w:space="0"/>
          </w:tblBorders>
          <w:tblCellMar>
            <w:top w:w="0" w:type="dxa"/>
            <w:left w:w="0" w:type="dxa"/>
            <w:bottom w:w="0" w:type="dxa"/>
            <w:right w:w="0" w:type="dxa"/>
          </w:tblCellMar>
        </w:tblPrEx>
        <w:trPr>
          <w:trHeight w:val="963" w:hRule="atLeast"/>
        </w:trPr>
        <w:tc>
          <w:tcPr>
            <w:tcW w:w="500" w:type="dxa"/>
            <w:tcBorders>
              <w:top w:val="single" w:color="ACA899" w:sz="12" w:space="0"/>
              <w:left w:val="single" w:color="EBE8D7" w:sz="12" w:space="0"/>
              <w:bottom w:val="single" w:color="ACA899" w:sz="12" w:space="0"/>
              <w:right w:val="single" w:color="ACA899" w:sz="12" w:space="0"/>
            </w:tcBorders>
            <w:noWrap w:val="0"/>
            <w:vAlign w:val="top"/>
          </w:tcPr>
          <w:p>
            <w:pPr>
              <w:pStyle w:val="25"/>
              <w:spacing w:before="9"/>
              <w:jc w:val="center"/>
              <w:rPr>
                <w:rFonts w:hint="eastAsia" w:ascii="仿宋_GB2312" w:hAnsi="仿宋_GB2312" w:eastAsia="仿宋_GB2312" w:cs="仿宋_GB2312"/>
                <w:kern w:val="2"/>
                <w:sz w:val="24"/>
                <w:szCs w:val="24"/>
                <w:lang w:val="en-US" w:eastAsia="zh-CN" w:bidi="ar-SA"/>
              </w:rPr>
            </w:pPr>
          </w:p>
          <w:p>
            <w:pPr>
              <w:pStyle w:val="25"/>
              <w:ind w:left="60" w:right="91"/>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960" w:type="dxa"/>
            <w:tcBorders>
              <w:top w:val="single" w:color="ACA899" w:sz="12" w:space="0"/>
              <w:left w:val="single" w:color="ACA899" w:sz="12" w:space="0"/>
              <w:bottom w:val="single" w:color="ACA899" w:sz="12" w:space="0"/>
              <w:right w:val="double" w:color="ACA899" w:sz="2" w:space="0"/>
            </w:tcBorders>
            <w:noWrap w:val="0"/>
            <w:vAlign w:val="top"/>
          </w:tcPr>
          <w:p>
            <w:pPr>
              <w:pStyle w:val="25"/>
              <w:spacing w:before="5" w:line="278" w:lineRule="auto"/>
              <w:ind w:left="26" w:right="-72"/>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审核预算、标底及投 标报价 </w:t>
            </w:r>
          </w:p>
        </w:tc>
        <w:tc>
          <w:tcPr>
            <w:tcW w:w="689" w:type="dxa"/>
            <w:tcBorders>
              <w:top w:val="single" w:color="ACA899" w:sz="12" w:space="0"/>
              <w:left w:val="double" w:color="ACA899" w:sz="2" w:space="0"/>
              <w:bottom w:val="single" w:color="ACA899" w:sz="12" w:space="0"/>
              <w:right w:val="double" w:color="ACA899" w:sz="2" w:space="0"/>
            </w:tcBorders>
            <w:noWrap w:val="0"/>
            <w:vAlign w:val="top"/>
          </w:tcPr>
          <w:p>
            <w:pPr>
              <w:pStyle w:val="25"/>
              <w:spacing w:before="5" w:line="278" w:lineRule="auto"/>
              <w:ind w:left="21" w:right="8"/>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建安工程费 </w:t>
            </w:r>
          </w:p>
        </w:tc>
        <w:tc>
          <w:tcPr>
            <w:tcW w:w="907" w:type="dxa"/>
            <w:tcBorders>
              <w:top w:val="single" w:color="ACA899" w:sz="12" w:space="0"/>
              <w:left w:val="double" w:color="ACA899" w:sz="2" w:space="0"/>
              <w:bottom w:val="single" w:color="ACA899" w:sz="12" w:space="0"/>
              <w:right w:val="double" w:color="ACA899" w:sz="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21"/>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4．5‰ </w:t>
            </w:r>
          </w:p>
        </w:tc>
        <w:tc>
          <w:tcPr>
            <w:tcW w:w="1137" w:type="dxa"/>
            <w:tcBorders>
              <w:top w:val="single" w:color="ACA899" w:sz="12" w:space="0"/>
              <w:left w:val="double" w:color="ACA899" w:sz="2" w:space="0"/>
              <w:bottom w:val="single" w:color="ACA899" w:sz="12" w:space="0"/>
              <w:right w:val="double" w:color="ACA899" w:sz="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21"/>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4．0‰ </w:t>
            </w:r>
          </w:p>
        </w:tc>
        <w:tc>
          <w:tcPr>
            <w:tcW w:w="1168" w:type="dxa"/>
            <w:tcBorders>
              <w:top w:val="single" w:color="ACA899" w:sz="12" w:space="0"/>
              <w:left w:val="double" w:color="ACA899" w:sz="2" w:space="0"/>
              <w:bottom w:val="single" w:color="ACA899" w:sz="12" w:space="0"/>
              <w:right w:val="single" w:color="ACA899" w:sz="1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22"/>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3．5‰ </w:t>
            </w:r>
          </w:p>
        </w:tc>
        <w:tc>
          <w:tcPr>
            <w:tcW w:w="1194" w:type="dxa"/>
            <w:tcBorders>
              <w:top w:val="single" w:color="ACA899" w:sz="12" w:space="0"/>
              <w:left w:val="single" w:color="ACA899" w:sz="12" w:space="0"/>
              <w:bottom w:val="single" w:color="ACA899" w:sz="12" w:space="0"/>
              <w:right w:val="single" w:color="ACA899" w:sz="1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28"/>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2．5‰ </w:t>
            </w:r>
          </w:p>
        </w:tc>
        <w:tc>
          <w:tcPr>
            <w:tcW w:w="1194" w:type="dxa"/>
            <w:tcBorders>
              <w:top w:val="single" w:color="ACA899" w:sz="12" w:space="0"/>
              <w:left w:val="single" w:color="ACA899" w:sz="12" w:space="0"/>
              <w:bottom w:val="single" w:color="ACA899" w:sz="12" w:space="0"/>
              <w:right w:val="single" w:color="ACA899" w:sz="1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2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1．5‰ </w:t>
            </w:r>
          </w:p>
        </w:tc>
        <w:tc>
          <w:tcPr>
            <w:tcW w:w="944" w:type="dxa"/>
            <w:tcBorders>
              <w:top w:val="single" w:color="ACA899" w:sz="12" w:space="0"/>
              <w:left w:val="single" w:color="ACA899" w:sz="12" w:space="0"/>
              <w:bottom w:val="single" w:color="ACA899" w:sz="12" w:space="0"/>
              <w:right w:val="single" w:color="ACA899" w:sz="1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3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1．0‰ </w:t>
            </w:r>
          </w:p>
        </w:tc>
      </w:tr>
      <w:tr>
        <w:tblPrEx>
          <w:tblBorders>
            <w:top w:val="single" w:color="EBE8D7" w:sz="6" w:space="0"/>
            <w:left w:val="single" w:color="EBE8D7" w:sz="6" w:space="0"/>
            <w:bottom w:val="single" w:color="EBE8D7" w:sz="6" w:space="0"/>
            <w:right w:val="single" w:color="EBE8D7" w:sz="6" w:space="0"/>
            <w:insideH w:val="single" w:color="EBE8D7" w:sz="6" w:space="0"/>
            <w:insideV w:val="single" w:color="EBE8D7" w:sz="6" w:space="0"/>
          </w:tblBorders>
          <w:tblCellMar>
            <w:top w:w="0" w:type="dxa"/>
            <w:left w:w="0" w:type="dxa"/>
            <w:bottom w:w="0" w:type="dxa"/>
            <w:right w:w="0" w:type="dxa"/>
          </w:tblCellMar>
        </w:tblPrEx>
        <w:trPr>
          <w:trHeight w:val="968" w:hRule="atLeast"/>
        </w:trPr>
        <w:tc>
          <w:tcPr>
            <w:tcW w:w="500" w:type="dxa"/>
            <w:tcBorders>
              <w:top w:val="single" w:color="ACA899" w:sz="12" w:space="0"/>
              <w:left w:val="single" w:color="EBE8D7" w:sz="12" w:space="0"/>
              <w:bottom w:val="single" w:color="ACA899" w:sz="12" w:space="0"/>
              <w:right w:val="single" w:color="ACA899" w:sz="12" w:space="0"/>
            </w:tcBorders>
            <w:noWrap w:val="0"/>
            <w:vAlign w:val="top"/>
          </w:tcPr>
          <w:p>
            <w:pPr>
              <w:pStyle w:val="25"/>
              <w:spacing w:before="9"/>
              <w:jc w:val="center"/>
              <w:rPr>
                <w:rFonts w:hint="eastAsia" w:ascii="仿宋_GB2312" w:hAnsi="仿宋_GB2312" w:eastAsia="仿宋_GB2312" w:cs="仿宋_GB2312"/>
                <w:kern w:val="2"/>
                <w:sz w:val="24"/>
                <w:szCs w:val="24"/>
                <w:lang w:val="en-US" w:eastAsia="zh-CN" w:bidi="ar-SA"/>
              </w:rPr>
            </w:pPr>
          </w:p>
          <w:p>
            <w:pPr>
              <w:pStyle w:val="25"/>
              <w:ind w:left="60" w:right="91"/>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960" w:type="dxa"/>
            <w:tcBorders>
              <w:top w:val="single" w:color="ACA899" w:sz="12" w:space="0"/>
              <w:left w:val="single" w:color="ACA899" w:sz="12" w:space="0"/>
              <w:bottom w:val="single" w:color="ACA899" w:sz="12" w:space="0"/>
              <w:right w:val="double" w:color="ACA899" w:sz="2" w:space="0"/>
            </w:tcBorders>
            <w:noWrap w:val="0"/>
            <w:vAlign w:val="top"/>
          </w:tcPr>
          <w:p>
            <w:pPr>
              <w:pStyle w:val="25"/>
              <w:spacing w:before="158" w:line="278" w:lineRule="auto"/>
              <w:ind w:left="26" w:right="-72"/>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审核竣工 结（决算）</w:t>
            </w:r>
          </w:p>
        </w:tc>
        <w:tc>
          <w:tcPr>
            <w:tcW w:w="689" w:type="dxa"/>
            <w:tcBorders>
              <w:top w:val="single" w:color="ACA899" w:sz="12" w:space="0"/>
              <w:left w:val="double" w:color="ACA899" w:sz="2" w:space="0"/>
              <w:bottom w:val="single" w:color="ACA899" w:sz="12" w:space="0"/>
              <w:right w:val="double" w:color="ACA899" w:sz="2" w:space="0"/>
            </w:tcBorders>
            <w:noWrap w:val="0"/>
            <w:vAlign w:val="top"/>
          </w:tcPr>
          <w:p>
            <w:pPr>
              <w:pStyle w:val="25"/>
              <w:spacing w:before="5" w:line="278" w:lineRule="auto"/>
              <w:ind w:left="21" w:right="8"/>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建安工程费 </w:t>
            </w:r>
          </w:p>
        </w:tc>
        <w:tc>
          <w:tcPr>
            <w:tcW w:w="907" w:type="dxa"/>
            <w:tcBorders>
              <w:top w:val="single" w:color="ACA899" w:sz="12" w:space="0"/>
              <w:left w:val="double" w:color="ACA899" w:sz="2" w:space="0"/>
              <w:bottom w:val="single" w:color="ACA899" w:sz="12" w:space="0"/>
              <w:right w:val="double" w:color="ACA899" w:sz="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21"/>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6．0‰ </w:t>
            </w:r>
          </w:p>
        </w:tc>
        <w:tc>
          <w:tcPr>
            <w:tcW w:w="1137" w:type="dxa"/>
            <w:tcBorders>
              <w:top w:val="single" w:color="ACA899" w:sz="12" w:space="0"/>
              <w:left w:val="double" w:color="ACA899" w:sz="2" w:space="0"/>
              <w:bottom w:val="single" w:color="ACA899" w:sz="12" w:space="0"/>
              <w:right w:val="double" w:color="ACA899" w:sz="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21"/>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5．0‰ </w:t>
            </w:r>
          </w:p>
        </w:tc>
        <w:tc>
          <w:tcPr>
            <w:tcW w:w="1168" w:type="dxa"/>
            <w:tcBorders>
              <w:top w:val="single" w:color="ACA899" w:sz="12" w:space="0"/>
              <w:left w:val="double" w:color="ACA899" w:sz="2" w:space="0"/>
              <w:bottom w:val="single" w:color="ACA899" w:sz="12" w:space="0"/>
              <w:right w:val="single" w:color="ACA899" w:sz="1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22"/>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4．5‰ </w:t>
            </w:r>
          </w:p>
        </w:tc>
        <w:tc>
          <w:tcPr>
            <w:tcW w:w="1194" w:type="dxa"/>
            <w:tcBorders>
              <w:top w:val="single" w:color="ACA899" w:sz="12" w:space="0"/>
              <w:left w:val="single" w:color="ACA899" w:sz="12" w:space="0"/>
              <w:bottom w:val="single" w:color="ACA899" w:sz="12" w:space="0"/>
              <w:right w:val="single" w:color="ACA899" w:sz="1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28"/>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4．0‰ </w:t>
            </w:r>
          </w:p>
        </w:tc>
        <w:tc>
          <w:tcPr>
            <w:tcW w:w="1194" w:type="dxa"/>
            <w:tcBorders>
              <w:top w:val="single" w:color="ACA899" w:sz="12" w:space="0"/>
              <w:left w:val="single" w:color="ACA899" w:sz="12" w:space="0"/>
              <w:bottom w:val="single" w:color="ACA899" w:sz="12" w:space="0"/>
              <w:right w:val="single" w:color="ACA899" w:sz="1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2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3．5‰ </w:t>
            </w:r>
          </w:p>
        </w:tc>
        <w:tc>
          <w:tcPr>
            <w:tcW w:w="944" w:type="dxa"/>
            <w:tcBorders>
              <w:top w:val="single" w:color="ACA899" w:sz="12" w:space="0"/>
              <w:left w:val="single" w:color="ACA899" w:sz="12" w:space="0"/>
              <w:bottom w:val="single" w:color="ACA899" w:sz="12" w:space="0"/>
              <w:right w:val="single" w:color="ACA899" w:sz="12" w:space="0"/>
            </w:tcBorders>
            <w:noWrap w:val="0"/>
            <w:vAlign w:val="top"/>
          </w:tcPr>
          <w:p>
            <w:pPr>
              <w:pStyle w:val="25"/>
              <w:spacing w:before="24"/>
              <w:ind w:left="3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3．0‰ </w:t>
            </w:r>
          </w:p>
          <w:p>
            <w:pPr>
              <w:pStyle w:val="25"/>
              <w:spacing w:before="9"/>
              <w:rPr>
                <w:rFonts w:hint="eastAsia" w:ascii="仿宋_GB2312" w:hAnsi="仿宋_GB2312" w:eastAsia="仿宋_GB2312" w:cs="仿宋_GB2312"/>
                <w:kern w:val="2"/>
                <w:sz w:val="24"/>
                <w:szCs w:val="24"/>
                <w:lang w:val="en-US" w:eastAsia="zh-CN" w:bidi="ar-SA"/>
              </w:rPr>
            </w:pPr>
          </w:p>
          <w:p>
            <w:pPr>
              <w:pStyle w:val="25"/>
              <w:ind w:left="3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p>
        </w:tc>
      </w:tr>
      <w:tr>
        <w:tblPrEx>
          <w:tblBorders>
            <w:top w:val="single" w:color="EBE8D7" w:sz="6" w:space="0"/>
            <w:left w:val="single" w:color="EBE8D7" w:sz="6" w:space="0"/>
            <w:bottom w:val="single" w:color="EBE8D7" w:sz="6" w:space="0"/>
            <w:right w:val="single" w:color="EBE8D7" w:sz="6" w:space="0"/>
            <w:insideH w:val="single" w:color="EBE8D7" w:sz="6" w:space="0"/>
            <w:insideV w:val="single" w:color="EBE8D7" w:sz="6" w:space="0"/>
          </w:tblBorders>
          <w:tblCellMar>
            <w:top w:w="0" w:type="dxa"/>
            <w:left w:w="0" w:type="dxa"/>
            <w:bottom w:w="0" w:type="dxa"/>
            <w:right w:w="0" w:type="dxa"/>
          </w:tblCellMar>
        </w:tblPrEx>
        <w:trPr>
          <w:trHeight w:val="963" w:hRule="atLeast"/>
        </w:trPr>
        <w:tc>
          <w:tcPr>
            <w:tcW w:w="500" w:type="dxa"/>
            <w:tcBorders>
              <w:top w:val="single" w:color="ACA899" w:sz="12" w:space="0"/>
              <w:left w:val="single" w:color="EBE8D7" w:sz="12" w:space="0"/>
              <w:bottom w:val="single" w:color="ACA899" w:sz="12" w:space="0"/>
              <w:right w:val="single" w:color="ACA899" w:sz="12" w:space="0"/>
            </w:tcBorders>
            <w:noWrap w:val="0"/>
            <w:vAlign w:val="top"/>
          </w:tcPr>
          <w:p>
            <w:pPr>
              <w:pStyle w:val="25"/>
              <w:spacing w:before="9"/>
              <w:jc w:val="center"/>
              <w:rPr>
                <w:rFonts w:hint="eastAsia" w:ascii="仿宋_GB2312" w:hAnsi="仿宋_GB2312" w:eastAsia="仿宋_GB2312" w:cs="仿宋_GB2312"/>
                <w:kern w:val="2"/>
                <w:sz w:val="24"/>
                <w:szCs w:val="24"/>
                <w:lang w:val="en-US" w:eastAsia="zh-CN" w:bidi="ar-SA"/>
              </w:rPr>
            </w:pPr>
          </w:p>
          <w:p>
            <w:pPr>
              <w:pStyle w:val="25"/>
              <w:ind w:left="60" w:right="91"/>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c>
          <w:tcPr>
            <w:tcW w:w="960" w:type="dxa"/>
            <w:tcBorders>
              <w:top w:val="single" w:color="ACA899" w:sz="12" w:space="0"/>
              <w:left w:val="single" w:color="ACA899" w:sz="12" w:space="0"/>
              <w:bottom w:val="single" w:color="ACA899" w:sz="12" w:space="0"/>
              <w:right w:val="double" w:color="ACA899" w:sz="2" w:space="0"/>
            </w:tcBorders>
            <w:noWrap w:val="0"/>
            <w:vAlign w:val="top"/>
          </w:tcPr>
          <w:p>
            <w:pPr>
              <w:pStyle w:val="25"/>
              <w:spacing w:before="5" w:line="278" w:lineRule="auto"/>
              <w:ind w:left="26" w:right="147"/>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工程造价经济纠纷的鉴定 </w:t>
            </w:r>
          </w:p>
        </w:tc>
        <w:tc>
          <w:tcPr>
            <w:tcW w:w="689" w:type="dxa"/>
            <w:tcBorders>
              <w:top w:val="single" w:color="ACA899" w:sz="12" w:space="0"/>
              <w:left w:val="double" w:color="ACA899" w:sz="2" w:space="0"/>
              <w:bottom w:val="single" w:color="ACA899" w:sz="12" w:space="0"/>
              <w:right w:val="double" w:color="ACA899" w:sz="2" w:space="0"/>
            </w:tcBorders>
            <w:noWrap w:val="0"/>
            <w:vAlign w:val="top"/>
          </w:tcPr>
          <w:p>
            <w:pPr>
              <w:pStyle w:val="25"/>
              <w:spacing w:before="158" w:line="278" w:lineRule="auto"/>
              <w:ind w:left="21" w:right="8"/>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鉴定标的</w:t>
            </w:r>
          </w:p>
        </w:tc>
        <w:tc>
          <w:tcPr>
            <w:tcW w:w="907" w:type="dxa"/>
            <w:tcBorders>
              <w:top w:val="single" w:color="ACA899" w:sz="12" w:space="0"/>
              <w:left w:val="double" w:color="ACA899" w:sz="2" w:space="0"/>
              <w:bottom w:val="single" w:color="ACA899" w:sz="12" w:space="0"/>
              <w:right w:val="double" w:color="ACA899" w:sz="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21"/>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8．0‰ </w:t>
            </w:r>
          </w:p>
        </w:tc>
        <w:tc>
          <w:tcPr>
            <w:tcW w:w="1137" w:type="dxa"/>
            <w:tcBorders>
              <w:top w:val="single" w:color="ACA899" w:sz="12" w:space="0"/>
              <w:left w:val="double" w:color="ACA899" w:sz="2" w:space="0"/>
              <w:bottom w:val="single" w:color="ACA899" w:sz="12" w:space="0"/>
              <w:right w:val="double" w:color="ACA899" w:sz="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21"/>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7．5‰ </w:t>
            </w:r>
          </w:p>
        </w:tc>
        <w:tc>
          <w:tcPr>
            <w:tcW w:w="1168" w:type="dxa"/>
            <w:tcBorders>
              <w:top w:val="single" w:color="ACA899" w:sz="12" w:space="0"/>
              <w:left w:val="double" w:color="ACA899" w:sz="2" w:space="0"/>
              <w:bottom w:val="single" w:color="ACA899" w:sz="12" w:space="0"/>
              <w:right w:val="single" w:color="ACA899" w:sz="1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22"/>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7．0‰ </w:t>
            </w:r>
          </w:p>
        </w:tc>
        <w:tc>
          <w:tcPr>
            <w:tcW w:w="1194" w:type="dxa"/>
            <w:tcBorders>
              <w:top w:val="single" w:color="ACA899" w:sz="12" w:space="0"/>
              <w:left w:val="single" w:color="ACA899" w:sz="12" w:space="0"/>
              <w:bottom w:val="single" w:color="ACA899" w:sz="12" w:space="0"/>
              <w:right w:val="single" w:color="ACA899" w:sz="1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28"/>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6．0‰ </w:t>
            </w:r>
          </w:p>
        </w:tc>
        <w:tc>
          <w:tcPr>
            <w:tcW w:w="1194" w:type="dxa"/>
            <w:tcBorders>
              <w:top w:val="single" w:color="ACA899" w:sz="12" w:space="0"/>
              <w:left w:val="single" w:color="ACA899" w:sz="12" w:space="0"/>
              <w:bottom w:val="single" w:color="ACA899" w:sz="12" w:space="0"/>
              <w:right w:val="single" w:color="ACA899" w:sz="1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2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5．0‰ </w:t>
            </w:r>
          </w:p>
        </w:tc>
        <w:tc>
          <w:tcPr>
            <w:tcW w:w="944" w:type="dxa"/>
            <w:tcBorders>
              <w:top w:val="single" w:color="ACA899" w:sz="12" w:space="0"/>
              <w:left w:val="single" w:color="ACA899" w:sz="12" w:space="0"/>
              <w:bottom w:val="single" w:color="ACA899" w:sz="12" w:space="0"/>
              <w:right w:val="single" w:color="ACA899" w:sz="12" w:space="0"/>
            </w:tcBorders>
            <w:noWrap w:val="0"/>
            <w:vAlign w:val="top"/>
          </w:tcPr>
          <w:p>
            <w:pPr>
              <w:pStyle w:val="25"/>
              <w:spacing w:before="9"/>
              <w:rPr>
                <w:rFonts w:hint="eastAsia" w:ascii="仿宋_GB2312" w:hAnsi="仿宋_GB2312" w:eastAsia="仿宋_GB2312" w:cs="仿宋_GB2312"/>
                <w:kern w:val="2"/>
                <w:sz w:val="24"/>
                <w:szCs w:val="24"/>
                <w:lang w:val="en-US" w:eastAsia="zh-CN" w:bidi="ar-SA"/>
              </w:rPr>
            </w:pPr>
          </w:p>
          <w:p>
            <w:pPr>
              <w:pStyle w:val="25"/>
              <w:ind w:left="3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4．0‰ </w:t>
            </w:r>
          </w:p>
        </w:tc>
      </w:tr>
    </w:tbl>
    <w:p>
      <w:pPr>
        <w:pStyle w:val="6"/>
        <w:spacing w:before="1" w:line="283" w:lineRule="auto"/>
        <w:ind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按上述收费标准计算服务费不足 1000 元的，按1000 元收取。  </w:t>
      </w:r>
    </w:p>
    <w:p>
      <w:pPr>
        <w:pStyle w:val="6"/>
        <w:spacing w:before="1" w:line="283" w:lineRule="auto"/>
        <w:ind w:left="159" w:right="213"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例如：某项目审核竣工结算的建安工程费为 8000 万元，服务费为</w:t>
      </w:r>
    </w:p>
    <w:p>
      <w:pPr>
        <w:pStyle w:val="3"/>
        <w:rPr>
          <w:rFonts w:hint="eastAsia"/>
          <w:lang w:val="en-US" w:eastAsia="zh-CN"/>
        </w:rPr>
      </w:pPr>
      <w:r>
        <w:rPr>
          <w:rFonts w:hint="eastAsia" w:ascii="仿宋_GB2312" w:hAnsi="仿宋_GB2312" w:eastAsia="仿宋_GB2312" w:cs="仿宋_GB2312"/>
          <w:kern w:val="2"/>
          <w:sz w:val="24"/>
          <w:szCs w:val="24"/>
          <w:lang w:val="en-US" w:eastAsia="zh-CN" w:bidi="ar-SA"/>
        </w:rPr>
        <w:t>200×6．0‰+(500-200)×5．0‰＋(1000-500)×4．5‰+(3000-1000)×4．0‰+(5000-3000)×3．5‰+(8000-5000)×3．0‰＝29．7 万元</w:t>
      </w:r>
    </w:p>
    <w:p>
      <w:pPr>
        <w:pStyle w:val="5"/>
        <w:keepNext w:val="0"/>
        <w:keepLines w:val="0"/>
        <w:pageBreakBefore w:val="0"/>
        <w:kinsoku/>
        <w:wordWrap/>
        <w:overflowPunct/>
        <w:topLinePunct w:val="0"/>
        <w:bidi w:val="0"/>
        <w:spacing w:line="420" w:lineRule="exact"/>
        <w:ind w:firstLine="720" w:firstLineChars="300"/>
        <w:rPr>
          <w:rFonts w:hint="eastAsia" w:ascii="宋体" w:hAnsi="宋体" w:eastAsia="宋体" w:cs="宋体"/>
          <w:kern w:val="0"/>
          <w:sz w:val="24"/>
          <w:szCs w:val="20"/>
          <w:highlight w:val="none"/>
          <w:lang w:val="en-US" w:eastAsia="zh-CN" w:bidi="ar-SA"/>
        </w:rPr>
      </w:pPr>
      <w:r>
        <w:rPr>
          <w:rFonts w:hint="eastAsia" w:cs="宋体"/>
          <w:kern w:val="0"/>
          <w:sz w:val="24"/>
          <w:lang w:val="en-US" w:eastAsia="zh-CN"/>
        </w:rPr>
        <w:t>内容</w:t>
      </w:r>
      <w:r>
        <w:rPr>
          <w:rFonts w:hint="eastAsia" w:cs="宋体"/>
          <w:kern w:val="0"/>
          <w:sz w:val="24"/>
        </w:rPr>
        <w:t>及要求详见招标文件。</w:t>
      </w:r>
    </w:p>
    <w:p>
      <w:pPr>
        <w:keepNext w:val="0"/>
        <w:keepLines w:val="0"/>
        <w:pageBreakBefore w:val="0"/>
        <w:numPr>
          <w:ilvl w:val="0"/>
          <w:numId w:val="0"/>
        </w:numPr>
        <w:kinsoku/>
        <w:wordWrap/>
        <w:overflowPunct/>
        <w:topLinePunct w:val="0"/>
        <w:bidi w:val="0"/>
        <w:spacing w:line="42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7.资金来源：/</w:t>
      </w:r>
    </w:p>
    <w:p>
      <w:pPr>
        <w:keepNext w:val="0"/>
        <w:keepLines w:val="0"/>
        <w:pageBreakBefore w:val="0"/>
        <w:numPr>
          <w:ilvl w:val="0"/>
          <w:numId w:val="0"/>
        </w:numPr>
        <w:kinsoku/>
        <w:wordWrap/>
        <w:overflowPunct/>
        <w:topLinePunct w:val="0"/>
        <w:bidi w:val="0"/>
        <w:spacing w:line="420" w:lineRule="exact"/>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8</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本项目不接受联合体投标。</w:t>
      </w:r>
    </w:p>
    <w:p>
      <w:pPr>
        <w:keepNext w:val="0"/>
        <w:keepLines w:val="0"/>
        <w:pageBreakBefore w:val="0"/>
        <w:numPr>
          <w:ilvl w:val="0"/>
          <w:numId w:val="0"/>
        </w:numPr>
        <w:kinsoku/>
        <w:wordWrap/>
        <w:overflowPunct/>
        <w:topLinePunct w:val="0"/>
        <w:bidi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9.本项目完全面向中小微企业。</w:t>
      </w:r>
    </w:p>
    <w:p>
      <w:pPr>
        <w:keepNext w:val="0"/>
        <w:keepLines w:val="0"/>
        <w:pageBreakBefore w:val="0"/>
        <w:tabs>
          <w:tab w:val="left" w:pos="403"/>
        </w:tabs>
        <w:kinsoku/>
        <w:wordWrap/>
        <w:overflowPunct/>
        <w:topLinePunct w:val="0"/>
        <w:bidi w:val="0"/>
        <w:spacing w:line="420" w:lineRule="exact"/>
        <w:rPr>
          <w:rFonts w:hint="eastAsia" w:ascii="宋体" w:hAnsi="宋体" w:eastAsia="宋体" w:cs="宋体"/>
          <w:b/>
          <w:bCs/>
          <w:sz w:val="24"/>
          <w:highlight w:val="none"/>
        </w:rPr>
      </w:pPr>
      <w:bookmarkStart w:id="8" w:name="_Toc19260"/>
      <w:bookmarkStart w:id="9" w:name="_Toc29506"/>
      <w:bookmarkStart w:id="10" w:name="_Toc35393791"/>
      <w:bookmarkStart w:id="11" w:name="_Toc35393622"/>
      <w:bookmarkStart w:id="12" w:name="_Toc28359080"/>
      <w:bookmarkStart w:id="13" w:name="_Toc28359003"/>
      <w:bookmarkStart w:id="14" w:name="_Toc13688"/>
      <w:r>
        <w:rPr>
          <w:rFonts w:hint="eastAsia" w:ascii="宋体" w:hAnsi="宋体" w:eastAsia="宋体" w:cs="宋体"/>
          <w:b/>
          <w:bCs/>
          <w:sz w:val="24"/>
          <w:highlight w:val="none"/>
        </w:rPr>
        <w:t>二、投标供应商资格要求：</w:t>
      </w:r>
      <w:bookmarkEnd w:id="8"/>
      <w:bookmarkEnd w:id="9"/>
      <w:bookmarkEnd w:id="10"/>
      <w:bookmarkEnd w:id="11"/>
      <w:bookmarkEnd w:id="12"/>
      <w:bookmarkEnd w:id="13"/>
      <w:bookmarkEnd w:id="14"/>
      <w:r>
        <w:rPr>
          <w:rFonts w:hint="eastAsia" w:ascii="宋体" w:hAnsi="宋体" w:eastAsia="宋体" w:cs="宋体"/>
          <w:b/>
          <w:bCs/>
          <w:sz w:val="24"/>
          <w:highlight w:val="none"/>
        </w:rPr>
        <w:t xml:space="preserve"> </w:t>
      </w:r>
    </w:p>
    <w:p>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1.满足《中华人民共和国政府采购法》第二十二条要求：</w:t>
      </w:r>
    </w:p>
    <w:p>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（1）提供有效期内且年检合格的营业执照；</w:t>
      </w:r>
    </w:p>
    <w:p>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（2）法定代表人资格证明及授权书、被授权人身份证(法定代表人投标需提供法定代表人身份证)；</w:t>
      </w:r>
    </w:p>
    <w:p>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（3）提供近两年内任意一年的财务审计报告（新成立的公司可</w:t>
      </w:r>
      <w:r>
        <w:rPr>
          <w:rFonts w:hint="eastAsia" w:ascii="宋体" w:hAnsi="宋体" w:cs="宋体"/>
          <w:b w:val="0"/>
          <w:bCs w:val="0"/>
          <w:sz w:val="24"/>
          <w:highlight w:val="none"/>
          <w:lang w:val="en-US" w:eastAsia="zh-CN"/>
        </w:rPr>
        <w:t>提供近一个月的银行资信证明</w:t>
      </w:r>
      <w:r>
        <w:rPr>
          <w:rFonts w:hint="eastAsia" w:ascii="宋体" w:hAnsi="宋体" w:eastAsia="宋体" w:cs="宋体"/>
          <w:b w:val="0"/>
          <w:bCs w:val="0"/>
          <w:sz w:val="24"/>
          <w:highlight w:val="none"/>
          <w:lang w:val="en-US" w:eastAsia="zh-CN"/>
        </w:rPr>
        <w:t>）；</w:t>
      </w:r>
    </w:p>
    <w:p>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color w:val="auto"/>
          <w:sz w:val="24"/>
          <w:lang w:val="en-US" w:eastAsia="zh-CN"/>
        </w:rPr>
      </w:pP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kern w:val="2"/>
          <w:sz w:val="24"/>
          <w:szCs w:val="22"/>
          <w:highlight w:val="none"/>
          <w:lang w:val="en-US" w:eastAsia="zh-CN" w:bidi="ar-SA"/>
        </w:rPr>
        <w:t>投标企业依法缴纳近 3个月的社会保险凭据；</w:t>
      </w:r>
    </w:p>
    <w:p>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cs="宋体"/>
          <w:color w:val="auto"/>
          <w:sz w:val="24"/>
          <w:lang w:val="en-US" w:eastAsia="zh-CN"/>
        </w:rPr>
        <w:t>（5）</w:t>
      </w:r>
      <w:r>
        <w:rPr>
          <w:rFonts w:hint="eastAsia" w:ascii="宋体" w:hAnsi="宋体" w:eastAsia="宋体" w:cs="宋体"/>
          <w:b w:val="0"/>
          <w:bCs w:val="0"/>
          <w:kern w:val="2"/>
          <w:sz w:val="24"/>
          <w:szCs w:val="22"/>
          <w:highlight w:val="none"/>
          <w:lang w:val="en-US" w:eastAsia="zh-CN" w:bidi="ar-SA"/>
        </w:rPr>
        <w:t>投标企业提供税务部门出具的近3个月的完税证明</w:t>
      </w:r>
      <w:r>
        <w:rPr>
          <w:rFonts w:hint="eastAsia" w:ascii="宋体" w:hAnsi="宋体" w:eastAsia="宋体" w:cs="Times New Roman"/>
          <w:color w:val="000000"/>
          <w:sz w:val="24"/>
          <w:szCs w:val="21"/>
          <w:lang w:val="en-US" w:eastAsia="zh-CN"/>
        </w:rPr>
        <w:t>（零申报需加盖税务机关鲜章）</w:t>
      </w:r>
      <w:r>
        <w:rPr>
          <w:rFonts w:hint="eastAsia" w:ascii="宋体" w:hAnsi="宋体" w:eastAsia="宋体" w:cs="宋体"/>
          <w:b w:val="0"/>
          <w:bCs w:val="0"/>
          <w:kern w:val="2"/>
          <w:sz w:val="24"/>
          <w:szCs w:val="22"/>
          <w:highlight w:val="none"/>
          <w:lang w:val="en-US" w:eastAsia="zh-CN" w:bidi="ar-SA"/>
        </w:rPr>
        <w:t>；</w:t>
      </w:r>
    </w:p>
    <w:p>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pPr>
        <w:pStyle w:val="24"/>
        <w:keepNext w:val="0"/>
        <w:keepLines w:val="0"/>
        <w:pageBreakBefore w:val="0"/>
        <w:kinsoku/>
        <w:wordWrap/>
        <w:overflowPunct/>
        <w:topLinePunct w:val="0"/>
        <w:bidi w:val="0"/>
        <w:snapToGrid/>
        <w:spacing w:line="500" w:lineRule="exact"/>
        <w:ind w:left="0" w:leftChars="0"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（7）参与政府采购活动前3年内未被列入失信、重大税收违法案件、财政部门禁止参加政府采购活动的承诺书；</w:t>
      </w:r>
    </w:p>
    <w:p>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（8）提供针对本次项目《反商业贿赂承诺书》 ；</w:t>
      </w:r>
    </w:p>
    <w:p>
      <w:pPr>
        <w:pStyle w:val="14"/>
        <w:keepNext w:val="0"/>
        <w:keepLines w:val="0"/>
        <w:pageBreakBefore w:val="0"/>
        <w:kinsoku/>
        <w:wordWrap/>
        <w:overflowPunct/>
        <w:topLinePunct w:val="0"/>
        <w:bidi w:val="0"/>
        <w:snapToGrid/>
        <w:spacing w:line="500" w:lineRule="exact"/>
        <w:ind w:firstLine="240" w:firstLineChars="100"/>
        <w:jc w:val="both"/>
        <w:textAlignment w:val="auto"/>
        <w:rPr>
          <w:rFonts w:hint="eastAsia"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（9）提供投标单位按招标文件要求缴纳投标保证金的缴款凭证或金融机构、担保机构出具的保函</w:t>
      </w:r>
      <w:r>
        <w:rPr>
          <w:rFonts w:hint="eastAsia" w:cs="宋体"/>
          <w:b w:val="0"/>
          <w:bCs w:val="0"/>
          <w:kern w:val="2"/>
          <w:sz w:val="24"/>
          <w:szCs w:val="22"/>
          <w:highlight w:val="none"/>
          <w:lang w:val="en-US" w:eastAsia="zh-CN" w:bidi="ar-SA"/>
        </w:rPr>
        <w:t>。</w:t>
      </w:r>
    </w:p>
    <w:p>
      <w:pPr>
        <w:keepNext w:val="0"/>
        <w:keepLines w:val="0"/>
        <w:pageBreakBefore w:val="0"/>
        <w:kinsoku/>
        <w:wordWrap/>
        <w:overflowPunct/>
        <w:topLinePunct w:val="0"/>
        <w:bidi w:val="0"/>
        <w:spacing w:line="420" w:lineRule="exact"/>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r>
        <w:rPr>
          <w:rFonts w:hint="eastAsia" w:cs="宋体"/>
          <w:b w:val="0"/>
          <w:bCs w:val="0"/>
          <w:kern w:val="2"/>
          <w:sz w:val="24"/>
          <w:szCs w:val="22"/>
          <w:highlight w:val="none"/>
          <w:lang w:val="en-US" w:eastAsia="zh-CN" w:bidi="ar-SA"/>
        </w:rPr>
        <w:t>提供中小企业</w:t>
      </w:r>
      <w:r>
        <w:rPr>
          <w:rFonts w:hint="eastAsia" w:ascii="宋体" w:hAnsi="宋体" w:eastAsia="宋体" w:cs="宋体"/>
          <w:b w:val="0"/>
          <w:bCs w:val="0"/>
          <w:kern w:val="2"/>
          <w:sz w:val="24"/>
          <w:szCs w:val="22"/>
          <w:highlight w:val="none"/>
          <w:lang w:val="en-US" w:eastAsia="zh-CN" w:bidi="ar-SA"/>
        </w:rPr>
        <w:t>声明函。</w:t>
      </w:r>
    </w:p>
    <w:p>
      <w:pPr>
        <w:pStyle w:val="14"/>
        <w:keepNext w:val="0"/>
        <w:keepLines w:val="0"/>
        <w:pageBreakBefore w:val="0"/>
        <w:kinsoku/>
        <w:wordWrap/>
        <w:overflowPunct/>
        <w:topLinePunct w:val="0"/>
        <w:bidi w:val="0"/>
        <w:snapToGrid/>
        <w:spacing w:line="420" w:lineRule="exact"/>
        <w:jc w:val="both"/>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三、获取采购文件</w:t>
      </w:r>
    </w:p>
    <w:p>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4</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13</w:t>
      </w:r>
      <w:r>
        <w:rPr>
          <w:rFonts w:hint="eastAsia" w:ascii="宋体" w:hAnsi="宋体" w:eastAsia="宋体" w:cs="宋体"/>
          <w:b w:val="0"/>
          <w:bCs w:val="0"/>
          <w:color w:val="00B0F0"/>
          <w:kern w:val="2"/>
          <w:sz w:val="24"/>
          <w:szCs w:val="22"/>
          <w:highlight w:val="none"/>
          <w:lang w:val="en-US" w:eastAsia="zh-CN" w:bidi="ar-SA"/>
        </w:rPr>
        <w:t>日至202</w:t>
      </w:r>
      <w:r>
        <w:rPr>
          <w:rFonts w:hint="eastAsia" w:ascii="宋体" w:hAnsi="宋体" w:cs="宋体"/>
          <w:b w:val="0"/>
          <w:bCs w:val="0"/>
          <w:color w:val="00B0F0"/>
          <w:kern w:val="2"/>
          <w:sz w:val="24"/>
          <w:szCs w:val="22"/>
          <w:highlight w:val="none"/>
          <w:lang w:val="en-US" w:eastAsia="zh-CN" w:bidi="ar-SA"/>
        </w:rPr>
        <w:t>4</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23</w:t>
      </w:r>
      <w:r>
        <w:rPr>
          <w:rFonts w:hint="eastAsia" w:ascii="宋体" w:hAnsi="宋体" w:eastAsia="宋体" w:cs="宋体"/>
          <w:b w:val="0"/>
          <w:bCs w:val="0"/>
          <w:color w:val="00B0F0"/>
          <w:kern w:val="2"/>
          <w:sz w:val="24"/>
          <w:szCs w:val="22"/>
          <w:highlight w:val="none"/>
          <w:lang w:val="en-US" w:eastAsia="zh-CN" w:bidi="ar-SA"/>
        </w:rPr>
        <w:t>日</w:t>
      </w:r>
    </w:p>
    <w:p>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获取方式：供应商登陆新疆政府采购网 (ccgp-xinjiang.gov.cn)下载。</w:t>
      </w:r>
    </w:p>
    <w:p>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获取地点：供应商登陆新疆政府采购网 (ccgp-xinjiang.gov.cn)下载。</w:t>
      </w:r>
    </w:p>
    <w:p>
      <w:pPr>
        <w:keepNext w:val="0"/>
        <w:keepLines w:val="0"/>
        <w:pageBreakBefore w:val="0"/>
        <w:kinsoku/>
        <w:wordWrap/>
        <w:overflowPunct/>
        <w:topLinePunct w:val="0"/>
        <w:bidi w:val="0"/>
        <w:snapToGrid/>
        <w:spacing w:line="420" w:lineRule="exact"/>
        <w:jc w:val="both"/>
        <w:textAlignment w:val="auto"/>
        <w:rPr>
          <w:rFonts w:hint="eastAsia" w:ascii="仿宋" w:hAnsi="仿宋" w:eastAsia="仿宋" w:cs="仿宋"/>
          <w:b/>
          <w:sz w:val="28"/>
          <w:szCs w:val="24"/>
        </w:rPr>
      </w:pPr>
      <w:bookmarkStart w:id="15" w:name="_Toc28359082"/>
      <w:bookmarkStart w:id="16" w:name="_Toc28359005"/>
      <w:bookmarkStart w:id="17" w:name="_Toc2422"/>
      <w:bookmarkStart w:id="18" w:name="_Toc2532"/>
      <w:bookmarkStart w:id="19" w:name="_Toc952"/>
      <w:bookmarkStart w:id="20" w:name="_Toc35393793"/>
      <w:bookmarkStart w:id="21" w:name="_Toc9047"/>
      <w:bookmarkStart w:id="22" w:name="_Toc35393624"/>
      <w:r>
        <w:rPr>
          <w:rFonts w:hint="eastAsia" w:ascii="仿宋" w:hAnsi="仿宋" w:eastAsia="仿宋" w:cs="仿宋"/>
          <w:b/>
          <w:sz w:val="28"/>
          <w:szCs w:val="24"/>
        </w:rPr>
        <w:t>四、提交投标文件</w:t>
      </w:r>
      <w:bookmarkEnd w:id="15"/>
      <w:bookmarkEnd w:id="16"/>
      <w:r>
        <w:rPr>
          <w:rFonts w:hint="eastAsia" w:ascii="仿宋" w:hAnsi="仿宋" w:eastAsia="仿宋" w:cs="仿宋"/>
          <w:b/>
          <w:sz w:val="28"/>
          <w:szCs w:val="24"/>
        </w:rPr>
        <w:t>截止时间、开标时间和地点</w:t>
      </w:r>
      <w:bookmarkEnd w:id="17"/>
      <w:bookmarkEnd w:id="18"/>
      <w:bookmarkEnd w:id="19"/>
      <w:bookmarkEnd w:id="20"/>
      <w:bookmarkEnd w:id="21"/>
      <w:bookmarkEnd w:id="22"/>
    </w:p>
    <w:p>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提交投标文件截止时间：</w:t>
      </w:r>
      <w:bookmarkStart w:id="23" w:name="_Toc35393794"/>
      <w:bookmarkStart w:id="24" w:name="_Toc28359007"/>
      <w:bookmarkStart w:id="25" w:name="_Toc35393625"/>
      <w:bookmarkStart w:id="26" w:name="_Toc28359084"/>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4</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24</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10：3</w:t>
      </w:r>
      <w:r>
        <w:rPr>
          <w:rFonts w:hint="eastAsia" w:ascii="宋体" w:hAnsi="宋体" w:eastAsia="宋体" w:cs="宋体"/>
          <w:b w:val="0"/>
          <w:bCs w:val="0"/>
          <w:color w:val="00B0F0"/>
          <w:kern w:val="2"/>
          <w:sz w:val="24"/>
          <w:szCs w:val="22"/>
          <w:highlight w:val="none"/>
          <w:lang w:val="en-US" w:eastAsia="zh-CN" w:bidi="ar-SA"/>
        </w:rPr>
        <w:t>0（</w:t>
      </w:r>
      <w:r>
        <w:rPr>
          <w:rFonts w:hint="eastAsia" w:ascii="宋体" w:hAnsi="宋体" w:eastAsia="宋体" w:cs="宋体"/>
          <w:b w:val="0"/>
          <w:bCs w:val="0"/>
          <w:kern w:val="2"/>
          <w:sz w:val="24"/>
          <w:szCs w:val="22"/>
          <w:highlight w:val="none"/>
          <w:lang w:val="en-US" w:eastAsia="zh-CN" w:bidi="ar-SA"/>
        </w:rPr>
        <w:t>北京时间）</w:t>
      </w:r>
    </w:p>
    <w:p>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投标地点：政采云平台（https://login.zcygov.cn/user-login/#/login）</w:t>
      </w:r>
    </w:p>
    <w:p>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4</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24</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10：3</w:t>
      </w:r>
      <w:r>
        <w:rPr>
          <w:rFonts w:hint="eastAsia" w:ascii="宋体" w:hAnsi="宋体" w:eastAsia="宋体" w:cs="宋体"/>
          <w:b w:val="0"/>
          <w:bCs w:val="0"/>
          <w:color w:val="00B0F0"/>
          <w:kern w:val="2"/>
          <w:sz w:val="24"/>
          <w:szCs w:val="22"/>
          <w:highlight w:val="none"/>
          <w:lang w:val="en-US" w:eastAsia="zh-CN" w:bidi="ar-SA"/>
        </w:rPr>
        <w:t>0</w:t>
      </w:r>
      <w:r>
        <w:rPr>
          <w:rFonts w:hint="eastAsia" w:ascii="宋体" w:hAnsi="宋体" w:eastAsia="宋体" w:cs="宋体"/>
          <w:b w:val="0"/>
          <w:bCs w:val="0"/>
          <w:kern w:val="2"/>
          <w:sz w:val="24"/>
          <w:szCs w:val="22"/>
          <w:highlight w:val="none"/>
          <w:lang w:val="en-US" w:eastAsia="zh-CN" w:bidi="ar-SA"/>
        </w:rPr>
        <w:t>（北京时间）</w:t>
      </w:r>
    </w:p>
    <w:p>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开标地点：</w:t>
      </w:r>
      <w:bookmarkStart w:id="27" w:name="_Toc20863"/>
      <w:bookmarkStart w:id="28" w:name="_Toc23672"/>
      <w:bookmarkStart w:id="29" w:name="_Toc30400"/>
      <w:r>
        <w:rPr>
          <w:rFonts w:hint="eastAsia" w:ascii="宋体" w:hAnsi="宋体" w:eastAsia="宋体" w:cs="宋体"/>
          <w:b w:val="0"/>
          <w:bCs w:val="0"/>
          <w:kern w:val="2"/>
          <w:sz w:val="24"/>
          <w:szCs w:val="22"/>
          <w:highlight w:val="none"/>
          <w:lang w:val="en-US" w:eastAsia="zh-CN" w:bidi="ar-SA"/>
        </w:rPr>
        <w:t>政采云平台（https://login.zcygov.cn/user-login/#/login）</w:t>
      </w:r>
    </w:p>
    <w:p>
      <w:pPr>
        <w:keepNext w:val="0"/>
        <w:keepLines w:val="0"/>
        <w:pageBreakBefore w:val="0"/>
        <w:kinsoku/>
        <w:wordWrap/>
        <w:overflowPunct/>
        <w:topLinePunct w:val="0"/>
        <w:bidi w:val="0"/>
        <w:snapToGrid/>
        <w:spacing w:line="42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五、公告期限</w:t>
      </w:r>
      <w:bookmarkEnd w:id="23"/>
      <w:bookmarkEnd w:id="24"/>
      <w:bookmarkEnd w:id="25"/>
      <w:bookmarkEnd w:id="26"/>
      <w:bookmarkEnd w:id="27"/>
      <w:bookmarkEnd w:id="28"/>
      <w:bookmarkEnd w:id="29"/>
    </w:p>
    <w:p>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自本公告发布之日起5个工作日。</w:t>
      </w:r>
    </w:p>
    <w:p>
      <w:pPr>
        <w:keepNext w:val="0"/>
        <w:keepLines w:val="0"/>
        <w:pageBreakBefore w:val="0"/>
        <w:kinsoku/>
        <w:wordWrap/>
        <w:overflowPunct/>
        <w:topLinePunct w:val="0"/>
        <w:bidi w:val="0"/>
        <w:snapToGrid/>
        <w:spacing w:line="42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六、其它补充事宜</w:t>
      </w:r>
    </w:p>
    <w:p>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30" w:name="_Toc28359094"/>
      <w:bookmarkStart w:id="31" w:name="_Toc35393803"/>
      <w:bookmarkStart w:id="32" w:name="_Toc35393634"/>
      <w:bookmarkStart w:id="33" w:name="_Toc28359017"/>
      <w:r>
        <w:rPr>
          <w:rFonts w:hint="eastAsia" w:ascii="宋体" w:hAnsi="宋体" w:eastAsia="宋体" w:cs="宋体"/>
          <w:b w:val="0"/>
          <w:bCs w:val="0"/>
          <w:kern w:val="2"/>
          <w:sz w:val="24"/>
          <w:szCs w:val="22"/>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2.本项目实行网上投标，采用电子投标文件(供应商须使用CA加密设备通过政采云电子投标客户端制作投标文件)。若供应商参与投标，自行承担投标一切费用。</w:t>
      </w:r>
    </w:p>
    <w:p>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5.供应商在开标时须使用制作加密电子投标文件所使用的CA锁及电脑，电脑须提前配置好浏览器（建议使用360浏览器或谷歌浏览器），以便开标时解锁。</w:t>
      </w:r>
    </w:p>
    <w:p>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30"/>
      <w:bookmarkEnd w:id="31"/>
      <w:bookmarkEnd w:id="32"/>
      <w:bookmarkEnd w:id="33"/>
    </w:p>
    <w:p>
      <w:pPr>
        <w:pStyle w:val="17"/>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w:t>
      </w:r>
      <w:r>
        <w:rPr>
          <w:rFonts w:hint="eastAsia" w:ascii="仿宋" w:hAnsi="仿宋" w:eastAsia="仿宋" w:cs="仿宋"/>
          <w:i w:val="0"/>
          <w:iCs w:val="0"/>
          <w:caps w:val="0"/>
          <w:color w:val="000000"/>
          <w:spacing w:val="0"/>
          <w:sz w:val="27"/>
          <w:szCs w:val="27"/>
          <w:lang w:val="en-US" w:eastAsia="zh-CN"/>
        </w:rPr>
        <w:t>.</w:t>
      </w:r>
      <w:r>
        <w:rPr>
          <w:rFonts w:hint="eastAsia" w:ascii="宋体" w:hAnsi="宋体" w:eastAsia="宋体" w:cs="宋体"/>
          <w:b w:val="0"/>
          <w:bCs w:val="0"/>
          <w:kern w:val="2"/>
          <w:sz w:val="24"/>
          <w:szCs w:val="22"/>
          <w:highlight w:val="none"/>
          <w:lang w:val="en-US" w:eastAsia="zh-CN" w:bidi="ar-SA"/>
        </w:rPr>
        <w:t>本项目响应文件解密时间为30分钟，如因</w:t>
      </w:r>
      <w:r>
        <w:rPr>
          <w:rFonts w:hint="eastAsia" w:ascii="宋体" w:hAnsi="宋体" w:cs="宋体"/>
          <w:b w:val="0"/>
          <w:bCs w:val="0"/>
          <w:kern w:val="2"/>
          <w:sz w:val="24"/>
          <w:szCs w:val="22"/>
          <w:highlight w:val="none"/>
          <w:lang w:val="en-US" w:eastAsia="zh-CN" w:bidi="ar-SA"/>
        </w:rPr>
        <w:t>供应商</w:t>
      </w:r>
      <w:r>
        <w:rPr>
          <w:rFonts w:hint="eastAsia" w:ascii="宋体" w:hAnsi="宋体" w:eastAsia="宋体" w:cs="宋体"/>
          <w:b w:val="0"/>
          <w:bCs w:val="0"/>
          <w:kern w:val="2"/>
          <w:sz w:val="24"/>
          <w:szCs w:val="22"/>
          <w:highlight w:val="none"/>
          <w:lang w:val="en-US" w:eastAsia="zh-CN" w:bidi="ar-SA"/>
        </w:rPr>
        <w:t>自身原因导致无法正常解密，后果由供应商自行承担。</w:t>
      </w:r>
    </w:p>
    <w:p>
      <w:pPr>
        <w:keepNext w:val="0"/>
        <w:keepLines w:val="0"/>
        <w:pageBreakBefore w:val="0"/>
        <w:widowControl/>
        <w:kinsoku/>
        <w:wordWrap/>
        <w:overflowPunct/>
        <w:topLinePunct w:val="0"/>
        <w:bidi w:val="0"/>
        <w:snapToGrid/>
        <w:spacing w:line="420" w:lineRule="exact"/>
        <w:jc w:val="both"/>
        <w:textAlignment w:val="auto"/>
        <w:rPr>
          <w:rFonts w:eastAsia="仿宋"/>
          <w:color w:val="000000"/>
        </w:rPr>
      </w:pPr>
      <w:bookmarkStart w:id="34" w:name="_Hlk21311295"/>
      <w:r>
        <w:rPr>
          <w:rFonts w:hint="eastAsia" w:ascii="仿宋" w:hAnsi="仿宋" w:eastAsia="仿宋" w:cs="仿宋"/>
          <w:b/>
          <w:sz w:val="28"/>
          <w:szCs w:val="24"/>
        </w:rPr>
        <w:t>七、</w:t>
      </w:r>
      <w:bookmarkStart w:id="35" w:name="_Toc28359018"/>
      <w:bookmarkStart w:id="36" w:name="_Toc35393805"/>
      <w:bookmarkStart w:id="37" w:name="_Toc35393636"/>
      <w:bookmarkStart w:id="38" w:name="_Toc28359095"/>
      <w:r>
        <w:rPr>
          <w:rFonts w:hint="eastAsia" w:ascii="仿宋" w:hAnsi="仿宋" w:eastAsia="仿宋" w:cs="仿宋"/>
          <w:b/>
          <w:sz w:val="28"/>
          <w:szCs w:val="24"/>
        </w:rPr>
        <w:t>凡对本次采购提出询问，请按以下方式联系。</w:t>
      </w:r>
      <w:bookmarkEnd w:id="35"/>
      <w:bookmarkEnd w:id="36"/>
      <w:bookmarkEnd w:id="37"/>
      <w:bookmarkEnd w:id="38"/>
      <w:r>
        <w:rPr>
          <w:rFonts w:hint="eastAsia" w:ascii="仿宋" w:hAnsi="仿宋" w:eastAsia="仿宋" w:cs="仿宋"/>
          <w:b/>
          <w:sz w:val="28"/>
          <w:szCs w:val="24"/>
        </w:rPr>
        <w:t xml:space="preserve">  </w:t>
      </w:r>
      <w:r>
        <w:rPr>
          <w:rFonts w:eastAsia="仿宋"/>
          <w:color w:val="000000"/>
        </w:rPr>
        <w:t xml:space="preserve">  </w:t>
      </w:r>
    </w:p>
    <w:bookmarkEnd w:id="34"/>
    <w:p>
      <w:pPr>
        <w:keepNext w:val="0"/>
        <w:keepLines w:val="0"/>
        <w:pageBreakBefore w:val="0"/>
        <w:kinsoku/>
        <w:wordWrap/>
        <w:overflowPunct/>
        <w:topLinePunct w:val="0"/>
        <w:bidi w:val="0"/>
        <w:snapToGrid/>
        <w:spacing w:line="420" w:lineRule="exact"/>
        <w:jc w:val="both"/>
        <w:textAlignment w:val="auto"/>
        <w:rPr>
          <w:rFonts w:hint="eastAsia" w:ascii="宋体" w:hAnsi="宋体" w:eastAsia="宋体" w:cs="宋体"/>
          <w:b/>
          <w:bCs/>
          <w:kern w:val="2"/>
          <w:sz w:val="24"/>
          <w:szCs w:val="22"/>
          <w:highlight w:val="none"/>
          <w:lang w:val="en-US" w:eastAsia="zh-CN" w:bidi="ar-SA"/>
        </w:rPr>
      </w:pPr>
      <w:r>
        <w:rPr>
          <w:rFonts w:hint="eastAsia" w:ascii="宋体" w:hAnsi="宋体" w:eastAsia="宋体" w:cs="宋体"/>
          <w:b/>
          <w:bCs/>
          <w:kern w:val="2"/>
          <w:sz w:val="24"/>
          <w:szCs w:val="22"/>
          <w:highlight w:val="none"/>
          <w:lang w:val="en-US" w:eastAsia="zh-CN" w:bidi="ar-SA"/>
        </w:rPr>
        <w:t>1.采购人信息</w:t>
      </w:r>
    </w:p>
    <w:p>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w:t>
      </w:r>
      <w:r>
        <w:rPr>
          <w:rFonts w:hint="eastAsia" w:ascii="宋体" w:hAnsi="宋体" w:eastAsia="宋体" w:cs="宋体"/>
          <w:b w:val="0"/>
          <w:bCs w:val="0"/>
          <w:color w:val="00B0F0"/>
          <w:kern w:val="2"/>
          <w:sz w:val="24"/>
          <w:szCs w:val="22"/>
          <w:highlight w:val="none"/>
          <w:lang w:val="en-US" w:eastAsia="zh-CN" w:bidi="ar-SA"/>
        </w:rPr>
        <w:t>疏附县</w:t>
      </w:r>
      <w:r>
        <w:rPr>
          <w:rFonts w:hint="eastAsia" w:ascii="宋体" w:hAnsi="宋体" w:cs="宋体"/>
          <w:b w:val="0"/>
          <w:bCs w:val="0"/>
          <w:color w:val="00B0F0"/>
          <w:kern w:val="2"/>
          <w:sz w:val="24"/>
          <w:szCs w:val="22"/>
          <w:highlight w:val="none"/>
          <w:lang w:val="en-US" w:eastAsia="zh-CN" w:bidi="ar-SA"/>
        </w:rPr>
        <w:t>财政局</w:t>
      </w:r>
    </w:p>
    <w:p>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w:t>
      </w:r>
      <w:r>
        <w:rPr>
          <w:rFonts w:hint="eastAsia" w:ascii="宋体" w:hAnsi="宋体" w:eastAsia="宋体" w:cs="宋体"/>
          <w:b w:val="0"/>
          <w:bCs w:val="0"/>
          <w:color w:val="00B0F0"/>
          <w:kern w:val="2"/>
          <w:sz w:val="24"/>
          <w:szCs w:val="22"/>
          <w:highlight w:val="none"/>
          <w:lang w:val="en-US" w:eastAsia="zh-CN" w:bidi="ar-SA"/>
        </w:rPr>
        <w:t>疏附县</w:t>
      </w:r>
      <w:r>
        <w:rPr>
          <w:rFonts w:hint="eastAsia" w:ascii="宋体" w:hAnsi="宋体" w:cs="宋体"/>
          <w:b w:val="0"/>
          <w:bCs w:val="0"/>
          <w:color w:val="00B0F0"/>
          <w:kern w:val="2"/>
          <w:sz w:val="24"/>
          <w:szCs w:val="22"/>
          <w:highlight w:val="none"/>
          <w:lang w:val="en-US" w:eastAsia="zh-CN" w:bidi="ar-SA"/>
        </w:rPr>
        <w:t>财政局</w:t>
      </w:r>
    </w:p>
    <w:p>
      <w:pPr>
        <w:keepNext w:val="0"/>
        <w:keepLines w:val="0"/>
        <w:pageBreakBefore w:val="0"/>
        <w:kinsoku/>
        <w:wordWrap/>
        <w:overflowPunct/>
        <w:topLinePunct w:val="0"/>
        <w:bidi w:val="0"/>
        <w:snapToGrid/>
        <w:spacing w:line="420" w:lineRule="exact"/>
        <w:ind w:firstLine="480" w:firstLineChars="200"/>
        <w:jc w:val="both"/>
        <w:textAlignment w:val="auto"/>
        <w:rPr>
          <w:rFonts w:hint="default"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联系人及方式：</w:t>
      </w:r>
      <w:bookmarkStart w:id="39" w:name="_Toc28359009"/>
      <w:bookmarkStart w:id="40" w:name="_Toc28359086"/>
      <w:bookmarkStart w:id="41" w:name="_Toc27055"/>
      <w:r>
        <w:rPr>
          <w:rFonts w:hint="eastAsia" w:ascii="宋体" w:hAnsi="宋体" w:eastAsia="宋体" w:cs="宋体"/>
          <w:b w:val="0"/>
          <w:bCs w:val="0"/>
          <w:color w:val="00B0F0"/>
          <w:kern w:val="2"/>
          <w:sz w:val="24"/>
          <w:szCs w:val="22"/>
          <w:highlight w:val="none"/>
          <w:lang w:val="en-US" w:eastAsia="zh-CN" w:bidi="ar-SA"/>
        </w:rPr>
        <w:t>努尔阿力木  13909988535</w:t>
      </w:r>
    </w:p>
    <w:p>
      <w:pPr>
        <w:keepNext w:val="0"/>
        <w:keepLines w:val="0"/>
        <w:pageBreakBefore w:val="0"/>
        <w:kinsoku/>
        <w:wordWrap/>
        <w:overflowPunct/>
        <w:topLinePunct w:val="0"/>
        <w:bidi w:val="0"/>
        <w:snapToGrid/>
        <w:spacing w:line="420" w:lineRule="exact"/>
        <w:jc w:val="both"/>
        <w:textAlignment w:val="auto"/>
        <w:rPr>
          <w:rFonts w:hint="eastAsia" w:ascii="宋体" w:hAnsi="宋体" w:eastAsia="宋体" w:cs="宋体"/>
          <w:b/>
          <w:bCs/>
          <w:kern w:val="2"/>
          <w:sz w:val="24"/>
          <w:szCs w:val="22"/>
          <w:highlight w:val="none"/>
          <w:lang w:val="en-US" w:eastAsia="zh-CN" w:bidi="ar-SA"/>
        </w:rPr>
      </w:pPr>
      <w:r>
        <w:rPr>
          <w:rFonts w:hint="eastAsia" w:ascii="宋体" w:hAnsi="宋体" w:eastAsia="宋体" w:cs="宋体"/>
          <w:b/>
          <w:bCs/>
          <w:kern w:val="2"/>
          <w:sz w:val="24"/>
          <w:szCs w:val="22"/>
          <w:highlight w:val="none"/>
          <w:lang w:val="en-US" w:eastAsia="zh-CN" w:bidi="ar-SA"/>
        </w:rPr>
        <w:t>2.采购代理机构信息</w:t>
      </w:r>
      <w:bookmarkEnd w:id="39"/>
      <w:bookmarkEnd w:id="40"/>
      <w:bookmarkEnd w:id="41"/>
      <w:r>
        <w:rPr>
          <w:rFonts w:hint="eastAsia" w:ascii="宋体" w:hAnsi="宋体" w:eastAsia="宋体" w:cs="宋体"/>
          <w:b/>
          <w:bCs/>
          <w:kern w:val="2"/>
          <w:sz w:val="24"/>
          <w:szCs w:val="22"/>
          <w:highlight w:val="none"/>
          <w:lang w:val="en-US" w:eastAsia="zh-CN" w:bidi="ar-SA"/>
        </w:rPr>
        <w:t xml:space="preserve"> </w:t>
      </w:r>
    </w:p>
    <w:p>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称：疏附县政府采购中心</w:t>
      </w:r>
    </w:p>
    <w:p>
      <w:pPr>
        <w:keepNext w:val="0"/>
        <w:keepLines w:val="0"/>
        <w:pageBreakBefore w:val="0"/>
        <w:kinsoku/>
        <w:wordWrap/>
        <w:overflowPunct/>
        <w:topLinePunct w:val="0"/>
        <w:bidi w:val="0"/>
        <w:snapToGrid/>
        <w:spacing w:line="42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址：疏附县财政局一楼</w:t>
      </w:r>
    </w:p>
    <w:p>
      <w:pPr>
        <w:keepNext w:val="0"/>
        <w:keepLines w:val="0"/>
        <w:pageBreakBefore w:val="0"/>
        <w:kinsoku/>
        <w:wordWrap/>
        <w:overflowPunct/>
        <w:topLinePunct w:val="0"/>
        <w:bidi w:val="0"/>
        <w:snapToGrid/>
        <w:spacing w:line="42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联系方式：0998-3256769</w:t>
      </w:r>
    </w:p>
    <w:p>
      <w:pPr>
        <w:keepNext w:val="0"/>
        <w:keepLines w:val="0"/>
        <w:pageBreakBefore w:val="0"/>
        <w:kinsoku/>
        <w:wordWrap/>
        <w:overflowPunct/>
        <w:topLinePunct w:val="0"/>
        <w:bidi w:val="0"/>
        <w:snapToGrid/>
        <w:spacing w:line="420" w:lineRule="exact"/>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3.采购监督部门：疏附县财政局采购办</w:t>
      </w:r>
    </w:p>
    <w:p>
      <w:pPr>
        <w:keepNext w:val="0"/>
        <w:keepLines w:val="0"/>
        <w:pageBreakBefore w:val="0"/>
        <w:kinsoku/>
        <w:wordWrap/>
        <w:overflowPunct/>
        <w:topLinePunct w:val="0"/>
        <w:bidi w:val="0"/>
        <w:snapToGrid/>
        <w:spacing w:line="42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w:t>
      </w:r>
      <w:r>
        <w:rPr>
          <w:rFonts w:hint="eastAsia" w:ascii="宋体" w:hAnsi="宋体" w:cs="宋体"/>
          <w:b w:val="0"/>
          <w:bCs w:val="0"/>
          <w:kern w:val="2"/>
          <w:sz w:val="24"/>
          <w:szCs w:val="22"/>
          <w:highlight w:val="none"/>
          <w:lang w:val="en-US" w:eastAsia="zh-CN" w:bidi="ar-SA"/>
        </w:rPr>
        <w:t>米佳</w:t>
      </w:r>
    </w:p>
    <w:p>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监督电话：0998-3256562</w:t>
      </w:r>
    </w:p>
    <w:p>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采购监督部门地址：疏附县财政局</w:t>
      </w:r>
    </w:p>
    <w:p>
      <w:pPr>
        <w:keepNext w:val="0"/>
        <w:keepLines w:val="0"/>
        <w:pageBreakBefore w:val="0"/>
        <w:kinsoku/>
        <w:wordWrap/>
        <w:overflowPunct/>
        <w:topLinePunct w:val="0"/>
        <w:bidi w:val="0"/>
        <w:snapToGrid/>
        <w:spacing w:line="420" w:lineRule="exact"/>
        <w:ind w:firstLine="5280" w:firstLineChars="2200"/>
        <w:jc w:val="both"/>
        <w:textAlignment w:val="auto"/>
        <w:rPr>
          <w:rFonts w:hint="eastAsia" w:ascii="宋体" w:hAnsi="宋体" w:eastAsia="宋体" w:cs="宋体"/>
          <w:b w:val="0"/>
          <w:bCs w:val="0"/>
          <w:kern w:val="2"/>
          <w:sz w:val="24"/>
          <w:szCs w:val="22"/>
          <w:highlight w:val="none"/>
          <w:lang w:val="en-US" w:eastAsia="zh-CN" w:bidi="ar-SA"/>
        </w:rPr>
      </w:pPr>
    </w:p>
    <w:p>
      <w:pPr>
        <w:keepNext w:val="0"/>
        <w:keepLines w:val="0"/>
        <w:pageBreakBefore w:val="0"/>
        <w:kinsoku/>
        <w:wordWrap/>
        <w:overflowPunct/>
        <w:topLinePunct w:val="0"/>
        <w:bidi w:val="0"/>
        <w:snapToGrid/>
        <w:spacing w:line="420" w:lineRule="exact"/>
        <w:ind w:firstLine="5280" w:firstLineChars="2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疏附县政府采购中心</w:t>
      </w:r>
    </w:p>
    <w:p>
      <w:pPr>
        <w:keepNext w:val="0"/>
        <w:keepLines w:val="0"/>
        <w:pageBreakBefore w:val="0"/>
        <w:kinsoku/>
        <w:wordWrap/>
        <w:overflowPunct/>
        <w:topLinePunct w:val="0"/>
        <w:bidi w:val="0"/>
        <w:snapToGrid/>
        <w:spacing w:line="420" w:lineRule="exact"/>
        <w:ind w:firstLine="5520" w:firstLineChars="2300"/>
        <w:jc w:val="both"/>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color w:val="00B0F0"/>
          <w:kern w:val="2"/>
          <w:sz w:val="24"/>
          <w:szCs w:val="22"/>
          <w:highlight w:val="none"/>
          <w:lang w:val="en-US" w:eastAsia="zh-CN" w:bidi="ar-SA"/>
        </w:rPr>
        <w:t>2024年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12</w:t>
      </w:r>
      <w:r>
        <w:rPr>
          <w:rFonts w:hint="eastAsia" w:ascii="宋体" w:hAnsi="宋体" w:eastAsia="宋体" w:cs="宋体"/>
          <w:b w:val="0"/>
          <w:bCs w:val="0"/>
          <w:color w:val="00B0F0"/>
          <w:kern w:val="2"/>
          <w:sz w:val="24"/>
          <w:szCs w:val="22"/>
          <w:highlight w:val="none"/>
          <w:lang w:val="en-US" w:eastAsia="zh-CN" w:bidi="ar-SA"/>
        </w:rPr>
        <w:t>日</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2MWU1NGFhNmU5NDk5ZDU1YmY2YjNjOWM0NTQ1MzAifQ=="/>
  </w:docVars>
  <w:rsids>
    <w:rsidRoot w:val="009607DE"/>
    <w:rsid w:val="00015626"/>
    <w:rsid w:val="0003465D"/>
    <w:rsid w:val="00045C10"/>
    <w:rsid w:val="00054C24"/>
    <w:rsid w:val="00055532"/>
    <w:rsid w:val="00062A7F"/>
    <w:rsid w:val="00066EBE"/>
    <w:rsid w:val="0007115A"/>
    <w:rsid w:val="0008006B"/>
    <w:rsid w:val="00081D0A"/>
    <w:rsid w:val="00082DE4"/>
    <w:rsid w:val="00083A06"/>
    <w:rsid w:val="000A613E"/>
    <w:rsid w:val="000C5E6C"/>
    <w:rsid w:val="000C62B2"/>
    <w:rsid w:val="000C7447"/>
    <w:rsid w:val="000D59C5"/>
    <w:rsid w:val="000D5C0C"/>
    <w:rsid w:val="000E3C6A"/>
    <w:rsid w:val="00110C15"/>
    <w:rsid w:val="00121690"/>
    <w:rsid w:val="00123101"/>
    <w:rsid w:val="00123AD9"/>
    <w:rsid w:val="00135881"/>
    <w:rsid w:val="00141117"/>
    <w:rsid w:val="0019599B"/>
    <w:rsid w:val="001967D7"/>
    <w:rsid w:val="001A0C69"/>
    <w:rsid w:val="001D1FB9"/>
    <w:rsid w:val="001D3E49"/>
    <w:rsid w:val="001E4C02"/>
    <w:rsid w:val="001F2CDA"/>
    <w:rsid w:val="001F732D"/>
    <w:rsid w:val="00201A8D"/>
    <w:rsid w:val="002113BA"/>
    <w:rsid w:val="00221D03"/>
    <w:rsid w:val="00231C52"/>
    <w:rsid w:val="00261E72"/>
    <w:rsid w:val="0028087A"/>
    <w:rsid w:val="00286A07"/>
    <w:rsid w:val="00297445"/>
    <w:rsid w:val="002B391F"/>
    <w:rsid w:val="002B56BC"/>
    <w:rsid w:val="002C4DCE"/>
    <w:rsid w:val="002D1203"/>
    <w:rsid w:val="002D4ECA"/>
    <w:rsid w:val="00302135"/>
    <w:rsid w:val="0030493F"/>
    <w:rsid w:val="00306437"/>
    <w:rsid w:val="00307A95"/>
    <w:rsid w:val="00312508"/>
    <w:rsid w:val="003247CE"/>
    <w:rsid w:val="00326DF1"/>
    <w:rsid w:val="00343E66"/>
    <w:rsid w:val="00346A7D"/>
    <w:rsid w:val="00361B19"/>
    <w:rsid w:val="0037057B"/>
    <w:rsid w:val="00371005"/>
    <w:rsid w:val="00373B68"/>
    <w:rsid w:val="003766A0"/>
    <w:rsid w:val="003A41B9"/>
    <w:rsid w:val="003A6D73"/>
    <w:rsid w:val="003B1076"/>
    <w:rsid w:val="003B4705"/>
    <w:rsid w:val="00445F91"/>
    <w:rsid w:val="004640FB"/>
    <w:rsid w:val="004652BD"/>
    <w:rsid w:val="00471FCA"/>
    <w:rsid w:val="00475789"/>
    <w:rsid w:val="00481EE4"/>
    <w:rsid w:val="00491F5F"/>
    <w:rsid w:val="0049571B"/>
    <w:rsid w:val="00495C15"/>
    <w:rsid w:val="00497318"/>
    <w:rsid w:val="004A0723"/>
    <w:rsid w:val="004A6FC5"/>
    <w:rsid w:val="004A76B7"/>
    <w:rsid w:val="004B1A9D"/>
    <w:rsid w:val="004B2C56"/>
    <w:rsid w:val="004B38F2"/>
    <w:rsid w:val="004B4502"/>
    <w:rsid w:val="004B69DE"/>
    <w:rsid w:val="004B7B9D"/>
    <w:rsid w:val="004C64EB"/>
    <w:rsid w:val="004E3F14"/>
    <w:rsid w:val="004E5E59"/>
    <w:rsid w:val="004F669A"/>
    <w:rsid w:val="004F782A"/>
    <w:rsid w:val="005377AC"/>
    <w:rsid w:val="00541D2E"/>
    <w:rsid w:val="005474D9"/>
    <w:rsid w:val="00567A2C"/>
    <w:rsid w:val="00591CC2"/>
    <w:rsid w:val="005B2A5A"/>
    <w:rsid w:val="005B7707"/>
    <w:rsid w:val="005D546A"/>
    <w:rsid w:val="005D6558"/>
    <w:rsid w:val="005E0105"/>
    <w:rsid w:val="005E74FF"/>
    <w:rsid w:val="005F238E"/>
    <w:rsid w:val="00600FBA"/>
    <w:rsid w:val="006702CA"/>
    <w:rsid w:val="006708B9"/>
    <w:rsid w:val="00680741"/>
    <w:rsid w:val="006A1EB7"/>
    <w:rsid w:val="006C5845"/>
    <w:rsid w:val="006E7B53"/>
    <w:rsid w:val="00712F92"/>
    <w:rsid w:val="00755412"/>
    <w:rsid w:val="007565EF"/>
    <w:rsid w:val="0075683D"/>
    <w:rsid w:val="00760C01"/>
    <w:rsid w:val="007715D8"/>
    <w:rsid w:val="00776BDE"/>
    <w:rsid w:val="0078444C"/>
    <w:rsid w:val="00791DBA"/>
    <w:rsid w:val="007A1943"/>
    <w:rsid w:val="007D0AE7"/>
    <w:rsid w:val="007E1FEF"/>
    <w:rsid w:val="007E4B8D"/>
    <w:rsid w:val="008010CE"/>
    <w:rsid w:val="008026E3"/>
    <w:rsid w:val="00807A86"/>
    <w:rsid w:val="008157B5"/>
    <w:rsid w:val="00826859"/>
    <w:rsid w:val="00832F43"/>
    <w:rsid w:val="00833F16"/>
    <w:rsid w:val="0084066D"/>
    <w:rsid w:val="00850771"/>
    <w:rsid w:val="0088006F"/>
    <w:rsid w:val="0089393E"/>
    <w:rsid w:val="008B2130"/>
    <w:rsid w:val="008B56C4"/>
    <w:rsid w:val="008B66AA"/>
    <w:rsid w:val="008C6D60"/>
    <w:rsid w:val="008E410A"/>
    <w:rsid w:val="008F1C6C"/>
    <w:rsid w:val="00905A74"/>
    <w:rsid w:val="00917B83"/>
    <w:rsid w:val="00930775"/>
    <w:rsid w:val="009607DE"/>
    <w:rsid w:val="00963AAF"/>
    <w:rsid w:val="00967E03"/>
    <w:rsid w:val="0097732F"/>
    <w:rsid w:val="00986161"/>
    <w:rsid w:val="0099075F"/>
    <w:rsid w:val="009B595D"/>
    <w:rsid w:val="009C519A"/>
    <w:rsid w:val="009C7303"/>
    <w:rsid w:val="009D6405"/>
    <w:rsid w:val="009F73E9"/>
    <w:rsid w:val="00A042BD"/>
    <w:rsid w:val="00A1591D"/>
    <w:rsid w:val="00A172B1"/>
    <w:rsid w:val="00A178D7"/>
    <w:rsid w:val="00A205D0"/>
    <w:rsid w:val="00A22006"/>
    <w:rsid w:val="00A26C1B"/>
    <w:rsid w:val="00A33590"/>
    <w:rsid w:val="00A44CB3"/>
    <w:rsid w:val="00A57077"/>
    <w:rsid w:val="00A676F1"/>
    <w:rsid w:val="00A949F0"/>
    <w:rsid w:val="00AB7CB7"/>
    <w:rsid w:val="00AD4887"/>
    <w:rsid w:val="00AE7773"/>
    <w:rsid w:val="00B12621"/>
    <w:rsid w:val="00B12A06"/>
    <w:rsid w:val="00B3458B"/>
    <w:rsid w:val="00B367C2"/>
    <w:rsid w:val="00B521BC"/>
    <w:rsid w:val="00B60F94"/>
    <w:rsid w:val="00B6110C"/>
    <w:rsid w:val="00B61A69"/>
    <w:rsid w:val="00B629CC"/>
    <w:rsid w:val="00B8692D"/>
    <w:rsid w:val="00B93D5A"/>
    <w:rsid w:val="00BA571C"/>
    <w:rsid w:val="00BC5172"/>
    <w:rsid w:val="00BC5826"/>
    <w:rsid w:val="00BD720E"/>
    <w:rsid w:val="00BE23B2"/>
    <w:rsid w:val="00BF1D45"/>
    <w:rsid w:val="00BF2668"/>
    <w:rsid w:val="00C4157E"/>
    <w:rsid w:val="00C52CCF"/>
    <w:rsid w:val="00C7313C"/>
    <w:rsid w:val="00C8367F"/>
    <w:rsid w:val="00CA18C7"/>
    <w:rsid w:val="00CB526E"/>
    <w:rsid w:val="00CB689B"/>
    <w:rsid w:val="00CC7DA0"/>
    <w:rsid w:val="00CF17B0"/>
    <w:rsid w:val="00D00200"/>
    <w:rsid w:val="00D0515B"/>
    <w:rsid w:val="00D12A2B"/>
    <w:rsid w:val="00D258EB"/>
    <w:rsid w:val="00D25B99"/>
    <w:rsid w:val="00D36D49"/>
    <w:rsid w:val="00D46DC3"/>
    <w:rsid w:val="00D5084A"/>
    <w:rsid w:val="00D60DC7"/>
    <w:rsid w:val="00D70113"/>
    <w:rsid w:val="00D82856"/>
    <w:rsid w:val="00DB05AB"/>
    <w:rsid w:val="00DB1888"/>
    <w:rsid w:val="00DB1C97"/>
    <w:rsid w:val="00DB1D8B"/>
    <w:rsid w:val="00DB3BCA"/>
    <w:rsid w:val="00DB45DC"/>
    <w:rsid w:val="00DC059A"/>
    <w:rsid w:val="00DD3565"/>
    <w:rsid w:val="00DE0CF2"/>
    <w:rsid w:val="00DE3FB7"/>
    <w:rsid w:val="00DE77E1"/>
    <w:rsid w:val="00DF0500"/>
    <w:rsid w:val="00E1471A"/>
    <w:rsid w:val="00E35E09"/>
    <w:rsid w:val="00E45C13"/>
    <w:rsid w:val="00E554A4"/>
    <w:rsid w:val="00E60130"/>
    <w:rsid w:val="00E6457C"/>
    <w:rsid w:val="00E66BE4"/>
    <w:rsid w:val="00EB6BC0"/>
    <w:rsid w:val="00EC7C25"/>
    <w:rsid w:val="00ED46B7"/>
    <w:rsid w:val="00EE27F1"/>
    <w:rsid w:val="00EE769B"/>
    <w:rsid w:val="00EF46D8"/>
    <w:rsid w:val="00EF5699"/>
    <w:rsid w:val="00F01F18"/>
    <w:rsid w:val="00F03163"/>
    <w:rsid w:val="00F06002"/>
    <w:rsid w:val="00F171FD"/>
    <w:rsid w:val="00F259D6"/>
    <w:rsid w:val="00F44165"/>
    <w:rsid w:val="00F50F65"/>
    <w:rsid w:val="00F53104"/>
    <w:rsid w:val="00F63021"/>
    <w:rsid w:val="00F70635"/>
    <w:rsid w:val="00F85C77"/>
    <w:rsid w:val="00FA20B7"/>
    <w:rsid w:val="00FB1A4E"/>
    <w:rsid w:val="00FB377A"/>
    <w:rsid w:val="00FD5BEE"/>
    <w:rsid w:val="00FD62BE"/>
    <w:rsid w:val="00FE5DE6"/>
    <w:rsid w:val="01475C11"/>
    <w:rsid w:val="01761E20"/>
    <w:rsid w:val="01797C24"/>
    <w:rsid w:val="01A26280"/>
    <w:rsid w:val="01F66ABD"/>
    <w:rsid w:val="020E3E06"/>
    <w:rsid w:val="022E6257"/>
    <w:rsid w:val="02876D12"/>
    <w:rsid w:val="028B1555"/>
    <w:rsid w:val="02FD399D"/>
    <w:rsid w:val="030B2A3C"/>
    <w:rsid w:val="03345AEF"/>
    <w:rsid w:val="03393105"/>
    <w:rsid w:val="036F54DB"/>
    <w:rsid w:val="03CD1A9F"/>
    <w:rsid w:val="03CD78C6"/>
    <w:rsid w:val="03E81B90"/>
    <w:rsid w:val="042F2ECE"/>
    <w:rsid w:val="045126D0"/>
    <w:rsid w:val="04545F3D"/>
    <w:rsid w:val="047E6816"/>
    <w:rsid w:val="04D02E71"/>
    <w:rsid w:val="053C0C8A"/>
    <w:rsid w:val="056F3856"/>
    <w:rsid w:val="05A86320"/>
    <w:rsid w:val="06193AAA"/>
    <w:rsid w:val="061E210A"/>
    <w:rsid w:val="063B2989"/>
    <w:rsid w:val="069468A4"/>
    <w:rsid w:val="06A93BDF"/>
    <w:rsid w:val="06C335B8"/>
    <w:rsid w:val="06D704EE"/>
    <w:rsid w:val="07DD30C9"/>
    <w:rsid w:val="085371EA"/>
    <w:rsid w:val="08626C5A"/>
    <w:rsid w:val="086D6C3F"/>
    <w:rsid w:val="08A91923"/>
    <w:rsid w:val="08BA15E8"/>
    <w:rsid w:val="091303AA"/>
    <w:rsid w:val="09A60DC8"/>
    <w:rsid w:val="09F00D5C"/>
    <w:rsid w:val="0A3A1A30"/>
    <w:rsid w:val="0A505250"/>
    <w:rsid w:val="0A90118B"/>
    <w:rsid w:val="0B884C29"/>
    <w:rsid w:val="0BBA151B"/>
    <w:rsid w:val="0BC7473F"/>
    <w:rsid w:val="0BD40CB3"/>
    <w:rsid w:val="0C1016B0"/>
    <w:rsid w:val="0C336CD3"/>
    <w:rsid w:val="0C737B3B"/>
    <w:rsid w:val="0C776A4C"/>
    <w:rsid w:val="0C917B0E"/>
    <w:rsid w:val="0C930FFD"/>
    <w:rsid w:val="0C94216C"/>
    <w:rsid w:val="0CFB142B"/>
    <w:rsid w:val="0D1A3FA7"/>
    <w:rsid w:val="0D793303"/>
    <w:rsid w:val="0D831128"/>
    <w:rsid w:val="0DD945FF"/>
    <w:rsid w:val="0DF20A80"/>
    <w:rsid w:val="0DF41256"/>
    <w:rsid w:val="0E407594"/>
    <w:rsid w:val="0E9A73C2"/>
    <w:rsid w:val="0EB96385"/>
    <w:rsid w:val="0ED6758D"/>
    <w:rsid w:val="0EEA1736"/>
    <w:rsid w:val="0EF6634E"/>
    <w:rsid w:val="0F7D081D"/>
    <w:rsid w:val="0FD20B69"/>
    <w:rsid w:val="100F7C3A"/>
    <w:rsid w:val="1023672E"/>
    <w:rsid w:val="10E672A6"/>
    <w:rsid w:val="1111121D"/>
    <w:rsid w:val="11AC5CF3"/>
    <w:rsid w:val="11B30526"/>
    <w:rsid w:val="11C91AF8"/>
    <w:rsid w:val="11E93F48"/>
    <w:rsid w:val="12275FFD"/>
    <w:rsid w:val="1232769D"/>
    <w:rsid w:val="124B4C03"/>
    <w:rsid w:val="127C300E"/>
    <w:rsid w:val="12AF6F40"/>
    <w:rsid w:val="12CF75E2"/>
    <w:rsid w:val="12F232D0"/>
    <w:rsid w:val="132C6625"/>
    <w:rsid w:val="13780673"/>
    <w:rsid w:val="139A199E"/>
    <w:rsid w:val="141D612B"/>
    <w:rsid w:val="144D4849"/>
    <w:rsid w:val="152B7DEB"/>
    <w:rsid w:val="153D04EF"/>
    <w:rsid w:val="155B515D"/>
    <w:rsid w:val="15634011"/>
    <w:rsid w:val="15673B02"/>
    <w:rsid w:val="156D4E90"/>
    <w:rsid w:val="15806971"/>
    <w:rsid w:val="16425464"/>
    <w:rsid w:val="165C118C"/>
    <w:rsid w:val="165F6ECF"/>
    <w:rsid w:val="169D2A08"/>
    <w:rsid w:val="16E3540A"/>
    <w:rsid w:val="1725004C"/>
    <w:rsid w:val="17A542E9"/>
    <w:rsid w:val="17EF2504"/>
    <w:rsid w:val="18073BE6"/>
    <w:rsid w:val="1816180F"/>
    <w:rsid w:val="18221455"/>
    <w:rsid w:val="18604B97"/>
    <w:rsid w:val="189A41EE"/>
    <w:rsid w:val="18C33745"/>
    <w:rsid w:val="18DC4807"/>
    <w:rsid w:val="18ED2570"/>
    <w:rsid w:val="19D41C5A"/>
    <w:rsid w:val="19EA30CF"/>
    <w:rsid w:val="1ACB5039"/>
    <w:rsid w:val="1ACF2099"/>
    <w:rsid w:val="1B3F107D"/>
    <w:rsid w:val="1B7816B3"/>
    <w:rsid w:val="1BA23454"/>
    <w:rsid w:val="1BBC26CD"/>
    <w:rsid w:val="1BC22936"/>
    <w:rsid w:val="1BC266DE"/>
    <w:rsid w:val="1BE26580"/>
    <w:rsid w:val="1C787B9A"/>
    <w:rsid w:val="1C8F109B"/>
    <w:rsid w:val="1CC762E3"/>
    <w:rsid w:val="1CC9218A"/>
    <w:rsid w:val="1CE75528"/>
    <w:rsid w:val="1CFC4C20"/>
    <w:rsid w:val="1D75046A"/>
    <w:rsid w:val="1E672C24"/>
    <w:rsid w:val="1E7B4F16"/>
    <w:rsid w:val="1EAD42F5"/>
    <w:rsid w:val="1EB309CC"/>
    <w:rsid w:val="1F104EBC"/>
    <w:rsid w:val="1F1904C0"/>
    <w:rsid w:val="1F62533A"/>
    <w:rsid w:val="1F7A2683"/>
    <w:rsid w:val="1FEC311A"/>
    <w:rsid w:val="20062169"/>
    <w:rsid w:val="2038626C"/>
    <w:rsid w:val="20491033"/>
    <w:rsid w:val="207907A6"/>
    <w:rsid w:val="20790B8D"/>
    <w:rsid w:val="21F23265"/>
    <w:rsid w:val="21F453A3"/>
    <w:rsid w:val="223C00C4"/>
    <w:rsid w:val="22F34C27"/>
    <w:rsid w:val="2364139F"/>
    <w:rsid w:val="237C2E6E"/>
    <w:rsid w:val="23915C59"/>
    <w:rsid w:val="23957A8C"/>
    <w:rsid w:val="23D71716"/>
    <w:rsid w:val="244348F9"/>
    <w:rsid w:val="244514B2"/>
    <w:rsid w:val="24613E12"/>
    <w:rsid w:val="246851A0"/>
    <w:rsid w:val="24B46637"/>
    <w:rsid w:val="24E62909"/>
    <w:rsid w:val="24FE78B3"/>
    <w:rsid w:val="25B17D55"/>
    <w:rsid w:val="26154EB4"/>
    <w:rsid w:val="2663562D"/>
    <w:rsid w:val="26CA707F"/>
    <w:rsid w:val="26DD7D07"/>
    <w:rsid w:val="27346607"/>
    <w:rsid w:val="2749750B"/>
    <w:rsid w:val="27677BE9"/>
    <w:rsid w:val="277E287E"/>
    <w:rsid w:val="27AD2F28"/>
    <w:rsid w:val="27B10480"/>
    <w:rsid w:val="283808A9"/>
    <w:rsid w:val="28E53263"/>
    <w:rsid w:val="29080D00"/>
    <w:rsid w:val="291833E7"/>
    <w:rsid w:val="29363ABF"/>
    <w:rsid w:val="29375E3F"/>
    <w:rsid w:val="295F0773"/>
    <w:rsid w:val="29861DDA"/>
    <w:rsid w:val="29AD79D2"/>
    <w:rsid w:val="29BA133A"/>
    <w:rsid w:val="29F319B0"/>
    <w:rsid w:val="2A036622"/>
    <w:rsid w:val="2A235043"/>
    <w:rsid w:val="2A4E6BE6"/>
    <w:rsid w:val="2A553AD7"/>
    <w:rsid w:val="2A594549"/>
    <w:rsid w:val="2AA44A58"/>
    <w:rsid w:val="2ABB0720"/>
    <w:rsid w:val="2AF35595"/>
    <w:rsid w:val="2B2F3358"/>
    <w:rsid w:val="2B3758CC"/>
    <w:rsid w:val="2B6C5081"/>
    <w:rsid w:val="2B873B9B"/>
    <w:rsid w:val="2BEB713A"/>
    <w:rsid w:val="2CC118F2"/>
    <w:rsid w:val="2CD71F12"/>
    <w:rsid w:val="2CF5234D"/>
    <w:rsid w:val="2CFE2B46"/>
    <w:rsid w:val="2D070398"/>
    <w:rsid w:val="2D7050C6"/>
    <w:rsid w:val="2D8D676E"/>
    <w:rsid w:val="2DD93ACA"/>
    <w:rsid w:val="2DF16206"/>
    <w:rsid w:val="2E6A2B46"/>
    <w:rsid w:val="2E7D5CEC"/>
    <w:rsid w:val="2ECD732F"/>
    <w:rsid w:val="2EE5068E"/>
    <w:rsid w:val="2FA379D4"/>
    <w:rsid w:val="2FFA5900"/>
    <w:rsid w:val="31313171"/>
    <w:rsid w:val="316C577D"/>
    <w:rsid w:val="31D773D7"/>
    <w:rsid w:val="32295519"/>
    <w:rsid w:val="32B51247"/>
    <w:rsid w:val="32EE540A"/>
    <w:rsid w:val="33193DC3"/>
    <w:rsid w:val="336D036C"/>
    <w:rsid w:val="33BE4DDD"/>
    <w:rsid w:val="33F524B8"/>
    <w:rsid w:val="343B41E8"/>
    <w:rsid w:val="346161B8"/>
    <w:rsid w:val="3488411A"/>
    <w:rsid w:val="34C919AB"/>
    <w:rsid w:val="34D27DD1"/>
    <w:rsid w:val="351F5B8D"/>
    <w:rsid w:val="3575061E"/>
    <w:rsid w:val="359E5BFE"/>
    <w:rsid w:val="35A44FC4"/>
    <w:rsid w:val="35C00333"/>
    <w:rsid w:val="35E14574"/>
    <w:rsid w:val="362C0724"/>
    <w:rsid w:val="368340BC"/>
    <w:rsid w:val="37165CDA"/>
    <w:rsid w:val="38060B00"/>
    <w:rsid w:val="380D1E8F"/>
    <w:rsid w:val="380E795B"/>
    <w:rsid w:val="38287616"/>
    <w:rsid w:val="382F40B5"/>
    <w:rsid w:val="38471845"/>
    <w:rsid w:val="385F4524"/>
    <w:rsid w:val="3888022D"/>
    <w:rsid w:val="39613D3B"/>
    <w:rsid w:val="397B4CA3"/>
    <w:rsid w:val="39A517EA"/>
    <w:rsid w:val="39DB2755"/>
    <w:rsid w:val="39DF3323"/>
    <w:rsid w:val="39E63C4E"/>
    <w:rsid w:val="3A304641"/>
    <w:rsid w:val="3A3778FF"/>
    <w:rsid w:val="3A6B7341"/>
    <w:rsid w:val="3A8034E3"/>
    <w:rsid w:val="3A8D25EE"/>
    <w:rsid w:val="3B4402BD"/>
    <w:rsid w:val="3B516536"/>
    <w:rsid w:val="3B5237E1"/>
    <w:rsid w:val="3BB71427"/>
    <w:rsid w:val="3BB9756C"/>
    <w:rsid w:val="3C107EFC"/>
    <w:rsid w:val="3C531A06"/>
    <w:rsid w:val="3D9100B0"/>
    <w:rsid w:val="3DB334D8"/>
    <w:rsid w:val="3DD07BE6"/>
    <w:rsid w:val="3DE65376"/>
    <w:rsid w:val="3E941250"/>
    <w:rsid w:val="3EBA1894"/>
    <w:rsid w:val="3F080CD2"/>
    <w:rsid w:val="3F4D484B"/>
    <w:rsid w:val="3FB57D76"/>
    <w:rsid w:val="40493C80"/>
    <w:rsid w:val="414D154E"/>
    <w:rsid w:val="416845DA"/>
    <w:rsid w:val="420E2CDC"/>
    <w:rsid w:val="4246491B"/>
    <w:rsid w:val="426B7481"/>
    <w:rsid w:val="42764AD5"/>
    <w:rsid w:val="427A2817"/>
    <w:rsid w:val="428C26DD"/>
    <w:rsid w:val="428D1E0A"/>
    <w:rsid w:val="42DC400E"/>
    <w:rsid w:val="432F0495"/>
    <w:rsid w:val="434B4718"/>
    <w:rsid w:val="43D62E74"/>
    <w:rsid w:val="442B5E20"/>
    <w:rsid w:val="4482664D"/>
    <w:rsid w:val="44B14B66"/>
    <w:rsid w:val="44D55C3B"/>
    <w:rsid w:val="44EE6034"/>
    <w:rsid w:val="44F00B6E"/>
    <w:rsid w:val="45BE4568"/>
    <w:rsid w:val="45F432D0"/>
    <w:rsid w:val="46302C7E"/>
    <w:rsid w:val="466068B5"/>
    <w:rsid w:val="466915F1"/>
    <w:rsid w:val="46986E15"/>
    <w:rsid w:val="46DA26E2"/>
    <w:rsid w:val="476354EE"/>
    <w:rsid w:val="477C439A"/>
    <w:rsid w:val="4791488A"/>
    <w:rsid w:val="47EE32C7"/>
    <w:rsid w:val="48270D4B"/>
    <w:rsid w:val="48395CFE"/>
    <w:rsid w:val="492D05E3"/>
    <w:rsid w:val="499A379E"/>
    <w:rsid w:val="499E06C9"/>
    <w:rsid w:val="49C251D0"/>
    <w:rsid w:val="49E8275C"/>
    <w:rsid w:val="49EB3101"/>
    <w:rsid w:val="4A020453"/>
    <w:rsid w:val="4A5B3E39"/>
    <w:rsid w:val="4A733B19"/>
    <w:rsid w:val="4AAA17BF"/>
    <w:rsid w:val="4B1C0799"/>
    <w:rsid w:val="4B661B8A"/>
    <w:rsid w:val="4C231829"/>
    <w:rsid w:val="4C5C3874"/>
    <w:rsid w:val="4C942727"/>
    <w:rsid w:val="4CDA0A74"/>
    <w:rsid w:val="4CF3569F"/>
    <w:rsid w:val="4CF80988"/>
    <w:rsid w:val="4D2E66D8"/>
    <w:rsid w:val="4D367CC9"/>
    <w:rsid w:val="4E006B7E"/>
    <w:rsid w:val="4E031912"/>
    <w:rsid w:val="4E10402F"/>
    <w:rsid w:val="4E212258"/>
    <w:rsid w:val="4E604181"/>
    <w:rsid w:val="4E8E6608"/>
    <w:rsid w:val="4E9C3B15"/>
    <w:rsid w:val="4F604B42"/>
    <w:rsid w:val="4F8B1BBF"/>
    <w:rsid w:val="4FD9289A"/>
    <w:rsid w:val="50770396"/>
    <w:rsid w:val="50D912A9"/>
    <w:rsid w:val="51085C08"/>
    <w:rsid w:val="51786173"/>
    <w:rsid w:val="519A433C"/>
    <w:rsid w:val="51DC0080"/>
    <w:rsid w:val="521265C8"/>
    <w:rsid w:val="52293911"/>
    <w:rsid w:val="52EA12F3"/>
    <w:rsid w:val="52F7475C"/>
    <w:rsid w:val="531D24A2"/>
    <w:rsid w:val="531D5224"/>
    <w:rsid w:val="53B35B89"/>
    <w:rsid w:val="53E45D42"/>
    <w:rsid w:val="542A00A5"/>
    <w:rsid w:val="54880DC3"/>
    <w:rsid w:val="549332C4"/>
    <w:rsid w:val="54A6749B"/>
    <w:rsid w:val="550545BE"/>
    <w:rsid w:val="553A07BD"/>
    <w:rsid w:val="55602630"/>
    <w:rsid w:val="55741347"/>
    <w:rsid w:val="55E45F53"/>
    <w:rsid w:val="55F47828"/>
    <w:rsid w:val="563672E3"/>
    <w:rsid w:val="56AF0889"/>
    <w:rsid w:val="56E30533"/>
    <w:rsid w:val="572A77E9"/>
    <w:rsid w:val="578A4E52"/>
    <w:rsid w:val="579174E8"/>
    <w:rsid w:val="57EE53E1"/>
    <w:rsid w:val="588A3021"/>
    <w:rsid w:val="58A33E0F"/>
    <w:rsid w:val="58A76420"/>
    <w:rsid w:val="58D5034F"/>
    <w:rsid w:val="58EB1921"/>
    <w:rsid w:val="59377A17"/>
    <w:rsid w:val="59CA59DA"/>
    <w:rsid w:val="59F36CDF"/>
    <w:rsid w:val="5A394F9F"/>
    <w:rsid w:val="5AB743DC"/>
    <w:rsid w:val="5B690C32"/>
    <w:rsid w:val="5BB800D1"/>
    <w:rsid w:val="5BC1624E"/>
    <w:rsid w:val="5BC8419B"/>
    <w:rsid w:val="5C741A01"/>
    <w:rsid w:val="5CDD1212"/>
    <w:rsid w:val="5CF71A34"/>
    <w:rsid w:val="5D066D29"/>
    <w:rsid w:val="5D0E5BDE"/>
    <w:rsid w:val="5D3367CD"/>
    <w:rsid w:val="5D5E6B65"/>
    <w:rsid w:val="5D83037A"/>
    <w:rsid w:val="5D9B0A57"/>
    <w:rsid w:val="5DB37D2C"/>
    <w:rsid w:val="5E176D14"/>
    <w:rsid w:val="5E1D4D61"/>
    <w:rsid w:val="5EEF18FF"/>
    <w:rsid w:val="5EF57055"/>
    <w:rsid w:val="5EF750DC"/>
    <w:rsid w:val="5F1A4D0E"/>
    <w:rsid w:val="5F254283"/>
    <w:rsid w:val="5F4239F5"/>
    <w:rsid w:val="5F5109B7"/>
    <w:rsid w:val="5F610C91"/>
    <w:rsid w:val="5F645F89"/>
    <w:rsid w:val="5FBA3DFB"/>
    <w:rsid w:val="5FC92290"/>
    <w:rsid w:val="5FE923B0"/>
    <w:rsid w:val="6012159E"/>
    <w:rsid w:val="60283D57"/>
    <w:rsid w:val="60DE68E0"/>
    <w:rsid w:val="612E5DFF"/>
    <w:rsid w:val="62313122"/>
    <w:rsid w:val="626B3303"/>
    <w:rsid w:val="626C3AD2"/>
    <w:rsid w:val="626D61ED"/>
    <w:rsid w:val="627C1972"/>
    <w:rsid w:val="628C36F1"/>
    <w:rsid w:val="62AA7F3C"/>
    <w:rsid w:val="62DA691D"/>
    <w:rsid w:val="62F95CCE"/>
    <w:rsid w:val="631A7B2D"/>
    <w:rsid w:val="63377DF2"/>
    <w:rsid w:val="64601415"/>
    <w:rsid w:val="646D58E0"/>
    <w:rsid w:val="648D1ADE"/>
    <w:rsid w:val="64A37553"/>
    <w:rsid w:val="64FF0C2E"/>
    <w:rsid w:val="65094488"/>
    <w:rsid w:val="65474383"/>
    <w:rsid w:val="65C77271"/>
    <w:rsid w:val="65DE43E2"/>
    <w:rsid w:val="65E6594A"/>
    <w:rsid w:val="65E72389"/>
    <w:rsid w:val="66304E17"/>
    <w:rsid w:val="6635067F"/>
    <w:rsid w:val="667B0788"/>
    <w:rsid w:val="66A45808"/>
    <w:rsid w:val="671D0DCF"/>
    <w:rsid w:val="672541AA"/>
    <w:rsid w:val="67497B13"/>
    <w:rsid w:val="675872FB"/>
    <w:rsid w:val="67AE06E9"/>
    <w:rsid w:val="687E1C5B"/>
    <w:rsid w:val="68D1663B"/>
    <w:rsid w:val="69092907"/>
    <w:rsid w:val="694D2B5B"/>
    <w:rsid w:val="694F5E7C"/>
    <w:rsid w:val="69E361EE"/>
    <w:rsid w:val="6A314748"/>
    <w:rsid w:val="6A537326"/>
    <w:rsid w:val="6A655893"/>
    <w:rsid w:val="6B0625EA"/>
    <w:rsid w:val="6B0C6D44"/>
    <w:rsid w:val="6C2C7E2E"/>
    <w:rsid w:val="6CD22076"/>
    <w:rsid w:val="6D0A63C2"/>
    <w:rsid w:val="6D2654C0"/>
    <w:rsid w:val="6D480C98"/>
    <w:rsid w:val="6DB84E84"/>
    <w:rsid w:val="6E9105C0"/>
    <w:rsid w:val="6E924DD7"/>
    <w:rsid w:val="6F0E45B3"/>
    <w:rsid w:val="6F2B6B28"/>
    <w:rsid w:val="6F8D1FE5"/>
    <w:rsid w:val="70657DB3"/>
    <w:rsid w:val="70BA1EAD"/>
    <w:rsid w:val="70F058CE"/>
    <w:rsid w:val="70FF34FA"/>
    <w:rsid w:val="711C3238"/>
    <w:rsid w:val="717E737E"/>
    <w:rsid w:val="7189282E"/>
    <w:rsid w:val="71E60A7F"/>
    <w:rsid w:val="72556331"/>
    <w:rsid w:val="72FB055A"/>
    <w:rsid w:val="731148F3"/>
    <w:rsid w:val="732B52E4"/>
    <w:rsid w:val="735B5E4F"/>
    <w:rsid w:val="737B0C23"/>
    <w:rsid w:val="737C169B"/>
    <w:rsid w:val="73944E37"/>
    <w:rsid w:val="749170EC"/>
    <w:rsid w:val="74B56491"/>
    <w:rsid w:val="74B77D7B"/>
    <w:rsid w:val="74C54072"/>
    <w:rsid w:val="74E87E1E"/>
    <w:rsid w:val="750E6C6B"/>
    <w:rsid w:val="751C3136"/>
    <w:rsid w:val="752A4B5B"/>
    <w:rsid w:val="756E770A"/>
    <w:rsid w:val="75D4756D"/>
    <w:rsid w:val="76DA6910"/>
    <w:rsid w:val="76DB477F"/>
    <w:rsid w:val="77784D63"/>
    <w:rsid w:val="77913711"/>
    <w:rsid w:val="779E5878"/>
    <w:rsid w:val="77CD5C05"/>
    <w:rsid w:val="780E386A"/>
    <w:rsid w:val="78225C98"/>
    <w:rsid w:val="784B621C"/>
    <w:rsid w:val="787A367C"/>
    <w:rsid w:val="78811502"/>
    <w:rsid w:val="78AE0A29"/>
    <w:rsid w:val="78BD698D"/>
    <w:rsid w:val="78EF19D9"/>
    <w:rsid w:val="79905F13"/>
    <w:rsid w:val="79C77598"/>
    <w:rsid w:val="7A590ABB"/>
    <w:rsid w:val="7A664E53"/>
    <w:rsid w:val="7A6F3D08"/>
    <w:rsid w:val="7A8716DB"/>
    <w:rsid w:val="7A8E3CCA"/>
    <w:rsid w:val="7AE709F8"/>
    <w:rsid w:val="7B6018A2"/>
    <w:rsid w:val="7BE129E3"/>
    <w:rsid w:val="7BEE6EAE"/>
    <w:rsid w:val="7CC5224A"/>
    <w:rsid w:val="7CD2057E"/>
    <w:rsid w:val="7D6438CC"/>
    <w:rsid w:val="7D807FDA"/>
    <w:rsid w:val="7DAF70A2"/>
    <w:rsid w:val="7DDA3010"/>
    <w:rsid w:val="7DEB7B49"/>
    <w:rsid w:val="7E282EEA"/>
    <w:rsid w:val="7E421268"/>
    <w:rsid w:val="7EEB5927"/>
    <w:rsid w:val="7F0D3AEF"/>
    <w:rsid w:val="7F500FAD"/>
    <w:rsid w:val="7F567244"/>
    <w:rsid w:val="7F70037C"/>
    <w:rsid w:val="7F7E38B7"/>
    <w:rsid w:val="7FB56661"/>
    <w:rsid w:val="7FC6097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qFormat="1" w:unhideWhenUsed="0"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nhideWhenUsed="0" w:uiPriority="0"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locked/>
    <w:uiPriority w:val="9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4">
    <w:name w:val="heading 3"/>
    <w:basedOn w:val="1"/>
    <w:next w:val="1"/>
    <w:autoRedefine/>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6">
    <w:name w:val="Body Text"/>
    <w:basedOn w:val="1"/>
    <w:next w:val="7"/>
    <w:autoRedefine/>
    <w:qFormat/>
    <w:uiPriority w:val="0"/>
    <w:pPr>
      <w:tabs>
        <w:tab w:val="left" w:pos="567"/>
      </w:tabs>
      <w:spacing w:before="120" w:line="22" w:lineRule="atLeast"/>
    </w:pPr>
    <w:rPr>
      <w:rFonts w:ascii="宋体" w:hAnsi="宋体"/>
      <w:sz w:val="24"/>
    </w:rPr>
  </w:style>
  <w:style w:type="paragraph" w:styleId="7">
    <w:name w:val="toc 4"/>
    <w:basedOn w:val="1"/>
    <w:next w:val="1"/>
    <w:qFormat/>
    <w:locked/>
    <w:uiPriority w:val="39"/>
    <w:pPr>
      <w:ind w:left="1260" w:leftChars="600"/>
    </w:pPr>
  </w:style>
  <w:style w:type="paragraph" w:styleId="8">
    <w:name w:val="Body Text Indent"/>
    <w:basedOn w:val="1"/>
    <w:next w:val="1"/>
    <w:autoRedefine/>
    <w:qFormat/>
    <w:uiPriority w:val="0"/>
    <w:pPr>
      <w:spacing w:line="360" w:lineRule="auto"/>
      <w:ind w:firstLine="570"/>
    </w:pPr>
    <w:rPr>
      <w:rFonts w:ascii="Times New Roman" w:hAnsi="Times New Roman"/>
      <w:sz w:val="24"/>
    </w:rPr>
  </w:style>
  <w:style w:type="paragraph" w:styleId="9">
    <w:name w:val="Block Text"/>
    <w:basedOn w:val="1"/>
    <w:autoRedefine/>
    <w:qFormat/>
    <w:uiPriority w:val="0"/>
    <w:pPr>
      <w:spacing w:after="120"/>
      <w:ind w:left="1440" w:leftChars="700" w:right="700" w:rightChars="700"/>
    </w:pPr>
  </w:style>
  <w:style w:type="paragraph" w:styleId="10">
    <w:name w:val="footer"/>
    <w:basedOn w:val="1"/>
    <w:link w:val="23"/>
    <w:autoRedefine/>
    <w:semiHidden/>
    <w:qFormat/>
    <w:uiPriority w:val="99"/>
    <w:pPr>
      <w:tabs>
        <w:tab w:val="center" w:pos="4153"/>
        <w:tab w:val="right" w:pos="8306"/>
      </w:tabs>
      <w:snapToGrid w:val="0"/>
      <w:jc w:val="left"/>
    </w:pPr>
    <w:rPr>
      <w:kern w:val="0"/>
      <w:sz w:val="18"/>
      <w:szCs w:val="18"/>
    </w:rPr>
  </w:style>
  <w:style w:type="paragraph" w:styleId="11">
    <w:name w:val="envelope return"/>
    <w:basedOn w:val="1"/>
    <w:autoRedefine/>
    <w:unhideWhenUsed/>
    <w:qFormat/>
    <w:uiPriority w:val="99"/>
    <w:pPr>
      <w:snapToGrid w:val="0"/>
    </w:pPr>
    <w:rPr>
      <w:rFonts w:ascii="Arial" w:hAnsi="Arial"/>
    </w:rPr>
  </w:style>
  <w:style w:type="paragraph" w:styleId="12">
    <w:name w:val="header"/>
    <w:basedOn w:val="1"/>
    <w:link w:val="22"/>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footnote text"/>
    <w:basedOn w:val="1"/>
    <w:next w:val="6"/>
    <w:autoRedefine/>
    <w:qFormat/>
    <w:uiPriority w:val="0"/>
    <w:pPr>
      <w:adjustRightInd w:val="0"/>
      <w:spacing w:line="315" w:lineRule="atLeast"/>
      <w:textAlignment w:val="baseline"/>
    </w:pPr>
    <w:rPr>
      <w:rFonts w:ascii="宋体" w:hAnsi="宋体"/>
      <w:sz w:val="18"/>
      <w:szCs w:val="18"/>
    </w:rPr>
  </w:style>
  <w:style w:type="paragraph" w:styleId="14">
    <w:name w:val="Normal (Web)"/>
    <w:basedOn w:val="1"/>
    <w:next w:val="15"/>
    <w:autoRedefine/>
    <w:qFormat/>
    <w:uiPriority w:val="0"/>
    <w:pPr>
      <w:widowControl/>
      <w:jc w:val="left"/>
    </w:pPr>
    <w:rPr>
      <w:rFonts w:ascii="宋体" w:hAnsi="宋体" w:cs="宋体"/>
      <w:kern w:val="0"/>
      <w:sz w:val="24"/>
    </w:rPr>
  </w:style>
  <w:style w:type="paragraph" w:customStyle="1" w:styleId="15">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6">
    <w:name w:val="Body Text First Indent"/>
    <w:basedOn w:val="6"/>
    <w:autoRedefine/>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17">
    <w:name w:val="Body Text First Indent 2"/>
    <w:basedOn w:val="8"/>
    <w:next w:val="16"/>
    <w:autoRedefine/>
    <w:qFormat/>
    <w:uiPriority w:val="0"/>
    <w:pPr>
      <w:ind w:firstLine="420" w:firstLineChars="200"/>
    </w:pPr>
  </w:style>
  <w:style w:type="table" w:styleId="19">
    <w:name w:val="Table Grid"/>
    <w:basedOn w:val="18"/>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autoRedefine/>
    <w:qFormat/>
    <w:uiPriority w:val="99"/>
    <w:rPr>
      <w:color w:val="0000FF"/>
      <w:u w:val="single"/>
    </w:rPr>
  </w:style>
  <w:style w:type="character" w:customStyle="1" w:styleId="22">
    <w:name w:val="页眉 Char"/>
    <w:basedOn w:val="20"/>
    <w:link w:val="12"/>
    <w:autoRedefine/>
    <w:semiHidden/>
    <w:qFormat/>
    <w:locked/>
    <w:uiPriority w:val="99"/>
    <w:rPr>
      <w:sz w:val="18"/>
    </w:rPr>
  </w:style>
  <w:style w:type="character" w:customStyle="1" w:styleId="23">
    <w:name w:val="页脚 Char"/>
    <w:basedOn w:val="20"/>
    <w:link w:val="10"/>
    <w:autoRedefine/>
    <w:semiHidden/>
    <w:qFormat/>
    <w:locked/>
    <w:uiPriority w:val="99"/>
    <w:rPr>
      <w:sz w:val="18"/>
    </w:rPr>
  </w:style>
  <w:style w:type="paragraph" w:customStyle="1" w:styleId="24">
    <w:name w:val="列出段落1"/>
    <w:basedOn w:val="1"/>
    <w:autoRedefine/>
    <w:qFormat/>
    <w:uiPriority w:val="99"/>
    <w:pPr>
      <w:ind w:firstLine="420" w:firstLineChars="200"/>
    </w:pPr>
  </w:style>
  <w:style w:type="paragraph" w:customStyle="1" w:styleId="25">
    <w:name w:val="Table Paragraph"/>
    <w:basedOn w:val="1"/>
    <w:qFormat/>
    <w:uiPriority w:val="0"/>
    <w:rPr>
      <w:rFonts w:ascii="宋体" w:hAnsi="宋体" w:cs="宋体"/>
      <w:lang w:val="ca-ES" w:eastAsia="ca-ES" w:bidi="ca-E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9D91AD-D867-437D-8C37-D0F45E3150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4059</Words>
  <Characters>4701</Characters>
  <Lines>3</Lines>
  <Paragraphs>3</Paragraphs>
  <TotalTime>2</TotalTime>
  <ScaleCrop>false</ScaleCrop>
  <LinksUpToDate>false</LinksUpToDate>
  <CharactersWithSpaces>4923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2019-08-05T03:37:00Z</dcterms:created>
  <dc:creator>user</dc:creator>
  <cp:lastModifiedBy>Administrator</cp:lastModifiedBy>
  <cp:lastPrinted>2023-08-07T05:32:00Z</cp:lastPrinted>
  <dcterms:modified xsi:type="dcterms:W3CDTF">2024-07-12T03:48:10Z</dcterms:modified>
  <dc:title>【县级】2019年疏附县肉羊良繁中心（扩繁场）设备采购项目公开招标采购公告KSSFX(GK)2019-12号</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77E050DBFC2F49F0896BF07BCD3C44D2</vt:lpwstr>
  </property>
</Properties>
</file>