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346E6E6">
      <w:pPr>
        <w:pageBreakBefore w:val="0"/>
        <w:wordWrap/>
        <w:overflowPunct/>
        <w:topLinePunct w:val="0"/>
        <w:bidi w:val="0"/>
        <w:snapToGrid w:val="0"/>
        <w:spacing w:line="560" w:lineRule="exact"/>
        <w:ind w:left="0" w:leftChars="0" w:right="0" w:rightChars="0"/>
        <w:jc w:val="left"/>
        <w:rPr>
          <w:rFonts w:hint="eastAsia" w:ascii="宋体" w:hAnsi="宋体" w:eastAsia="宋体" w:cs="宋体"/>
          <w:color w:val="auto"/>
          <w:sz w:val="24"/>
          <w:szCs w:val="24"/>
          <w:highlight w:val="none"/>
        </w:rPr>
      </w:pPr>
      <w:bookmarkStart w:id="190" w:name="_GoBack"/>
      <w:bookmarkEnd w:id="190"/>
    </w:p>
    <w:p w14:paraId="7C6C5B22">
      <w:pPr>
        <w:keepNext/>
        <w:keepLines/>
        <w:pageBreakBefore w:val="0"/>
        <w:widowControl w:val="0"/>
        <w:numPr>
          <w:ilvl w:val="3"/>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color w:val="auto"/>
          <w:sz w:val="24"/>
          <w:szCs w:val="24"/>
          <w:highlight w:val="none"/>
        </w:rPr>
      </w:pPr>
    </w:p>
    <w:p w14:paraId="61680C08">
      <w:pPr>
        <w:pStyle w:val="43"/>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5B20CCE2">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4B1740F3">
      <w:pPr>
        <w:pStyle w:val="43"/>
        <w:pageBreakBefore w:val="0"/>
        <w:wordWrap/>
        <w:overflowPunct/>
        <w:topLinePunct w:val="0"/>
        <w:bidi w:val="0"/>
        <w:spacing w:line="560" w:lineRule="exact"/>
        <w:ind w:left="0" w:leftChars="0" w:right="0" w:rightChars="0"/>
        <w:rPr>
          <w:rFonts w:hint="eastAsia"/>
          <w:color w:val="auto"/>
          <w:highlight w:val="none"/>
        </w:rPr>
      </w:pPr>
    </w:p>
    <w:p w14:paraId="3F7DDBCC">
      <w:pPr>
        <w:pageBreakBefore w:val="0"/>
        <w:wordWrap/>
        <w:overflowPunct/>
        <w:topLinePunct w:val="0"/>
        <w:bidi w:val="0"/>
        <w:snapToGrid w:val="0"/>
        <w:spacing w:line="240" w:lineRule="auto"/>
        <w:ind w:left="0" w:leftChars="0" w:right="0" w:rightChars="0"/>
        <w:jc w:val="center"/>
        <w:rPr>
          <w:rStyle w:val="47"/>
          <w:rFonts w:hint="eastAsia" w:ascii="宋体" w:hAnsi="宋体" w:eastAsia="宋体" w:cs="宋体"/>
          <w:color w:val="auto"/>
          <w:sz w:val="72"/>
          <w:szCs w:val="72"/>
          <w:highlight w:val="none"/>
        </w:rPr>
      </w:pPr>
      <w:r>
        <w:rPr>
          <w:rFonts w:hint="eastAsia" w:ascii="宋体" w:hAnsi="宋体" w:eastAsia="宋体" w:cs="宋体"/>
          <w:b/>
          <w:color w:val="auto"/>
          <w:sz w:val="72"/>
          <w:szCs w:val="72"/>
          <w:highlight w:val="none"/>
        </w:rPr>
        <w:t>招 标 文 件</w:t>
      </w:r>
    </w:p>
    <w:p w14:paraId="3A2FE59E">
      <w:pPr>
        <w:pStyle w:val="43"/>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7630CB3F">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51A39E4E">
      <w:pPr>
        <w:pStyle w:val="43"/>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4A8ADEA5">
      <w:pPr>
        <w:pageBreakBefore w:val="0"/>
        <w:wordWrap/>
        <w:overflowPunct/>
        <w:topLinePunct w:val="0"/>
        <w:bidi w:val="0"/>
        <w:spacing w:line="560" w:lineRule="exact"/>
        <w:ind w:left="0" w:leftChars="0" w:right="0" w:rightChars="0"/>
        <w:rPr>
          <w:rFonts w:hint="eastAsia"/>
          <w:color w:val="auto"/>
          <w:highlight w:val="none"/>
        </w:rPr>
      </w:pPr>
    </w:p>
    <w:p w14:paraId="09BAF507">
      <w:pPr>
        <w:pageBreakBefore w:val="0"/>
        <w:wordWrap/>
        <w:overflowPunct/>
        <w:topLinePunct w:val="0"/>
        <w:bidi w:val="0"/>
        <w:snapToGrid w:val="0"/>
        <w:spacing w:line="560" w:lineRule="exact"/>
        <w:ind w:left="0" w:leftChars="0" w:right="0" w:rightChars="0" w:firstLine="357"/>
        <w:rPr>
          <w:rStyle w:val="45"/>
          <w:rFonts w:hint="eastAsia" w:ascii="宋体" w:hAnsi="宋体" w:eastAsia="宋体" w:cs="宋体"/>
          <w:bCs/>
          <w:color w:val="auto"/>
          <w:sz w:val="24"/>
          <w:szCs w:val="24"/>
          <w:highlight w:val="none"/>
        </w:rPr>
      </w:pPr>
    </w:p>
    <w:p w14:paraId="423A3B13">
      <w:pPr>
        <w:pageBreakBefore w:val="0"/>
        <w:wordWrap/>
        <w:overflowPunct/>
        <w:topLinePunct w:val="0"/>
        <w:bidi w:val="0"/>
        <w:snapToGrid w:val="0"/>
        <w:spacing w:line="560" w:lineRule="exact"/>
        <w:ind w:left="0" w:leftChars="0" w:right="0" w:rightChars="0" w:firstLine="357"/>
        <w:rPr>
          <w:rStyle w:val="45"/>
          <w:rFonts w:hint="eastAsia" w:ascii="宋体" w:hAnsi="宋体" w:eastAsia="宋体" w:cs="宋体"/>
          <w:bCs/>
          <w:color w:val="auto"/>
          <w:sz w:val="24"/>
          <w:szCs w:val="24"/>
          <w:highlight w:val="none"/>
          <w:lang w:eastAsia="zh-CN"/>
        </w:rPr>
      </w:pPr>
      <w:r>
        <w:rPr>
          <w:rStyle w:val="45"/>
          <w:rFonts w:hint="eastAsia" w:ascii="宋体" w:hAnsi="宋体" w:eastAsia="宋体" w:cs="宋体"/>
          <w:bCs/>
          <w:color w:val="auto"/>
          <w:sz w:val="24"/>
          <w:szCs w:val="24"/>
          <w:highlight w:val="none"/>
          <w:lang w:eastAsia="zh-CN"/>
        </w:rPr>
        <w:t>项目名称：</w:t>
      </w:r>
      <w:r>
        <w:rPr>
          <w:rStyle w:val="45"/>
          <w:rFonts w:hint="eastAsia" w:ascii="宋体" w:hAnsi="宋体" w:cs="宋体"/>
          <w:bCs/>
          <w:color w:val="auto"/>
          <w:sz w:val="24"/>
          <w:szCs w:val="20"/>
          <w:highlight w:val="none"/>
          <w:lang w:eastAsia="zh-CN"/>
        </w:rPr>
        <w:t>乌鲁木齐友爱医院洗涤服务采购项目</w:t>
      </w:r>
    </w:p>
    <w:p w14:paraId="79CC2246">
      <w:pPr>
        <w:pageBreakBefore w:val="0"/>
        <w:wordWrap/>
        <w:overflowPunct/>
        <w:topLinePunct w:val="0"/>
        <w:bidi w:val="0"/>
        <w:snapToGrid w:val="0"/>
        <w:spacing w:line="560" w:lineRule="exact"/>
        <w:ind w:left="0" w:leftChars="0" w:right="0" w:rightChars="0" w:firstLine="357"/>
        <w:rPr>
          <w:rStyle w:val="45"/>
          <w:rFonts w:hint="default" w:ascii="宋体" w:hAnsi="宋体" w:eastAsia="宋体" w:cs="宋体"/>
          <w:bCs/>
          <w:color w:val="auto"/>
          <w:sz w:val="24"/>
          <w:szCs w:val="24"/>
          <w:highlight w:val="none"/>
          <w:lang w:val="en-US" w:eastAsia="zh-CN"/>
        </w:rPr>
      </w:pPr>
      <w:r>
        <w:rPr>
          <w:rStyle w:val="45"/>
          <w:rFonts w:hint="eastAsia" w:ascii="宋体" w:hAnsi="宋体" w:eastAsia="宋体" w:cs="宋体"/>
          <w:bCs/>
          <w:color w:val="auto"/>
          <w:sz w:val="24"/>
          <w:szCs w:val="24"/>
          <w:highlight w:val="none"/>
        </w:rPr>
        <w:t>项目编号：</w:t>
      </w:r>
      <w:r>
        <w:rPr>
          <w:rStyle w:val="45"/>
          <w:rFonts w:hint="eastAsia" w:ascii="宋体" w:hAnsi="宋体" w:cs="宋体"/>
          <w:bCs/>
          <w:color w:val="auto"/>
          <w:sz w:val="24"/>
          <w:szCs w:val="24"/>
          <w:highlight w:val="none"/>
          <w:lang w:eastAsia="zh-CN"/>
        </w:rPr>
        <w:t>[2024]3886号</w:t>
      </w:r>
    </w:p>
    <w:p w14:paraId="1052A08C">
      <w:pPr>
        <w:pageBreakBefore w:val="0"/>
        <w:wordWrap/>
        <w:overflowPunct/>
        <w:topLinePunct w:val="0"/>
        <w:bidi w:val="0"/>
        <w:snapToGrid w:val="0"/>
        <w:spacing w:line="560" w:lineRule="exact"/>
        <w:ind w:left="0" w:leftChars="0" w:right="0" w:rightChars="0" w:firstLine="357"/>
        <w:rPr>
          <w:rStyle w:val="45"/>
          <w:rFonts w:hint="default" w:ascii="宋体" w:hAnsi="宋体" w:eastAsia="宋体" w:cs="宋体"/>
          <w:bCs/>
          <w:color w:val="auto"/>
          <w:sz w:val="24"/>
          <w:szCs w:val="20"/>
          <w:highlight w:val="none"/>
          <w:lang w:eastAsia="zh-CN"/>
        </w:rPr>
      </w:pPr>
      <w:r>
        <w:rPr>
          <w:rStyle w:val="45"/>
          <w:rFonts w:hint="eastAsia" w:ascii="宋体" w:hAnsi="宋体" w:eastAsia="宋体" w:cs="宋体"/>
          <w:bCs/>
          <w:color w:val="auto"/>
          <w:sz w:val="24"/>
          <w:szCs w:val="20"/>
          <w:highlight w:val="none"/>
          <w:lang w:eastAsia="zh-CN"/>
        </w:rPr>
        <w:t>采购人（盖章</w:t>
      </w:r>
      <w:r>
        <w:rPr>
          <w:rStyle w:val="45"/>
          <w:rFonts w:hint="default" w:ascii="宋体" w:hAnsi="宋体" w:eastAsia="宋体" w:cs="宋体"/>
          <w:bCs/>
          <w:color w:val="auto"/>
          <w:sz w:val="24"/>
          <w:szCs w:val="20"/>
          <w:highlight w:val="none"/>
          <w:lang w:eastAsia="zh-CN"/>
        </w:rPr>
        <w:t>）：</w:t>
      </w:r>
      <w:r>
        <w:rPr>
          <w:rStyle w:val="45"/>
          <w:rFonts w:hint="eastAsia" w:ascii="宋体" w:hAnsi="宋体" w:cs="宋体"/>
          <w:bCs/>
          <w:color w:val="auto"/>
          <w:sz w:val="24"/>
          <w:szCs w:val="20"/>
          <w:highlight w:val="none"/>
          <w:lang w:eastAsia="zh-CN"/>
        </w:rPr>
        <w:t>乌鲁木齐友爱医院</w:t>
      </w:r>
    </w:p>
    <w:p w14:paraId="304223B4">
      <w:pPr>
        <w:pageBreakBefore w:val="0"/>
        <w:wordWrap/>
        <w:overflowPunct/>
        <w:topLinePunct w:val="0"/>
        <w:bidi w:val="0"/>
        <w:snapToGrid w:val="0"/>
        <w:spacing w:line="560" w:lineRule="exact"/>
        <w:ind w:left="0" w:leftChars="0" w:right="0" w:rightChars="0" w:firstLine="357"/>
        <w:rPr>
          <w:rStyle w:val="45"/>
          <w:rFonts w:hint="eastAsia" w:ascii="宋体" w:hAnsi="宋体" w:eastAsia="宋体" w:cs="宋体"/>
          <w:bCs/>
          <w:color w:val="auto"/>
          <w:sz w:val="24"/>
          <w:szCs w:val="20"/>
          <w:highlight w:val="none"/>
          <w:lang w:eastAsia="zh-CN"/>
        </w:rPr>
      </w:pPr>
      <w:r>
        <w:rPr>
          <w:rStyle w:val="45"/>
          <w:rFonts w:hint="eastAsia" w:ascii="宋体" w:hAnsi="宋体" w:eastAsia="宋体" w:cs="宋体"/>
          <w:bCs/>
          <w:color w:val="auto"/>
          <w:sz w:val="24"/>
          <w:szCs w:val="20"/>
          <w:highlight w:val="none"/>
          <w:lang w:eastAsia="zh-CN"/>
        </w:rPr>
        <w:t>联系人：</w:t>
      </w:r>
      <w:r>
        <w:rPr>
          <w:rStyle w:val="45"/>
          <w:rFonts w:hint="eastAsia" w:ascii="宋体" w:hAnsi="宋体" w:cs="宋体"/>
          <w:bCs/>
          <w:color w:val="auto"/>
          <w:sz w:val="24"/>
          <w:szCs w:val="20"/>
          <w:highlight w:val="none"/>
          <w:lang w:val="en-US" w:eastAsia="zh-CN"/>
        </w:rPr>
        <w:t>张雅军</w:t>
      </w:r>
    </w:p>
    <w:p w14:paraId="602036AB">
      <w:pPr>
        <w:pageBreakBefore w:val="0"/>
        <w:wordWrap/>
        <w:overflowPunct/>
        <w:topLinePunct w:val="0"/>
        <w:bidi w:val="0"/>
        <w:snapToGrid w:val="0"/>
        <w:spacing w:line="560" w:lineRule="exact"/>
        <w:ind w:left="0" w:leftChars="0" w:right="0" w:rightChars="0" w:firstLine="357"/>
        <w:rPr>
          <w:rStyle w:val="45"/>
          <w:rFonts w:hint="default" w:ascii="宋体" w:hAnsi="宋体" w:eastAsia="宋体" w:cs="宋体"/>
          <w:bCs/>
          <w:color w:val="auto"/>
          <w:sz w:val="24"/>
          <w:szCs w:val="20"/>
          <w:highlight w:val="none"/>
          <w:lang w:val="en-US" w:eastAsia="zh-CN"/>
        </w:rPr>
      </w:pPr>
      <w:r>
        <w:rPr>
          <w:rStyle w:val="45"/>
          <w:rFonts w:hint="eastAsia" w:ascii="宋体" w:hAnsi="宋体" w:eastAsia="宋体" w:cs="宋体"/>
          <w:bCs/>
          <w:color w:val="auto"/>
          <w:sz w:val="24"/>
          <w:szCs w:val="20"/>
          <w:highlight w:val="none"/>
          <w:lang w:eastAsia="zh-CN"/>
        </w:rPr>
        <w:t>电话：</w:t>
      </w:r>
      <w:r>
        <w:rPr>
          <w:rStyle w:val="45"/>
          <w:rFonts w:hint="eastAsia" w:ascii="宋体" w:hAnsi="宋体" w:cs="宋体"/>
          <w:bCs/>
          <w:color w:val="auto"/>
          <w:sz w:val="24"/>
          <w:szCs w:val="20"/>
          <w:highlight w:val="none"/>
          <w:lang w:val="en-US" w:eastAsia="zh-CN"/>
        </w:rPr>
        <w:t>0991-7914164</w:t>
      </w:r>
    </w:p>
    <w:p w14:paraId="45C2CF86">
      <w:pPr>
        <w:pageBreakBefore w:val="0"/>
        <w:wordWrap/>
        <w:overflowPunct/>
        <w:topLinePunct w:val="0"/>
        <w:bidi w:val="0"/>
        <w:snapToGrid w:val="0"/>
        <w:spacing w:line="560" w:lineRule="exact"/>
        <w:ind w:left="0" w:leftChars="0" w:right="0" w:rightChars="0" w:firstLine="357"/>
        <w:rPr>
          <w:rStyle w:val="45"/>
          <w:rFonts w:hint="eastAsia" w:ascii="宋体" w:hAnsi="宋体" w:eastAsia="宋体" w:cs="宋体"/>
          <w:bCs/>
          <w:color w:val="auto"/>
          <w:sz w:val="24"/>
          <w:szCs w:val="20"/>
          <w:highlight w:val="none"/>
          <w:lang w:eastAsia="zh-CN"/>
        </w:rPr>
      </w:pPr>
      <w:r>
        <w:rPr>
          <w:rStyle w:val="45"/>
          <w:rFonts w:hint="eastAsia" w:ascii="宋体" w:hAnsi="宋体" w:eastAsia="宋体" w:cs="宋体"/>
          <w:bCs/>
          <w:color w:val="auto"/>
          <w:sz w:val="24"/>
          <w:szCs w:val="20"/>
          <w:highlight w:val="none"/>
          <w:lang w:eastAsia="zh-CN"/>
        </w:rPr>
        <w:t>详细地址：</w:t>
      </w:r>
      <w:r>
        <w:rPr>
          <w:rStyle w:val="45"/>
          <w:rFonts w:hint="eastAsia" w:ascii="宋体" w:hAnsi="宋体" w:cs="宋体"/>
          <w:bCs/>
          <w:color w:val="auto"/>
          <w:sz w:val="24"/>
          <w:szCs w:val="20"/>
          <w:highlight w:val="none"/>
          <w:lang w:val="en-US" w:eastAsia="zh-CN"/>
        </w:rPr>
        <w:t>乌鲁木齐市会展大道东侧南邻奥体中心</w:t>
      </w:r>
    </w:p>
    <w:p w14:paraId="73FAC15A">
      <w:pPr>
        <w:pageBreakBefore w:val="0"/>
        <w:wordWrap/>
        <w:overflowPunct/>
        <w:topLinePunct w:val="0"/>
        <w:bidi w:val="0"/>
        <w:snapToGrid w:val="0"/>
        <w:spacing w:line="560" w:lineRule="exact"/>
        <w:ind w:left="0" w:leftChars="0" w:right="0" w:rightChars="0" w:firstLine="357"/>
        <w:rPr>
          <w:rStyle w:val="45"/>
          <w:rFonts w:hint="eastAsia" w:ascii="宋体" w:hAnsi="宋体" w:eastAsia="宋体" w:cs="宋体"/>
          <w:bCs/>
          <w:color w:val="auto"/>
          <w:sz w:val="24"/>
          <w:szCs w:val="20"/>
          <w:highlight w:val="none"/>
          <w:lang w:eastAsia="zh-CN"/>
        </w:rPr>
      </w:pPr>
    </w:p>
    <w:p w14:paraId="0994186A">
      <w:pPr>
        <w:pageBreakBefore w:val="0"/>
        <w:wordWrap/>
        <w:overflowPunct/>
        <w:topLinePunct w:val="0"/>
        <w:bidi w:val="0"/>
        <w:snapToGrid w:val="0"/>
        <w:spacing w:line="560" w:lineRule="exact"/>
        <w:ind w:left="0" w:leftChars="0" w:right="0" w:rightChars="0" w:firstLine="357"/>
        <w:rPr>
          <w:rStyle w:val="45"/>
          <w:rFonts w:hint="eastAsia" w:ascii="宋体" w:hAnsi="宋体" w:eastAsia="宋体" w:cs="宋体"/>
          <w:bCs/>
          <w:color w:val="auto"/>
          <w:sz w:val="24"/>
          <w:szCs w:val="24"/>
          <w:highlight w:val="none"/>
        </w:rPr>
      </w:pPr>
      <w:r>
        <w:rPr>
          <w:rStyle w:val="45"/>
          <w:rFonts w:hint="eastAsia" w:ascii="宋体" w:hAnsi="宋体" w:eastAsia="宋体" w:cs="宋体"/>
          <w:bCs/>
          <w:color w:val="auto"/>
          <w:sz w:val="24"/>
          <w:szCs w:val="24"/>
          <w:highlight w:val="none"/>
        </w:rPr>
        <w:t>采购代理机构（盖章）</w:t>
      </w:r>
      <w:r>
        <w:rPr>
          <w:rStyle w:val="45"/>
          <w:rFonts w:hint="eastAsia" w:ascii="宋体" w:hAnsi="宋体" w:cs="宋体"/>
          <w:bCs/>
          <w:color w:val="auto"/>
          <w:sz w:val="24"/>
          <w:szCs w:val="24"/>
          <w:highlight w:val="none"/>
          <w:lang w:eastAsia="zh-CN"/>
        </w:rPr>
        <w:t>：</w:t>
      </w:r>
      <w:r>
        <w:rPr>
          <w:rStyle w:val="45"/>
          <w:rFonts w:hint="eastAsia" w:ascii="宋体" w:hAnsi="宋体" w:eastAsia="宋体" w:cs="宋体"/>
          <w:bCs/>
          <w:color w:val="auto"/>
          <w:sz w:val="24"/>
          <w:szCs w:val="24"/>
          <w:highlight w:val="none"/>
        </w:rPr>
        <w:t>新疆拓源工程管理咨询有限公司</w:t>
      </w:r>
    </w:p>
    <w:p w14:paraId="6C07E0DD">
      <w:pPr>
        <w:pageBreakBefore w:val="0"/>
        <w:wordWrap/>
        <w:overflowPunct/>
        <w:topLinePunct w:val="0"/>
        <w:bidi w:val="0"/>
        <w:snapToGrid w:val="0"/>
        <w:spacing w:line="560" w:lineRule="exact"/>
        <w:ind w:left="0" w:leftChars="0" w:right="0" w:rightChars="0" w:firstLine="357"/>
        <w:rPr>
          <w:rFonts w:hint="eastAsia" w:ascii="宋体" w:hAnsi="宋体" w:eastAsia="宋体" w:cs="宋体"/>
          <w:bCs/>
          <w:color w:val="auto"/>
          <w:sz w:val="24"/>
          <w:szCs w:val="24"/>
          <w:highlight w:val="none"/>
        </w:rPr>
      </w:pPr>
      <w:r>
        <w:rPr>
          <w:rStyle w:val="45"/>
          <w:rFonts w:hint="eastAsia" w:ascii="宋体" w:hAnsi="宋体" w:eastAsia="宋体" w:cs="宋体"/>
          <w:bCs/>
          <w:color w:val="auto"/>
          <w:spacing w:val="35"/>
          <w:kern w:val="0"/>
          <w:sz w:val="24"/>
          <w:szCs w:val="24"/>
          <w:highlight w:val="none"/>
        </w:rPr>
        <w:t>法定代表</w:t>
      </w:r>
      <w:r>
        <w:rPr>
          <w:rStyle w:val="45"/>
          <w:rFonts w:hint="eastAsia" w:ascii="宋体" w:hAnsi="宋体" w:eastAsia="宋体" w:cs="宋体"/>
          <w:bCs/>
          <w:color w:val="auto"/>
          <w:spacing w:val="3"/>
          <w:kern w:val="0"/>
          <w:sz w:val="24"/>
          <w:szCs w:val="24"/>
          <w:highlight w:val="none"/>
        </w:rPr>
        <w:t>人</w:t>
      </w:r>
      <w:r>
        <w:rPr>
          <w:rStyle w:val="45"/>
          <w:rFonts w:hint="eastAsia" w:ascii="宋体" w:hAnsi="宋体" w:cs="宋体"/>
          <w:bCs/>
          <w:color w:val="auto"/>
          <w:spacing w:val="3"/>
          <w:kern w:val="0"/>
          <w:sz w:val="24"/>
          <w:szCs w:val="24"/>
          <w:highlight w:val="none"/>
          <w:lang w:eastAsia="zh-CN"/>
        </w:rPr>
        <w:t>：</w:t>
      </w:r>
      <w:r>
        <w:rPr>
          <w:rStyle w:val="45"/>
          <w:rFonts w:hint="eastAsia" w:ascii="宋体" w:hAnsi="宋体" w:eastAsia="宋体" w:cs="宋体"/>
          <w:bCs/>
          <w:color w:val="auto"/>
          <w:sz w:val="24"/>
          <w:szCs w:val="24"/>
          <w:highlight w:val="none"/>
        </w:rPr>
        <w:t>石崇华</w:t>
      </w:r>
    </w:p>
    <w:p w14:paraId="58AA7CEB">
      <w:pPr>
        <w:pageBreakBefore w:val="0"/>
        <w:wordWrap/>
        <w:overflowPunct/>
        <w:topLinePunct w:val="0"/>
        <w:bidi w:val="0"/>
        <w:snapToGrid w:val="0"/>
        <w:spacing w:line="560" w:lineRule="exact"/>
        <w:ind w:left="0" w:leftChars="0" w:right="0" w:rightChars="0" w:firstLine="357"/>
        <w:rPr>
          <w:rStyle w:val="45"/>
          <w:rFonts w:hint="eastAsia" w:ascii="宋体" w:hAnsi="宋体" w:eastAsia="宋体" w:cs="宋体"/>
          <w:bCs/>
          <w:color w:val="auto"/>
          <w:sz w:val="24"/>
          <w:szCs w:val="24"/>
          <w:highlight w:val="none"/>
          <w:lang w:eastAsia="zh-CN"/>
        </w:rPr>
      </w:pPr>
      <w:r>
        <w:rPr>
          <w:rStyle w:val="45"/>
          <w:rFonts w:hint="eastAsia" w:ascii="宋体" w:hAnsi="宋体" w:eastAsia="宋体" w:cs="宋体"/>
          <w:bCs/>
          <w:color w:val="auto"/>
          <w:spacing w:val="35"/>
          <w:kern w:val="0"/>
          <w:sz w:val="24"/>
          <w:szCs w:val="24"/>
          <w:highlight w:val="none"/>
        </w:rPr>
        <w:t>项 目 联系人</w:t>
      </w:r>
      <w:r>
        <w:rPr>
          <w:rStyle w:val="45"/>
          <w:rFonts w:hint="eastAsia" w:ascii="宋体" w:hAnsi="宋体" w:eastAsia="宋体" w:cs="宋体"/>
          <w:bCs/>
          <w:color w:val="auto"/>
          <w:sz w:val="24"/>
          <w:szCs w:val="24"/>
          <w:highlight w:val="none"/>
        </w:rPr>
        <w:t>：</w:t>
      </w:r>
      <w:r>
        <w:rPr>
          <w:rStyle w:val="45"/>
          <w:rFonts w:hint="eastAsia" w:ascii="宋体" w:hAnsi="宋体" w:cs="宋体"/>
          <w:bCs/>
          <w:color w:val="auto"/>
          <w:sz w:val="24"/>
          <w:szCs w:val="24"/>
          <w:highlight w:val="none"/>
          <w:lang w:val="en-US" w:eastAsia="zh-CN"/>
        </w:rPr>
        <w:t>张曼</w:t>
      </w:r>
    </w:p>
    <w:p w14:paraId="3E7C0576">
      <w:pPr>
        <w:pageBreakBefore w:val="0"/>
        <w:wordWrap/>
        <w:overflowPunct/>
        <w:topLinePunct w:val="0"/>
        <w:bidi w:val="0"/>
        <w:snapToGrid w:val="0"/>
        <w:spacing w:line="560" w:lineRule="exact"/>
        <w:ind w:left="0" w:leftChars="0" w:right="0" w:rightChars="0" w:firstLine="357"/>
        <w:rPr>
          <w:rStyle w:val="45"/>
          <w:rFonts w:hint="eastAsia" w:ascii="宋体" w:hAnsi="宋体" w:eastAsia="宋体" w:cs="宋体"/>
          <w:bCs/>
          <w:color w:val="auto"/>
          <w:sz w:val="24"/>
          <w:szCs w:val="24"/>
          <w:highlight w:val="none"/>
          <w:lang w:val="en-US" w:eastAsia="zh-CN"/>
        </w:rPr>
      </w:pPr>
      <w:r>
        <w:rPr>
          <w:rStyle w:val="45"/>
          <w:rFonts w:hint="eastAsia" w:ascii="宋体" w:hAnsi="宋体" w:eastAsia="宋体" w:cs="宋体"/>
          <w:bCs/>
          <w:color w:val="auto"/>
          <w:spacing w:val="560"/>
          <w:kern w:val="0"/>
          <w:sz w:val="24"/>
          <w:szCs w:val="24"/>
          <w:highlight w:val="none"/>
        </w:rPr>
        <w:t>电</w:t>
      </w:r>
      <w:r>
        <w:rPr>
          <w:rStyle w:val="45"/>
          <w:rFonts w:hint="eastAsia" w:ascii="宋体" w:hAnsi="宋体" w:eastAsia="宋体" w:cs="宋体"/>
          <w:bCs/>
          <w:color w:val="auto"/>
          <w:kern w:val="0"/>
          <w:sz w:val="24"/>
          <w:szCs w:val="24"/>
          <w:highlight w:val="none"/>
        </w:rPr>
        <w:t>话</w:t>
      </w:r>
      <w:r>
        <w:rPr>
          <w:rStyle w:val="45"/>
          <w:rFonts w:hint="eastAsia" w:ascii="宋体" w:hAnsi="宋体" w:eastAsia="宋体" w:cs="宋体"/>
          <w:bCs/>
          <w:color w:val="auto"/>
          <w:sz w:val="24"/>
          <w:szCs w:val="24"/>
          <w:highlight w:val="none"/>
        </w:rPr>
        <w:t>：</w:t>
      </w:r>
      <w:r>
        <w:rPr>
          <w:rStyle w:val="45"/>
          <w:rFonts w:hint="eastAsia" w:ascii="宋体" w:hAnsi="宋体" w:cs="宋体"/>
          <w:bCs/>
          <w:color w:val="auto"/>
          <w:sz w:val="24"/>
          <w:szCs w:val="24"/>
          <w:highlight w:val="none"/>
          <w:lang w:val="en-US" w:eastAsia="zh-CN"/>
        </w:rPr>
        <w:t>18167989320</w:t>
      </w:r>
    </w:p>
    <w:p w14:paraId="543F22A6">
      <w:pPr>
        <w:pageBreakBefore w:val="0"/>
        <w:wordWrap/>
        <w:overflowPunct/>
        <w:topLinePunct w:val="0"/>
        <w:bidi w:val="0"/>
        <w:snapToGrid w:val="0"/>
        <w:spacing w:line="560" w:lineRule="exact"/>
        <w:ind w:left="0" w:leftChars="0" w:right="0" w:rightChars="0" w:firstLine="357"/>
        <w:rPr>
          <w:rStyle w:val="45"/>
          <w:rFonts w:hint="eastAsia" w:ascii="宋体" w:hAnsi="宋体" w:eastAsia="宋体" w:cs="宋体"/>
          <w:bCs/>
          <w:color w:val="auto"/>
          <w:sz w:val="24"/>
          <w:szCs w:val="24"/>
          <w:highlight w:val="none"/>
        </w:rPr>
      </w:pPr>
      <w:r>
        <w:rPr>
          <w:rStyle w:val="45"/>
          <w:rFonts w:hint="eastAsia" w:ascii="宋体" w:hAnsi="宋体" w:eastAsia="宋体" w:cs="宋体"/>
          <w:bCs/>
          <w:color w:val="auto"/>
          <w:spacing w:val="93"/>
          <w:kern w:val="0"/>
          <w:sz w:val="24"/>
          <w:szCs w:val="24"/>
          <w:highlight w:val="none"/>
        </w:rPr>
        <w:t>详细地</w:t>
      </w:r>
      <w:r>
        <w:rPr>
          <w:rStyle w:val="45"/>
          <w:rFonts w:hint="eastAsia" w:ascii="宋体" w:hAnsi="宋体" w:eastAsia="宋体" w:cs="宋体"/>
          <w:bCs/>
          <w:color w:val="auto"/>
          <w:spacing w:val="1"/>
          <w:kern w:val="0"/>
          <w:sz w:val="24"/>
          <w:szCs w:val="24"/>
          <w:highlight w:val="none"/>
        </w:rPr>
        <w:t>址：</w:t>
      </w:r>
      <w:r>
        <w:rPr>
          <w:rStyle w:val="45"/>
          <w:rFonts w:hint="eastAsia" w:ascii="宋体" w:hAnsi="宋体" w:eastAsia="宋体" w:cs="宋体"/>
          <w:bCs/>
          <w:color w:val="auto"/>
          <w:sz w:val="24"/>
          <w:szCs w:val="24"/>
          <w:highlight w:val="none"/>
        </w:rPr>
        <w:t>乌鲁木齐市水磨沟区龙盛街898号万科中央公园S6栋5层</w:t>
      </w:r>
    </w:p>
    <w:p w14:paraId="59D1A9CA">
      <w:pPr>
        <w:pageBreakBefore w:val="0"/>
        <w:wordWrap/>
        <w:overflowPunct/>
        <w:topLinePunct w:val="0"/>
        <w:bidi w:val="0"/>
        <w:spacing w:line="560" w:lineRule="exact"/>
        <w:ind w:left="0" w:leftChars="0" w:right="0" w:rightChars="0"/>
        <w:rPr>
          <w:rFonts w:hint="eastAsia" w:ascii="宋体" w:hAnsi="宋体" w:eastAsia="宋体" w:cs="宋体"/>
          <w:b/>
          <w:color w:val="auto"/>
          <w:sz w:val="24"/>
          <w:szCs w:val="24"/>
          <w:highlight w:val="none"/>
        </w:rPr>
      </w:pPr>
      <w:bookmarkStart w:id="0" w:name="_Toc31371"/>
      <w:r>
        <w:rPr>
          <w:rFonts w:hint="eastAsia" w:ascii="宋体" w:hAnsi="宋体" w:eastAsia="宋体" w:cs="宋体"/>
          <w:b/>
          <w:color w:val="auto"/>
          <w:sz w:val="24"/>
          <w:szCs w:val="24"/>
          <w:highlight w:val="none"/>
        </w:rPr>
        <w:br w:type="page"/>
      </w:r>
    </w:p>
    <w:p w14:paraId="77A98E43">
      <w:pPr>
        <w:pageBreakBefore w:val="0"/>
        <w:wordWrap/>
        <w:overflowPunct/>
        <w:topLinePunct w:val="0"/>
        <w:bidi w:val="0"/>
        <w:spacing w:line="560" w:lineRule="exact"/>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目    录</w:t>
      </w:r>
      <w:bookmarkEnd w:id="0"/>
    </w:p>
    <w:p w14:paraId="7500241E">
      <w:pPr>
        <w:pStyle w:val="20"/>
        <w:pageBreakBefore w:val="0"/>
        <w:tabs>
          <w:tab w:val="right" w:leader="dot" w:pos="8959"/>
        </w:tabs>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3592EFF6">
      <w:pPr>
        <w:pStyle w:val="20"/>
        <w:tabs>
          <w:tab w:val="right" w:leader="dot" w:pos="8307"/>
        </w:tabs>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_Toc1264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7773F0FF">
      <w:pPr>
        <w:pStyle w:val="20"/>
        <w:tabs>
          <w:tab w:val="right" w:leader="dot" w:pos="8307"/>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_Toc27314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第二章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_Toc27314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7D5EF337">
      <w:pPr>
        <w:pStyle w:val="20"/>
        <w:tabs>
          <w:tab w:val="right" w:leader="dot" w:pos="8307"/>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_Toc7178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第三章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_Toc7178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08F52B41">
      <w:pPr>
        <w:pStyle w:val="20"/>
        <w:tabs>
          <w:tab w:val="right" w:leader="dot" w:pos="8307"/>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_Toc11726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kern w:val="2"/>
          <w:szCs w:val="24"/>
          <w:highlight w:val="none"/>
          <w:lang w:eastAsia="zh-CN"/>
        </w:rPr>
        <w:t>第四章  项目采购需求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_Toc11726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0606D6C5">
      <w:pPr>
        <w:pStyle w:val="20"/>
        <w:tabs>
          <w:tab w:val="right" w:leader="dot" w:pos="8307"/>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_Toc3313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szCs w:val="24"/>
          <w:highlight w:val="none"/>
          <w:lang w:eastAsia="zh-CN"/>
        </w:rPr>
        <w:t>第五章  评标办法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_Toc3313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38619CAC">
      <w:pPr>
        <w:pStyle w:val="20"/>
        <w:tabs>
          <w:tab w:val="right" w:leader="dot" w:pos="8307"/>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_Toc5378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第六章  拟签订的合同文本</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_Toc5378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65</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163B7A4D">
      <w:pPr>
        <w:pStyle w:val="20"/>
        <w:tabs>
          <w:tab w:val="right" w:leader="dot" w:pos="8307"/>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_Toc30479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eastAsia="en-US"/>
        </w:rPr>
        <w:t>附件</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eastAsia="en-US"/>
        </w:rPr>
        <w:t>政府采购促进中小企业发展管理办法</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_Toc30479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72</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08E862FF">
      <w:pPr>
        <w:pStyle w:val="20"/>
        <w:tabs>
          <w:tab w:val="right" w:leader="dot" w:pos="8307"/>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_Toc25114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eastAsia="en-US"/>
        </w:rPr>
        <w:t>附件</w:t>
      </w:r>
      <w:r>
        <w:rPr>
          <w:rFonts w:hint="eastAsia" w:ascii="宋体" w:hAnsi="宋体" w:eastAsia="宋体" w:cs="宋体"/>
          <w:color w:val="auto"/>
          <w:szCs w:val="24"/>
          <w:highlight w:val="none"/>
          <w:lang w:val="en-US" w:eastAsia="zh-CN"/>
        </w:rPr>
        <w:t>2：关于进一步加大政府采购支持中小企业力度的通知</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_Toc25114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80</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1E668A45">
      <w:pPr>
        <w:pStyle w:val="20"/>
        <w:tabs>
          <w:tab w:val="right" w:leader="dot" w:pos="8307"/>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_Toc11667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附件3：关于印发中小企业划型标准规定的通知</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_Toc11667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83</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16252A18">
      <w:pPr>
        <w:pStyle w:val="10"/>
        <w:pageBreakBefore w:val="0"/>
        <w:wordWrap/>
        <w:overflowPunct/>
        <w:topLinePunct w:val="0"/>
        <w:bidi w:val="0"/>
        <w:spacing w:after="0" w:line="560" w:lineRule="exact"/>
        <w:ind w:left="0" w:leftChars="0" w:right="0" w:rightChars="0"/>
        <w:rPr>
          <w:rFonts w:hint="eastAsia" w:ascii="宋体" w:hAnsi="宋体" w:eastAsia="宋体" w:cs="宋体"/>
          <w:bCs/>
          <w:color w:val="auto"/>
          <w:sz w:val="24"/>
          <w:szCs w:val="24"/>
          <w:highlight w:val="none"/>
        </w:rPr>
      </w:pPr>
      <w:r>
        <w:rPr>
          <w:rFonts w:hint="eastAsia" w:ascii="宋体" w:hAnsi="宋体" w:eastAsia="宋体" w:cs="宋体"/>
          <w:color w:val="auto"/>
          <w:szCs w:val="24"/>
          <w:highlight w:val="none"/>
        </w:rPr>
        <w:fldChar w:fldCharType="end"/>
      </w:r>
    </w:p>
    <w:p w14:paraId="1EAB609A">
      <w:pPr>
        <w:pStyle w:val="2"/>
        <w:pageBreakBefore w:val="0"/>
        <w:wordWrap/>
        <w:overflowPunct/>
        <w:topLinePunct w:val="0"/>
        <w:bidi w:val="0"/>
        <w:spacing w:before="0" w:after="0" w:line="560" w:lineRule="exact"/>
        <w:ind w:left="0" w:leftChars="0" w:right="0" w:rightChars="0"/>
        <w:rPr>
          <w:rFonts w:hint="eastAsia" w:ascii="宋体" w:hAnsi="宋体" w:eastAsia="宋体" w:cs="宋体"/>
          <w:bCs w:val="0"/>
          <w:color w:val="auto"/>
          <w:sz w:val="24"/>
          <w:szCs w:val="24"/>
          <w:highlight w:val="none"/>
        </w:rPr>
        <w:sectPr>
          <w:headerReference r:id="rId3" w:type="default"/>
          <w:pgSz w:w="11907" w:h="16840"/>
          <w:pgMar w:top="1440" w:right="1800" w:bottom="1440" w:left="1800" w:header="851" w:footer="992" w:gutter="0"/>
          <w:pgNumType w:fmt="decimal" w:start="1"/>
          <w:cols w:space="720" w:num="1"/>
          <w:docGrid w:linePitch="312" w:charSpace="0"/>
        </w:sectPr>
      </w:pPr>
    </w:p>
    <w:p w14:paraId="10E9E27A">
      <w:pPr>
        <w:pStyle w:val="2"/>
        <w:pageBreakBefore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宋体" w:hAnsi="宋体" w:eastAsia="宋体" w:cs="宋体"/>
          <w:b/>
          <w:bCs/>
          <w:color w:val="auto"/>
          <w:sz w:val="24"/>
          <w:szCs w:val="24"/>
          <w:highlight w:val="none"/>
        </w:rPr>
      </w:pPr>
      <w:bookmarkStart w:id="1" w:name="_Toc647_WPSOffice_Level1"/>
      <w:bookmarkStart w:id="2" w:name="_Toc1264"/>
      <w:r>
        <w:rPr>
          <w:rFonts w:hint="eastAsia" w:ascii="宋体" w:hAnsi="宋体" w:eastAsia="宋体" w:cs="宋体"/>
          <w:b/>
          <w:bCs/>
          <w:color w:val="auto"/>
          <w:sz w:val="24"/>
          <w:szCs w:val="24"/>
          <w:highlight w:val="none"/>
        </w:rPr>
        <w:t xml:space="preserve">第一章  </w:t>
      </w:r>
      <w:bookmarkEnd w:id="1"/>
      <w:r>
        <w:rPr>
          <w:rFonts w:hint="eastAsia" w:ascii="宋体" w:hAnsi="宋体" w:eastAsia="宋体" w:cs="宋体"/>
          <w:b/>
          <w:bCs/>
          <w:color w:val="auto"/>
          <w:sz w:val="24"/>
          <w:szCs w:val="24"/>
          <w:highlight w:val="none"/>
        </w:rPr>
        <w:t>招标公告</w:t>
      </w:r>
      <w:bookmarkEnd w:id="2"/>
    </w:p>
    <w:p w14:paraId="43107106">
      <w:pPr>
        <w:pageBreakBefore w:val="0"/>
        <w:kinsoku/>
        <w:wordWrap/>
        <w:overflowPunct/>
        <w:topLinePunct w:val="0"/>
        <w:bidi w:val="0"/>
        <w:spacing w:line="560" w:lineRule="exact"/>
        <w:ind w:left="0" w:leftChars="0" w:right="0" w:rightChars="0"/>
        <w:textAlignment w:val="auto"/>
        <w:rPr>
          <w:rFonts w:hint="eastAsia"/>
          <w:color w:val="auto"/>
          <w:highlight w:val="none"/>
        </w:rPr>
      </w:pPr>
    </w:p>
    <w:p w14:paraId="0E8B21F2">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bookmarkStart w:id="3" w:name="_Toc856_WPSOffice_Level1"/>
      <w:bookmarkStart w:id="4" w:name="_Toc213396945"/>
      <w:bookmarkStart w:id="5" w:name="_Toc213397009"/>
      <w:bookmarkStart w:id="6" w:name="_Toc213396759"/>
      <w:bookmarkStart w:id="7" w:name="_Toc213496267"/>
      <w:bookmarkStart w:id="8" w:name="_Toc217446031"/>
      <w:r>
        <w:rPr>
          <w:rFonts w:hint="eastAsia" w:ascii="宋体" w:hAnsi="宋体" w:eastAsia="宋体" w:cs="宋体"/>
          <w:color w:val="auto"/>
          <w:sz w:val="24"/>
          <w:szCs w:val="24"/>
          <w:highlight w:val="none"/>
        </w:rPr>
        <w:t>项目概况</w:t>
      </w:r>
    </w:p>
    <w:p w14:paraId="6B6B38A5">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乌鲁木齐友爱医院洗涤服务采购项目</w:t>
      </w:r>
      <w:r>
        <w:rPr>
          <w:rFonts w:hint="eastAsia" w:ascii="宋体" w:hAnsi="宋体" w:eastAsia="宋体" w:cs="宋体"/>
          <w:color w:val="auto"/>
          <w:sz w:val="24"/>
          <w:szCs w:val="24"/>
          <w:highlight w:val="none"/>
        </w:rPr>
        <w:t>招标项目的潜在投标人应在</w:t>
      </w:r>
      <w:r>
        <w:rPr>
          <w:rFonts w:hint="eastAsia" w:ascii="宋体" w:hAnsi="宋体" w:eastAsia="宋体" w:cs="宋体"/>
          <w:bCs/>
          <w:color w:val="auto"/>
          <w:sz w:val="24"/>
          <w:szCs w:val="24"/>
          <w:highlight w:val="none"/>
          <w:u w:val="single"/>
        </w:rPr>
        <w:t>新疆政府采购云平台https://www.zcygov.cn/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01</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20</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16</w:t>
      </w:r>
      <w:r>
        <w:rPr>
          <w:rFonts w:hint="eastAsia" w:ascii="宋体" w:hAnsi="宋体" w:eastAsia="宋体" w:cs="宋体"/>
          <w:bCs/>
          <w:color w:val="auto"/>
          <w:sz w:val="24"/>
          <w:szCs w:val="24"/>
          <w:highlight w:val="none"/>
          <w:u w:val="single"/>
        </w:rPr>
        <w:t>点00分（</w:t>
      </w:r>
      <w:r>
        <w:rPr>
          <w:rFonts w:hint="eastAsia" w:ascii="宋体" w:hAnsi="宋体" w:eastAsia="宋体" w:cs="宋体"/>
          <w:bCs/>
          <w:color w:val="auto"/>
          <w:sz w:val="24"/>
          <w:szCs w:val="24"/>
          <w:highlight w:val="none"/>
        </w:rPr>
        <w:t>北京时间）前上传投标文件</w:t>
      </w:r>
      <w:r>
        <w:rPr>
          <w:rFonts w:hint="eastAsia" w:ascii="宋体" w:hAnsi="宋体" w:eastAsia="宋体" w:cs="宋体"/>
          <w:color w:val="auto"/>
          <w:sz w:val="24"/>
          <w:szCs w:val="24"/>
          <w:highlight w:val="none"/>
        </w:rPr>
        <w:t>。</w:t>
      </w:r>
    </w:p>
    <w:p w14:paraId="490C648C">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bookmarkStart w:id="9" w:name="_Toc28359079"/>
      <w:bookmarkStart w:id="10" w:name="_Toc35393621"/>
      <w:bookmarkStart w:id="11" w:name="_Toc28359002"/>
      <w:bookmarkStart w:id="12" w:name="_Toc35393790"/>
      <w:bookmarkStart w:id="13" w:name="_Hlk24379207"/>
      <w:r>
        <w:rPr>
          <w:rFonts w:hint="eastAsia" w:ascii="宋体" w:hAnsi="宋体" w:eastAsia="宋体" w:cs="宋体"/>
          <w:b/>
          <w:bCs/>
          <w:color w:val="auto"/>
          <w:sz w:val="24"/>
          <w:szCs w:val="24"/>
          <w:highlight w:val="none"/>
        </w:rPr>
        <w:t>一、项目基本情况</w:t>
      </w:r>
      <w:bookmarkEnd w:id="9"/>
      <w:bookmarkEnd w:id="10"/>
      <w:bookmarkEnd w:id="11"/>
      <w:bookmarkEnd w:id="12"/>
    </w:p>
    <w:p w14:paraId="724ECD0C">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[2024]3886号</w:t>
      </w:r>
    </w:p>
    <w:p w14:paraId="175ACB37">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bookmarkEnd w:id="13"/>
      <w:r>
        <w:rPr>
          <w:rFonts w:hint="eastAsia" w:ascii="宋体" w:hAnsi="宋体" w:cs="宋体"/>
          <w:color w:val="auto"/>
          <w:sz w:val="24"/>
          <w:szCs w:val="24"/>
          <w:highlight w:val="none"/>
          <w:lang w:eastAsia="zh-CN"/>
        </w:rPr>
        <w:t>乌鲁木齐友爱医院洗涤服务采购项目</w:t>
      </w:r>
    </w:p>
    <w:p w14:paraId="15059C17">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w:t>
      </w:r>
      <w:r>
        <w:rPr>
          <w:rFonts w:hint="eastAsia" w:ascii="宋体" w:hAnsi="宋体" w:cs="宋体"/>
          <w:color w:val="auto"/>
          <w:sz w:val="24"/>
          <w:szCs w:val="24"/>
          <w:highlight w:val="none"/>
          <w:lang w:val="en-US" w:eastAsia="zh-CN"/>
        </w:rPr>
        <w:t>80万元</w:t>
      </w:r>
    </w:p>
    <w:p w14:paraId="71BCD623">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最高限价：</w:t>
      </w:r>
      <w:r>
        <w:rPr>
          <w:rFonts w:hint="eastAsia" w:ascii="宋体" w:hAnsi="宋体" w:cs="宋体"/>
          <w:color w:val="auto"/>
          <w:sz w:val="24"/>
          <w:szCs w:val="24"/>
          <w:highlight w:val="none"/>
          <w:lang w:val="en-US" w:eastAsia="zh-CN"/>
        </w:rPr>
        <w:t>80万元</w:t>
      </w:r>
    </w:p>
    <w:p w14:paraId="3AA34930">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采购需求：</w:t>
      </w:r>
      <w:r>
        <w:rPr>
          <w:rFonts w:hint="eastAsia" w:ascii="宋体" w:hAnsi="宋体" w:cs="宋体"/>
          <w:color w:val="auto"/>
          <w:sz w:val="24"/>
          <w:szCs w:val="24"/>
          <w:highlight w:val="none"/>
          <w:lang w:eastAsia="zh-CN"/>
        </w:rPr>
        <w:t>乌鲁木齐友爱医院洗涤服务采购项目（</w:t>
      </w:r>
      <w:r>
        <w:rPr>
          <w:rFonts w:hint="eastAsia" w:ascii="宋体" w:hAnsi="宋体" w:cs="宋体"/>
          <w:color w:val="auto"/>
          <w:sz w:val="24"/>
          <w:szCs w:val="24"/>
          <w:highlight w:val="none"/>
          <w:lang w:val="en-US" w:eastAsia="zh-CN"/>
        </w:rPr>
        <w:t>具体采购需求详见招标文件</w:t>
      </w:r>
      <w:r>
        <w:rPr>
          <w:rFonts w:hint="eastAsia" w:ascii="宋体" w:hAnsi="宋体" w:cs="宋体"/>
          <w:color w:val="auto"/>
          <w:sz w:val="24"/>
          <w:szCs w:val="24"/>
          <w:highlight w:val="none"/>
          <w:lang w:eastAsia="zh-CN"/>
        </w:rPr>
        <w:t>）</w:t>
      </w:r>
    </w:p>
    <w:p w14:paraId="7A24F836">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合同履约期限：</w:t>
      </w:r>
      <w:r>
        <w:rPr>
          <w:rFonts w:hint="eastAsia" w:ascii="宋体" w:hAnsi="宋体" w:cs="宋体"/>
          <w:color w:val="auto"/>
          <w:sz w:val="24"/>
          <w:szCs w:val="24"/>
          <w:highlight w:val="none"/>
          <w:lang w:val="en-US" w:eastAsia="zh-CN"/>
        </w:rPr>
        <w:t>1年</w:t>
      </w:r>
    </w:p>
    <w:p w14:paraId="2BE86B06">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否</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接受</w:t>
      </w:r>
      <w:r>
        <w:rPr>
          <w:rFonts w:hint="eastAsia" w:ascii="宋体" w:hAnsi="宋体" w:eastAsia="宋体" w:cs="宋体"/>
          <w:color w:val="auto"/>
          <w:sz w:val="24"/>
          <w:szCs w:val="24"/>
          <w:highlight w:val="none"/>
          <w:u w:val="none"/>
        </w:rPr>
        <w:t>联</w:t>
      </w:r>
      <w:r>
        <w:rPr>
          <w:rFonts w:hint="eastAsia" w:ascii="宋体" w:hAnsi="宋体" w:eastAsia="宋体" w:cs="宋体"/>
          <w:color w:val="auto"/>
          <w:sz w:val="24"/>
          <w:szCs w:val="24"/>
          <w:highlight w:val="none"/>
        </w:rPr>
        <w:t>合体投标。</w:t>
      </w:r>
    </w:p>
    <w:p w14:paraId="4074590F">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bookmarkStart w:id="14" w:name="_Toc28359080"/>
      <w:bookmarkStart w:id="15" w:name="_Toc35393622"/>
      <w:bookmarkStart w:id="16" w:name="_Toc35393791"/>
      <w:bookmarkStart w:id="17" w:name="_Toc28359003"/>
      <w:r>
        <w:rPr>
          <w:rFonts w:hint="eastAsia" w:ascii="宋体" w:hAnsi="宋体" w:eastAsia="宋体" w:cs="宋体"/>
          <w:b/>
          <w:bCs/>
          <w:color w:val="auto"/>
          <w:sz w:val="24"/>
          <w:szCs w:val="24"/>
          <w:highlight w:val="none"/>
        </w:rPr>
        <w:t>二、申请人的资格要求：</w:t>
      </w:r>
      <w:bookmarkEnd w:id="14"/>
      <w:bookmarkEnd w:id="15"/>
      <w:bookmarkEnd w:id="16"/>
      <w:bookmarkEnd w:id="17"/>
    </w:p>
    <w:p w14:paraId="013E54EB">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687ECCA4">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default" w:ascii="宋体" w:hAnsi="宋体" w:eastAsia="宋体" w:cs="宋体"/>
          <w:b w:val="0"/>
          <w:bCs w:val="0"/>
          <w:color w:val="auto"/>
          <w:sz w:val="24"/>
          <w:szCs w:val="24"/>
          <w:highlight w:val="none"/>
          <w:lang w:val="en-US" w:eastAsia="zh-CN"/>
        </w:rPr>
      </w:pPr>
      <w:bookmarkStart w:id="18" w:name="_Toc28359004"/>
      <w:bookmarkStart w:id="19" w:name="_Toc28359081"/>
      <w:r>
        <w:rPr>
          <w:rFonts w:hint="eastAsia" w:ascii="宋体" w:hAnsi="宋体" w:eastAsia="宋体" w:cs="宋体"/>
          <w:color w:val="auto"/>
          <w:sz w:val="24"/>
          <w:szCs w:val="24"/>
          <w:highlight w:val="none"/>
        </w:rPr>
        <w:t>2.落实政府采购政策需满足的资格要求：</w:t>
      </w:r>
      <w:r>
        <w:rPr>
          <w:rFonts w:hint="eastAsia" w:ascii="宋体" w:hAnsi="宋体" w:cs="宋体"/>
          <w:color w:val="auto"/>
          <w:sz w:val="24"/>
          <w:szCs w:val="24"/>
          <w:highlight w:val="none"/>
          <w:lang w:val="en-US" w:eastAsia="zh-CN"/>
        </w:rPr>
        <w:t>专门面向</w:t>
      </w:r>
      <w:r>
        <w:rPr>
          <w:rFonts w:hint="default" w:ascii="宋体" w:hAnsi="宋体" w:cs="宋体"/>
          <w:color w:val="auto"/>
          <w:sz w:val="24"/>
          <w:szCs w:val="24"/>
          <w:highlight w:val="none"/>
          <w:lang w:val="en-US" w:eastAsia="zh-CN"/>
        </w:rPr>
        <w:t>小微</w:t>
      </w:r>
      <w:r>
        <w:rPr>
          <w:rFonts w:hint="eastAsia" w:ascii="宋体" w:hAnsi="宋体" w:cs="宋体"/>
          <w:color w:val="auto"/>
          <w:sz w:val="24"/>
          <w:szCs w:val="24"/>
          <w:highlight w:val="none"/>
          <w:lang w:val="en-US" w:eastAsia="zh-CN"/>
        </w:rPr>
        <w:t>企业；</w:t>
      </w:r>
    </w:p>
    <w:p w14:paraId="01611701">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01241C2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）投标人应</w:t>
      </w:r>
      <w:r>
        <w:rPr>
          <w:rFonts w:hint="eastAsia" w:ascii="宋体" w:hAnsi="宋体" w:cs="宋体"/>
          <w:color w:val="auto"/>
          <w:sz w:val="24"/>
          <w:szCs w:val="24"/>
          <w:highlight w:val="none"/>
          <w:lang w:val="en-US" w:eastAsia="zh-CN"/>
        </w:rPr>
        <w:t>具备合格有效的《城镇污水排入排水管网许可证》。</w:t>
      </w:r>
    </w:p>
    <w:p w14:paraId="5ED3440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，不得参加同一合同项下的政府采购活动</w:t>
      </w:r>
      <w:r>
        <w:rPr>
          <w:rFonts w:hint="eastAsia" w:ascii="宋体" w:hAnsi="宋体" w:cs="宋体"/>
          <w:color w:val="auto"/>
          <w:sz w:val="24"/>
          <w:szCs w:val="24"/>
          <w:highlight w:val="none"/>
          <w:lang w:eastAsia="zh-CN"/>
        </w:rPr>
        <w:t>；</w:t>
      </w:r>
    </w:p>
    <w:p w14:paraId="3A0B0DF0">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本项目不接受联合体投标。</w:t>
      </w:r>
    </w:p>
    <w:p w14:paraId="688F3E51">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bookmarkStart w:id="20" w:name="_Toc35393623"/>
      <w:bookmarkStart w:id="21" w:name="_Toc35393792"/>
      <w:r>
        <w:rPr>
          <w:rFonts w:hint="eastAsia" w:ascii="宋体" w:hAnsi="宋体" w:eastAsia="宋体" w:cs="宋体"/>
          <w:b/>
          <w:bCs/>
          <w:color w:val="auto"/>
          <w:sz w:val="24"/>
          <w:szCs w:val="24"/>
          <w:highlight w:val="none"/>
        </w:rPr>
        <w:t>三、获取招标文件</w:t>
      </w:r>
      <w:bookmarkEnd w:id="18"/>
      <w:bookmarkEnd w:id="19"/>
      <w:bookmarkEnd w:id="20"/>
      <w:bookmarkEnd w:id="21"/>
    </w:p>
    <w:p w14:paraId="0486B02F">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日，每天上午00:00至23：59（北京时间，线上获取法定节假日均可）；</w:t>
      </w:r>
    </w:p>
    <w:p w14:paraId="71198AE7">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地点：投标人</w:t>
      </w:r>
      <w:r>
        <w:rPr>
          <w:rFonts w:hint="eastAsia" w:ascii="宋体" w:hAnsi="宋体" w:cs="宋体"/>
          <w:color w:val="auto"/>
          <w:sz w:val="24"/>
          <w:szCs w:val="24"/>
          <w:highlight w:val="none"/>
          <w:lang w:eastAsia="zh-CN"/>
        </w:rPr>
        <w:t>登录</w:t>
      </w:r>
      <w:r>
        <w:rPr>
          <w:rFonts w:hint="eastAsia" w:ascii="宋体" w:hAnsi="宋体" w:eastAsia="宋体" w:cs="宋体"/>
          <w:color w:val="auto"/>
          <w:sz w:val="24"/>
          <w:szCs w:val="24"/>
          <w:highlight w:val="none"/>
        </w:rPr>
        <w:t>政采云平台http://www.zcygov.cn/，在线申请获取招标文件（登录政府采购云平台→项目采购→获取招标文件→申请</w:t>
      </w:r>
      <w:r>
        <w:rPr>
          <w:rFonts w:hint="eastAsia" w:ascii="宋体" w:hAnsi="宋体" w:eastAsia="宋体" w:cs="宋体"/>
          <w:color w:val="auto"/>
          <w:sz w:val="24"/>
          <w:szCs w:val="24"/>
          <w:highlight w:val="none"/>
          <w:lang w:eastAsia="zh-CN"/>
        </w:rPr>
        <w:t>即</w:t>
      </w:r>
      <w:r>
        <w:rPr>
          <w:rFonts w:hint="eastAsia" w:ascii="宋体" w:hAnsi="宋体" w:eastAsia="宋体" w:cs="宋体"/>
          <w:color w:val="auto"/>
          <w:sz w:val="24"/>
          <w:szCs w:val="24"/>
          <w:highlight w:val="none"/>
        </w:rPr>
        <w:t>可下载招标文件，如有操作性问题，可与政采云在线客服进行咨询，咨询电话：95763）。</w:t>
      </w:r>
    </w:p>
    <w:p w14:paraId="217E2B1F">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方式：投标人登录新疆政府采购云平台https://www.zcygov.cn/在线申请获取招标文件（登录政府采购云平台→项目采购→获取招标文件→下载招标文件）</w:t>
      </w:r>
    </w:p>
    <w:p w14:paraId="56B5B2D9">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w:t>
      </w:r>
      <w:r>
        <w:rPr>
          <w:rFonts w:hint="eastAsia" w:ascii="宋体" w:hAnsi="宋体" w:eastAsia="宋体" w:cs="宋体"/>
          <w:color w:val="auto"/>
          <w:kern w:val="0"/>
          <w:sz w:val="24"/>
          <w:szCs w:val="24"/>
          <w:highlight w:val="none"/>
        </w:rPr>
        <w:t>免费获取</w:t>
      </w:r>
    </w:p>
    <w:p w14:paraId="7F820470">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bookmarkStart w:id="22" w:name="_Toc28359082"/>
      <w:bookmarkStart w:id="23" w:name="_Toc28359005"/>
      <w:bookmarkStart w:id="24" w:name="_Toc35393793"/>
      <w:bookmarkStart w:id="25" w:name="_Toc35393624"/>
      <w:r>
        <w:rPr>
          <w:rFonts w:hint="eastAsia" w:ascii="宋体" w:hAnsi="宋体" w:eastAsia="宋体" w:cs="宋体"/>
          <w:b/>
          <w:bCs/>
          <w:color w:val="auto"/>
          <w:sz w:val="24"/>
          <w:szCs w:val="24"/>
          <w:highlight w:val="none"/>
        </w:rPr>
        <w:t>四、提交投标文件</w:t>
      </w:r>
      <w:bookmarkEnd w:id="22"/>
      <w:bookmarkEnd w:id="23"/>
      <w:r>
        <w:rPr>
          <w:rFonts w:hint="eastAsia" w:ascii="宋体" w:hAnsi="宋体" w:eastAsia="宋体" w:cs="宋体"/>
          <w:b/>
          <w:bCs/>
          <w:color w:val="auto"/>
          <w:sz w:val="24"/>
          <w:szCs w:val="24"/>
          <w:highlight w:val="none"/>
        </w:rPr>
        <w:t>截止时间、开标时间和地点</w:t>
      </w:r>
      <w:bookmarkEnd w:id="24"/>
      <w:bookmarkEnd w:id="25"/>
    </w:p>
    <w:p w14:paraId="55613690">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01</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20</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16</w:t>
      </w:r>
      <w:r>
        <w:rPr>
          <w:rFonts w:hint="eastAsia" w:ascii="宋体" w:hAnsi="宋体" w:eastAsia="宋体" w:cs="宋体"/>
          <w:bCs/>
          <w:color w:val="auto"/>
          <w:sz w:val="24"/>
          <w:szCs w:val="24"/>
          <w:highlight w:val="none"/>
          <w:u w:val="single"/>
        </w:rPr>
        <w:t>点00分</w:t>
      </w:r>
      <w:r>
        <w:rPr>
          <w:rFonts w:hint="eastAsia" w:ascii="宋体" w:hAnsi="宋体" w:eastAsia="宋体" w:cs="宋体"/>
          <w:color w:val="auto"/>
          <w:sz w:val="24"/>
          <w:szCs w:val="24"/>
          <w:highlight w:val="none"/>
        </w:rPr>
        <w:t>（北京时间）</w:t>
      </w:r>
    </w:p>
    <w:p w14:paraId="77D717F1">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01</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20</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16</w:t>
      </w:r>
      <w:r>
        <w:rPr>
          <w:rFonts w:hint="eastAsia" w:ascii="宋体" w:hAnsi="宋体" w:eastAsia="宋体" w:cs="宋体"/>
          <w:bCs/>
          <w:color w:val="auto"/>
          <w:sz w:val="24"/>
          <w:szCs w:val="24"/>
          <w:highlight w:val="none"/>
          <w:u w:val="single"/>
        </w:rPr>
        <w:t>点00分</w:t>
      </w:r>
      <w:r>
        <w:rPr>
          <w:rFonts w:hint="eastAsia" w:ascii="宋体" w:hAnsi="宋体" w:eastAsia="宋体" w:cs="宋体"/>
          <w:color w:val="auto"/>
          <w:sz w:val="24"/>
          <w:szCs w:val="24"/>
          <w:highlight w:val="none"/>
        </w:rPr>
        <w:t>（北京时间）</w:t>
      </w:r>
    </w:p>
    <w:p w14:paraId="1C7DE93D">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bookmarkStart w:id="26" w:name="_Toc35393625"/>
      <w:bookmarkStart w:id="27" w:name="_Toc28359084"/>
      <w:bookmarkStart w:id="28" w:name="_Toc28359007"/>
      <w:bookmarkStart w:id="29" w:name="_Toc35393794"/>
      <w:r>
        <w:rPr>
          <w:rFonts w:hint="eastAsia" w:ascii="宋体" w:hAnsi="宋体" w:eastAsia="宋体" w:cs="宋体"/>
          <w:color w:val="auto"/>
          <w:sz w:val="24"/>
          <w:szCs w:val="24"/>
          <w:highlight w:val="none"/>
        </w:rPr>
        <w:t>政采云平台http://www.zcygov.cn/</w:t>
      </w:r>
    </w:p>
    <w:p w14:paraId="3F6074E7">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bookmarkEnd w:id="26"/>
      <w:bookmarkEnd w:id="27"/>
      <w:bookmarkEnd w:id="28"/>
      <w:bookmarkEnd w:id="29"/>
    </w:p>
    <w:p w14:paraId="7AD1AC96">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5689F7EC">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bookmarkStart w:id="30" w:name="_Toc35393795"/>
      <w:bookmarkStart w:id="31" w:name="_Toc35393626"/>
      <w:r>
        <w:rPr>
          <w:rFonts w:hint="eastAsia" w:ascii="宋体" w:hAnsi="宋体" w:eastAsia="宋体" w:cs="宋体"/>
          <w:b/>
          <w:bCs/>
          <w:color w:val="auto"/>
          <w:sz w:val="24"/>
          <w:szCs w:val="24"/>
          <w:highlight w:val="none"/>
        </w:rPr>
        <w:t>六、其他补充事宜</w:t>
      </w:r>
      <w:bookmarkEnd w:id="30"/>
      <w:bookmarkEnd w:id="31"/>
    </w:p>
    <w:p w14:paraId="187FC130">
      <w:pPr>
        <w:pStyle w:val="48"/>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本项目实行全流程</w:t>
      </w:r>
      <w:r>
        <w:rPr>
          <w:rFonts w:hint="eastAsia" w:ascii="宋体" w:hAnsi="宋体" w:eastAsia="宋体" w:cs="宋体"/>
          <w:color w:val="auto"/>
          <w:sz w:val="24"/>
          <w:szCs w:val="24"/>
          <w:highlight w:val="none"/>
        </w:rPr>
        <w:t>电子交易方式</w:t>
      </w:r>
      <w:r>
        <w:rPr>
          <w:rFonts w:hint="eastAsia" w:ascii="宋体" w:hAnsi="宋体" w:eastAsia="宋体" w:cs="宋体"/>
          <w:color w:val="auto"/>
          <w:kern w:val="0"/>
          <w:sz w:val="24"/>
          <w:szCs w:val="24"/>
          <w:highlight w:val="none"/>
        </w:rPr>
        <w:t>，采用电子加密</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上传方式；</w:t>
      </w:r>
    </w:p>
    <w:p w14:paraId="6ACA887A">
      <w:pPr>
        <w:pStyle w:val="48"/>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前应确保成为新疆政府采购网正式注册入库</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，并完成CA数字证书（符合国密标准）申领。因未注册入库、未办理CA数字证书等原因造成无法上传或</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失败等后果由</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自行承担。有意向参与的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，可访问新疆数字证书认证中心官方网站（https://www.xjca.com.cn/）或下载“新疆政务通”APP自行申领。如需咨询，请联系新疆CA服务热线0991-2819290；</w:t>
      </w:r>
    </w:p>
    <w:p w14:paraId="203DD169">
      <w:pPr>
        <w:pStyle w:val="48"/>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在完成政采云电子交易客户端下载、安装后，可通过账号密码或CA登录客户端进行</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的制作。在使用“政采云投标客户端”时，建议使用WIN7及以上操作系统。客户端请至新疆政府采购网（http://www.ccgp-xinjiang.gov.cn/）下载专区查看，如遇问题可拨打政采云客户服务热线95763进行咨询。如因</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自身原因导致在规定时间内无法正常解密的（如：浏览器故障、未安装相关驱动、网络故障、加密CA与解密CA不一致等），采购中心、代理机构不予异常处理，视为</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自动弃标；</w:t>
      </w:r>
    </w:p>
    <w:p w14:paraId="71347EA8">
      <w:pPr>
        <w:pStyle w:val="48"/>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应当在</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截止时间前</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将生成的“电子加密</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”上传至“政府采购云平台”</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截止时间以后上传的</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将被“政府采购云平台”拒收；</w:t>
      </w:r>
    </w:p>
    <w:p w14:paraId="7C890711">
      <w:pPr>
        <w:pStyle w:val="48"/>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前须提前配置好电脑浏览器（建议使用360浏览器或谷歌浏览器）</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开标时登录政采云平台，在“项目采购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开标评审”功能中，使用制作加密</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电子标书的CA锁进行解密及报价确认。本项目</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的解密时间定为30分钟内</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若</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在规定时间内因自身原因导致无法正常解密</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后果由</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自行承担；</w:t>
      </w:r>
    </w:p>
    <w:p w14:paraId="6C0120C1">
      <w:pPr>
        <w:pStyle w:val="48"/>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登录政采云平台，在开标时间后30分钟内用“项目采购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开标评审”功能进行解密</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，若</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在规定时间内未按时解密的，视为响应无效。解密与加密</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须使用同一个 CA。</w:t>
      </w:r>
    </w:p>
    <w:p w14:paraId="3B21F9D3">
      <w:pPr>
        <w:pStyle w:val="103"/>
        <w:pageBreakBefore w:val="0"/>
        <w:kinsoku/>
        <w:wordWrap/>
        <w:overflowPunct/>
        <w:topLinePunct w:val="0"/>
        <w:bidi w:val="0"/>
        <w:snapToGrid w:val="0"/>
        <w:spacing w:line="560" w:lineRule="exact"/>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特别提示：</w:t>
      </w:r>
    </w:p>
    <w:p w14:paraId="7771FEA0">
      <w:pPr>
        <w:pStyle w:val="103"/>
        <w:pageBreakBefore w:val="0"/>
        <w:kinsoku/>
        <w:wordWrap/>
        <w:overflowPunct/>
        <w:topLinePunct w:val="0"/>
        <w:bidi w:val="0"/>
        <w:snapToGrid w:val="0"/>
        <w:spacing w:line="560" w:lineRule="exact"/>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1、采购限额标准以上，200万元以下的货物和服务采购项目、400万元以下的工程采购项目，适宜由中小企业提供的，采购人应当专门面向中小企业采购。</w:t>
      </w:r>
    </w:p>
    <w:p w14:paraId="16F4A6B7">
      <w:pPr>
        <w:pStyle w:val="103"/>
        <w:pageBreakBefore w:val="0"/>
        <w:kinsoku/>
        <w:wordWrap/>
        <w:overflowPunct/>
        <w:topLinePunct w:val="0"/>
        <w:bidi w:val="0"/>
        <w:snapToGrid w:val="0"/>
        <w:spacing w:line="560" w:lineRule="exact"/>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2、超过200万元的货物和服务采购项目，预留该部分采购项目预算总额的30%以上专门面向中小企业采购，其中预留给小微企业的比例不低于60%。</w:t>
      </w:r>
    </w:p>
    <w:p w14:paraId="28B750EA">
      <w:pPr>
        <w:pStyle w:val="103"/>
        <w:pageBreakBefore w:val="0"/>
        <w:kinsoku/>
        <w:wordWrap/>
        <w:overflowPunct/>
        <w:topLinePunct w:val="0"/>
        <w:bidi w:val="0"/>
        <w:snapToGrid w:val="0"/>
        <w:spacing w:line="560" w:lineRule="exact"/>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3、超过400万元的工程采购项目中适宜由中小企业提供的，预留该部分采购项目预算总额的40%以上专门面向中小企业采购，其中预留给小微企业的比例不低于60%。</w:t>
      </w:r>
    </w:p>
    <w:p w14:paraId="26924F41">
      <w:pPr>
        <w:pStyle w:val="103"/>
        <w:pageBreakBefore w:val="0"/>
        <w:kinsoku/>
        <w:wordWrap/>
        <w:overflowPunct/>
        <w:topLinePunct w:val="0"/>
        <w:bidi w:val="0"/>
        <w:snapToGrid w:val="0"/>
        <w:spacing w:line="560" w:lineRule="exact"/>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4、对于未预留份额专门面向中小企业的采购项目，以及预留份额项目中的非预留部分采购包，采购人、采购代理机构应当对符合规定的小微企业报价给予10%</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20%（工程项目为3%</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5%作为其价格分。</w:t>
      </w:r>
    </w:p>
    <w:p w14:paraId="3DC39C1C">
      <w:pPr>
        <w:pStyle w:val="103"/>
        <w:pageBreakBefore w:val="0"/>
        <w:kinsoku/>
        <w:wordWrap/>
        <w:overflowPunct/>
        <w:topLinePunct w:val="0"/>
        <w:bidi w:val="0"/>
        <w:snapToGrid w:val="0"/>
        <w:spacing w:line="560" w:lineRule="exact"/>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6%（工程项目为1%</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2%作为其价格分。</w:t>
      </w:r>
    </w:p>
    <w:p w14:paraId="163758D0">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bookmarkStart w:id="32" w:name="_Toc35393627"/>
      <w:bookmarkStart w:id="33" w:name="_Toc28359085"/>
      <w:bookmarkStart w:id="34" w:name="_Toc35393796"/>
      <w:bookmarkStart w:id="35" w:name="_Toc28359008"/>
      <w:r>
        <w:rPr>
          <w:rFonts w:hint="eastAsia" w:ascii="宋体" w:hAnsi="宋体" w:eastAsia="宋体" w:cs="宋体"/>
          <w:b/>
          <w:bCs/>
          <w:color w:val="auto"/>
          <w:sz w:val="24"/>
          <w:szCs w:val="24"/>
          <w:highlight w:val="none"/>
        </w:rPr>
        <w:t>七、对本次招标提出询问，请按以下方式联系</w:t>
      </w:r>
      <w:bookmarkEnd w:id="32"/>
      <w:bookmarkEnd w:id="33"/>
      <w:bookmarkEnd w:id="34"/>
      <w:bookmarkEnd w:id="35"/>
      <w:r>
        <w:rPr>
          <w:rFonts w:hint="eastAsia" w:ascii="宋体" w:hAnsi="宋体" w:eastAsia="宋体" w:cs="宋体"/>
          <w:b/>
          <w:bCs/>
          <w:color w:val="auto"/>
          <w:sz w:val="24"/>
          <w:szCs w:val="24"/>
          <w:highlight w:val="none"/>
        </w:rPr>
        <w:t>：</w:t>
      </w:r>
    </w:p>
    <w:p w14:paraId="43CF3C70">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45AEB158">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乌鲁木齐友爱医院</w:t>
      </w:r>
    </w:p>
    <w:p w14:paraId="2D945F1E">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乌鲁木齐市会展大道东侧南邻奥体中心</w:t>
      </w:r>
    </w:p>
    <w:p w14:paraId="71E8352C">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eastAsia="zh-CN"/>
        </w:rPr>
        <w:t>0991-7914164</w:t>
      </w:r>
    </w:p>
    <w:p w14:paraId="157D95BB">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36" w:name="_Toc28359086"/>
      <w:bookmarkStart w:id="37" w:name="_Toc28359009"/>
    </w:p>
    <w:p w14:paraId="2C9AB2C1">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36"/>
      <w:bookmarkEnd w:id="37"/>
    </w:p>
    <w:p w14:paraId="7D4A6942">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称：新疆拓源工程管理咨询有限公司</w:t>
      </w:r>
    </w:p>
    <w:p w14:paraId="2B0A3AC8">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址：乌鲁木齐市水磨沟区龙盛街898号万科中央公园S6栋5层</w:t>
      </w:r>
    </w:p>
    <w:p w14:paraId="5EA88CA1">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张曼</w:t>
      </w:r>
    </w:p>
    <w:p w14:paraId="57D62BD2">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18167989320</w:t>
      </w:r>
    </w:p>
    <w:p w14:paraId="48D149CB">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20709F0">
      <w:pPr>
        <w:pStyle w:val="2"/>
        <w:pageBreakBefore w:val="0"/>
        <w:kinsoku/>
        <w:wordWrap/>
        <w:overflowPunct/>
        <w:topLinePunct w:val="0"/>
        <w:autoSpaceDE/>
        <w:autoSpaceDN/>
        <w:bidi w:val="0"/>
        <w:spacing w:before="0" w:after="0" w:line="560" w:lineRule="exact"/>
        <w:ind w:left="0" w:leftChars="0" w:right="0" w:rightChars="0" w:firstLine="0" w:firstLineChars="0"/>
        <w:jc w:val="center"/>
        <w:textAlignment w:val="auto"/>
        <w:rPr>
          <w:rFonts w:hint="eastAsia" w:ascii="宋体" w:hAnsi="宋体" w:eastAsia="宋体" w:cs="宋体"/>
          <w:b/>
          <w:bCs/>
          <w:color w:val="auto"/>
          <w:sz w:val="24"/>
          <w:szCs w:val="24"/>
          <w:highlight w:val="none"/>
        </w:rPr>
      </w:pPr>
      <w:bookmarkStart w:id="38" w:name="_Toc27314"/>
      <w:r>
        <w:rPr>
          <w:rFonts w:hint="eastAsia" w:ascii="宋体" w:hAnsi="宋体" w:eastAsia="宋体" w:cs="宋体"/>
          <w:b/>
          <w:bCs/>
          <w:color w:val="auto"/>
          <w:sz w:val="24"/>
          <w:szCs w:val="24"/>
          <w:highlight w:val="none"/>
        </w:rPr>
        <w:t>第二章  投标人须知</w:t>
      </w:r>
      <w:bookmarkEnd w:id="3"/>
      <w:bookmarkEnd w:id="4"/>
      <w:bookmarkEnd w:id="5"/>
      <w:bookmarkEnd w:id="6"/>
      <w:bookmarkEnd w:id="7"/>
      <w:bookmarkEnd w:id="8"/>
      <w:bookmarkEnd w:id="38"/>
    </w:p>
    <w:p w14:paraId="72FAC851">
      <w:pPr>
        <w:keepNext/>
        <w:keepLines/>
        <w:pageBreakBefore w:val="0"/>
        <w:kinsoku/>
        <w:wordWrap/>
        <w:overflowPunct/>
        <w:topLinePunct w:val="0"/>
        <w:autoSpaceDE/>
        <w:autoSpaceDN/>
        <w:bidi w:val="0"/>
        <w:spacing w:line="560" w:lineRule="exact"/>
        <w:ind w:left="0" w:leftChars="0" w:right="0" w:rightChars="0" w:firstLine="0" w:firstLineChars="0"/>
        <w:jc w:val="center"/>
        <w:textAlignment w:val="auto"/>
        <w:outlineLvl w:val="1"/>
        <w:rPr>
          <w:rFonts w:hint="eastAsia" w:ascii="宋体" w:hAnsi="宋体" w:eastAsia="宋体" w:cs="宋体"/>
          <w:b/>
          <w:bCs/>
          <w:color w:val="auto"/>
          <w:sz w:val="24"/>
          <w:szCs w:val="24"/>
          <w:highlight w:val="none"/>
        </w:rPr>
      </w:pPr>
      <w:bookmarkStart w:id="39" w:name="_Toc213496268"/>
      <w:bookmarkStart w:id="40" w:name="_Toc213396946"/>
      <w:bookmarkStart w:id="41" w:name="_Toc217446032"/>
      <w:bookmarkStart w:id="42" w:name="_Toc189727030"/>
      <w:bookmarkStart w:id="43" w:name="_Toc213397010"/>
      <w:bookmarkStart w:id="44" w:name="_Toc213396760"/>
      <w:r>
        <w:rPr>
          <w:rFonts w:hint="eastAsia" w:ascii="宋体" w:hAnsi="宋体" w:eastAsia="宋体" w:cs="宋体"/>
          <w:b/>
          <w:bCs/>
          <w:color w:val="auto"/>
          <w:sz w:val="24"/>
          <w:szCs w:val="24"/>
          <w:highlight w:val="none"/>
        </w:rPr>
        <w:t>一、投标人须知前附表</w:t>
      </w:r>
      <w:bookmarkEnd w:id="39"/>
      <w:bookmarkEnd w:id="40"/>
      <w:bookmarkEnd w:id="41"/>
      <w:bookmarkEnd w:id="42"/>
      <w:bookmarkEnd w:id="43"/>
      <w:bookmarkEnd w:id="44"/>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
        <w:gridCol w:w="672"/>
        <w:gridCol w:w="1374"/>
        <w:gridCol w:w="1"/>
        <w:gridCol w:w="6470"/>
        <w:gridCol w:w="1"/>
      </w:tblGrid>
      <w:tr w14:paraId="5369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70" w:hRule="atLeast"/>
          <w:jc w:val="center"/>
        </w:trPr>
        <w:tc>
          <w:tcPr>
            <w:tcW w:w="672" w:type="dxa"/>
            <w:noWrap w:val="0"/>
            <w:vAlign w:val="center"/>
          </w:tcPr>
          <w:p w14:paraId="5549589E">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75" w:type="dxa"/>
            <w:gridSpan w:val="2"/>
            <w:noWrap w:val="0"/>
            <w:vAlign w:val="center"/>
          </w:tcPr>
          <w:p w14:paraId="2FFA1E10">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 称</w:t>
            </w:r>
          </w:p>
        </w:tc>
        <w:tc>
          <w:tcPr>
            <w:tcW w:w="6471" w:type="dxa"/>
            <w:gridSpan w:val="2"/>
            <w:noWrap w:val="0"/>
            <w:vAlign w:val="center"/>
          </w:tcPr>
          <w:p w14:paraId="3A5658BC">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14:paraId="1FB4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1850" w:hRule="atLeast"/>
          <w:jc w:val="center"/>
        </w:trPr>
        <w:tc>
          <w:tcPr>
            <w:tcW w:w="672" w:type="dxa"/>
            <w:noWrap w:val="0"/>
            <w:vAlign w:val="center"/>
          </w:tcPr>
          <w:p w14:paraId="75B98279">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75" w:type="dxa"/>
            <w:gridSpan w:val="2"/>
            <w:noWrap w:val="0"/>
            <w:vAlign w:val="center"/>
          </w:tcPr>
          <w:p w14:paraId="0030D426">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471" w:type="dxa"/>
            <w:gridSpan w:val="2"/>
            <w:noWrap w:val="0"/>
            <w:vAlign w:val="center"/>
          </w:tcPr>
          <w:p w14:paraId="3D30EA58">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乌鲁木齐友爱医院</w:t>
            </w:r>
          </w:p>
          <w:p w14:paraId="485FDB6F">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乌鲁木齐市会展大道东侧南邻奥体中心</w:t>
            </w:r>
          </w:p>
          <w:p w14:paraId="52891CFC">
            <w:pPr>
              <w:pageBreakBefore w:val="0"/>
              <w:kinsoku/>
              <w:wordWrap/>
              <w:overflowPunct/>
              <w:topLinePunct w:val="0"/>
              <w:autoSpaceDE/>
              <w:autoSpaceDN/>
              <w:bidi w:val="0"/>
              <w:spacing w:line="560" w:lineRule="exact"/>
              <w:ind w:left="0" w:leftChars="0" w:right="0" w:rightChars="0" w:firstLine="0" w:firstLineChars="0"/>
              <w:textAlignment w:val="auto"/>
              <w:rPr>
                <w:rStyle w:val="45"/>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联系人：</w:t>
            </w:r>
            <w:r>
              <w:rPr>
                <w:rStyle w:val="45"/>
                <w:rFonts w:hint="eastAsia" w:ascii="宋体" w:hAnsi="宋体" w:cs="宋体"/>
                <w:bCs/>
                <w:color w:val="auto"/>
                <w:sz w:val="24"/>
                <w:szCs w:val="24"/>
                <w:highlight w:val="none"/>
                <w:lang w:eastAsia="zh-CN"/>
              </w:rPr>
              <w:t>张雅军</w:t>
            </w:r>
          </w:p>
          <w:p w14:paraId="48F65B84">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cs="宋体"/>
                <w:color w:val="auto"/>
                <w:sz w:val="24"/>
                <w:szCs w:val="24"/>
                <w:highlight w:val="none"/>
                <w:lang w:eastAsia="zh-CN"/>
              </w:rPr>
              <w:t>0991-7914164</w:t>
            </w:r>
          </w:p>
        </w:tc>
      </w:tr>
      <w:tr w14:paraId="351E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70" w:hRule="atLeast"/>
          <w:jc w:val="center"/>
        </w:trPr>
        <w:tc>
          <w:tcPr>
            <w:tcW w:w="672" w:type="dxa"/>
            <w:noWrap w:val="0"/>
            <w:vAlign w:val="center"/>
          </w:tcPr>
          <w:p w14:paraId="408A0071">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75" w:type="dxa"/>
            <w:gridSpan w:val="2"/>
            <w:noWrap w:val="0"/>
            <w:vAlign w:val="center"/>
          </w:tcPr>
          <w:p w14:paraId="3C5CACC1">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471" w:type="dxa"/>
            <w:gridSpan w:val="2"/>
            <w:noWrap w:val="0"/>
            <w:vAlign w:val="center"/>
          </w:tcPr>
          <w:p w14:paraId="2BE35643">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称：新疆拓源工程管理咨询有限公司</w:t>
            </w:r>
          </w:p>
          <w:p w14:paraId="4272E67E">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zh-CN"/>
              </w:rPr>
              <w:t>乌鲁木齐市水磨沟区龙盛街898号万科中央公园S6栋5层</w:t>
            </w:r>
          </w:p>
          <w:p w14:paraId="1A9BAABC">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张曼</w:t>
            </w:r>
          </w:p>
          <w:p w14:paraId="6DC1B51C">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18167989320</w:t>
            </w:r>
          </w:p>
        </w:tc>
      </w:tr>
      <w:tr w14:paraId="1D19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62" w:hRule="atLeast"/>
          <w:jc w:val="center"/>
        </w:trPr>
        <w:tc>
          <w:tcPr>
            <w:tcW w:w="672" w:type="dxa"/>
            <w:noWrap w:val="0"/>
            <w:vAlign w:val="center"/>
          </w:tcPr>
          <w:p w14:paraId="01403B04">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75" w:type="dxa"/>
            <w:gridSpan w:val="2"/>
            <w:noWrap w:val="0"/>
            <w:vAlign w:val="center"/>
          </w:tcPr>
          <w:p w14:paraId="5E6D66D2">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71" w:type="dxa"/>
            <w:gridSpan w:val="2"/>
            <w:noWrap w:val="0"/>
            <w:vAlign w:val="center"/>
          </w:tcPr>
          <w:p w14:paraId="58AF83AE">
            <w:pPr>
              <w:pageBreakBefore w:val="0"/>
              <w:kinsoku/>
              <w:wordWrap/>
              <w:overflowPunct/>
              <w:topLinePunct w:val="0"/>
              <w:autoSpaceDE/>
              <w:autoSpaceDN/>
              <w:bidi w:val="0"/>
              <w:spacing w:line="560" w:lineRule="exact"/>
              <w:ind w:left="0" w:leftChars="0" w:right="0" w:rightChars="0" w:firstLine="0" w:firstLineChars="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乌鲁木齐友爱医院洗涤服务采购项目</w:t>
            </w:r>
          </w:p>
        </w:tc>
      </w:tr>
      <w:tr w14:paraId="1A34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70" w:hRule="atLeast"/>
          <w:jc w:val="center"/>
        </w:trPr>
        <w:tc>
          <w:tcPr>
            <w:tcW w:w="672" w:type="dxa"/>
            <w:noWrap w:val="0"/>
            <w:vAlign w:val="center"/>
          </w:tcPr>
          <w:p w14:paraId="0E949AC5">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75" w:type="dxa"/>
            <w:gridSpan w:val="2"/>
            <w:noWrap w:val="0"/>
            <w:vAlign w:val="center"/>
          </w:tcPr>
          <w:p w14:paraId="16051A1E">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471" w:type="dxa"/>
            <w:gridSpan w:val="2"/>
            <w:noWrap w:val="0"/>
            <w:vAlign w:val="center"/>
          </w:tcPr>
          <w:p w14:paraId="355A0823">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[2024]3886号</w:t>
            </w:r>
          </w:p>
        </w:tc>
      </w:tr>
      <w:tr w14:paraId="10C1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90" w:hRule="atLeast"/>
          <w:jc w:val="center"/>
        </w:trPr>
        <w:tc>
          <w:tcPr>
            <w:tcW w:w="672" w:type="dxa"/>
            <w:noWrap w:val="0"/>
            <w:vAlign w:val="center"/>
          </w:tcPr>
          <w:p w14:paraId="6EB8181D">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75" w:type="dxa"/>
            <w:gridSpan w:val="2"/>
            <w:noWrap w:val="0"/>
            <w:vAlign w:val="center"/>
          </w:tcPr>
          <w:p w14:paraId="05F91CF6">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资金来源、最高限价</w:t>
            </w:r>
          </w:p>
        </w:tc>
        <w:tc>
          <w:tcPr>
            <w:tcW w:w="6471" w:type="dxa"/>
            <w:gridSpan w:val="2"/>
            <w:noWrap w:val="0"/>
            <w:vAlign w:val="center"/>
          </w:tcPr>
          <w:p w14:paraId="60F8B91F">
            <w:pPr>
              <w:pageBreakBefore w:val="0"/>
              <w:kinsoku/>
              <w:wordWrap/>
              <w:overflowPunct/>
              <w:topLinePunct w:val="0"/>
              <w:autoSpaceDE/>
              <w:autoSpaceDN/>
              <w:bidi w:val="0"/>
              <w:spacing w:line="56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r>
              <w:rPr>
                <w:rFonts w:hint="eastAsia" w:ascii="宋体" w:hAnsi="宋体" w:cs="宋体"/>
                <w:color w:val="auto"/>
                <w:sz w:val="24"/>
                <w:szCs w:val="24"/>
                <w:highlight w:val="none"/>
                <w:lang w:val="en-US" w:eastAsia="zh-CN"/>
              </w:rPr>
              <w:t>财政资金</w:t>
            </w:r>
            <w:r>
              <w:rPr>
                <w:rFonts w:hint="eastAsia" w:ascii="宋体" w:hAnsi="宋体" w:eastAsia="宋体" w:cs="宋体"/>
                <w:color w:val="auto"/>
                <w:sz w:val="24"/>
                <w:szCs w:val="24"/>
                <w:highlight w:val="none"/>
              </w:rPr>
              <w:t>。</w:t>
            </w:r>
          </w:p>
          <w:p w14:paraId="5F3B943D">
            <w:pPr>
              <w:pageBreakBefore w:val="0"/>
              <w:kinsoku/>
              <w:wordWrap/>
              <w:overflowPunct/>
              <w:topLinePunct w:val="0"/>
              <w:autoSpaceDE/>
              <w:autoSpaceDN/>
              <w:bidi w:val="0"/>
              <w:spacing w:line="560" w:lineRule="exact"/>
              <w:ind w:left="0" w:leftChars="0" w:right="0" w:righ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报价不得超出最高限价，否则</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无效，报价包括</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相关人工费、税费、保险费、运输费、装卸费、安装费、</w:t>
            </w:r>
            <w:r>
              <w:rPr>
                <w:rFonts w:hint="eastAsia" w:ascii="宋体" w:hAnsi="宋体" w:cs="宋体"/>
                <w:color w:val="auto"/>
                <w:sz w:val="24"/>
                <w:highlight w:val="none"/>
              </w:rPr>
              <w:t>调试、培训</w:t>
            </w:r>
            <w:r>
              <w:rPr>
                <w:rFonts w:hint="eastAsia" w:ascii="宋体" w:hAnsi="宋体" w:eastAsia="宋体" w:cs="宋体"/>
                <w:color w:val="auto"/>
                <w:sz w:val="24"/>
                <w:szCs w:val="24"/>
                <w:highlight w:val="none"/>
                <w:lang w:eastAsia="zh-CN"/>
              </w:rPr>
              <w:t>等所有技术和售后服务费用，</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后采购人不再另行支付</w:t>
            </w:r>
            <w:r>
              <w:rPr>
                <w:rFonts w:hint="eastAsia" w:ascii="宋体" w:hAnsi="宋体" w:cs="宋体"/>
                <w:color w:val="auto"/>
                <w:sz w:val="24"/>
                <w:szCs w:val="24"/>
                <w:highlight w:val="none"/>
                <w:lang w:val="en-US" w:eastAsia="zh-CN"/>
              </w:rPr>
              <w:t>其他费用</w:t>
            </w:r>
            <w:r>
              <w:rPr>
                <w:rFonts w:hint="eastAsia" w:ascii="宋体" w:hAnsi="宋体" w:eastAsia="宋体" w:cs="宋体"/>
                <w:color w:val="auto"/>
                <w:sz w:val="24"/>
                <w:szCs w:val="24"/>
                <w:highlight w:val="none"/>
                <w:lang w:eastAsia="zh-CN"/>
              </w:rPr>
              <w:t>。</w:t>
            </w:r>
          </w:p>
          <w:p w14:paraId="07991797">
            <w:pPr>
              <w:pageBreakBefore w:val="0"/>
              <w:kinsoku/>
              <w:wordWrap/>
              <w:overflowPunct/>
              <w:topLinePunct w:val="0"/>
              <w:autoSpaceDE/>
              <w:autoSpaceDN/>
              <w:bidi w:val="0"/>
              <w:adjustRightInd/>
              <w:snapToGrid/>
              <w:spacing w:line="560" w:lineRule="exact"/>
              <w:ind w:right="0" w:righ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最高限价：80万元（各分项报价不得超出最高投标限价）</w:t>
            </w:r>
          </w:p>
        </w:tc>
      </w:tr>
      <w:tr w14:paraId="181E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02" w:hRule="atLeast"/>
          <w:jc w:val="center"/>
        </w:trPr>
        <w:tc>
          <w:tcPr>
            <w:tcW w:w="672" w:type="dxa"/>
            <w:noWrap w:val="0"/>
            <w:vAlign w:val="center"/>
          </w:tcPr>
          <w:p w14:paraId="472A4C82">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75" w:type="dxa"/>
            <w:gridSpan w:val="2"/>
            <w:noWrap w:val="0"/>
            <w:vAlign w:val="center"/>
          </w:tcPr>
          <w:p w14:paraId="32928D6C">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c>
        <w:tc>
          <w:tcPr>
            <w:tcW w:w="6471" w:type="dxa"/>
            <w:gridSpan w:val="2"/>
            <w:noWrap w:val="0"/>
            <w:vAlign w:val="center"/>
          </w:tcPr>
          <w:p w14:paraId="431F53C0">
            <w:pPr>
              <w:pageBreakBefore w:val="0"/>
              <w:kinsoku/>
              <w:wordWrap/>
              <w:overflowPunct/>
              <w:topLinePunct w:val="0"/>
              <w:autoSpaceDE/>
              <w:autoSpaceDN/>
              <w:bidi w:val="0"/>
              <w:adjustRightInd/>
              <w:snapToGrid/>
              <w:spacing w:line="560" w:lineRule="exact"/>
              <w:ind w:right="0" w:right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乌鲁木齐友爱医院洗涤服务采购项目</w:t>
            </w:r>
            <w:r>
              <w:rPr>
                <w:rFonts w:hint="eastAsia" w:ascii="宋体" w:hAnsi="宋体" w:cs="宋体"/>
                <w:color w:val="auto"/>
                <w:sz w:val="24"/>
                <w:szCs w:val="24"/>
                <w:highlight w:val="none"/>
                <w:lang w:val="en-US" w:eastAsia="zh-CN"/>
              </w:rPr>
              <w:t>（具体采购需求详见招标文件）</w:t>
            </w:r>
          </w:p>
        </w:tc>
      </w:tr>
      <w:tr w14:paraId="2B40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32" w:hRule="atLeast"/>
          <w:jc w:val="center"/>
        </w:trPr>
        <w:tc>
          <w:tcPr>
            <w:tcW w:w="672" w:type="dxa"/>
            <w:noWrap w:val="0"/>
            <w:vAlign w:val="center"/>
          </w:tcPr>
          <w:p w14:paraId="3F96416A">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75" w:type="dxa"/>
            <w:gridSpan w:val="2"/>
            <w:noWrap w:val="0"/>
            <w:vAlign w:val="center"/>
          </w:tcPr>
          <w:p w14:paraId="5F4AED30">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服务期</w:t>
            </w:r>
          </w:p>
        </w:tc>
        <w:tc>
          <w:tcPr>
            <w:tcW w:w="6471" w:type="dxa"/>
            <w:gridSpan w:val="2"/>
            <w:noWrap w:val="0"/>
            <w:vAlign w:val="center"/>
          </w:tcPr>
          <w:p w14:paraId="524F34D0">
            <w:pPr>
              <w:pStyle w:val="43"/>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1年</w:t>
            </w:r>
          </w:p>
        </w:tc>
      </w:tr>
      <w:tr w14:paraId="4DDE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77" w:hRule="atLeast"/>
          <w:jc w:val="center"/>
        </w:trPr>
        <w:tc>
          <w:tcPr>
            <w:tcW w:w="672" w:type="dxa"/>
            <w:noWrap w:val="0"/>
            <w:vAlign w:val="center"/>
          </w:tcPr>
          <w:p w14:paraId="43132E8D">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375" w:type="dxa"/>
            <w:gridSpan w:val="2"/>
            <w:noWrap w:val="0"/>
            <w:vAlign w:val="center"/>
          </w:tcPr>
          <w:p w14:paraId="7853BCBE">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质量标准</w:t>
            </w:r>
          </w:p>
        </w:tc>
        <w:tc>
          <w:tcPr>
            <w:tcW w:w="6471" w:type="dxa"/>
            <w:gridSpan w:val="2"/>
            <w:noWrap w:val="0"/>
            <w:vAlign w:val="center"/>
          </w:tcPr>
          <w:p w14:paraId="4A4E9509">
            <w:pPr>
              <w:pageBreakBefore w:val="0"/>
              <w:kinsoku/>
              <w:wordWrap/>
              <w:overflowPunct/>
              <w:topLinePunct w:val="0"/>
              <w:autoSpaceDE/>
              <w:autoSpaceDN/>
              <w:bidi w:val="0"/>
              <w:spacing w:line="560" w:lineRule="exact"/>
              <w:ind w:left="0" w:leftChars="0" w:right="0" w:righ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符合国家、行业及第四章采购需求所述标准。</w:t>
            </w:r>
          </w:p>
        </w:tc>
      </w:tr>
      <w:tr w14:paraId="002D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70" w:hRule="atLeast"/>
          <w:jc w:val="center"/>
        </w:trPr>
        <w:tc>
          <w:tcPr>
            <w:tcW w:w="672" w:type="dxa"/>
            <w:noWrap w:val="0"/>
            <w:vAlign w:val="center"/>
          </w:tcPr>
          <w:p w14:paraId="58A9ABCF">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375" w:type="dxa"/>
            <w:gridSpan w:val="2"/>
            <w:noWrap w:val="0"/>
            <w:vAlign w:val="center"/>
          </w:tcPr>
          <w:p w14:paraId="7C6B3CBA">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w:t>
            </w:r>
          </w:p>
        </w:tc>
        <w:tc>
          <w:tcPr>
            <w:tcW w:w="6471" w:type="dxa"/>
            <w:gridSpan w:val="2"/>
            <w:noWrap w:val="0"/>
            <w:vAlign w:val="center"/>
          </w:tcPr>
          <w:p w14:paraId="1D91F2B1">
            <w:pPr>
              <w:pageBreakBefore w:val="0"/>
              <w:kinsoku/>
              <w:wordWrap/>
              <w:overflowPunct/>
              <w:topLinePunct w:val="0"/>
              <w:autoSpaceDE/>
              <w:autoSpaceDN/>
              <w:bidi w:val="0"/>
              <w:spacing w:line="560" w:lineRule="exact"/>
              <w:ind w:left="0" w:leftChars="0" w:right="0" w:righ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采购人指定地点</w:t>
            </w:r>
          </w:p>
        </w:tc>
      </w:tr>
      <w:tr w14:paraId="1A9C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131" w:hRule="atLeast"/>
          <w:jc w:val="center"/>
        </w:trPr>
        <w:tc>
          <w:tcPr>
            <w:tcW w:w="672" w:type="dxa"/>
            <w:noWrap w:val="0"/>
            <w:vAlign w:val="center"/>
          </w:tcPr>
          <w:p w14:paraId="3635C46A">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375" w:type="dxa"/>
            <w:gridSpan w:val="2"/>
            <w:noWrap w:val="0"/>
            <w:vAlign w:val="center"/>
          </w:tcPr>
          <w:p w14:paraId="7F403040">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投标人资格要求</w:t>
            </w:r>
          </w:p>
        </w:tc>
        <w:tc>
          <w:tcPr>
            <w:tcW w:w="6471" w:type="dxa"/>
            <w:gridSpan w:val="2"/>
            <w:noWrap w:val="0"/>
            <w:vAlign w:val="center"/>
          </w:tcPr>
          <w:p w14:paraId="7E53CD6D">
            <w:pPr>
              <w:pageBreakBefore w:val="0"/>
              <w:kinsoku/>
              <w:wordWrap/>
              <w:overflowPunct/>
              <w:topLinePunct w:val="0"/>
              <w:autoSpaceDE/>
              <w:autoSpaceDN/>
              <w:bidi w:val="0"/>
              <w:adjustRightInd/>
              <w:snapToGrid/>
              <w:spacing w:line="56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1C6A3A40">
            <w:pPr>
              <w:pageBreakBefore w:val="0"/>
              <w:kinsoku/>
              <w:wordWrap/>
              <w:overflowPunct/>
              <w:topLinePunct w:val="0"/>
              <w:autoSpaceDE/>
              <w:autoSpaceDN/>
              <w:bidi w:val="0"/>
              <w:adjustRightInd/>
              <w:snapToGrid/>
              <w:spacing w:line="560" w:lineRule="exact"/>
              <w:ind w:right="0" w:rightChars="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cs="宋体"/>
                <w:color w:val="auto"/>
                <w:sz w:val="24"/>
                <w:szCs w:val="24"/>
                <w:highlight w:val="none"/>
                <w:lang w:val="en-US" w:eastAsia="zh-CN"/>
              </w:rPr>
              <w:t>专门面向</w:t>
            </w:r>
            <w:r>
              <w:rPr>
                <w:rFonts w:hint="default" w:ascii="宋体" w:hAnsi="宋体" w:cs="宋体"/>
                <w:color w:val="auto"/>
                <w:sz w:val="24"/>
                <w:szCs w:val="24"/>
                <w:highlight w:val="none"/>
                <w:lang w:val="en-US" w:eastAsia="zh-CN"/>
              </w:rPr>
              <w:t>小微</w:t>
            </w:r>
            <w:r>
              <w:rPr>
                <w:rFonts w:hint="eastAsia" w:ascii="宋体" w:hAnsi="宋体" w:cs="宋体"/>
                <w:color w:val="auto"/>
                <w:sz w:val="24"/>
                <w:szCs w:val="24"/>
                <w:highlight w:val="none"/>
                <w:lang w:val="en-US" w:eastAsia="zh-CN"/>
              </w:rPr>
              <w:t>企业。</w:t>
            </w:r>
          </w:p>
          <w:p w14:paraId="0D4C4E56">
            <w:pPr>
              <w:pageBreakBefore w:val="0"/>
              <w:kinsoku/>
              <w:wordWrap/>
              <w:overflowPunct/>
              <w:topLinePunct w:val="0"/>
              <w:autoSpaceDE/>
              <w:autoSpaceDN/>
              <w:bidi w:val="0"/>
              <w:adjustRightInd/>
              <w:snapToGrid/>
              <w:spacing w:line="560" w:lineRule="exact"/>
              <w:ind w:right="0" w:rightChars="0"/>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本项目所属行业为：</w:t>
            </w:r>
            <w:r>
              <w:rPr>
                <w:rFonts w:hint="default" w:ascii="宋体" w:hAnsi="宋体" w:cs="宋体"/>
                <w:b/>
                <w:bCs/>
                <w:color w:val="auto"/>
                <w:sz w:val="24"/>
                <w:szCs w:val="24"/>
                <w:highlight w:val="none"/>
                <w:lang w:val="en-US" w:eastAsia="zh-CN"/>
              </w:rPr>
              <w:t>物业管理</w:t>
            </w:r>
          </w:p>
          <w:p w14:paraId="4BB9B615">
            <w:pPr>
              <w:pageBreakBefore w:val="0"/>
              <w:kinsoku/>
              <w:wordWrap/>
              <w:overflowPunct/>
              <w:topLinePunct w:val="0"/>
              <w:autoSpaceDE/>
              <w:autoSpaceDN/>
              <w:bidi w:val="0"/>
              <w:adjustRightInd/>
              <w:snapToGrid/>
              <w:spacing w:line="56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56B61EB8">
            <w:pPr>
              <w:keepNext w:val="0"/>
              <w:keepLines w:val="0"/>
              <w:pageBreakBefore w:val="0"/>
              <w:widowControl/>
              <w:kinsoku/>
              <w:wordWrap/>
              <w:overflowPunct/>
              <w:topLinePunct w:val="0"/>
              <w:autoSpaceDE/>
              <w:autoSpaceDN/>
              <w:bidi w:val="0"/>
              <w:adjustRightInd/>
              <w:snapToGrid/>
              <w:spacing w:line="560" w:lineRule="exact"/>
              <w:ind w:right="0" w:right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）投标人应</w:t>
            </w:r>
            <w:r>
              <w:rPr>
                <w:rFonts w:hint="eastAsia" w:ascii="宋体" w:hAnsi="宋体" w:cs="宋体"/>
                <w:color w:val="auto"/>
                <w:sz w:val="24"/>
                <w:szCs w:val="24"/>
                <w:highlight w:val="none"/>
                <w:lang w:val="en-US" w:eastAsia="zh-CN"/>
              </w:rPr>
              <w:t>具备合格有效的《城镇污水排入排水管网许可证》。</w:t>
            </w:r>
          </w:p>
          <w:p w14:paraId="191E0B12">
            <w:pPr>
              <w:keepNext w:val="0"/>
              <w:keepLines w:val="0"/>
              <w:pageBreakBefore w:val="0"/>
              <w:widowControl/>
              <w:kinsoku/>
              <w:wordWrap/>
              <w:overflowPunct/>
              <w:topLinePunct w:val="0"/>
              <w:autoSpaceDE/>
              <w:autoSpaceDN/>
              <w:bidi w:val="0"/>
              <w:adjustRightInd/>
              <w:snapToGrid/>
              <w:spacing w:line="560" w:lineRule="exact"/>
              <w:ind w:right="0" w:right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，不得参加同一合同项下的政府采购活动。</w:t>
            </w:r>
          </w:p>
          <w:p w14:paraId="101FA775">
            <w:pPr>
              <w:pStyle w:val="48"/>
              <w:pageBreakBefore w:val="0"/>
              <w:widowControl/>
              <w:kinsoku/>
              <w:wordWrap/>
              <w:overflowPunct/>
              <w:topLinePunct w:val="0"/>
              <w:autoSpaceDE/>
              <w:autoSpaceDN/>
              <w:bidi w:val="0"/>
              <w:spacing w:line="560" w:lineRule="exact"/>
              <w:ind w:left="0" w:leftChars="0" w:right="0" w:rightChars="0" w:firstLine="0" w:firstLineChars="0"/>
              <w:jc w:val="left"/>
              <w:textAlignment w:val="auto"/>
              <w:rPr>
                <w:rFonts w:hint="default" w:eastAsia="宋体"/>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本项目不接受联合体投标。</w:t>
            </w:r>
          </w:p>
        </w:tc>
      </w:tr>
      <w:tr w14:paraId="2508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54" w:hRule="atLeast"/>
          <w:jc w:val="center"/>
        </w:trPr>
        <w:tc>
          <w:tcPr>
            <w:tcW w:w="672" w:type="dxa"/>
            <w:noWrap w:val="0"/>
            <w:vAlign w:val="center"/>
          </w:tcPr>
          <w:p w14:paraId="6C7FEA0E">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75" w:type="dxa"/>
            <w:gridSpan w:val="2"/>
            <w:noWrap w:val="0"/>
            <w:vAlign w:val="center"/>
          </w:tcPr>
          <w:p w14:paraId="0D2E8CA3">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471" w:type="dxa"/>
            <w:gridSpan w:val="2"/>
            <w:noWrap w:val="0"/>
            <w:vAlign w:val="center"/>
          </w:tcPr>
          <w:p w14:paraId="22FA703A">
            <w:pPr>
              <w:pStyle w:val="28"/>
              <w:pageBreakBefore w:val="0"/>
              <w:kinsoku/>
              <w:wordWrap/>
              <w:overflowPunct/>
              <w:topLinePunct w:val="0"/>
              <w:autoSpaceDE/>
              <w:autoSpaceDN/>
              <w:bidi w:val="0"/>
              <w:spacing w:line="560" w:lineRule="exact"/>
              <w:ind w:left="0" w:leftChars="0" w:right="0" w:righ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投标保证金的金额：</w:t>
            </w:r>
            <w:r>
              <w:rPr>
                <w:rFonts w:hint="eastAsia" w:ascii="宋体" w:hAnsi="宋体" w:cs="宋体"/>
                <w:color w:val="auto"/>
                <w:sz w:val="24"/>
                <w:szCs w:val="24"/>
                <w:highlight w:val="none"/>
                <w:lang w:val="en-US" w:eastAsia="zh-CN"/>
              </w:rPr>
              <w:t>8000元</w:t>
            </w:r>
          </w:p>
          <w:p w14:paraId="6C1F80F7">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w:t>
            </w:r>
            <w:r>
              <w:rPr>
                <w:rFonts w:hint="eastAsia" w:ascii="宋体" w:hAnsi="宋体" w:eastAsia="宋体" w:cs="宋体"/>
                <w:b/>
                <w:bCs/>
                <w:color w:val="auto"/>
                <w:kern w:val="0"/>
                <w:sz w:val="24"/>
                <w:szCs w:val="24"/>
                <w:highlight w:val="none"/>
                <w:lang w:eastAsia="zh-CN"/>
              </w:rPr>
              <w:t>投标保证金</w:t>
            </w:r>
            <w:r>
              <w:rPr>
                <w:rFonts w:hint="eastAsia" w:ascii="宋体" w:hAnsi="宋体" w:eastAsia="宋体" w:cs="宋体"/>
                <w:b/>
                <w:bCs/>
                <w:color w:val="auto"/>
                <w:kern w:val="0"/>
                <w:sz w:val="24"/>
                <w:szCs w:val="24"/>
                <w:highlight w:val="none"/>
              </w:rPr>
              <w:t>缴纳：</w:t>
            </w:r>
          </w:p>
          <w:p w14:paraId="03272F0C">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应当以电汇、网银、</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rPr>
              <w:t>保函等非现金形式提交</w:t>
            </w:r>
            <w:r>
              <w:rPr>
                <w:rFonts w:hint="eastAsia" w:ascii="宋体" w:hAnsi="宋体" w:eastAsia="宋体" w:cs="宋体"/>
                <w:color w:val="auto"/>
                <w:kern w:val="0"/>
                <w:sz w:val="24"/>
                <w:szCs w:val="24"/>
                <w:highlight w:val="none"/>
              </w:rPr>
              <w:t>；</w:t>
            </w:r>
          </w:p>
          <w:p w14:paraId="65C097F5">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2.缴纳</w:t>
            </w: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rPr>
              <w:t>时需备注项目名称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如字数超限，可简写</w:t>
            </w:r>
            <w:r>
              <w:rPr>
                <w:rFonts w:hint="eastAsia" w:ascii="宋体" w:hAnsi="宋体" w:eastAsia="宋体" w:cs="宋体"/>
                <w:color w:val="auto"/>
                <w:kern w:val="0"/>
                <w:sz w:val="24"/>
                <w:szCs w:val="24"/>
                <w:highlight w:val="none"/>
              </w:rPr>
              <w:t>；</w:t>
            </w:r>
          </w:p>
          <w:p w14:paraId="20E29BB8">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lang w:val="en-US" w:eastAsia="zh-CN"/>
              </w:rPr>
              <w:t>缴纳</w:t>
            </w:r>
            <w:r>
              <w:rPr>
                <w:rFonts w:hint="eastAsia" w:ascii="宋体" w:hAnsi="宋体" w:eastAsia="宋体" w:cs="宋体"/>
                <w:color w:val="auto"/>
                <w:kern w:val="0"/>
                <w:sz w:val="24"/>
                <w:szCs w:val="24"/>
                <w:highlight w:val="none"/>
              </w:rPr>
              <w:t>截止时间：同</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lang w:val="en-US" w:eastAsia="zh-CN"/>
              </w:rPr>
              <w:t>上传</w:t>
            </w:r>
            <w:r>
              <w:rPr>
                <w:rFonts w:hint="eastAsia" w:ascii="宋体" w:hAnsi="宋体" w:eastAsia="宋体" w:cs="宋体"/>
                <w:color w:val="auto"/>
                <w:kern w:val="0"/>
                <w:sz w:val="24"/>
                <w:szCs w:val="24"/>
                <w:highlight w:val="none"/>
              </w:rPr>
              <w:t>截止时间；</w:t>
            </w:r>
          </w:p>
          <w:p w14:paraId="13DAC563">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rPr>
              <w:t>缴纳账户：</w:t>
            </w:r>
          </w:p>
          <w:p w14:paraId="70356BB5">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单位名称：新疆拓源工程管理咨询有限公司</w:t>
            </w:r>
          </w:p>
          <w:p w14:paraId="7DD93950">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账号：107675470537</w:t>
            </w:r>
          </w:p>
          <w:p w14:paraId="29D38C7F">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开户行名称：</w:t>
            </w:r>
            <w:r>
              <w:rPr>
                <w:rFonts w:hint="eastAsia" w:ascii="宋体" w:hAnsi="宋体" w:cs="宋体"/>
                <w:color w:val="auto"/>
                <w:kern w:val="0"/>
                <w:sz w:val="24"/>
                <w:szCs w:val="24"/>
                <w:highlight w:val="none"/>
                <w:lang w:val="en-US" w:eastAsia="zh-CN"/>
              </w:rPr>
              <w:t>中国银行股份有限公司乌鲁木齐市银川路支行</w:t>
            </w:r>
          </w:p>
          <w:p w14:paraId="6B59BA64">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行号：104881006135</w:t>
            </w:r>
          </w:p>
          <w:p w14:paraId="17D0315F">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r>
              <w:rPr>
                <w:rFonts w:hint="eastAsia" w:ascii="宋体" w:hAnsi="宋体" w:eastAsia="宋体" w:cs="宋体"/>
                <w:b/>
                <w:bCs/>
                <w:color w:val="auto"/>
                <w:kern w:val="0"/>
                <w:sz w:val="24"/>
                <w:szCs w:val="24"/>
                <w:highlight w:val="none"/>
                <w:lang w:eastAsia="zh-CN"/>
              </w:rPr>
              <w:t>投标保证金</w:t>
            </w:r>
            <w:r>
              <w:rPr>
                <w:rFonts w:hint="eastAsia" w:ascii="宋体" w:hAnsi="宋体" w:eastAsia="宋体" w:cs="宋体"/>
                <w:b/>
                <w:bCs/>
                <w:color w:val="auto"/>
                <w:kern w:val="0"/>
                <w:sz w:val="24"/>
                <w:szCs w:val="24"/>
                <w:highlight w:val="none"/>
              </w:rPr>
              <w:t>退还：</w:t>
            </w:r>
          </w:p>
          <w:p w14:paraId="4F629992">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1.未</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rPr>
              <w:t>将在成交通知书发出后5个工作日内退还。</w:t>
            </w:r>
          </w:p>
          <w:p w14:paraId="59306D66">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rPr>
              <w:t>将在</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与采购人签订合同，并将合同递交至采购代理后5个工作日内，无息退还。</w:t>
            </w:r>
          </w:p>
          <w:p w14:paraId="5B4B9ED5">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3.有下列情形之一的，</w:t>
            </w: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rPr>
              <w:t xml:space="preserve">不予退还：详见总则第15.5条。 </w:t>
            </w:r>
          </w:p>
          <w:p w14:paraId="4FB7E023">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三、备注：</w:t>
            </w:r>
          </w:p>
          <w:p w14:paraId="36424570">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lang w:val="en-US" w:eastAsia="zh-CN"/>
              </w:rPr>
              <w:t>投标人无需前往代理公司换取收据，仅需将</w:t>
            </w: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缴纳凭证，装订在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中相应位置</w:t>
            </w:r>
            <w:r>
              <w:rPr>
                <w:rFonts w:hint="eastAsia" w:ascii="宋体" w:hAnsi="宋体" w:eastAsia="宋体" w:cs="宋体"/>
                <w:color w:val="auto"/>
                <w:sz w:val="24"/>
                <w:szCs w:val="24"/>
                <w:highlight w:val="none"/>
                <w:lang w:val="en-US" w:eastAsia="zh-CN"/>
              </w:rPr>
              <w:t>即可</w:t>
            </w:r>
            <w:r>
              <w:rPr>
                <w:rFonts w:hint="eastAsia" w:ascii="宋体" w:hAnsi="宋体" w:eastAsia="宋体" w:cs="宋体"/>
                <w:color w:val="auto"/>
                <w:sz w:val="24"/>
                <w:szCs w:val="24"/>
                <w:highlight w:val="none"/>
                <w:lang w:eastAsia="zh-CN"/>
              </w:rPr>
              <w:t>；</w:t>
            </w:r>
          </w:p>
          <w:p w14:paraId="7DC86981">
            <w:pPr>
              <w:pStyle w:val="28"/>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未按照</w:t>
            </w:r>
            <w:r>
              <w:rPr>
                <w:rFonts w:hint="eastAsia" w:ascii="宋体" w:hAnsi="宋体" w:eastAsia="宋体" w:cs="宋体"/>
                <w:b/>
                <w:bCs/>
                <w:color w:val="auto"/>
                <w:kern w:val="0"/>
                <w:sz w:val="24"/>
                <w:szCs w:val="24"/>
                <w:highlight w:val="none"/>
                <w:lang w:eastAsia="zh-CN"/>
              </w:rPr>
              <w:t>招标文件</w:t>
            </w:r>
            <w:r>
              <w:rPr>
                <w:rFonts w:hint="eastAsia" w:ascii="宋体" w:hAnsi="宋体" w:eastAsia="宋体" w:cs="宋体"/>
                <w:b/>
                <w:bCs/>
                <w:color w:val="auto"/>
                <w:kern w:val="0"/>
                <w:sz w:val="24"/>
                <w:szCs w:val="24"/>
                <w:highlight w:val="none"/>
              </w:rPr>
              <w:t>要求缴纳</w:t>
            </w:r>
            <w:r>
              <w:rPr>
                <w:rFonts w:hint="eastAsia" w:ascii="宋体" w:hAnsi="宋体" w:eastAsia="宋体" w:cs="宋体"/>
                <w:b/>
                <w:bCs/>
                <w:color w:val="auto"/>
                <w:kern w:val="0"/>
                <w:sz w:val="24"/>
                <w:szCs w:val="24"/>
                <w:highlight w:val="none"/>
                <w:lang w:eastAsia="zh-CN"/>
              </w:rPr>
              <w:t>投标保证金</w:t>
            </w:r>
            <w:r>
              <w:rPr>
                <w:rFonts w:hint="eastAsia" w:ascii="宋体" w:hAnsi="宋体" w:eastAsia="宋体" w:cs="宋体"/>
                <w:b/>
                <w:bCs/>
                <w:color w:val="auto"/>
                <w:kern w:val="0"/>
                <w:sz w:val="24"/>
                <w:szCs w:val="24"/>
                <w:highlight w:val="none"/>
              </w:rPr>
              <w:t>的，</w:t>
            </w:r>
            <w:r>
              <w:rPr>
                <w:rFonts w:hint="eastAsia" w:ascii="宋体" w:hAnsi="宋体" w:eastAsia="宋体" w:cs="宋体"/>
                <w:b/>
                <w:bCs/>
                <w:color w:val="auto"/>
                <w:kern w:val="0"/>
                <w:sz w:val="24"/>
                <w:szCs w:val="24"/>
                <w:highlight w:val="none"/>
                <w:lang w:val="en-US" w:eastAsia="zh-CN"/>
              </w:rPr>
              <w:t>投标</w:t>
            </w:r>
            <w:r>
              <w:rPr>
                <w:rFonts w:hint="eastAsia" w:ascii="宋体" w:hAnsi="宋体" w:eastAsia="宋体" w:cs="宋体"/>
                <w:b/>
                <w:bCs/>
                <w:color w:val="auto"/>
                <w:kern w:val="0"/>
                <w:sz w:val="24"/>
                <w:szCs w:val="24"/>
                <w:highlight w:val="none"/>
              </w:rPr>
              <w:t>无效。</w:t>
            </w:r>
          </w:p>
        </w:tc>
      </w:tr>
      <w:tr w14:paraId="5950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90" w:hRule="atLeast"/>
          <w:jc w:val="center"/>
        </w:trPr>
        <w:tc>
          <w:tcPr>
            <w:tcW w:w="672" w:type="dxa"/>
            <w:noWrap w:val="0"/>
            <w:vAlign w:val="center"/>
          </w:tcPr>
          <w:p w14:paraId="27242356">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375" w:type="dxa"/>
            <w:gridSpan w:val="2"/>
            <w:noWrap w:val="0"/>
            <w:vAlign w:val="center"/>
          </w:tcPr>
          <w:p w14:paraId="19D3C4BE">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6471" w:type="dxa"/>
            <w:gridSpan w:val="2"/>
            <w:noWrap w:val="0"/>
            <w:vAlign w:val="center"/>
          </w:tcPr>
          <w:p w14:paraId="6E99530D">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14:paraId="39EF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noWrap w:val="0"/>
            <w:vAlign w:val="center"/>
          </w:tcPr>
          <w:p w14:paraId="03482F5E">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374" w:type="dxa"/>
            <w:noWrap w:val="0"/>
            <w:vAlign w:val="center"/>
          </w:tcPr>
          <w:p w14:paraId="27DDF589">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471" w:type="dxa"/>
            <w:gridSpan w:val="2"/>
            <w:noWrap w:val="0"/>
            <w:vAlign w:val="center"/>
          </w:tcPr>
          <w:p w14:paraId="252AFA7A">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0785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noWrap w:val="0"/>
            <w:vAlign w:val="center"/>
          </w:tcPr>
          <w:p w14:paraId="18B7EC64">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374" w:type="dxa"/>
            <w:noWrap w:val="0"/>
            <w:vAlign w:val="center"/>
          </w:tcPr>
          <w:p w14:paraId="75AB5698">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rPr>
              <w:t>文件</w:t>
            </w:r>
            <w:r>
              <w:rPr>
                <w:rFonts w:hint="eastAsia" w:ascii="宋体" w:hAnsi="宋体" w:eastAsia="宋体" w:cs="宋体"/>
                <w:b w:val="0"/>
                <w:bCs/>
                <w:color w:val="auto"/>
                <w:sz w:val="24"/>
                <w:szCs w:val="24"/>
                <w:highlight w:val="none"/>
                <w:lang w:val="en-US" w:eastAsia="zh-CN"/>
              </w:rPr>
              <w:t>份数、</w:t>
            </w:r>
            <w:r>
              <w:rPr>
                <w:rFonts w:hint="eastAsia" w:ascii="宋体" w:hAnsi="宋体" w:eastAsia="宋体" w:cs="宋体"/>
                <w:b w:val="0"/>
                <w:bCs/>
                <w:color w:val="auto"/>
                <w:sz w:val="24"/>
                <w:szCs w:val="24"/>
                <w:highlight w:val="none"/>
              </w:rPr>
              <w:t>上传截止时间</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地点</w:t>
            </w:r>
          </w:p>
        </w:tc>
        <w:tc>
          <w:tcPr>
            <w:tcW w:w="6471" w:type="dxa"/>
            <w:gridSpan w:val="2"/>
            <w:noWrap w:val="0"/>
            <w:vAlign w:val="center"/>
          </w:tcPr>
          <w:p w14:paraId="78C3E3E6">
            <w:pPr>
              <w:pStyle w:val="48"/>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lang w:eastAsia="zh-CN"/>
              </w:rPr>
              <w:t>电子加密投标文件1份，无正副本区别，仅需</w:t>
            </w:r>
            <w:r>
              <w:rPr>
                <w:rFonts w:hint="eastAsia" w:ascii="宋体" w:hAnsi="宋体" w:eastAsia="宋体" w:cs="宋体"/>
                <w:b w:val="0"/>
                <w:bCs/>
                <w:color w:val="auto"/>
                <w:kern w:val="0"/>
                <w:sz w:val="24"/>
                <w:szCs w:val="24"/>
                <w:highlight w:val="none"/>
                <w:lang w:val="en-US" w:eastAsia="zh-CN"/>
              </w:rPr>
              <w:t>在规定时间内向政采云系统</w:t>
            </w:r>
            <w:r>
              <w:rPr>
                <w:rFonts w:hint="eastAsia" w:ascii="宋体" w:hAnsi="宋体" w:eastAsia="宋体" w:cs="宋体"/>
                <w:b w:val="0"/>
                <w:bCs/>
                <w:color w:val="auto"/>
                <w:kern w:val="0"/>
                <w:sz w:val="24"/>
                <w:szCs w:val="24"/>
                <w:highlight w:val="none"/>
                <w:lang w:eastAsia="zh-CN"/>
              </w:rPr>
              <w:t>上传即可）。</w:t>
            </w:r>
          </w:p>
          <w:p w14:paraId="5161EF49">
            <w:pPr>
              <w:pStyle w:val="48"/>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b w:val="0"/>
                <w:bCs/>
                <w:color w:val="auto"/>
                <w:kern w:val="0"/>
                <w:sz w:val="24"/>
                <w:szCs w:val="24"/>
                <w:highlight w:val="none"/>
                <w:lang w:eastAsia="zh-CN"/>
              </w:rPr>
            </w:pPr>
            <w:r>
              <w:rPr>
                <w:rFonts w:hint="eastAsia" w:ascii="宋体" w:hAnsi="宋体" w:cs="宋体"/>
                <w:b w:val="0"/>
                <w:bCs/>
                <w:color w:val="auto"/>
                <w:sz w:val="24"/>
                <w:szCs w:val="24"/>
                <w:highlight w:val="none"/>
                <w:lang w:val="en-US" w:eastAsia="zh-CN"/>
              </w:rPr>
              <w:t>中标</w:t>
            </w:r>
            <w:r>
              <w:rPr>
                <w:rFonts w:hint="eastAsia" w:ascii="宋体" w:hAnsi="宋体" w:eastAsia="宋体" w:cs="宋体"/>
                <w:b w:val="0"/>
                <w:bCs/>
                <w:color w:val="auto"/>
                <w:sz w:val="24"/>
                <w:szCs w:val="24"/>
                <w:highlight w:val="none"/>
                <w:lang w:val="en-US" w:eastAsia="zh-CN"/>
              </w:rPr>
              <w:t>人须在</w:t>
            </w:r>
            <w:r>
              <w:rPr>
                <w:rFonts w:hint="eastAsia" w:ascii="宋体" w:hAnsi="宋体" w:eastAsia="宋体" w:cs="宋体"/>
                <w:b/>
                <w:bCs w:val="0"/>
                <w:color w:val="auto"/>
                <w:sz w:val="24"/>
                <w:szCs w:val="24"/>
                <w:highlight w:val="none"/>
                <w:lang w:val="en-US" w:eastAsia="zh-CN"/>
              </w:rPr>
              <w:t>招标结束后五个工作日内</w:t>
            </w:r>
            <w:r>
              <w:rPr>
                <w:rFonts w:hint="eastAsia" w:ascii="宋体" w:hAnsi="宋体" w:eastAsia="宋体" w:cs="宋体"/>
                <w:b w:val="0"/>
                <w:bCs/>
                <w:color w:val="auto"/>
                <w:sz w:val="24"/>
                <w:szCs w:val="24"/>
                <w:highlight w:val="none"/>
                <w:lang w:val="en-US" w:eastAsia="zh-CN"/>
              </w:rPr>
              <w:t>向采购代理机构递交</w:t>
            </w:r>
            <w:r>
              <w:rPr>
                <w:rFonts w:hint="eastAsia" w:ascii="宋体" w:hAnsi="宋体" w:eastAsia="宋体" w:cs="宋体"/>
                <w:b/>
                <w:bCs w:val="0"/>
                <w:color w:val="auto"/>
                <w:sz w:val="24"/>
                <w:szCs w:val="24"/>
                <w:highlight w:val="none"/>
                <w:lang w:val="en-US" w:eastAsia="zh-CN"/>
              </w:rPr>
              <w:t>签章纸质版投标文件一正一副胶装成册（用于档案资料编制），</w:t>
            </w:r>
            <w:r>
              <w:rPr>
                <w:rFonts w:hint="eastAsia" w:ascii="宋体" w:hAnsi="宋体" w:eastAsia="宋体" w:cs="宋体"/>
                <w:b w:val="0"/>
                <w:bCs/>
                <w:color w:val="auto"/>
                <w:sz w:val="24"/>
                <w:szCs w:val="24"/>
                <w:highlight w:val="none"/>
                <w:lang w:val="en-US" w:eastAsia="zh-CN"/>
              </w:rPr>
              <w:t>纸质版投标文件须与政采云平台上传的电子版投标文件保持一致。</w:t>
            </w:r>
          </w:p>
          <w:p w14:paraId="309AA1A1">
            <w:pPr>
              <w:pStyle w:val="48"/>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lang w:eastAsia="zh-CN"/>
              </w:rPr>
              <w:t>）投标文件</w:t>
            </w:r>
            <w:r>
              <w:rPr>
                <w:rFonts w:hint="eastAsia" w:ascii="宋体" w:hAnsi="宋体" w:eastAsia="宋体" w:cs="宋体"/>
                <w:b w:val="0"/>
                <w:bCs/>
                <w:color w:val="auto"/>
                <w:kern w:val="0"/>
                <w:sz w:val="24"/>
                <w:szCs w:val="24"/>
                <w:highlight w:val="none"/>
              </w:rPr>
              <w:t>上传截止时间：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01</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20</w:t>
            </w:r>
            <w:r>
              <w:rPr>
                <w:rFonts w:hint="eastAsia" w:ascii="宋体" w:hAnsi="宋体" w:eastAsia="宋体" w:cs="宋体"/>
                <w:bCs/>
                <w:color w:val="auto"/>
                <w:sz w:val="24"/>
                <w:szCs w:val="24"/>
                <w:highlight w:val="none"/>
                <w:u w:val="single"/>
              </w:rPr>
              <w:t>日1</w:t>
            </w:r>
            <w:r>
              <w:rPr>
                <w:rFonts w:hint="eastAsia" w:ascii="宋体" w:hAnsi="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点00分</w:t>
            </w:r>
            <w:r>
              <w:rPr>
                <w:rFonts w:hint="eastAsia" w:ascii="宋体" w:hAnsi="宋体" w:eastAsia="宋体" w:cs="宋体"/>
                <w:b w:val="0"/>
                <w:bCs/>
                <w:color w:val="auto"/>
                <w:kern w:val="0"/>
                <w:sz w:val="24"/>
                <w:szCs w:val="24"/>
                <w:highlight w:val="none"/>
              </w:rPr>
              <w:t>（北京时间）</w:t>
            </w:r>
          </w:p>
          <w:p w14:paraId="6D370B0E">
            <w:pPr>
              <w:pageBreakBefore w:val="0"/>
              <w:widowControl/>
              <w:kinsoku/>
              <w:wordWrap/>
              <w:overflowPunct/>
              <w:topLinePunct w:val="0"/>
              <w:autoSpaceDE/>
              <w:autoSpaceDN/>
              <w:bidi w:val="0"/>
              <w:spacing w:line="560" w:lineRule="exact"/>
              <w:ind w:left="0" w:leftChars="0" w:right="0" w:righ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eastAsia="zh-CN"/>
              </w:rPr>
              <w:t>投标文件</w:t>
            </w:r>
            <w:r>
              <w:rPr>
                <w:rFonts w:hint="eastAsia" w:ascii="宋体" w:hAnsi="宋体" w:eastAsia="宋体" w:cs="宋体"/>
                <w:b w:val="0"/>
                <w:bCs/>
                <w:color w:val="auto"/>
                <w:kern w:val="0"/>
                <w:sz w:val="24"/>
                <w:szCs w:val="24"/>
                <w:highlight w:val="none"/>
              </w:rPr>
              <w:t>上传地点：在</w:t>
            </w:r>
            <w:r>
              <w:rPr>
                <w:rFonts w:hint="eastAsia" w:ascii="宋体" w:hAnsi="宋体" w:eastAsia="宋体" w:cs="宋体"/>
                <w:b w:val="0"/>
                <w:bCs/>
                <w:color w:val="auto"/>
                <w:kern w:val="0"/>
                <w:sz w:val="24"/>
                <w:szCs w:val="24"/>
                <w:highlight w:val="none"/>
                <w:lang w:val="en-US" w:eastAsia="zh-CN"/>
              </w:rPr>
              <w:t>投标</w:t>
            </w:r>
            <w:r>
              <w:rPr>
                <w:rFonts w:hint="eastAsia" w:ascii="宋体" w:hAnsi="宋体" w:eastAsia="宋体" w:cs="宋体"/>
                <w:b w:val="0"/>
                <w:bCs/>
                <w:color w:val="auto"/>
                <w:kern w:val="0"/>
                <w:sz w:val="24"/>
                <w:szCs w:val="24"/>
                <w:highlight w:val="none"/>
              </w:rPr>
              <w:t>截止时间前将电子加密</w:t>
            </w:r>
            <w:r>
              <w:rPr>
                <w:rFonts w:hint="eastAsia" w:ascii="宋体" w:hAnsi="宋体" w:eastAsia="宋体" w:cs="宋体"/>
                <w:b w:val="0"/>
                <w:bCs/>
                <w:color w:val="auto"/>
                <w:kern w:val="0"/>
                <w:sz w:val="24"/>
                <w:szCs w:val="24"/>
                <w:highlight w:val="none"/>
                <w:lang w:eastAsia="zh-CN"/>
              </w:rPr>
              <w:t>投标文件</w:t>
            </w:r>
            <w:r>
              <w:rPr>
                <w:rFonts w:hint="eastAsia" w:ascii="宋体" w:hAnsi="宋体" w:eastAsia="宋体" w:cs="宋体"/>
                <w:b w:val="0"/>
                <w:bCs/>
                <w:color w:val="auto"/>
                <w:kern w:val="0"/>
                <w:sz w:val="24"/>
                <w:szCs w:val="24"/>
                <w:highlight w:val="none"/>
              </w:rPr>
              <w:t>成功上传至“政府采购云平台”</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投标人</w:t>
            </w:r>
            <w:r>
              <w:rPr>
                <w:rFonts w:hint="eastAsia" w:ascii="宋体" w:hAnsi="宋体" w:eastAsia="宋体" w:cs="宋体"/>
                <w:b w:val="0"/>
                <w:bCs/>
                <w:color w:val="auto"/>
                <w:kern w:val="0"/>
                <w:sz w:val="24"/>
                <w:szCs w:val="24"/>
                <w:highlight w:val="none"/>
                <w:lang w:eastAsia="zh-CN"/>
              </w:rPr>
              <w:t>成功上传电子加密投标文件后，可自行打印投标文件接收回执</w:t>
            </w:r>
            <w:r>
              <w:rPr>
                <w:rFonts w:hint="eastAsia" w:ascii="宋体" w:hAnsi="宋体" w:eastAsia="宋体" w:cs="宋体"/>
                <w:b w:val="0"/>
                <w:bCs/>
                <w:color w:val="auto"/>
                <w:sz w:val="24"/>
                <w:szCs w:val="24"/>
                <w:highlight w:val="none"/>
              </w:rPr>
              <w:t>。</w:t>
            </w:r>
          </w:p>
          <w:p w14:paraId="1751BBBF">
            <w:pPr>
              <w:pStyle w:val="43"/>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）电子投标文件包括“电子加密投标文件”和“备份投标文件”，在投标文件编制完成后同时生成。</w:t>
            </w:r>
          </w:p>
          <w:p w14:paraId="28F2B7D2">
            <w:pPr>
              <w:pStyle w:val="43"/>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①</w:t>
            </w:r>
            <w:r>
              <w:rPr>
                <w:rFonts w:hint="eastAsia" w:ascii="宋体" w:hAnsi="宋体" w:eastAsia="宋体" w:cs="宋体"/>
                <w:b w:val="0"/>
                <w:bCs/>
                <w:color w:val="auto"/>
                <w:sz w:val="24"/>
                <w:szCs w:val="24"/>
                <w:highlight w:val="none"/>
                <w:lang w:eastAsia="zh-CN"/>
              </w:rPr>
              <w:t>“电子加密投标文件（“.jmbs”格式）”是指通过“政采云电子交易客户端”完成投标文件编制后生成并加密的数据电文形式的投标文件。</w:t>
            </w:r>
          </w:p>
          <w:p w14:paraId="2F295244">
            <w:pPr>
              <w:pStyle w:val="43"/>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②</w:t>
            </w:r>
            <w:r>
              <w:rPr>
                <w:rFonts w:hint="eastAsia" w:ascii="宋体" w:hAnsi="宋体" w:eastAsia="宋体" w:cs="宋体"/>
                <w:b w:val="0"/>
                <w:bCs/>
                <w:color w:val="auto"/>
                <w:sz w:val="24"/>
                <w:szCs w:val="24"/>
                <w:highlight w:val="none"/>
                <w:lang w:eastAsia="zh-CN"/>
              </w:rPr>
              <w:t>“备份投标文件（“.bfbs”格式）”是指与“电子加密投标文件”同时生成的数据电文形式的电子文件（备份标书，用于投标人标书解密异常时应急使用），其他方式编制的备份投标文件视为无效备份投标文件。</w:t>
            </w:r>
          </w:p>
        </w:tc>
      </w:tr>
      <w:tr w14:paraId="5C50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noWrap w:val="0"/>
            <w:vAlign w:val="center"/>
          </w:tcPr>
          <w:p w14:paraId="1B25AAFF">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374" w:type="dxa"/>
            <w:noWrap w:val="0"/>
            <w:vAlign w:val="center"/>
          </w:tcPr>
          <w:p w14:paraId="7C5EF442">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重要说明</w:t>
            </w:r>
          </w:p>
        </w:tc>
        <w:tc>
          <w:tcPr>
            <w:tcW w:w="6471" w:type="dxa"/>
            <w:gridSpan w:val="2"/>
            <w:noWrap w:val="0"/>
            <w:vAlign w:val="center"/>
          </w:tcPr>
          <w:p w14:paraId="7D380E26">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1、电子招投标情况说明：</w:t>
            </w:r>
          </w:p>
          <w:p w14:paraId="14B9FCB8">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color w:val="auto"/>
                <w:sz w:val="24"/>
                <w:szCs w:val="24"/>
                <w:highlight w:val="none"/>
              </w:rPr>
              <w:t>电子招投标</w:t>
            </w:r>
            <w:r>
              <w:rPr>
                <w:rFonts w:hint="eastAsia" w:ascii="宋体" w:hAnsi="宋体" w:eastAsia="宋体" w:cs="宋体"/>
                <w:color w:val="auto"/>
                <w:sz w:val="24"/>
                <w:szCs w:val="24"/>
                <w:highlight w:val="none"/>
              </w:rPr>
              <w:t>：本项目以数据电文形式，依托“政府采购云平台（www.zcygov.cn）”进行招投标活动</w:t>
            </w:r>
            <w:r>
              <w:rPr>
                <w:rFonts w:hint="eastAsia" w:ascii="宋体" w:hAnsi="宋体" w:eastAsia="宋体" w:cs="宋体"/>
                <w:b/>
                <w:bCs/>
                <w:color w:val="auto"/>
                <w:sz w:val="24"/>
                <w:szCs w:val="24"/>
                <w:highlight w:val="none"/>
              </w:rPr>
              <w:t>。</w:t>
            </w:r>
          </w:p>
          <w:p w14:paraId="3C911F1E">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color w:val="auto"/>
                <w:sz w:val="24"/>
                <w:szCs w:val="24"/>
                <w:highlight w:val="none"/>
              </w:rPr>
              <w:t>投标准备</w:t>
            </w:r>
            <w:r>
              <w:rPr>
                <w:rFonts w:hint="eastAsia" w:ascii="宋体" w:hAnsi="宋体" w:eastAsia="宋体" w:cs="宋体"/>
                <w:color w:val="auto"/>
                <w:sz w:val="24"/>
                <w:szCs w:val="24"/>
                <w:highlight w:val="none"/>
              </w:rPr>
              <w:t>：注册账号--点击“商家入驻”，进行政府采购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资料填写；申领CA数字证书---申领流程详见“</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政府采购网-下载专区-电子交易客户端-CA驱动和申领流程”；安装“政采云电子交易客户端”----前往“</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政府采购网-下载专区-政采云</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客户端”进行下载并安装。</w:t>
            </w:r>
          </w:p>
          <w:p w14:paraId="1573BA10">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color w:val="auto"/>
                <w:sz w:val="24"/>
                <w:szCs w:val="24"/>
                <w:highlight w:val="none"/>
              </w:rPr>
              <w:t>采购文件的获取</w:t>
            </w:r>
            <w:r>
              <w:rPr>
                <w:rFonts w:hint="eastAsia" w:ascii="宋体" w:hAnsi="宋体" w:eastAsia="宋体" w:cs="宋体"/>
                <w:color w:val="auto"/>
                <w:sz w:val="24"/>
                <w:szCs w:val="24"/>
                <w:highlight w:val="none"/>
              </w:rPr>
              <w:t>：使用账号登录或者</w:t>
            </w:r>
            <w:r>
              <w:rPr>
                <w:rFonts w:hint="eastAsia" w:ascii="宋体" w:hAnsi="宋体" w:eastAsia="宋体" w:cs="宋体"/>
                <w:color w:val="auto"/>
                <w:sz w:val="24"/>
                <w:szCs w:val="24"/>
                <w:highlight w:val="none"/>
                <w:lang w:bidi="zh-CN"/>
              </w:rPr>
              <w:t>短信验证码</w:t>
            </w:r>
            <w:r>
              <w:rPr>
                <w:rFonts w:hint="eastAsia" w:ascii="宋体" w:hAnsi="宋体" w:eastAsia="宋体" w:cs="宋体"/>
                <w:color w:val="auto"/>
                <w:sz w:val="24"/>
                <w:szCs w:val="24"/>
                <w:highlight w:val="none"/>
              </w:rPr>
              <w:t>或者使用CA登录政采云平台；进入“项目采购”应用，在获取采购文件菜单中选择项目，获取采购文件。</w:t>
            </w:r>
          </w:p>
          <w:p w14:paraId="3452787F">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
                <w:color w:val="auto"/>
                <w:sz w:val="24"/>
                <w:szCs w:val="24"/>
                <w:highlight w:val="none"/>
              </w:rPr>
              <w:t>投标文件的制作</w:t>
            </w:r>
            <w:r>
              <w:rPr>
                <w:rFonts w:hint="eastAsia" w:ascii="宋体" w:hAnsi="宋体" w:eastAsia="宋体" w:cs="宋体"/>
                <w:color w:val="auto"/>
                <w:sz w:val="24"/>
                <w:szCs w:val="24"/>
                <w:highlight w:val="none"/>
              </w:rPr>
              <w:t>：在“政采云</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客户端”中完成“填写基本信息”、“导入投标文件”、“标书关联”、“标书检查”、“电子签名”、“生成电子标书”等操作。</w:t>
            </w:r>
          </w:p>
          <w:p w14:paraId="67205DE7">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b/>
                <w:color w:val="auto"/>
                <w:sz w:val="24"/>
                <w:szCs w:val="24"/>
                <w:highlight w:val="none"/>
              </w:rPr>
              <w:t>投标文件的递交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在投标截止时间前将加密的投标文件上传至政府采购云平台</w:t>
            </w:r>
            <w:r>
              <w:rPr>
                <w:rFonts w:hint="eastAsia" w:ascii="宋体" w:hAnsi="宋体" w:cs="宋体"/>
                <w:color w:val="auto"/>
                <w:sz w:val="24"/>
                <w:szCs w:val="24"/>
                <w:highlight w:val="none"/>
                <w:lang w:eastAsia="zh-CN"/>
              </w:rPr>
              <w:t>。</w:t>
            </w:r>
          </w:p>
          <w:p w14:paraId="0652CE66">
            <w:pPr>
              <w:pageBreakBefore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投标文件的解密</w:t>
            </w:r>
            <w:r>
              <w:rPr>
                <w:rFonts w:hint="eastAsia" w:ascii="宋体" w:hAnsi="宋体" w:eastAsia="宋体" w:cs="宋体"/>
                <w:color w:val="auto"/>
                <w:sz w:val="24"/>
                <w:szCs w:val="24"/>
                <w:highlight w:val="none"/>
              </w:rPr>
              <w:t>：投标文件解密时间30分钟，开标前需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用CA证书登录政采云平台开标大厅签到，在30分钟解密时间内输入CA证书PIN码解密投标文件。在30分钟解密时间内未进行解密的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将导致投标无效。（解密时间开始时政采云平台将以短信形式向投标人在政采云平台预留的手机号发送短信通知，请投标人及时关注。）</w:t>
            </w:r>
          </w:p>
          <w:p w14:paraId="10D3ADDF">
            <w:pPr>
              <w:pageBreakBefore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bCs/>
                <w:color w:val="auto"/>
                <w:sz w:val="24"/>
                <w:szCs w:val="24"/>
                <w:highlight w:val="none"/>
              </w:rPr>
              <w:t>投标人报价CA签字确认：</w:t>
            </w:r>
            <w:r>
              <w:rPr>
                <w:rFonts w:hint="eastAsia" w:ascii="宋体" w:hAnsi="宋体" w:eastAsia="宋体" w:cs="宋体"/>
                <w:color w:val="auto"/>
                <w:sz w:val="24"/>
                <w:szCs w:val="24"/>
                <w:highlight w:val="none"/>
              </w:rPr>
              <w:t>报价文件开启后将开启签字时段，投标人须在20分钟内用CA证书对报价进行签字确认。</w:t>
            </w:r>
          </w:p>
          <w:p w14:paraId="28124993">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w:t>
            </w:r>
            <w:r>
              <w:rPr>
                <w:rFonts w:hint="eastAsia" w:ascii="宋体" w:hAnsi="宋体" w:eastAsia="宋体" w:cs="宋体"/>
                <w:b/>
                <w:bCs/>
                <w:color w:val="auto"/>
                <w:sz w:val="24"/>
                <w:szCs w:val="24"/>
                <w:highlight w:val="none"/>
              </w:rPr>
              <w:t>具</w:t>
            </w:r>
            <w:r>
              <w:rPr>
                <w:rFonts w:hint="eastAsia" w:ascii="宋体" w:hAnsi="宋体" w:eastAsia="宋体" w:cs="宋体"/>
                <w:b/>
                <w:color w:val="auto"/>
                <w:sz w:val="24"/>
                <w:szCs w:val="24"/>
                <w:highlight w:val="none"/>
              </w:rPr>
              <w:t>体操作指南</w:t>
            </w:r>
            <w:r>
              <w:rPr>
                <w:rFonts w:hint="eastAsia" w:ascii="宋体" w:hAnsi="宋体" w:eastAsia="宋体" w:cs="宋体"/>
                <w:color w:val="auto"/>
                <w:sz w:val="24"/>
                <w:szCs w:val="24"/>
                <w:highlight w:val="none"/>
              </w:rPr>
              <w:t>：详见政采云平台“服务中心-帮助文档-项目采购-操作流程-电子招投标-政府采购项目电子交易管理操作指南-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5CAB4685">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在进行上述操作时，如遇技术问题可登录政采云（https://</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"http://www.zcygov.cn/" \h</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），点击右侧咨询小采，获取采小蜜智能服务管家帮助，或拨打政采云服务热线</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获取热线服务帮助。</w:t>
            </w:r>
          </w:p>
          <w:p w14:paraId="2A7FDC6B">
            <w:pPr>
              <w:pageBreakBefore w:val="0"/>
              <w:kinsoku/>
              <w:wordWrap/>
              <w:overflowPunct/>
              <w:topLinePunct w:val="0"/>
              <w:autoSpaceDE/>
              <w:autoSpaceDN/>
              <w:bidi w:val="0"/>
              <w:spacing w:line="560" w:lineRule="exact"/>
              <w:ind w:left="0" w:leftChars="0" w:right="0" w:righ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highlight w:val="none"/>
              </w:rPr>
              <w:t>温馨提醒：</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应提前上传，以便在上传时遇到技术问题，有充足的时间请教平台的技术人员。</w:t>
            </w:r>
          </w:p>
        </w:tc>
      </w:tr>
      <w:tr w14:paraId="08B6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noWrap w:val="0"/>
            <w:vAlign w:val="center"/>
          </w:tcPr>
          <w:p w14:paraId="1C67209C">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374" w:type="dxa"/>
            <w:noWrap w:val="0"/>
            <w:vAlign w:val="center"/>
          </w:tcPr>
          <w:p w14:paraId="7DFBF1DF">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6471" w:type="dxa"/>
            <w:gridSpan w:val="2"/>
            <w:noWrap w:val="0"/>
            <w:vAlign w:val="center"/>
          </w:tcPr>
          <w:p w14:paraId="3D4A6EE0">
            <w:pPr>
              <w:pageBreakBefore w:val="0"/>
              <w:numPr>
                <w:ilvl w:val="0"/>
                <w:numId w:val="0"/>
              </w:numPr>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报价包括所投货物相关人工费、税费、保险费、运输费、装卸费、安装费、</w:t>
            </w:r>
            <w:r>
              <w:rPr>
                <w:rFonts w:hint="eastAsia" w:ascii="宋体" w:hAnsi="宋体" w:eastAsia="宋体" w:cs="宋体"/>
                <w:color w:val="auto"/>
                <w:sz w:val="24"/>
                <w:szCs w:val="24"/>
                <w:highlight w:val="none"/>
              </w:rPr>
              <w:t>调试、培训</w:t>
            </w:r>
            <w:r>
              <w:rPr>
                <w:rFonts w:hint="eastAsia" w:ascii="宋体" w:hAnsi="宋体" w:eastAsia="宋体" w:cs="宋体"/>
                <w:color w:val="auto"/>
                <w:sz w:val="24"/>
                <w:szCs w:val="24"/>
                <w:highlight w:val="none"/>
                <w:lang w:eastAsia="zh-CN"/>
              </w:rPr>
              <w:t>等所有技术和售后服务费用</w:t>
            </w:r>
            <w:r>
              <w:rPr>
                <w:rFonts w:hint="eastAsia" w:ascii="宋体" w:hAnsi="宋体" w:eastAsia="宋体" w:cs="宋体"/>
                <w:color w:val="auto"/>
                <w:sz w:val="24"/>
                <w:szCs w:val="24"/>
                <w:highlight w:val="none"/>
                <w:lang w:val="en-US" w:eastAsia="zh-CN"/>
              </w:rPr>
              <w:t>的总价。</w:t>
            </w:r>
          </w:p>
          <w:p w14:paraId="113875DC">
            <w:pPr>
              <w:pageBreakBefore w:val="0"/>
              <w:numPr>
                <w:ilvl w:val="0"/>
                <w:numId w:val="0"/>
              </w:numPr>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szCs w:val="24"/>
                <w:highlight w:val="none"/>
              </w:rPr>
              <w:t>投标人的报价明显低于其他通过符合性审查投标人的报价，有可能影响货物质量或者不能诚信履约的，应当要求其在评标现场合理的时间内提供</w:t>
            </w:r>
            <w:r>
              <w:rPr>
                <w:rFonts w:hint="eastAsia" w:ascii="宋体" w:hAnsi="宋体" w:cs="宋体"/>
                <w:color w:val="auto"/>
                <w:sz w:val="24"/>
                <w:szCs w:val="24"/>
                <w:highlight w:val="none"/>
                <w:lang w:val="en-US" w:eastAsia="zh-CN"/>
              </w:rPr>
              <w:t>报价合理性</w:t>
            </w:r>
            <w:r>
              <w:rPr>
                <w:rFonts w:hint="eastAsia" w:ascii="宋体" w:hAnsi="宋体" w:eastAsia="宋体" w:cs="宋体"/>
                <w:color w:val="auto"/>
                <w:sz w:val="24"/>
                <w:szCs w:val="24"/>
                <w:highlight w:val="none"/>
              </w:rPr>
              <w:t>说明，必要时提交相关证明材料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投标人不能证明其报价合理性的，评标委员会将其作为无效投标处理，自行承担相关责任。</w:t>
            </w:r>
          </w:p>
        </w:tc>
      </w:tr>
      <w:tr w14:paraId="0DF6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noWrap w:val="0"/>
            <w:vAlign w:val="center"/>
          </w:tcPr>
          <w:p w14:paraId="56002980">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374" w:type="dxa"/>
            <w:noWrap w:val="0"/>
            <w:vAlign w:val="center"/>
          </w:tcPr>
          <w:p w14:paraId="27FB8991">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471" w:type="dxa"/>
            <w:gridSpan w:val="2"/>
            <w:noWrap w:val="0"/>
            <w:vAlign w:val="center"/>
          </w:tcPr>
          <w:p w14:paraId="0CAAEEC7">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color w:val="auto"/>
                <w:highlight w:val="none"/>
              </w:rPr>
            </w:pPr>
            <w:r>
              <w:rPr>
                <w:rFonts w:hint="eastAsia" w:ascii="宋体" w:hAnsi="宋体" w:eastAsia="宋体" w:cs="宋体"/>
                <w:color w:val="auto"/>
                <w:sz w:val="24"/>
                <w:szCs w:val="24"/>
                <w:highlight w:val="none"/>
              </w:rPr>
              <w:t>不组织，投标人自行踏勘，无论投标人对现场考察与否，都将被视为熟悉履行合同有关的一切情况，投标人现场踏勘发生的费用自理。</w:t>
            </w:r>
          </w:p>
        </w:tc>
      </w:tr>
      <w:tr w14:paraId="3B19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11" w:hRule="atLeast"/>
          <w:jc w:val="center"/>
        </w:trPr>
        <w:tc>
          <w:tcPr>
            <w:tcW w:w="673" w:type="dxa"/>
            <w:gridSpan w:val="2"/>
            <w:noWrap w:val="0"/>
            <w:vAlign w:val="center"/>
          </w:tcPr>
          <w:p w14:paraId="5F3F8127">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374" w:type="dxa"/>
            <w:noWrap w:val="0"/>
            <w:vAlign w:val="center"/>
          </w:tcPr>
          <w:p w14:paraId="467B8859">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投标答疑会</w:t>
            </w:r>
          </w:p>
        </w:tc>
        <w:tc>
          <w:tcPr>
            <w:tcW w:w="6471" w:type="dxa"/>
            <w:gridSpan w:val="2"/>
            <w:noWrap w:val="0"/>
            <w:vAlign w:val="center"/>
          </w:tcPr>
          <w:p w14:paraId="0BD76CAB">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r>
              <w:rPr>
                <w:rFonts w:hint="eastAsia" w:ascii="宋体" w:hAnsi="宋体" w:cs="宋体"/>
                <w:color w:val="auto"/>
                <w:sz w:val="24"/>
                <w:szCs w:val="24"/>
                <w:highlight w:val="none"/>
                <w:lang w:eastAsia="zh-CN"/>
              </w:rPr>
              <w:t>。</w:t>
            </w:r>
          </w:p>
        </w:tc>
      </w:tr>
      <w:tr w14:paraId="14F5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noWrap w:val="0"/>
            <w:vAlign w:val="center"/>
          </w:tcPr>
          <w:p w14:paraId="0BEDFE44">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374" w:type="dxa"/>
            <w:noWrap w:val="0"/>
            <w:vAlign w:val="center"/>
          </w:tcPr>
          <w:p w14:paraId="7DA4F790">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近年财务状况年份要求</w:t>
            </w:r>
          </w:p>
        </w:tc>
        <w:tc>
          <w:tcPr>
            <w:tcW w:w="6471" w:type="dxa"/>
            <w:gridSpan w:val="2"/>
            <w:noWrap w:val="0"/>
            <w:vAlign w:val="center"/>
          </w:tcPr>
          <w:p w14:paraId="62B79CCC">
            <w:pPr>
              <w:pStyle w:val="24"/>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近6个月内任意</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个月银行资信证明或</w:t>
            </w:r>
            <w:r>
              <w:rPr>
                <w:rFonts w:hint="eastAsia" w:ascii="宋体" w:hAnsi="宋体" w:eastAsia="宋体" w:cs="宋体"/>
                <w:color w:val="auto"/>
                <w:sz w:val="24"/>
                <w:szCs w:val="24"/>
                <w:highlight w:val="none"/>
                <w:lang w:val="en-US" w:eastAsia="zh-CN"/>
              </w:rPr>
              <w:t>上一年度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2023年度</w:t>
            </w:r>
            <w:r>
              <w:rPr>
                <w:rFonts w:hint="eastAsia" w:ascii="宋体" w:hAnsi="宋体" w:eastAsia="宋体" w:cs="宋体"/>
                <w:color w:val="auto"/>
                <w:sz w:val="24"/>
                <w:szCs w:val="24"/>
                <w:highlight w:val="none"/>
              </w:rPr>
              <w:t>）经审计的审计报告（提供任一项即可，自然人无需提供）。</w:t>
            </w:r>
          </w:p>
          <w:p w14:paraId="37325E62">
            <w:pPr>
              <w:pStyle w:val="24"/>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新成立企业仅需提供近6个月内任意</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个月银行资信证明即可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新成立企业是指：营业执照申领时间至</w:t>
            </w:r>
            <w:r>
              <w:rPr>
                <w:rFonts w:hint="eastAsia" w:ascii="宋体" w:hAnsi="宋体" w:eastAsia="宋体" w:cs="宋体"/>
                <w:color w:val="auto"/>
                <w:sz w:val="24"/>
                <w:szCs w:val="24"/>
                <w:highlight w:val="none"/>
                <w:lang w:val="en-US" w:eastAsia="zh-CN"/>
              </w:rPr>
              <w:t>投标截止时间</w:t>
            </w:r>
            <w:r>
              <w:rPr>
                <w:rFonts w:hint="eastAsia" w:ascii="宋体" w:hAnsi="宋体" w:eastAsia="宋体" w:cs="宋体"/>
                <w:color w:val="auto"/>
                <w:sz w:val="24"/>
                <w:szCs w:val="24"/>
                <w:highlight w:val="none"/>
              </w:rPr>
              <w:t>未满一年的企业</w:t>
            </w:r>
            <w:r>
              <w:rPr>
                <w:rFonts w:hint="eastAsia" w:ascii="宋体" w:hAnsi="宋体" w:eastAsia="宋体" w:cs="宋体"/>
                <w:color w:val="auto"/>
                <w:sz w:val="24"/>
                <w:szCs w:val="24"/>
                <w:highlight w:val="none"/>
                <w:lang w:eastAsia="zh-CN"/>
              </w:rPr>
              <w:t>。</w:t>
            </w:r>
          </w:p>
        </w:tc>
      </w:tr>
      <w:tr w14:paraId="0B38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noWrap w:val="0"/>
            <w:vAlign w:val="center"/>
          </w:tcPr>
          <w:p w14:paraId="59A9E308">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374" w:type="dxa"/>
            <w:noWrap w:val="0"/>
            <w:vAlign w:val="center"/>
          </w:tcPr>
          <w:p w14:paraId="3A318E7C">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投标有效期</w:t>
            </w:r>
          </w:p>
        </w:tc>
        <w:tc>
          <w:tcPr>
            <w:tcW w:w="6471" w:type="dxa"/>
            <w:gridSpan w:val="2"/>
            <w:noWrap w:val="0"/>
            <w:vAlign w:val="center"/>
          </w:tcPr>
          <w:p w14:paraId="0AEDA885">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从提交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文件的截止之日起</w:t>
            </w:r>
            <w:r>
              <w:rPr>
                <w:rFonts w:hint="eastAsia" w:ascii="宋体" w:hAnsi="宋体" w:cs="宋体"/>
                <w:color w:val="auto"/>
                <w:sz w:val="24"/>
                <w:szCs w:val="24"/>
                <w:highlight w:val="none"/>
                <w:lang w:val="en-US" w:eastAsia="zh-CN"/>
              </w:rPr>
              <w:t>120</w:t>
            </w:r>
            <w:r>
              <w:rPr>
                <w:rFonts w:hint="eastAsia" w:ascii="宋体" w:hAnsi="宋体" w:eastAsia="宋体" w:cs="宋体"/>
                <w:color w:val="auto"/>
                <w:sz w:val="24"/>
                <w:szCs w:val="24"/>
                <w:highlight w:val="none"/>
              </w:rPr>
              <w:t>天</w:t>
            </w:r>
          </w:p>
        </w:tc>
      </w:tr>
      <w:tr w14:paraId="1FFF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noWrap w:val="0"/>
            <w:vAlign w:val="center"/>
          </w:tcPr>
          <w:p w14:paraId="44767161">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374" w:type="dxa"/>
            <w:noWrap w:val="0"/>
            <w:vAlign w:val="center"/>
          </w:tcPr>
          <w:p w14:paraId="3DD0AE4B">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评标委员会的组建</w:t>
            </w:r>
          </w:p>
        </w:tc>
        <w:tc>
          <w:tcPr>
            <w:tcW w:w="6471" w:type="dxa"/>
            <w:gridSpan w:val="2"/>
            <w:noWrap w:val="0"/>
            <w:vAlign w:val="center"/>
          </w:tcPr>
          <w:p w14:paraId="5CFCDDF9">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评标委员会构成：</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人；</w:t>
            </w:r>
          </w:p>
          <w:p w14:paraId="52D0B6F9">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评标专家确定方式：经济、技术专家不少于评标委员会组成人员的三分之二，按相关规定从政府采购专家库中随机抽取。</w:t>
            </w:r>
          </w:p>
        </w:tc>
      </w:tr>
      <w:tr w14:paraId="1E91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70" w:hRule="atLeast"/>
          <w:jc w:val="center"/>
        </w:trPr>
        <w:tc>
          <w:tcPr>
            <w:tcW w:w="672" w:type="dxa"/>
            <w:noWrap w:val="0"/>
            <w:vAlign w:val="center"/>
          </w:tcPr>
          <w:p w14:paraId="526856E9">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375" w:type="dxa"/>
            <w:gridSpan w:val="2"/>
            <w:noWrap w:val="0"/>
            <w:vAlign w:val="center"/>
          </w:tcPr>
          <w:p w14:paraId="6FC3E664">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6471" w:type="dxa"/>
            <w:gridSpan w:val="2"/>
            <w:noWrap w:val="0"/>
            <w:vAlign w:val="center"/>
          </w:tcPr>
          <w:p w14:paraId="4F4DB6F2">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w:t>
            </w:r>
          </w:p>
        </w:tc>
      </w:tr>
      <w:tr w14:paraId="3C4C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70" w:hRule="atLeast"/>
          <w:jc w:val="center"/>
        </w:trPr>
        <w:tc>
          <w:tcPr>
            <w:tcW w:w="672" w:type="dxa"/>
            <w:noWrap w:val="0"/>
            <w:vAlign w:val="center"/>
          </w:tcPr>
          <w:p w14:paraId="709ACB93">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375" w:type="dxa"/>
            <w:gridSpan w:val="2"/>
            <w:noWrap w:val="0"/>
            <w:vAlign w:val="center"/>
          </w:tcPr>
          <w:p w14:paraId="6DD8A9D4">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是否授权评标委员会确定中标人</w:t>
            </w:r>
          </w:p>
        </w:tc>
        <w:tc>
          <w:tcPr>
            <w:tcW w:w="6471" w:type="dxa"/>
            <w:gridSpan w:val="2"/>
            <w:noWrap w:val="0"/>
            <w:vAlign w:val="center"/>
          </w:tcPr>
          <w:p w14:paraId="0081D291">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否，推荐3名中标候选人。</w:t>
            </w:r>
          </w:p>
        </w:tc>
      </w:tr>
      <w:tr w14:paraId="59FA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noWrap w:val="0"/>
            <w:vAlign w:val="center"/>
          </w:tcPr>
          <w:p w14:paraId="789BB939">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374" w:type="dxa"/>
            <w:noWrap w:val="0"/>
            <w:vAlign w:val="center"/>
          </w:tcPr>
          <w:p w14:paraId="7B6CBC16">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471" w:type="dxa"/>
            <w:gridSpan w:val="2"/>
            <w:noWrap w:val="0"/>
            <w:vAlign w:val="center"/>
          </w:tcPr>
          <w:p w14:paraId="0883D191">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p>
        </w:tc>
      </w:tr>
      <w:tr w14:paraId="3B0B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noWrap w:val="0"/>
            <w:vAlign w:val="center"/>
          </w:tcPr>
          <w:p w14:paraId="3EAC7E9C">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374" w:type="dxa"/>
            <w:noWrap w:val="0"/>
            <w:vAlign w:val="center"/>
          </w:tcPr>
          <w:p w14:paraId="0D40AD05">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6471" w:type="dxa"/>
            <w:gridSpan w:val="2"/>
            <w:noWrap w:val="0"/>
            <w:vAlign w:val="center"/>
          </w:tcPr>
          <w:p w14:paraId="5EAC26FC">
            <w:pPr>
              <w:pStyle w:val="98"/>
              <w:pageBreakBefore w:val="0"/>
              <w:widowControl/>
              <w:kinsoku/>
              <w:wordWrap/>
              <w:overflowPunct/>
              <w:topLinePunct w:val="0"/>
              <w:autoSpaceDE/>
              <w:autoSpaceDN/>
              <w:bidi w:val="0"/>
              <w:spacing w:line="560" w:lineRule="exact"/>
              <w:ind w:left="0" w:leftChars="0" w:right="0" w:rightChars="0" w:firstLine="0" w:firstLineChars="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合同签订后按照每月的实际洗涤量进行结算。</w:t>
            </w:r>
          </w:p>
        </w:tc>
      </w:tr>
      <w:tr w14:paraId="7F1B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noWrap w:val="0"/>
            <w:vAlign w:val="center"/>
          </w:tcPr>
          <w:p w14:paraId="528BE432">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1374" w:type="dxa"/>
            <w:noWrap w:val="0"/>
            <w:vAlign w:val="center"/>
          </w:tcPr>
          <w:p w14:paraId="7704E8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招标代理服务费</w:t>
            </w:r>
          </w:p>
        </w:tc>
        <w:tc>
          <w:tcPr>
            <w:tcW w:w="6471" w:type="dxa"/>
            <w:gridSpan w:val="2"/>
            <w:noWrap w:val="0"/>
            <w:vAlign w:val="center"/>
          </w:tcPr>
          <w:p w14:paraId="1006A9A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参照原国家发展计划委员会文件（计价格[2002]1980号文）和（发改办价格[2003]857号文件），所规定标准由中标人向招标代理机构支付,</w:t>
            </w:r>
            <w:r>
              <w:rPr>
                <w:rFonts w:hint="eastAsia" w:ascii="宋体" w:hAnsi="宋体" w:eastAsia="宋体" w:cs="宋体"/>
                <w:b w:val="0"/>
                <w:bCs w:val="0"/>
                <w:color w:val="auto"/>
                <w:sz w:val="24"/>
                <w:highlight w:val="none"/>
              </w:rPr>
              <w:t>投标人的投标报价应包含招标代理服务费用。</w:t>
            </w:r>
          </w:p>
        </w:tc>
      </w:tr>
      <w:tr w14:paraId="41DD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noWrap w:val="0"/>
            <w:vAlign w:val="center"/>
          </w:tcPr>
          <w:p w14:paraId="034B2D63">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1374" w:type="dxa"/>
            <w:noWrap w:val="0"/>
            <w:vAlign w:val="center"/>
          </w:tcPr>
          <w:p w14:paraId="1B7CCAB8">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471" w:type="dxa"/>
            <w:gridSpan w:val="2"/>
            <w:noWrap w:val="0"/>
            <w:vAlign w:val="center"/>
          </w:tcPr>
          <w:p w14:paraId="2E32E0FD">
            <w:pPr>
              <w:pageBreakBefore w:val="0"/>
              <w:numPr>
                <w:ilvl w:val="0"/>
                <w:numId w:val="6"/>
              </w:numPr>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本次招标如有变更、澄清或其他通知将在发布招标公告的网站</w:t>
            </w:r>
            <w:r>
              <w:rPr>
                <w:rFonts w:hint="eastAsia" w:ascii="宋体" w:hAnsi="宋体" w:eastAsia="宋体" w:cs="宋体"/>
                <w:color w:val="auto"/>
                <w:sz w:val="24"/>
                <w:szCs w:val="24"/>
                <w:highlight w:val="none"/>
                <w:lang w:eastAsia="zh-CN"/>
              </w:rPr>
              <w:t>（新疆政府采购网）</w:t>
            </w:r>
            <w:r>
              <w:rPr>
                <w:rFonts w:hint="eastAsia" w:ascii="宋体" w:hAnsi="宋体" w:eastAsia="宋体" w:cs="宋体"/>
                <w:color w:val="auto"/>
                <w:sz w:val="24"/>
                <w:szCs w:val="24"/>
                <w:highlight w:val="none"/>
              </w:rPr>
              <w:t>上公布。</w:t>
            </w:r>
          </w:p>
          <w:p w14:paraId="519D9091">
            <w:pPr>
              <w:pageBreakBefore w:val="0"/>
              <w:numPr>
                <w:ilvl w:val="0"/>
                <w:numId w:val="6"/>
              </w:numPr>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重要说明：①本项目采用全流程不见面电子开评标，投标人需要使用CA加密设备，投标人可通过新疆数字证书认证中心官网（https://www.xjca.com.cn/）或下载“新疆政务通”APP自行进行申领。</w:t>
            </w:r>
          </w:p>
          <w:p w14:paraId="48093555">
            <w:pPr>
              <w:pageBreakBefore w:val="0"/>
              <w:numPr>
                <w:ilvl w:val="0"/>
                <w:numId w:val="0"/>
              </w:numPr>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②本项目实行网上投标，采用加密电子投标文件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投标人须使用CA加密设备通过政采云电子投标客户端制作投标文件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。若投标人参与投标，自行承担投标一切费用。</w:t>
            </w:r>
          </w:p>
          <w:p w14:paraId="7F6B03CF">
            <w:pPr>
              <w:pageBreakBefore w:val="0"/>
              <w:numPr>
                <w:ilvl w:val="0"/>
                <w:numId w:val="6"/>
              </w:numPr>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投标人使用相同IP地址的，一经发现，相关部门将进一步核实，查实后按串通投标处理。</w:t>
            </w:r>
          </w:p>
        </w:tc>
      </w:tr>
    </w:tbl>
    <w:p w14:paraId="768E66D0">
      <w:pPr>
        <w:pStyle w:val="3"/>
        <w:pageBreakBefore w:val="0"/>
        <w:kinsoku/>
        <w:wordWrap/>
        <w:overflowPunct/>
        <w:topLinePunct w:val="0"/>
        <w:autoSpaceDE/>
        <w:autoSpaceDN/>
        <w:bidi w:val="0"/>
        <w:spacing w:before="0" w:after="0" w:line="560" w:lineRule="exact"/>
        <w:ind w:left="0" w:leftChars="0" w:right="0" w:rightChars="0" w:firstLine="0" w:firstLineChars="0"/>
        <w:jc w:val="center"/>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br w:type="page"/>
      </w:r>
      <w:r>
        <w:rPr>
          <w:rFonts w:hint="eastAsia" w:ascii="宋体" w:hAnsi="宋体" w:eastAsia="宋体" w:cs="宋体"/>
          <w:bCs w:val="0"/>
          <w:color w:val="auto"/>
          <w:sz w:val="24"/>
          <w:szCs w:val="24"/>
          <w:highlight w:val="none"/>
        </w:rPr>
        <w:t>二、总  则</w:t>
      </w:r>
    </w:p>
    <w:p w14:paraId="24DCAAD5">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45" w:name="_Toc183582205"/>
      <w:bookmarkStart w:id="46" w:name="_Toc183682342"/>
      <w:bookmarkStart w:id="47" w:name="_Toc217446034"/>
      <w:r>
        <w:rPr>
          <w:rFonts w:hint="eastAsia" w:ascii="宋体" w:hAnsi="宋体" w:eastAsia="宋体" w:cs="宋体"/>
          <w:b/>
          <w:bCs/>
          <w:color w:val="auto"/>
          <w:sz w:val="24"/>
          <w:szCs w:val="24"/>
          <w:highlight w:val="none"/>
        </w:rPr>
        <w:t>1.</w:t>
      </w:r>
      <w:bookmarkEnd w:id="45"/>
      <w:bookmarkEnd w:id="46"/>
      <w:r>
        <w:rPr>
          <w:rFonts w:hint="eastAsia" w:ascii="宋体" w:hAnsi="宋体" w:eastAsia="宋体" w:cs="宋体"/>
          <w:b/>
          <w:bCs/>
          <w:color w:val="auto"/>
          <w:sz w:val="24"/>
          <w:szCs w:val="24"/>
          <w:highlight w:val="none"/>
        </w:rPr>
        <w:t xml:space="preserve"> 适用范围</w:t>
      </w:r>
      <w:bookmarkEnd w:id="47"/>
    </w:p>
    <w:p w14:paraId="2EBF390A">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本招标文件仅适用于本次招标项目。</w:t>
      </w:r>
    </w:p>
    <w:p w14:paraId="7D3E6A6F">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48" w:name="_Toc183582206"/>
      <w:bookmarkStart w:id="49" w:name="_Toc183682343"/>
      <w:bookmarkStart w:id="50" w:name="_Toc217446035"/>
      <w:r>
        <w:rPr>
          <w:rFonts w:hint="eastAsia" w:ascii="宋体" w:hAnsi="宋体" w:eastAsia="宋体" w:cs="宋体"/>
          <w:b/>
          <w:bCs/>
          <w:color w:val="auto"/>
          <w:sz w:val="24"/>
          <w:szCs w:val="24"/>
          <w:highlight w:val="none"/>
        </w:rPr>
        <w:t xml:space="preserve">2. </w:t>
      </w:r>
      <w:bookmarkEnd w:id="48"/>
      <w:bookmarkEnd w:id="49"/>
      <w:r>
        <w:rPr>
          <w:rFonts w:hint="eastAsia" w:ascii="宋体" w:hAnsi="宋体" w:eastAsia="宋体" w:cs="宋体"/>
          <w:b/>
          <w:bCs/>
          <w:color w:val="auto"/>
          <w:sz w:val="24"/>
          <w:szCs w:val="24"/>
          <w:highlight w:val="none"/>
        </w:rPr>
        <w:t>有关定义</w:t>
      </w:r>
      <w:bookmarkEnd w:id="50"/>
    </w:p>
    <w:p w14:paraId="5A139E4E">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“采购人”系指依法进行政府采购的国家机关、事业单位、团体组织。本项目采购人是</w:t>
      </w:r>
      <w:r>
        <w:rPr>
          <w:rFonts w:hint="eastAsia" w:ascii="宋体" w:hAnsi="宋体" w:cs="宋体"/>
          <w:color w:val="auto"/>
          <w:sz w:val="24"/>
          <w:szCs w:val="24"/>
          <w:highlight w:val="none"/>
          <w:u w:val="single"/>
          <w:lang w:eastAsia="zh-CN"/>
        </w:rPr>
        <w:t>乌鲁木齐友爱医院</w:t>
      </w:r>
      <w:r>
        <w:rPr>
          <w:rFonts w:hint="eastAsia" w:ascii="宋体" w:hAnsi="宋体" w:eastAsia="宋体" w:cs="宋体"/>
          <w:color w:val="auto"/>
          <w:sz w:val="24"/>
          <w:szCs w:val="24"/>
          <w:highlight w:val="none"/>
        </w:rPr>
        <w:t>。</w:t>
      </w:r>
    </w:p>
    <w:p w14:paraId="179BBE93">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“采购代理机构”系指根据采购人的委托依法办理招标事宜的采购机构。本次招标的采购代理机构是</w:t>
      </w:r>
      <w:r>
        <w:rPr>
          <w:rFonts w:hint="eastAsia" w:ascii="宋体" w:hAnsi="宋体" w:eastAsia="宋体" w:cs="宋体"/>
          <w:color w:val="auto"/>
          <w:sz w:val="24"/>
          <w:szCs w:val="24"/>
          <w:highlight w:val="none"/>
          <w:u w:val="single"/>
        </w:rPr>
        <w:t>新疆拓源工程管理咨询有限公司</w:t>
      </w:r>
      <w:r>
        <w:rPr>
          <w:rFonts w:hint="eastAsia" w:ascii="宋体" w:hAnsi="宋体" w:eastAsia="宋体" w:cs="宋体"/>
          <w:color w:val="auto"/>
          <w:sz w:val="24"/>
          <w:szCs w:val="24"/>
          <w:highlight w:val="none"/>
        </w:rPr>
        <w:t>。</w:t>
      </w:r>
    </w:p>
    <w:p w14:paraId="2CDE5205">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“采购单位”系指“采购人”和“采购代理机构”的统称。</w:t>
      </w:r>
    </w:p>
    <w:p w14:paraId="744890E0">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“投标人”指下载了</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文件拟参加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和向采购人提供</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w:t>
      </w:r>
    </w:p>
    <w:p w14:paraId="1E13293D">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51" w:name="_Toc183582207"/>
      <w:bookmarkStart w:id="52" w:name="_Toc217446036"/>
      <w:bookmarkStart w:id="53" w:name="_Toc183682344"/>
      <w:bookmarkStart w:id="54" w:name="_Toc217390843"/>
      <w:r>
        <w:rPr>
          <w:rFonts w:hint="eastAsia" w:ascii="宋体" w:hAnsi="宋体" w:eastAsia="宋体" w:cs="宋体"/>
          <w:b/>
          <w:bCs/>
          <w:color w:val="auto"/>
          <w:sz w:val="24"/>
          <w:szCs w:val="24"/>
          <w:highlight w:val="none"/>
        </w:rPr>
        <w:t>3. 合格的</w:t>
      </w:r>
      <w:bookmarkEnd w:id="51"/>
      <w:bookmarkEnd w:id="52"/>
      <w:bookmarkEnd w:id="53"/>
      <w:bookmarkEnd w:id="54"/>
      <w:r>
        <w:rPr>
          <w:rFonts w:hint="eastAsia" w:ascii="宋体" w:hAnsi="宋体" w:eastAsia="宋体" w:cs="宋体"/>
          <w:b/>
          <w:bCs/>
          <w:color w:val="auto"/>
          <w:sz w:val="24"/>
          <w:szCs w:val="24"/>
          <w:highlight w:val="none"/>
        </w:rPr>
        <w:t>投标人</w:t>
      </w:r>
    </w:p>
    <w:p w14:paraId="240D52F1">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合格的投标人应具备以下条件：</w:t>
      </w:r>
    </w:p>
    <w:p w14:paraId="6A553935">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（1）本招标文件“招标公告”第二条规定的条件</w:t>
      </w:r>
      <w:r>
        <w:rPr>
          <w:rFonts w:hint="eastAsia" w:ascii="宋体" w:hAnsi="宋体" w:eastAsia="宋体" w:cs="宋体"/>
          <w:color w:val="auto"/>
          <w:spacing w:val="-4"/>
          <w:sz w:val="24"/>
          <w:szCs w:val="24"/>
          <w:highlight w:val="none"/>
        </w:rPr>
        <w:t>；</w:t>
      </w:r>
    </w:p>
    <w:p w14:paraId="25C6843E">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（2）遵守国家有关的法律、法规、规章和其他政策规定；</w:t>
      </w:r>
    </w:p>
    <w:p w14:paraId="7FEB7740">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（3）下载了</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文件并按要求</w:t>
      </w:r>
      <w:r>
        <w:rPr>
          <w:rFonts w:hint="eastAsia" w:ascii="宋体" w:hAnsi="宋体" w:eastAsia="宋体" w:cs="宋体"/>
          <w:color w:val="auto"/>
          <w:sz w:val="24"/>
          <w:szCs w:val="24"/>
          <w:highlight w:val="none"/>
          <w:lang w:val="en-US" w:eastAsia="zh-CN"/>
        </w:rPr>
        <w:t>缴纳投标</w:t>
      </w:r>
      <w:r>
        <w:rPr>
          <w:rFonts w:hint="eastAsia" w:ascii="宋体" w:hAnsi="宋体" w:eastAsia="宋体" w:cs="宋体"/>
          <w:color w:val="auto"/>
          <w:sz w:val="24"/>
          <w:szCs w:val="24"/>
          <w:highlight w:val="none"/>
        </w:rPr>
        <w:t>保证金。</w:t>
      </w:r>
    </w:p>
    <w:p w14:paraId="5714FB57">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55" w:name="_Toc217446037"/>
      <w:bookmarkStart w:id="56" w:name="_Toc183682345"/>
      <w:bookmarkStart w:id="57" w:name="_Toc183582208"/>
      <w:r>
        <w:rPr>
          <w:rFonts w:hint="eastAsia" w:ascii="宋体" w:hAnsi="宋体" w:eastAsia="宋体" w:cs="宋体"/>
          <w:b/>
          <w:bCs/>
          <w:color w:val="auto"/>
          <w:sz w:val="24"/>
          <w:szCs w:val="24"/>
          <w:highlight w:val="none"/>
        </w:rPr>
        <w:t>4. 投标费用</w:t>
      </w:r>
      <w:bookmarkEnd w:id="55"/>
      <w:bookmarkEnd w:id="56"/>
      <w:bookmarkEnd w:id="57"/>
    </w:p>
    <w:p w14:paraId="6E96E47E">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投标人参加投标的有关费用由投标人自行承担。</w:t>
      </w:r>
    </w:p>
    <w:p w14:paraId="3EE2A04C">
      <w:pPr>
        <w:pStyle w:val="3"/>
        <w:pageBreakBefore w:val="0"/>
        <w:wordWrap/>
        <w:overflowPunct/>
        <w:topLinePunct w:val="0"/>
        <w:bidi w:val="0"/>
        <w:spacing w:before="0" w:after="0" w:line="560" w:lineRule="exact"/>
        <w:ind w:left="0" w:leftChars="0" w:right="0" w:rightChars="0" w:firstLine="480" w:firstLineChars="200"/>
        <w:jc w:val="center"/>
        <w:rPr>
          <w:rFonts w:hint="eastAsia" w:ascii="宋体" w:hAnsi="宋体" w:eastAsia="宋体" w:cs="宋体"/>
          <w:bCs w:val="0"/>
          <w:color w:val="auto"/>
          <w:sz w:val="24"/>
          <w:szCs w:val="24"/>
          <w:highlight w:val="none"/>
        </w:rPr>
      </w:pPr>
      <w:bookmarkStart w:id="58" w:name="_Toc183682346"/>
      <w:bookmarkStart w:id="59" w:name="_Toc217446038"/>
      <w:bookmarkStart w:id="60" w:name="_Toc183582209"/>
      <w:bookmarkStart w:id="61" w:name="_Toc77400779"/>
      <w:bookmarkStart w:id="62" w:name="_Toc89075875"/>
      <w:r>
        <w:rPr>
          <w:rFonts w:hint="eastAsia" w:ascii="宋体" w:hAnsi="宋体" w:eastAsia="宋体" w:cs="宋体"/>
          <w:bCs w:val="0"/>
          <w:color w:val="auto"/>
          <w:sz w:val="24"/>
          <w:szCs w:val="24"/>
          <w:highlight w:val="none"/>
        </w:rPr>
        <w:t>三、</w:t>
      </w:r>
      <w:bookmarkEnd w:id="58"/>
      <w:bookmarkEnd w:id="59"/>
      <w:bookmarkEnd w:id="60"/>
      <w:bookmarkEnd w:id="61"/>
      <w:bookmarkEnd w:id="62"/>
      <w:r>
        <w:rPr>
          <w:rFonts w:hint="eastAsia" w:ascii="宋体" w:hAnsi="宋体" w:eastAsia="宋体" w:cs="宋体"/>
          <w:bCs w:val="0"/>
          <w:color w:val="auto"/>
          <w:sz w:val="24"/>
          <w:szCs w:val="24"/>
          <w:highlight w:val="none"/>
        </w:rPr>
        <w:t>招标文件</w:t>
      </w:r>
    </w:p>
    <w:p w14:paraId="0A1F2B8F">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63" w:name="_Toc183682347"/>
      <w:bookmarkStart w:id="64" w:name="_Toc183582210"/>
      <w:bookmarkStart w:id="65" w:name="_Toc217446039"/>
      <w:r>
        <w:rPr>
          <w:rFonts w:hint="eastAsia" w:ascii="宋体" w:hAnsi="宋体" w:eastAsia="宋体" w:cs="宋体"/>
          <w:b/>
          <w:bCs/>
          <w:color w:val="auto"/>
          <w:sz w:val="24"/>
          <w:szCs w:val="24"/>
          <w:highlight w:val="none"/>
        </w:rPr>
        <w:t>5．招标文件的构成</w:t>
      </w:r>
      <w:bookmarkEnd w:id="63"/>
      <w:bookmarkEnd w:id="64"/>
      <w:bookmarkEnd w:id="65"/>
    </w:p>
    <w:p w14:paraId="44C6835E">
      <w:pPr>
        <w:pageBreakBefore w:val="0"/>
        <w:tabs>
          <w:tab w:val="left" w:pos="72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 招标文件是投标人准备投标文件和参加投标的依据，同时也是评标的重要依据，具有准法律文件性质。招标文件用以阐明招标项目所需的资质、技术、报价、招标程序、有关规定和注意事项以及拟签订的合同文本等。本招标文件包括以下内容：</w:t>
      </w:r>
    </w:p>
    <w:p w14:paraId="76D1BFD7">
      <w:pPr>
        <w:pageBreakBefore w:val="0"/>
        <w:tabs>
          <w:tab w:val="left" w:pos="0"/>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r>
        <w:rPr>
          <w:rFonts w:hint="eastAsia" w:ascii="宋体" w:hAnsi="宋体" w:eastAsia="宋体" w:cs="宋体"/>
          <w:color w:val="auto"/>
          <w:sz w:val="24"/>
          <w:szCs w:val="24"/>
          <w:highlight w:val="none"/>
        </w:rPr>
        <w:tab/>
      </w:r>
    </w:p>
    <w:p w14:paraId="09963960">
      <w:pPr>
        <w:pageBreakBefore w:val="0"/>
        <w:tabs>
          <w:tab w:val="left" w:pos="0"/>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r>
        <w:rPr>
          <w:rFonts w:hint="eastAsia" w:ascii="宋体" w:hAnsi="宋体" w:eastAsia="宋体" w:cs="宋体"/>
          <w:color w:val="auto"/>
          <w:sz w:val="24"/>
          <w:szCs w:val="24"/>
          <w:highlight w:val="none"/>
        </w:rPr>
        <w:tab/>
      </w:r>
    </w:p>
    <w:p w14:paraId="7F42CF49">
      <w:pPr>
        <w:pageBreakBefore w:val="0"/>
        <w:tabs>
          <w:tab w:val="left" w:pos="0"/>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（3）投标文件格式</w:t>
      </w:r>
      <w:r>
        <w:rPr>
          <w:rFonts w:hint="eastAsia" w:ascii="宋体" w:hAnsi="宋体" w:eastAsia="宋体" w:cs="宋体"/>
          <w:color w:val="auto"/>
          <w:sz w:val="24"/>
          <w:szCs w:val="24"/>
          <w:highlight w:val="none"/>
        </w:rPr>
        <w:tab/>
      </w:r>
    </w:p>
    <w:p w14:paraId="1DC98E77">
      <w:pPr>
        <w:pageBreakBefore w:val="0"/>
        <w:tabs>
          <w:tab w:val="left" w:pos="0"/>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项目采购需求</w:t>
      </w:r>
      <w:r>
        <w:rPr>
          <w:rFonts w:hint="eastAsia" w:ascii="宋体" w:hAnsi="宋体" w:eastAsia="宋体" w:cs="宋体"/>
          <w:color w:val="auto"/>
          <w:sz w:val="24"/>
          <w:szCs w:val="24"/>
          <w:highlight w:val="none"/>
        </w:rPr>
        <w:tab/>
      </w:r>
    </w:p>
    <w:p w14:paraId="4B24A084">
      <w:pPr>
        <w:pageBreakBefore w:val="0"/>
        <w:tabs>
          <w:tab w:val="left" w:pos="0"/>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（5）评标办法</w:t>
      </w:r>
      <w:r>
        <w:rPr>
          <w:rFonts w:hint="eastAsia" w:ascii="宋体" w:hAnsi="宋体" w:eastAsia="宋体" w:cs="宋体"/>
          <w:color w:val="auto"/>
          <w:sz w:val="24"/>
          <w:szCs w:val="24"/>
          <w:highlight w:val="none"/>
        </w:rPr>
        <w:tab/>
      </w:r>
    </w:p>
    <w:p w14:paraId="09F23AC4">
      <w:pPr>
        <w:pageBreakBefore w:val="0"/>
        <w:tabs>
          <w:tab w:val="left" w:pos="0"/>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（6）拟签订的合同文本</w:t>
      </w:r>
      <w:r>
        <w:rPr>
          <w:rFonts w:hint="eastAsia" w:ascii="宋体" w:hAnsi="宋体" w:eastAsia="宋体" w:cs="宋体"/>
          <w:color w:val="auto"/>
          <w:sz w:val="24"/>
          <w:szCs w:val="24"/>
          <w:highlight w:val="none"/>
        </w:rPr>
        <w:tab/>
      </w:r>
    </w:p>
    <w:p w14:paraId="249E3F2A">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2 投标人应认真阅读和充分理解招标文件中所有的事项、格式条款和规范要求。投标人没有对招标文件全面做出实质性响应是投标人的风险。没有按照招标文件要求作出实质性响应的投标文件，按</w:t>
      </w:r>
      <w:r>
        <w:rPr>
          <w:rFonts w:hint="eastAsia" w:ascii="宋体" w:hAnsi="宋体" w:eastAsia="宋体" w:cs="宋体"/>
          <w:b/>
          <w:bCs/>
          <w:color w:val="auto"/>
          <w:sz w:val="24"/>
          <w:szCs w:val="24"/>
          <w:highlight w:val="none"/>
        </w:rPr>
        <w:t>无效处理</w:t>
      </w:r>
      <w:r>
        <w:rPr>
          <w:rFonts w:hint="eastAsia" w:ascii="宋体" w:hAnsi="宋体" w:eastAsia="宋体" w:cs="宋体"/>
          <w:color w:val="auto"/>
          <w:sz w:val="24"/>
          <w:szCs w:val="24"/>
          <w:highlight w:val="none"/>
        </w:rPr>
        <w:t>。</w:t>
      </w:r>
    </w:p>
    <w:p w14:paraId="3291BE7B">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bCs/>
          <w:color w:val="auto"/>
          <w:sz w:val="24"/>
          <w:szCs w:val="24"/>
          <w:highlight w:val="none"/>
        </w:rPr>
      </w:pPr>
      <w:bookmarkStart w:id="66" w:name="_Toc183582211"/>
      <w:bookmarkStart w:id="67" w:name="_Toc183682348"/>
      <w:bookmarkStart w:id="68" w:name="_Toc217446040"/>
      <w:r>
        <w:rPr>
          <w:rFonts w:hint="eastAsia" w:ascii="宋体" w:hAnsi="宋体" w:eastAsia="宋体" w:cs="宋体"/>
          <w:color w:val="auto"/>
          <w:sz w:val="24"/>
          <w:szCs w:val="24"/>
          <w:highlight w:val="none"/>
        </w:rPr>
        <w:t>6</w:t>
      </w:r>
      <w:r>
        <w:rPr>
          <w:rFonts w:hint="eastAsia" w:ascii="宋体" w:hAnsi="宋体" w:eastAsia="宋体" w:cs="宋体"/>
          <w:b/>
          <w:bCs/>
          <w:color w:val="auto"/>
          <w:sz w:val="24"/>
          <w:szCs w:val="24"/>
          <w:highlight w:val="none"/>
        </w:rPr>
        <w:t>. 招标文件的澄清</w:t>
      </w:r>
      <w:bookmarkEnd w:id="66"/>
      <w:bookmarkEnd w:id="67"/>
      <w:r>
        <w:rPr>
          <w:rFonts w:hint="eastAsia" w:ascii="宋体" w:hAnsi="宋体" w:eastAsia="宋体" w:cs="宋体"/>
          <w:b/>
          <w:bCs/>
          <w:color w:val="auto"/>
          <w:sz w:val="24"/>
          <w:szCs w:val="24"/>
          <w:highlight w:val="none"/>
        </w:rPr>
        <w:t>和修改</w:t>
      </w:r>
      <w:bookmarkEnd w:id="68"/>
    </w:p>
    <w:p w14:paraId="57F4B18B">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6.1 </w:t>
      </w:r>
      <w:bookmarkStart w:id="69" w:name="_Toc217446041"/>
      <w:bookmarkStart w:id="70" w:name="_Toc208848971"/>
      <w:r>
        <w:rPr>
          <w:rFonts w:hint="eastAsia" w:ascii="宋体" w:hAnsi="宋体" w:eastAsia="宋体" w:cs="宋体"/>
          <w:color w:val="auto"/>
          <w:sz w:val="24"/>
          <w:szCs w:val="24"/>
          <w:highlight w:val="none"/>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8AABBF5">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FB72AFC">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答疑会和现场考察</w:t>
      </w:r>
      <w:bookmarkEnd w:id="69"/>
      <w:bookmarkEnd w:id="70"/>
      <w:r>
        <w:rPr>
          <w:rFonts w:hint="eastAsia" w:ascii="宋体" w:hAnsi="宋体" w:eastAsia="宋体" w:cs="宋体"/>
          <w:b/>
          <w:bCs/>
          <w:color w:val="auto"/>
          <w:sz w:val="24"/>
          <w:szCs w:val="24"/>
          <w:highlight w:val="none"/>
        </w:rPr>
        <w:t>。</w:t>
      </w:r>
    </w:p>
    <w:p w14:paraId="10F49602">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bookmarkStart w:id="71" w:name="_Toc217446042"/>
      <w:bookmarkStart w:id="72" w:name="_Toc183582214"/>
      <w:bookmarkStart w:id="73" w:name="_Toc77400780"/>
      <w:bookmarkStart w:id="74" w:name="_Toc89075876"/>
      <w:bookmarkStart w:id="75" w:name="_Toc183682351"/>
      <w:r>
        <w:rPr>
          <w:rFonts w:hint="eastAsia" w:ascii="宋体" w:hAnsi="宋体" w:eastAsia="宋体" w:cs="宋体"/>
          <w:color w:val="auto"/>
          <w:sz w:val="24"/>
          <w:szCs w:val="24"/>
          <w:highlight w:val="none"/>
        </w:rPr>
        <w:t>7.1 本项目不组织答疑会和现场考察。</w:t>
      </w:r>
    </w:p>
    <w:p w14:paraId="444D61A7">
      <w:pPr>
        <w:pStyle w:val="3"/>
        <w:pageBreakBefore w:val="0"/>
        <w:wordWrap/>
        <w:overflowPunct/>
        <w:topLinePunct w:val="0"/>
        <w:bidi w:val="0"/>
        <w:spacing w:before="0" w:after="0" w:line="560" w:lineRule="exact"/>
        <w:ind w:left="0" w:leftChars="0" w:right="0" w:rightChars="0" w:firstLine="480" w:firstLineChars="200"/>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四、</w:t>
      </w:r>
      <w:bookmarkEnd w:id="71"/>
      <w:bookmarkEnd w:id="72"/>
      <w:bookmarkEnd w:id="73"/>
      <w:bookmarkEnd w:id="74"/>
      <w:bookmarkEnd w:id="75"/>
      <w:r>
        <w:rPr>
          <w:rFonts w:hint="eastAsia" w:ascii="宋体" w:hAnsi="宋体" w:eastAsia="宋体" w:cs="宋体"/>
          <w:bCs w:val="0"/>
          <w:color w:val="auto"/>
          <w:sz w:val="24"/>
          <w:szCs w:val="24"/>
          <w:highlight w:val="none"/>
        </w:rPr>
        <w:t>投标文件</w:t>
      </w:r>
    </w:p>
    <w:p w14:paraId="1EFFCCDC">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76" w:name="_Toc183582215"/>
      <w:bookmarkStart w:id="77" w:name="_Toc183682352"/>
      <w:bookmarkStart w:id="78" w:name="_Toc217446043"/>
      <w:r>
        <w:rPr>
          <w:rFonts w:hint="eastAsia" w:ascii="宋体" w:hAnsi="宋体" w:eastAsia="宋体" w:cs="宋体"/>
          <w:b/>
          <w:bCs/>
          <w:color w:val="auto"/>
          <w:sz w:val="24"/>
          <w:szCs w:val="24"/>
          <w:highlight w:val="none"/>
        </w:rPr>
        <w:t>8．投标文件的语言</w:t>
      </w:r>
      <w:bookmarkEnd w:id="76"/>
      <w:bookmarkEnd w:id="77"/>
      <w:bookmarkEnd w:id="78"/>
    </w:p>
    <w:p w14:paraId="4D503527">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投标人提交的投标文件以及投标人与采购人就有关投标的所有来往书面文件均须使用中文。投标文件中如附有外文资料，必须逐一对应翻译成中文并加盖投标人公章后附在相关外文资料后面，否则，投标人的投标文件将作为</w:t>
      </w:r>
      <w:r>
        <w:rPr>
          <w:rFonts w:hint="eastAsia" w:ascii="宋体" w:hAnsi="宋体" w:eastAsia="宋体" w:cs="宋体"/>
          <w:b/>
          <w:bCs/>
          <w:color w:val="auto"/>
          <w:sz w:val="24"/>
          <w:szCs w:val="24"/>
          <w:highlight w:val="none"/>
        </w:rPr>
        <w:t>无效投标处理</w:t>
      </w:r>
      <w:r>
        <w:rPr>
          <w:rFonts w:hint="eastAsia" w:ascii="宋体" w:hAnsi="宋体" w:eastAsia="宋体" w:cs="宋体"/>
          <w:color w:val="auto"/>
          <w:sz w:val="24"/>
          <w:szCs w:val="24"/>
          <w:highlight w:val="none"/>
        </w:rPr>
        <w:t>。</w:t>
      </w:r>
    </w:p>
    <w:p w14:paraId="40804C58">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翻译的中文资料与外文资料如果出现差异和矛盾时，以中文为准。但不能故意错误翻译，否则，投标人的投标文件将作为</w:t>
      </w:r>
      <w:r>
        <w:rPr>
          <w:rFonts w:hint="eastAsia" w:ascii="宋体" w:hAnsi="宋体" w:eastAsia="宋体" w:cs="宋体"/>
          <w:b/>
          <w:bCs/>
          <w:color w:val="auto"/>
          <w:sz w:val="24"/>
          <w:szCs w:val="24"/>
          <w:highlight w:val="none"/>
        </w:rPr>
        <w:t>无效投标处理</w:t>
      </w:r>
      <w:r>
        <w:rPr>
          <w:rFonts w:hint="eastAsia" w:ascii="宋体" w:hAnsi="宋体" w:eastAsia="宋体" w:cs="宋体"/>
          <w:color w:val="auto"/>
          <w:sz w:val="24"/>
          <w:szCs w:val="24"/>
          <w:highlight w:val="none"/>
        </w:rPr>
        <w:t>。</w:t>
      </w:r>
    </w:p>
    <w:p w14:paraId="15A61808">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79" w:name="_Toc183682353"/>
      <w:bookmarkStart w:id="80" w:name="_Toc183582216"/>
      <w:bookmarkStart w:id="81" w:name="_Toc217446044"/>
      <w:r>
        <w:rPr>
          <w:rFonts w:hint="eastAsia" w:ascii="宋体" w:hAnsi="宋体" w:eastAsia="宋体" w:cs="宋体"/>
          <w:b/>
          <w:bCs/>
          <w:color w:val="auto"/>
          <w:sz w:val="24"/>
          <w:szCs w:val="24"/>
          <w:highlight w:val="none"/>
        </w:rPr>
        <w:t>9．计量单位</w:t>
      </w:r>
      <w:bookmarkEnd w:id="79"/>
      <w:bookmarkEnd w:id="80"/>
      <w:bookmarkEnd w:id="81"/>
    </w:p>
    <w:p w14:paraId="1C269865">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除招标文件中另有规定外，本招标项下的投标均采用国家法定的计量单位。</w:t>
      </w:r>
    </w:p>
    <w:p w14:paraId="3384FF44">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82" w:name="_Toc217446045"/>
      <w:r>
        <w:rPr>
          <w:rFonts w:hint="eastAsia" w:ascii="宋体" w:hAnsi="宋体" w:eastAsia="宋体" w:cs="宋体"/>
          <w:b/>
          <w:bCs/>
          <w:color w:val="auto"/>
          <w:sz w:val="24"/>
          <w:szCs w:val="24"/>
          <w:highlight w:val="none"/>
        </w:rPr>
        <w:t>10. 投标货币</w:t>
      </w:r>
      <w:bookmarkEnd w:id="82"/>
    </w:p>
    <w:p w14:paraId="0542FBAC">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本次招标项目的投标均以人民币报价。</w:t>
      </w:r>
    </w:p>
    <w:p w14:paraId="0D50D5AA">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83" w:name="_Toc217446046"/>
      <w:r>
        <w:rPr>
          <w:rFonts w:hint="eastAsia" w:ascii="宋体" w:hAnsi="宋体" w:eastAsia="宋体" w:cs="宋体"/>
          <w:b/>
          <w:bCs/>
          <w:color w:val="auto"/>
          <w:sz w:val="24"/>
          <w:szCs w:val="24"/>
          <w:highlight w:val="none"/>
        </w:rPr>
        <w:t>11. 联合体投标</w:t>
      </w:r>
      <w:bookmarkEnd w:id="83"/>
    </w:p>
    <w:p w14:paraId="14CE766A">
      <w:pPr>
        <w:pStyle w:val="11"/>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详见“投标人须知前附表”第1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条。</w:t>
      </w:r>
    </w:p>
    <w:p w14:paraId="0809F16B">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84" w:name="_Toc217446047"/>
      <w:r>
        <w:rPr>
          <w:rFonts w:hint="eastAsia" w:ascii="宋体" w:hAnsi="宋体" w:eastAsia="宋体" w:cs="宋体"/>
          <w:b/>
          <w:bCs/>
          <w:color w:val="auto"/>
          <w:sz w:val="24"/>
          <w:szCs w:val="24"/>
          <w:highlight w:val="none"/>
        </w:rPr>
        <w:t>12. 知识产权</w:t>
      </w:r>
      <w:bookmarkEnd w:id="84"/>
    </w:p>
    <w:p w14:paraId="5F7EEB54">
      <w:pPr>
        <w:pStyle w:val="11"/>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投标人应保证在本项目使用的任何产品或服务（包括部分使用）时，不会产生因第三方提出侵犯其专利权、商标权或其它知识产权而引起的法律和经济纠纷，如因专利权、商标权或其它知识产权而引起法律和经济纠纷，由投标人承担所有相关责任。</w:t>
      </w:r>
    </w:p>
    <w:p w14:paraId="12AC74B2">
      <w:pPr>
        <w:pStyle w:val="11"/>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采购人享有本项目实施过程中产生的知识成果及知识产权。</w:t>
      </w:r>
    </w:p>
    <w:p w14:paraId="67E74A5B">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43CC1A85">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12.4 如采用投标人所不拥有的知识产权，则在投标报价中必须包括合法获取该知识产权的相关费用。 </w:t>
      </w:r>
    </w:p>
    <w:p w14:paraId="035FA234">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85" w:name="_Toc183582217"/>
      <w:bookmarkStart w:id="86" w:name="_Toc217446048"/>
      <w:bookmarkStart w:id="87" w:name="_Toc183682354"/>
      <w:r>
        <w:rPr>
          <w:rFonts w:hint="eastAsia" w:ascii="宋体" w:hAnsi="宋体" w:eastAsia="宋体" w:cs="宋体"/>
          <w:b/>
          <w:bCs/>
          <w:color w:val="auto"/>
          <w:sz w:val="24"/>
          <w:szCs w:val="24"/>
          <w:highlight w:val="none"/>
        </w:rPr>
        <w:t>13．投标文件的组成</w:t>
      </w:r>
      <w:bookmarkEnd w:id="85"/>
      <w:bookmarkEnd w:id="86"/>
      <w:bookmarkEnd w:id="87"/>
    </w:p>
    <w:p w14:paraId="0660DA91">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按照招标文件的规定和要求编制投标文件。招标文件允许分包的，投标人拟在中标后将中标项目的非主体、非关键性工作交由他人完成的，应当在投标文件中载明。投标人编写的投标文件应包括下列部分：</w:t>
      </w:r>
    </w:p>
    <w:p w14:paraId="4DE5C945">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bookmarkStart w:id="88" w:name="_Toc183582218"/>
      <w:bookmarkStart w:id="89" w:name="_Toc217446049"/>
      <w:bookmarkStart w:id="90" w:name="_Toc183682355"/>
      <w:r>
        <w:rPr>
          <w:rFonts w:hint="eastAsia" w:ascii="宋体" w:hAnsi="宋体" w:eastAsia="宋体" w:cs="宋体"/>
          <w:color w:val="auto"/>
          <w:sz w:val="24"/>
          <w:szCs w:val="24"/>
          <w:highlight w:val="none"/>
        </w:rPr>
        <w:t>一、投标函</w:t>
      </w:r>
    </w:p>
    <w:p w14:paraId="3FD434B9">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分项报价明细表</w:t>
      </w:r>
    </w:p>
    <w:p w14:paraId="6B6BE828">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三、身份证明书</w:t>
      </w:r>
    </w:p>
    <w:p w14:paraId="31196F4B">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四、授权委托书</w:t>
      </w:r>
    </w:p>
    <w:p w14:paraId="40C91F5D">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五、投标人基本情况表</w:t>
      </w:r>
    </w:p>
    <w:p w14:paraId="53CC3023">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拟配备人员简介</w:t>
      </w:r>
    </w:p>
    <w:p w14:paraId="726398CF">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、近年</w:t>
      </w:r>
      <w:r>
        <w:rPr>
          <w:rFonts w:hint="eastAsia" w:ascii="宋体" w:hAnsi="宋体" w:eastAsia="宋体" w:cs="宋体"/>
          <w:color w:val="auto"/>
          <w:sz w:val="24"/>
          <w:szCs w:val="24"/>
          <w:highlight w:val="none"/>
          <w:lang w:eastAsia="zh-CN"/>
        </w:rPr>
        <w:t>类似</w:t>
      </w:r>
      <w:r>
        <w:rPr>
          <w:rFonts w:hint="eastAsia" w:ascii="宋体" w:hAnsi="宋体" w:eastAsia="宋体" w:cs="宋体"/>
          <w:color w:val="auto"/>
          <w:sz w:val="24"/>
          <w:szCs w:val="24"/>
          <w:highlight w:val="none"/>
        </w:rPr>
        <w:t>项目情况表</w:t>
      </w:r>
    </w:p>
    <w:p w14:paraId="0DDD6573">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、商务、技术需求偏离表</w:t>
      </w:r>
    </w:p>
    <w:p w14:paraId="2AE9D524">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服务承诺及技术方案</w:t>
      </w:r>
    </w:p>
    <w:p w14:paraId="6CC82E57">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十、政府采购政策</w:t>
      </w:r>
    </w:p>
    <w:p w14:paraId="2697A633">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、投标人认为需要提供的资料</w:t>
      </w:r>
    </w:p>
    <w:p w14:paraId="36593C8B">
      <w:pPr>
        <w:pageBreakBefore w:val="0"/>
        <w:tabs>
          <w:tab w:val="left" w:pos="3480"/>
        </w:tabs>
        <w:wordWrap/>
        <w:overflowPunct/>
        <w:topLinePunct w:val="0"/>
        <w:bidi w:val="0"/>
        <w:spacing w:line="560" w:lineRule="exact"/>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14．投标文件格式</w:t>
      </w:r>
      <w:bookmarkEnd w:id="88"/>
      <w:bookmarkEnd w:id="89"/>
      <w:bookmarkEnd w:id="90"/>
      <w:r>
        <w:rPr>
          <w:rFonts w:hint="eastAsia" w:ascii="宋体" w:hAnsi="宋体" w:eastAsia="宋体" w:cs="宋体"/>
          <w:color w:val="auto"/>
          <w:sz w:val="24"/>
          <w:szCs w:val="24"/>
          <w:highlight w:val="none"/>
        </w:rPr>
        <w:tab/>
      </w:r>
    </w:p>
    <w:p w14:paraId="6B58FC3A">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投标人应严格按照招标文件第三章中提供的“投标文件格式”填写相关内容。除明确允许投标人可以自行编写的外，投标人不得以“投标文件格式”规定之外的方式填写相关内容。</w:t>
      </w:r>
    </w:p>
    <w:p w14:paraId="1AB73EAD">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对于没有格式要求的投标文件由投标人自行编写。</w:t>
      </w:r>
    </w:p>
    <w:p w14:paraId="37041D75">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91" w:name="_Toc183582223"/>
      <w:bookmarkStart w:id="92" w:name="_Toc183682360"/>
      <w:bookmarkStart w:id="93" w:name="_Toc217446050"/>
      <w:r>
        <w:rPr>
          <w:rFonts w:hint="eastAsia" w:ascii="宋体" w:hAnsi="宋体" w:eastAsia="宋体" w:cs="宋体"/>
          <w:b/>
          <w:bCs/>
          <w:color w:val="auto"/>
          <w:sz w:val="24"/>
          <w:szCs w:val="24"/>
          <w:highlight w:val="none"/>
        </w:rPr>
        <w:t>15．投标保证金</w:t>
      </w:r>
      <w:bookmarkEnd w:id="91"/>
      <w:bookmarkEnd w:id="92"/>
      <w:bookmarkEnd w:id="93"/>
    </w:p>
    <w:p w14:paraId="0D52DFD1">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投标人投标时，必须按招标文件规定数额和形式缴纳投标保证金，并作为其投标文件的一部分。</w:t>
      </w:r>
    </w:p>
    <w:p w14:paraId="6BC05DCC">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15.2未按招标文件要求在规定时间前缴纳规定数额和形式的投标保证金，将被视为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64E5697B">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投标人所缴纳的投标保证金不计利息。</w:t>
      </w:r>
    </w:p>
    <w:p w14:paraId="51E53259">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15.4未中标人的投标保证金，将在中标通知书发出后五个工作日内全额退还。中标人的投标保证金，自采购合同签订之日起5个工作日内退还中标人的投标保证金。</w:t>
      </w:r>
    </w:p>
    <w:p w14:paraId="0E54452F">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15.5发生下列情形之一的，采购代理机构将不予退还投标人缴纳的投标保证金：</w:t>
      </w:r>
    </w:p>
    <w:p w14:paraId="3821B3FC">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bookmarkStart w:id="94" w:name="_Toc183682361"/>
      <w:bookmarkStart w:id="95" w:name="_Toc217446051"/>
      <w:bookmarkStart w:id="96" w:name="_Toc183582224"/>
      <w:r>
        <w:rPr>
          <w:rFonts w:hint="eastAsia" w:ascii="宋体" w:hAnsi="宋体" w:eastAsia="宋体" w:cs="宋体"/>
          <w:color w:val="auto"/>
          <w:sz w:val="24"/>
          <w:szCs w:val="24"/>
          <w:highlight w:val="none"/>
        </w:rPr>
        <w:t>（1）投标人在提交投标文件截止时间后撤回投标文件的；</w:t>
      </w:r>
    </w:p>
    <w:p w14:paraId="49D37D04">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（2）投标人在投标文件中提供虚假材料的；</w:t>
      </w:r>
    </w:p>
    <w:p w14:paraId="5376E0AF">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（3）投标人不接受按投标文件规定对其投标报价进行修正的；</w:t>
      </w:r>
    </w:p>
    <w:p w14:paraId="5EED92CE">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（4）除因不可抗力或投标文件认可的情形以外，中标人不履行与采购人签订合同的，在签订合同时向采购人提出附加条件；</w:t>
      </w:r>
    </w:p>
    <w:p w14:paraId="6E14A030">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（5）中标人未能在规定期限内与采购人签署合同协议书或提交履约保证金的；</w:t>
      </w:r>
    </w:p>
    <w:p w14:paraId="24F25F34">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（6）投标人与采购人、其他投标人或者采购代理机构恶意串通的；</w:t>
      </w:r>
    </w:p>
    <w:p w14:paraId="62AD65E7">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（7）招标文件规定的其他情形；</w:t>
      </w:r>
    </w:p>
    <w:p w14:paraId="781544B4">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（8）符合法律、法规规定的其他情形的。 </w:t>
      </w:r>
    </w:p>
    <w:p w14:paraId="20EE6C18">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16．投标有效期</w:t>
      </w:r>
      <w:bookmarkEnd w:id="94"/>
      <w:bookmarkEnd w:id="95"/>
      <w:bookmarkEnd w:id="96"/>
    </w:p>
    <w:p w14:paraId="378DAFA0">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投标有效期详见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第2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条</w:t>
      </w:r>
      <w:r>
        <w:rPr>
          <w:rFonts w:hint="eastAsia" w:ascii="宋体" w:hAnsi="宋体" w:eastAsia="宋体" w:cs="宋体"/>
          <w:color w:val="auto"/>
          <w:sz w:val="24"/>
          <w:szCs w:val="24"/>
          <w:highlight w:val="none"/>
        </w:rPr>
        <w:t>。投标有效期短于此规定期限的，</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29B05839">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特殊情况下，采购人可于投标有效期满之前要求投标人同意延长有效期，要求与答复均应为书面形式。投标人可以拒绝上述要求，其投标保证金</w:t>
      </w:r>
      <w:r>
        <w:rPr>
          <w:rFonts w:hint="eastAsia" w:ascii="宋体" w:hAnsi="宋体" w:eastAsia="宋体" w:cs="宋体"/>
          <w:color w:val="auto"/>
          <w:spacing w:val="8"/>
          <w:sz w:val="24"/>
          <w:szCs w:val="24"/>
          <w:highlight w:val="none"/>
        </w:rPr>
        <w:t>不被没收。</w:t>
      </w:r>
      <w:r>
        <w:rPr>
          <w:rFonts w:hint="eastAsia" w:ascii="宋体" w:hAnsi="宋体" w:eastAsia="宋体" w:cs="宋体"/>
          <w:color w:val="auto"/>
          <w:sz w:val="24"/>
          <w:szCs w:val="24"/>
          <w:highlight w:val="none"/>
        </w:rPr>
        <w:t>拒绝延长投标有效期的投标人不得再参与该项目后续招标活动。同意延长投标有效期的投标人不能修改其投标文件，关于投标保证金的有关规定在延长的投标有效期内继续有效。</w:t>
      </w:r>
    </w:p>
    <w:p w14:paraId="3046F641">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97" w:name="_Toc183682362"/>
      <w:bookmarkStart w:id="98" w:name="_Toc183582225"/>
      <w:bookmarkStart w:id="99" w:name="_Toc217446052"/>
      <w:r>
        <w:rPr>
          <w:rFonts w:hint="eastAsia" w:ascii="宋体" w:hAnsi="宋体" w:eastAsia="宋体" w:cs="宋体"/>
          <w:b/>
          <w:bCs/>
          <w:color w:val="auto"/>
          <w:sz w:val="24"/>
          <w:szCs w:val="24"/>
          <w:highlight w:val="none"/>
        </w:rPr>
        <w:t>17．</w:t>
      </w:r>
      <w:bookmarkEnd w:id="97"/>
      <w:bookmarkEnd w:id="98"/>
      <w:bookmarkEnd w:id="99"/>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的签署</w:t>
      </w:r>
    </w:p>
    <w:p w14:paraId="0F68D20F">
      <w:pPr>
        <w:pageBreakBefore w:val="0"/>
        <w:widowControl w:val="0"/>
        <w:tabs>
          <w:tab w:val="left" w:pos="1080"/>
        </w:tabs>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bookmarkStart w:id="100" w:name="_Toc183582226"/>
      <w:bookmarkStart w:id="101" w:name="_Toc89075877"/>
      <w:bookmarkStart w:id="102" w:name="_Toc77400781"/>
      <w:bookmarkStart w:id="103" w:name="_Toc183682363"/>
      <w:bookmarkStart w:id="104" w:name="_Toc217446053"/>
      <w:r>
        <w:rPr>
          <w:rFonts w:hint="eastAsia" w:ascii="宋体" w:hAnsi="宋体" w:eastAsia="宋体" w:cs="宋体"/>
          <w:color w:val="auto"/>
          <w:sz w:val="24"/>
          <w:szCs w:val="24"/>
          <w:highlight w:val="none"/>
        </w:rPr>
        <w:t xml:space="preserve">17.1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应根据</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的要求制作、签署、盖章，内容应完整。</w:t>
      </w:r>
    </w:p>
    <w:p w14:paraId="7C9BB887">
      <w:pPr>
        <w:pageBreakBefore w:val="0"/>
        <w:numPr>
          <w:ilvl w:val="0"/>
          <w:numId w:val="0"/>
        </w:numPr>
        <w:wordWrap/>
        <w:overflowPunct/>
        <w:topLinePunct w:val="0"/>
        <w:bidi w:val="0"/>
        <w:spacing w:line="560" w:lineRule="exact"/>
        <w:ind w:leftChars="200" w:right="0" w:rightChars="0"/>
        <w:rPr>
          <w:rFonts w:hint="eastAsia" w:ascii="宋体" w:hAnsi="宋体" w:eastAsia="宋体" w:cs="宋体"/>
          <w:color w:val="auto"/>
          <w:kern w:val="0"/>
          <w:sz w:val="24"/>
          <w:szCs w:val="24"/>
          <w:highlight w:val="none"/>
        </w:rPr>
      </w:pPr>
      <w:r>
        <w:rPr>
          <w:rFonts w:hint="eastAsia" w:ascii="宋体" w:hAnsi="宋体" w:cs="宋体"/>
          <w:b/>
          <w:bCs/>
          <w:color w:val="auto"/>
          <w:sz w:val="24"/>
          <w:szCs w:val="24"/>
          <w:highlight w:val="none"/>
          <w:lang w:val="en-US" w:eastAsia="zh-CN"/>
        </w:rPr>
        <w:t xml:space="preserve">18. </w:t>
      </w:r>
      <w:r>
        <w:rPr>
          <w:rFonts w:hint="eastAsia" w:ascii="宋体" w:hAnsi="宋体" w:eastAsia="宋体" w:cs="宋体"/>
          <w:b/>
          <w:bCs/>
          <w:color w:val="auto"/>
          <w:sz w:val="24"/>
          <w:szCs w:val="24"/>
          <w:highlight w:val="none"/>
        </w:rPr>
        <w:t>投标文件的</w:t>
      </w:r>
      <w:r>
        <w:rPr>
          <w:rFonts w:hint="eastAsia" w:ascii="宋体" w:hAnsi="宋体" w:eastAsia="宋体" w:cs="宋体"/>
          <w:b/>
          <w:bCs/>
          <w:color w:val="auto"/>
          <w:sz w:val="24"/>
          <w:szCs w:val="24"/>
          <w:highlight w:val="none"/>
          <w:lang w:val="en-US" w:eastAsia="zh-CN"/>
        </w:rPr>
        <w:t>加密</w:t>
      </w:r>
      <w:bookmarkEnd w:id="100"/>
      <w:bookmarkEnd w:id="101"/>
      <w:bookmarkEnd w:id="102"/>
      <w:bookmarkEnd w:id="103"/>
      <w:bookmarkEnd w:id="104"/>
      <w:r>
        <w:rPr>
          <w:rFonts w:hint="eastAsia" w:ascii="宋体" w:hAnsi="宋体" w:eastAsia="宋体" w:cs="宋体"/>
          <w:b/>
          <w:bCs/>
          <w:color w:val="auto"/>
          <w:sz w:val="24"/>
          <w:szCs w:val="24"/>
          <w:highlight w:val="none"/>
          <w:lang w:val="en-US" w:eastAsia="zh-CN"/>
        </w:rPr>
        <w:t>和上传</w:t>
      </w:r>
    </w:p>
    <w:p w14:paraId="51C906E1">
      <w:pPr>
        <w:pageBreakBefore w:val="0"/>
        <w:numPr>
          <w:ilvl w:val="0"/>
          <w:numId w:val="0"/>
        </w:numPr>
        <w:wordWrap/>
        <w:overflowPunct/>
        <w:topLinePunct w:val="0"/>
        <w:bidi w:val="0"/>
        <w:spacing w:line="560" w:lineRule="exact"/>
        <w:ind w:left="0" w:leftChars="0" w:right="0" w:rightChars="0" w:firstLine="481"/>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18.1</w:t>
      </w:r>
      <w:r>
        <w:rPr>
          <w:rFonts w:hint="eastAsia" w:ascii="宋体" w:hAnsi="宋体" w:eastAsia="宋体" w:cs="宋体"/>
          <w:color w:val="auto"/>
          <w:kern w:val="0"/>
          <w:sz w:val="24"/>
          <w:szCs w:val="24"/>
          <w:highlight w:val="none"/>
        </w:rPr>
        <w:t>本项目实行全流程</w:t>
      </w:r>
      <w:r>
        <w:rPr>
          <w:rFonts w:hint="eastAsia" w:ascii="宋体" w:hAnsi="宋体" w:eastAsia="宋体" w:cs="宋体"/>
          <w:color w:val="auto"/>
          <w:sz w:val="24"/>
          <w:szCs w:val="24"/>
          <w:highlight w:val="none"/>
        </w:rPr>
        <w:t>电子交易方式</w:t>
      </w:r>
      <w:r>
        <w:rPr>
          <w:rFonts w:hint="eastAsia" w:ascii="宋体" w:hAnsi="宋体" w:eastAsia="宋体" w:cs="宋体"/>
          <w:color w:val="auto"/>
          <w:kern w:val="0"/>
          <w:sz w:val="24"/>
          <w:szCs w:val="24"/>
          <w:highlight w:val="none"/>
        </w:rPr>
        <w:t>，采用电子加密</w:t>
      </w:r>
      <w:r>
        <w:rPr>
          <w:rFonts w:hint="eastAsia" w:ascii="宋体" w:hAnsi="宋体" w:eastAsia="宋体" w:cs="宋体"/>
          <w:color w:val="auto"/>
          <w:kern w:val="0"/>
          <w:sz w:val="24"/>
          <w:szCs w:val="24"/>
          <w:highlight w:val="none"/>
          <w:lang w:eastAsia="zh-CN"/>
        </w:rPr>
        <w:t>投标文件（“.jmbs”格式）</w:t>
      </w:r>
      <w:r>
        <w:rPr>
          <w:rFonts w:hint="eastAsia" w:ascii="宋体" w:hAnsi="宋体" w:eastAsia="宋体" w:cs="宋体"/>
          <w:color w:val="auto"/>
          <w:kern w:val="0"/>
          <w:sz w:val="24"/>
          <w:szCs w:val="24"/>
          <w:highlight w:val="none"/>
        </w:rPr>
        <w:t>上传方式；</w:t>
      </w:r>
      <w:r>
        <w:rPr>
          <w:rFonts w:hint="eastAsia" w:ascii="宋体" w:hAnsi="宋体" w:eastAsia="宋体" w:cs="宋体"/>
          <w:color w:val="auto"/>
          <w:sz w:val="24"/>
          <w:szCs w:val="24"/>
          <w:highlight w:val="none"/>
        </w:rPr>
        <w:t>投标人应当在投标截止时间前，将“电子招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客户端”生成的“电子加密投标文件”上传电子交易平台</w:t>
      </w:r>
      <w:r>
        <w:rPr>
          <w:rFonts w:hint="eastAsia" w:ascii="宋体" w:hAnsi="宋体" w:eastAsia="宋体" w:cs="宋体"/>
          <w:color w:val="auto"/>
          <w:sz w:val="24"/>
          <w:szCs w:val="24"/>
          <w:highlight w:val="none"/>
          <w:lang w:eastAsia="zh-CN"/>
        </w:rPr>
        <w:t>，成功上传电子加密投标文件后，可自行打印投标文件接收回执</w:t>
      </w:r>
      <w:r>
        <w:rPr>
          <w:rFonts w:hint="eastAsia" w:ascii="宋体" w:hAnsi="宋体" w:eastAsia="宋体" w:cs="宋体"/>
          <w:color w:val="auto"/>
          <w:sz w:val="24"/>
          <w:szCs w:val="24"/>
          <w:highlight w:val="none"/>
        </w:rPr>
        <w:t>。</w:t>
      </w:r>
    </w:p>
    <w:p w14:paraId="236D5A13">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r>
        <w:rPr>
          <w:rFonts w:hint="eastAsia" w:ascii="宋体" w:hAnsi="宋体" w:cs="宋体"/>
          <w:color w:val="auto"/>
          <w:sz w:val="24"/>
          <w:szCs w:val="24"/>
          <w:highlight w:val="none"/>
          <w:lang w:val="en-US" w:eastAsia="zh-CN"/>
        </w:rPr>
        <w:t>2</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须在</w:t>
      </w:r>
      <w:r>
        <w:rPr>
          <w:rFonts w:hint="eastAsia" w:ascii="宋体" w:hAnsi="宋体" w:eastAsia="宋体" w:cs="宋体"/>
          <w:b/>
          <w:bCs w:val="0"/>
          <w:color w:val="auto"/>
          <w:sz w:val="24"/>
          <w:szCs w:val="24"/>
          <w:highlight w:val="none"/>
          <w:lang w:val="en-US" w:eastAsia="zh-CN"/>
        </w:rPr>
        <w:t>招标结束后五个工作日内</w:t>
      </w:r>
      <w:r>
        <w:rPr>
          <w:rFonts w:hint="eastAsia" w:ascii="宋体" w:hAnsi="宋体" w:eastAsia="宋体" w:cs="宋体"/>
          <w:b w:val="0"/>
          <w:bCs/>
          <w:color w:val="auto"/>
          <w:sz w:val="24"/>
          <w:szCs w:val="24"/>
          <w:highlight w:val="none"/>
          <w:lang w:val="en-US" w:eastAsia="zh-CN"/>
        </w:rPr>
        <w:t>向采购代理机构递交</w:t>
      </w:r>
      <w:r>
        <w:rPr>
          <w:rFonts w:hint="eastAsia" w:ascii="宋体" w:hAnsi="宋体" w:eastAsia="宋体" w:cs="宋体"/>
          <w:b/>
          <w:bCs w:val="0"/>
          <w:color w:val="auto"/>
          <w:sz w:val="24"/>
          <w:szCs w:val="24"/>
          <w:highlight w:val="none"/>
          <w:lang w:val="en-US" w:eastAsia="zh-CN"/>
        </w:rPr>
        <w:t>签章纸质版投标文件一正一副（用于档案资料编制）</w:t>
      </w:r>
      <w:r>
        <w:rPr>
          <w:rFonts w:hint="eastAsia" w:ascii="宋体" w:hAnsi="宋体" w:eastAsia="宋体" w:cs="宋体"/>
          <w:b w:val="0"/>
          <w:bCs/>
          <w:color w:val="auto"/>
          <w:sz w:val="24"/>
          <w:szCs w:val="24"/>
          <w:highlight w:val="none"/>
          <w:lang w:val="en-US" w:eastAsia="zh-CN"/>
        </w:rPr>
        <w:t>，纸质版投标文件须与政采云平台上传的电子版投标文件保持一致。投标文件的正本和副本应在其封面右上角清楚地标明“正本”或“副本”字样，统一用A4幅面纸印制，图纸、横道图等必须使用A3幅面印制的应折叠成A4幅面，并按招标文件规定签字和盖章，投标文件胶装成册并编码，每册装订应牢固、不易拆散和换页，不得采用活页装订。</w:t>
      </w:r>
    </w:p>
    <w:p w14:paraId="5F7DEEFC">
      <w:pPr>
        <w:pStyle w:val="6"/>
        <w:pageBreakBefore w:val="0"/>
        <w:wordWrap/>
        <w:overflowPunct/>
        <w:topLinePunct w:val="0"/>
        <w:bidi w:val="0"/>
        <w:spacing w:line="560" w:lineRule="exact"/>
        <w:ind w:left="0" w:leftChars="0" w:right="0" w:rightChars="0" w:firstLine="480"/>
        <w:rPr>
          <w:rFonts w:hint="eastAsia" w:ascii="宋体" w:hAnsi="宋体" w:eastAsia="宋体" w:cs="宋体"/>
          <w:b/>
          <w:bCs/>
          <w:color w:val="auto"/>
          <w:sz w:val="24"/>
          <w:szCs w:val="24"/>
          <w:highlight w:val="none"/>
        </w:rPr>
      </w:pPr>
      <w:bookmarkStart w:id="105" w:name="_Toc183682365"/>
      <w:bookmarkStart w:id="106" w:name="_Toc183582228"/>
      <w:bookmarkStart w:id="107" w:name="_Toc217446055"/>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．投标文件的修改和撤</w:t>
      </w:r>
      <w:bookmarkEnd w:id="105"/>
      <w:bookmarkEnd w:id="106"/>
      <w:r>
        <w:rPr>
          <w:rFonts w:hint="eastAsia" w:ascii="宋体" w:hAnsi="宋体" w:eastAsia="宋体" w:cs="宋体"/>
          <w:b/>
          <w:bCs/>
          <w:color w:val="auto"/>
          <w:sz w:val="24"/>
          <w:szCs w:val="24"/>
          <w:highlight w:val="none"/>
        </w:rPr>
        <w:t>回</w:t>
      </w:r>
      <w:bookmarkEnd w:id="107"/>
    </w:p>
    <w:p w14:paraId="3320AED7">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19.1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上传截止时间前，可以对所上传的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进行补充、修改或撤回。</w:t>
      </w:r>
    </w:p>
    <w:p w14:paraId="340F2B60">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上传截止时间之后，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不得对其上传的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做任何修改、补充或撤回。</w:t>
      </w:r>
    </w:p>
    <w:p w14:paraId="1F465539">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19.3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中-如果出现计算上或累加上的算术错误，可按以下原则进行修改：</w:t>
      </w:r>
    </w:p>
    <w:p w14:paraId="33FD7C79">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投标函</w:t>
      </w:r>
      <w:r>
        <w:rPr>
          <w:rFonts w:hint="eastAsia" w:ascii="宋体" w:hAnsi="宋体" w:eastAsia="宋体" w:cs="宋体"/>
          <w:color w:val="auto"/>
          <w:sz w:val="24"/>
          <w:szCs w:val="24"/>
          <w:highlight w:val="none"/>
        </w:rPr>
        <w:t>内容与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报价明细表不一致的，以</w:t>
      </w:r>
      <w:r>
        <w:rPr>
          <w:rFonts w:hint="eastAsia" w:ascii="宋体" w:hAnsi="宋体" w:eastAsia="宋体" w:cs="宋体"/>
          <w:color w:val="auto"/>
          <w:sz w:val="24"/>
          <w:szCs w:val="24"/>
          <w:highlight w:val="none"/>
          <w:lang w:eastAsia="zh-CN"/>
        </w:rPr>
        <w:t>投标函</w:t>
      </w:r>
      <w:r>
        <w:rPr>
          <w:rFonts w:hint="eastAsia" w:ascii="宋体" w:hAnsi="宋体" w:eastAsia="宋体" w:cs="宋体"/>
          <w:color w:val="auto"/>
          <w:sz w:val="24"/>
          <w:szCs w:val="24"/>
          <w:highlight w:val="none"/>
        </w:rPr>
        <w:t>为准</w:t>
      </w:r>
      <w:r>
        <w:rPr>
          <w:rFonts w:hint="eastAsia" w:ascii="宋体" w:hAnsi="宋体" w:cs="宋体"/>
          <w:color w:val="auto"/>
          <w:sz w:val="24"/>
          <w:szCs w:val="24"/>
          <w:highlight w:val="none"/>
          <w:lang w:eastAsia="zh-CN"/>
        </w:rPr>
        <w:t>；</w:t>
      </w:r>
    </w:p>
    <w:p w14:paraId="76A2F369">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（2）用小写金额和大写金额不一致，应以大写金额为准；</w:t>
      </w:r>
    </w:p>
    <w:p w14:paraId="1C6BFF95">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（3）总价金额与按单价汇总金额不一致的，以单价金额计算结果为准；</w:t>
      </w:r>
    </w:p>
    <w:p w14:paraId="7829D26B">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（4）单价金额小数点或者百分比有明显错位的，以</w:t>
      </w:r>
      <w:r>
        <w:rPr>
          <w:rFonts w:hint="eastAsia" w:ascii="宋体" w:hAnsi="宋体" w:eastAsia="宋体" w:cs="宋体"/>
          <w:color w:val="auto"/>
          <w:sz w:val="24"/>
          <w:szCs w:val="24"/>
          <w:highlight w:val="none"/>
          <w:lang w:eastAsia="zh-CN"/>
        </w:rPr>
        <w:t>投标函</w:t>
      </w:r>
      <w:r>
        <w:rPr>
          <w:rFonts w:hint="eastAsia" w:ascii="宋体" w:hAnsi="宋体" w:eastAsia="宋体" w:cs="宋体"/>
          <w:color w:val="auto"/>
          <w:sz w:val="24"/>
          <w:szCs w:val="24"/>
          <w:highlight w:val="none"/>
        </w:rPr>
        <w:t>的总价为准，并修改单价。</w:t>
      </w:r>
    </w:p>
    <w:p w14:paraId="0B6701E4">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确认后产生约束力，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不确认的，其</w:t>
      </w:r>
      <w:r>
        <w:rPr>
          <w:rFonts w:hint="eastAsia" w:ascii="宋体" w:hAnsi="宋体" w:eastAsia="宋体" w:cs="宋体"/>
          <w:b/>
          <w:bCs/>
          <w:color w:val="auto"/>
          <w:sz w:val="24"/>
          <w:szCs w:val="24"/>
          <w:highlight w:val="none"/>
        </w:rPr>
        <w:t>响应无效</w:t>
      </w:r>
      <w:r>
        <w:rPr>
          <w:rFonts w:hint="eastAsia" w:ascii="宋体" w:hAnsi="宋体" w:eastAsia="宋体" w:cs="宋体"/>
          <w:color w:val="auto"/>
          <w:sz w:val="24"/>
          <w:szCs w:val="24"/>
          <w:highlight w:val="none"/>
        </w:rPr>
        <w:t>。</w:t>
      </w:r>
    </w:p>
    <w:p w14:paraId="47A019BC">
      <w:pPr>
        <w:pStyle w:val="3"/>
        <w:pageBreakBefore w:val="0"/>
        <w:wordWrap/>
        <w:overflowPunct/>
        <w:topLinePunct w:val="0"/>
        <w:bidi w:val="0"/>
        <w:spacing w:before="0" w:after="0" w:line="560" w:lineRule="exact"/>
        <w:ind w:left="0" w:leftChars="0" w:right="0" w:rightChars="0" w:firstLine="480" w:firstLineChars="200"/>
        <w:jc w:val="center"/>
        <w:rPr>
          <w:rFonts w:hint="eastAsia" w:ascii="宋体" w:hAnsi="宋体" w:eastAsia="宋体" w:cs="宋体"/>
          <w:color w:val="auto"/>
          <w:sz w:val="24"/>
          <w:szCs w:val="24"/>
          <w:highlight w:val="none"/>
        </w:rPr>
      </w:pPr>
      <w:bookmarkStart w:id="108" w:name="_Toc183582231"/>
      <w:bookmarkStart w:id="109" w:name="_Toc89075878"/>
      <w:bookmarkStart w:id="110" w:name="_Toc217446056"/>
      <w:bookmarkStart w:id="111" w:name="_Toc77400782"/>
      <w:bookmarkStart w:id="112" w:name="_Toc183682368"/>
      <w:r>
        <w:rPr>
          <w:rFonts w:hint="eastAsia" w:ascii="宋体" w:hAnsi="宋体" w:eastAsia="宋体" w:cs="宋体"/>
          <w:color w:val="auto"/>
          <w:sz w:val="24"/>
          <w:szCs w:val="24"/>
          <w:highlight w:val="none"/>
        </w:rPr>
        <w:t>五、开标和</w:t>
      </w:r>
      <w:bookmarkEnd w:id="108"/>
      <w:bookmarkEnd w:id="109"/>
      <w:bookmarkEnd w:id="110"/>
      <w:bookmarkEnd w:id="111"/>
      <w:bookmarkEnd w:id="112"/>
      <w:r>
        <w:rPr>
          <w:rFonts w:hint="eastAsia" w:ascii="宋体" w:hAnsi="宋体" w:eastAsia="宋体" w:cs="宋体"/>
          <w:color w:val="auto"/>
          <w:sz w:val="24"/>
          <w:szCs w:val="24"/>
          <w:highlight w:val="none"/>
        </w:rPr>
        <w:t>中标</w:t>
      </w:r>
    </w:p>
    <w:p w14:paraId="00DC35D3">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13" w:name="_Toc217446057"/>
      <w:bookmarkStart w:id="114" w:name="_Toc183682369"/>
      <w:bookmarkStart w:id="115" w:name="_Toc183582232"/>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．开标</w:t>
      </w:r>
      <w:bookmarkEnd w:id="113"/>
      <w:bookmarkEnd w:id="114"/>
      <w:bookmarkEnd w:id="115"/>
    </w:p>
    <w:p w14:paraId="70E933FC">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.1 采购代理机构在招标文件规定的时间和地点组织招标活动，邀请下载招标文件并参与竞争的投标人</w:t>
      </w:r>
      <w:r>
        <w:rPr>
          <w:rFonts w:hint="eastAsia" w:ascii="宋体" w:hAnsi="宋体" w:eastAsia="宋体" w:cs="宋体"/>
          <w:color w:val="auto"/>
          <w:sz w:val="24"/>
          <w:szCs w:val="24"/>
          <w:highlight w:val="none"/>
          <w:lang w:val="en-US" w:eastAsia="zh-CN"/>
        </w:rPr>
        <w:t>在线</w:t>
      </w:r>
      <w:r>
        <w:rPr>
          <w:rFonts w:hint="eastAsia" w:ascii="宋体" w:hAnsi="宋体" w:eastAsia="宋体" w:cs="宋体"/>
          <w:color w:val="auto"/>
          <w:sz w:val="24"/>
          <w:szCs w:val="24"/>
          <w:highlight w:val="none"/>
        </w:rPr>
        <w:t>参加开标</w:t>
      </w:r>
      <w:r>
        <w:rPr>
          <w:rFonts w:hint="eastAsia" w:ascii="宋体" w:hAnsi="宋体" w:eastAsia="宋体" w:cs="宋体"/>
          <w:color w:val="auto"/>
          <w:sz w:val="24"/>
          <w:szCs w:val="24"/>
          <w:highlight w:val="none"/>
          <w:lang w:eastAsia="zh-CN"/>
        </w:rPr>
        <w:t>，投标人未参加开标的视同认可开标结果，事后不得对采购相关人员、开标过程和开标结果提出异议，同时投标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因未在线参加开标而导致投标文件无法按时解密等一切后果由</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自行承担</w:t>
      </w:r>
      <w:r>
        <w:rPr>
          <w:rFonts w:hint="eastAsia" w:ascii="宋体" w:hAnsi="宋体" w:eastAsia="宋体" w:cs="宋体"/>
          <w:color w:val="auto"/>
          <w:sz w:val="24"/>
          <w:szCs w:val="24"/>
          <w:highlight w:val="none"/>
        </w:rPr>
        <w:t>。</w:t>
      </w:r>
    </w:p>
    <w:p w14:paraId="4E6D29CA">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投标人不足3家的，不得开标。</w:t>
      </w:r>
    </w:p>
    <w:p w14:paraId="36E8CDA3">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.2 开标时，采购代理机构可以邀请有关监督管理部门对开标进行现场监督。</w:t>
      </w:r>
    </w:p>
    <w:p w14:paraId="796BAE33">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文件上传截止时间到，</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rPr>
        <w:t>会议开始，公布</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名单。</w:t>
      </w:r>
    </w:p>
    <w:p w14:paraId="32D32708">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.4开启“</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文件解密”环节，</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在规定时间内进行解密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解密规定见《投标人须知前附表》</w:t>
      </w:r>
      <w:r>
        <w:rPr>
          <w:rFonts w:hint="eastAsia" w:ascii="宋体" w:hAnsi="宋体" w:eastAsia="宋体" w:cs="宋体"/>
          <w:b/>
          <w:bCs/>
          <w:color w:val="auto"/>
          <w:sz w:val="24"/>
          <w:szCs w:val="24"/>
          <w:highlight w:val="none"/>
          <w:lang w:val="en-US" w:eastAsia="zh-CN"/>
        </w:rPr>
        <w:t>第1</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条</w:t>
      </w:r>
      <w:r>
        <w:rPr>
          <w:rFonts w:hint="eastAsia" w:ascii="宋体" w:hAnsi="宋体" w:eastAsia="宋体" w:cs="宋体"/>
          <w:color w:val="auto"/>
          <w:sz w:val="24"/>
          <w:szCs w:val="24"/>
          <w:highlight w:val="none"/>
        </w:rPr>
        <w:t>）。</w:t>
      </w:r>
    </w:p>
    <w:p w14:paraId="781194B9">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投标文件解密完毕，公布投标报价，开启报价签字确认（不予确认的应说明理由，否则视为无异议，开标结束后，由评标委员会对报价的合理性、准确性等进行审查核实）。</w:t>
      </w:r>
    </w:p>
    <w:p w14:paraId="5BC1F7E1">
      <w:pPr>
        <w:pageBreakBefore w:val="0"/>
        <w:wordWrap/>
        <w:overflowPunct/>
        <w:topLinePunct w:val="0"/>
        <w:bidi w:val="0"/>
        <w:spacing w:line="560" w:lineRule="exact"/>
        <w:ind w:left="0" w:leftChars="0" w:right="0" w:rightChars="0"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评标</w:t>
      </w:r>
      <w:r>
        <w:rPr>
          <w:rFonts w:hint="eastAsia" w:ascii="宋体" w:hAnsi="宋体" w:cs="宋体"/>
          <w:b/>
          <w:bCs/>
          <w:color w:val="auto"/>
          <w:sz w:val="24"/>
          <w:szCs w:val="24"/>
          <w:highlight w:val="none"/>
          <w:lang w:val="en-US" w:eastAsia="zh-CN"/>
        </w:rPr>
        <w:t>程序</w:t>
      </w:r>
    </w:p>
    <w:p w14:paraId="3195EC53">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.1公开招标采购项目开标结束后，采购人或者采购代理机构应当依法对投标人的资格进行审查。合格投标人不足3家的，不得评标。</w:t>
      </w:r>
    </w:p>
    <w:p w14:paraId="4CA06A36">
      <w:pPr>
        <w:pStyle w:val="87"/>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.2符合性审查。符合性审查是指依据招标文件的规定，从商务和技术角度对投标文件的有效性和完整性进行审查，以确定是否对招标文件的实质性要求做出响应。</w:t>
      </w:r>
    </w:p>
    <w:p w14:paraId="3520C0C1">
      <w:pPr>
        <w:pStyle w:val="87"/>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.3评标委员会采用综合评分法对满足招标文件全部实质性要求的投标文件和投标报价进行综合评分</w:t>
      </w:r>
    </w:p>
    <w:p w14:paraId="5559736F">
      <w:pPr>
        <w:pageBreakBefore w:val="0"/>
        <w:shd w:val="clear" w:color="auto" w:fill="auto"/>
        <w:wordWrap/>
        <w:overflowPunct/>
        <w:topLinePunct w:val="0"/>
        <w:bidi w:val="0"/>
        <w:spacing w:line="560" w:lineRule="exact"/>
        <w:ind w:right="0" w:righ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21.4</w:t>
      </w:r>
      <w:r>
        <w:rPr>
          <w:rFonts w:hint="eastAsia" w:ascii="宋体" w:hAnsi="宋体" w:eastAsia="宋体" w:cs="宋体"/>
          <w:b w:val="0"/>
          <w:bCs w:val="0"/>
          <w:color w:val="auto"/>
          <w:sz w:val="24"/>
          <w:szCs w:val="24"/>
          <w:highlight w:val="none"/>
          <w:lang w:val="en-US" w:eastAsia="zh-CN"/>
        </w:rPr>
        <w:t>澄清、说明或补正的形式：</w:t>
      </w:r>
    </w:p>
    <w:p w14:paraId="72CF7384">
      <w:pPr>
        <w:pageBreakBefore w:val="0"/>
        <w:shd w:val="clear" w:color="auto" w:fill="auto"/>
        <w:wordWrap/>
        <w:overflowPunct/>
        <w:topLinePunct w:val="0"/>
        <w:bidi w:val="0"/>
        <w:spacing w:line="560" w:lineRule="exact"/>
        <w:ind w:left="0" w:leftChars="0" w:right="0" w:rightChars="0"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（1）对于投标文件中含义不明确、同类问题表述不一致或者有明显文字和计算错误的内容，评标委员会将通过“政府采购云平台”在线询标的方式要求投标人在规定的时间内作出必要的澄清、说明或者补正，</w:t>
      </w:r>
      <w:r>
        <w:rPr>
          <w:rFonts w:hint="eastAsia" w:ascii="宋体" w:hAnsi="宋体" w:eastAsia="宋体" w:cs="宋体"/>
          <w:b/>
          <w:bCs/>
          <w:color w:val="auto"/>
          <w:sz w:val="24"/>
          <w:szCs w:val="24"/>
          <w:highlight w:val="none"/>
          <w:lang w:val="en-US" w:eastAsia="zh-CN"/>
        </w:rPr>
        <w:t>投标人澄清、说明或补正时间为20分钟</w:t>
      </w:r>
      <w:r>
        <w:rPr>
          <w:rFonts w:hint="eastAsia" w:ascii="宋体" w:hAnsi="宋体" w:eastAsia="宋体" w:cs="宋体"/>
          <w:b w:val="0"/>
          <w:bCs w:val="0"/>
          <w:color w:val="auto"/>
          <w:sz w:val="24"/>
          <w:szCs w:val="24"/>
          <w:highlight w:val="none"/>
          <w:lang w:val="en-US" w:eastAsia="zh-CN"/>
        </w:rPr>
        <w:t>。</w:t>
      </w:r>
    </w:p>
    <w:p w14:paraId="4C017200">
      <w:pPr>
        <w:pageBreakBefore w:val="0"/>
        <w:shd w:val="clear" w:color="auto" w:fill="auto"/>
        <w:wordWrap/>
        <w:overflowPunct/>
        <w:topLinePunct w:val="0"/>
        <w:bidi w:val="0"/>
        <w:spacing w:line="560" w:lineRule="exact"/>
        <w:ind w:left="0" w:leftChars="0" w:right="0" w:rightChars="0"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（2）投标人的澄清、说明或者补正应当通过“政府采购云平台”在线答复的方式提交，并加盖公章</w:t>
      </w:r>
      <w:r>
        <w:rPr>
          <w:rFonts w:hint="eastAsia" w:ascii="宋体" w:hAnsi="宋体" w:cs="宋体"/>
          <w:b w:val="0"/>
          <w:bCs w:val="0"/>
          <w:color w:val="auto"/>
          <w:sz w:val="24"/>
          <w:szCs w:val="24"/>
          <w:highlight w:val="none"/>
          <w:lang w:val="en-US" w:eastAsia="zh-CN"/>
        </w:rPr>
        <w:t>或</w:t>
      </w:r>
      <w:r>
        <w:rPr>
          <w:rFonts w:hint="eastAsia" w:ascii="宋体" w:hAnsi="宋体" w:eastAsia="宋体" w:cs="宋体"/>
          <w:b w:val="0"/>
          <w:bCs w:val="0"/>
          <w:color w:val="auto"/>
          <w:sz w:val="24"/>
          <w:szCs w:val="24"/>
          <w:highlight w:val="none"/>
          <w:lang w:val="en-US" w:eastAsia="zh-CN"/>
        </w:rPr>
        <w:t>电子印章，或者由法定代表人（负责人）或其授权的代表签字。投标人的澄清、说明或者补正不得超出投标文件的范围或者改变投标文件的实质性内容，不接受投标人主动对投标文件的澄清、说明或者补正。</w:t>
      </w:r>
    </w:p>
    <w:p w14:paraId="1377D203">
      <w:pPr>
        <w:pageBreakBefore w:val="0"/>
        <w:shd w:val="clear" w:color="auto" w:fill="auto"/>
        <w:wordWrap/>
        <w:overflowPunct/>
        <w:topLinePunct w:val="0"/>
        <w:bidi w:val="0"/>
        <w:spacing w:line="560" w:lineRule="exact"/>
        <w:ind w:left="0" w:leftChars="0" w:right="0" w:rightChars="0"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上述询标、澄清、说明和补正工作如因客观原因无法通过“政府采购云平台”在线进行的，将采用电子邮件等形式进行，请投标人保证办理投标事宜人员电话畅通、网络在线。如未及时进行澄清、说明或者补正的，视为放弃澄清、说明或者补正的权利。</w:t>
      </w:r>
    </w:p>
    <w:p w14:paraId="392B7CE2">
      <w:pPr>
        <w:pageBreakBefore w:val="0"/>
        <w:shd w:val="clear" w:color="auto" w:fill="auto"/>
        <w:wordWrap/>
        <w:overflowPunct/>
        <w:topLinePunct w:val="0"/>
        <w:bidi w:val="0"/>
        <w:spacing w:line="560" w:lineRule="exact"/>
        <w:ind w:left="0" w:leftChars="0" w:right="0" w:rightChars="0"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评审人员对各投标人投标文件非实质性内容有疑议或异议，或者审查发现明显的文字或计算错误等，及时向评标委员会组长提出。经评标委员会商议认为需要投标人作出必要澄清、说明或者补正的，应当以在线询标形式要求投标人作出必要的澄清、说明或者补正</w:t>
      </w:r>
      <w:r>
        <w:rPr>
          <w:rFonts w:hint="eastAsia" w:ascii="宋体" w:hAnsi="宋体" w:cs="宋体"/>
          <w:color w:val="auto"/>
          <w:sz w:val="24"/>
          <w:szCs w:val="24"/>
          <w:highlight w:val="none"/>
          <w:lang w:val="en-US" w:eastAsia="zh-CN"/>
        </w:rPr>
        <w:t>并加盖投标人电子印章或公章</w:t>
      </w:r>
      <w:r>
        <w:rPr>
          <w:rFonts w:hint="eastAsia" w:ascii="宋体" w:hAnsi="宋体" w:eastAsia="宋体" w:cs="宋体"/>
          <w:color w:val="auto"/>
          <w:sz w:val="24"/>
          <w:szCs w:val="24"/>
          <w:highlight w:val="none"/>
          <w:lang w:val="en-US" w:eastAsia="zh-CN"/>
        </w:rPr>
        <w:t>。澄清、说明或者补正的内容应作为政府采购项目档案归档留存。</w:t>
      </w:r>
    </w:p>
    <w:p w14:paraId="70CCA02D">
      <w:pPr>
        <w:pStyle w:val="87"/>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21.5评标委员会需对评审结果进行确认，现场监督员应对评审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326244ED">
      <w:pPr>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21.6</w:t>
      </w:r>
      <w:r>
        <w:rPr>
          <w:rFonts w:hint="eastAsia" w:ascii="宋体" w:hAnsi="宋体" w:eastAsia="宋体" w:cs="宋体"/>
          <w:color w:val="auto"/>
          <w:kern w:val="2"/>
          <w:sz w:val="24"/>
          <w:szCs w:val="24"/>
          <w:highlight w:val="none"/>
          <w:lang w:val="en-US" w:eastAsia="zh-CN" w:bidi="ar-SA"/>
        </w:rPr>
        <w:t>评标结果汇总完成后，除下列情形外，任何人不得修改评标结果：</w:t>
      </w:r>
    </w:p>
    <w:p w14:paraId="0D45D5BB">
      <w:pPr>
        <w:spacing w:line="52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(一)分值汇总计算错误的</w:t>
      </w:r>
      <w:r>
        <w:rPr>
          <w:rFonts w:hint="eastAsia" w:ascii="宋体" w:hAnsi="宋体" w:cs="宋体"/>
          <w:color w:val="auto"/>
          <w:kern w:val="2"/>
          <w:sz w:val="24"/>
          <w:szCs w:val="24"/>
          <w:highlight w:val="none"/>
          <w:lang w:val="en-US" w:eastAsia="zh-CN" w:bidi="ar-SA"/>
        </w:rPr>
        <w:t>；</w:t>
      </w:r>
    </w:p>
    <w:p w14:paraId="7BEB512D">
      <w:pPr>
        <w:spacing w:line="52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(二)分项评分超出评分标准范围的</w:t>
      </w:r>
      <w:r>
        <w:rPr>
          <w:rFonts w:hint="eastAsia" w:ascii="宋体" w:hAnsi="宋体" w:cs="宋体"/>
          <w:color w:val="auto"/>
          <w:kern w:val="2"/>
          <w:sz w:val="24"/>
          <w:szCs w:val="24"/>
          <w:highlight w:val="none"/>
          <w:lang w:val="en-US" w:eastAsia="zh-CN" w:bidi="ar-SA"/>
        </w:rPr>
        <w:t>；</w:t>
      </w:r>
    </w:p>
    <w:p w14:paraId="6B75E07B">
      <w:pPr>
        <w:spacing w:line="52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(三)评标委员会成员对客观评审因素评分不一致的</w:t>
      </w:r>
      <w:r>
        <w:rPr>
          <w:rFonts w:hint="eastAsia" w:ascii="宋体" w:hAnsi="宋体" w:cs="宋体"/>
          <w:color w:val="auto"/>
          <w:kern w:val="2"/>
          <w:sz w:val="24"/>
          <w:szCs w:val="24"/>
          <w:highlight w:val="none"/>
          <w:lang w:val="en-US" w:eastAsia="zh-CN" w:bidi="ar-SA"/>
        </w:rPr>
        <w:t>；</w:t>
      </w:r>
    </w:p>
    <w:p w14:paraId="254A395A">
      <w:pPr>
        <w:spacing w:line="52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(四)经评标委员会认定评分畸高、畸低的。</w:t>
      </w:r>
    </w:p>
    <w:p w14:paraId="31C273FE">
      <w:pPr>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4993E2F">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投标人对本条第一款情形提出质疑的，采购人或者采购代理机构可以组织原评标委员会进行重新评审，重新评审改变评标结果的，应当书面报告本级财政部门。</w:t>
      </w:r>
    </w:p>
    <w:p w14:paraId="36CF2F4F">
      <w:pPr>
        <w:pStyle w:val="87"/>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评标委员会根据综合评分情况，按照评标得分由高到低顺序推荐3名中标候选人，并编写评标报告。得分相同的，按投标报价由低到高顺序排列。得分且投标报价相同的，按照技术指标优劣顺序推荐。</w:t>
      </w:r>
    </w:p>
    <w:p w14:paraId="47E0B0E5">
      <w:pPr>
        <w:pStyle w:val="87"/>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采购代理机构在评标结果后2个工作日内将评标报告送采购人确认。</w:t>
      </w:r>
    </w:p>
    <w:p w14:paraId="67ABD88F">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16" w:name="_Toc183582238"/>
      <w:bookmarkStart w:id="117" w:name="_Toc183682375"/>
      <w:bookmarkStart w:id="118" w:name="_Toc217446063"/>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．中标通知</w:t>
      </w:r>
      <w:bookmarkEnd w:id="116"/>
      <w:bookmarkEnd w:id="117"/>
      <w:r>
        <w:rPr>
          <w:rFonts w:hint="eastAsia" w:ascii="宋体" w:hAnsi="宋体" w:eastAsia="宋体" w:cs="宋体"/>
          <w:b/>
          <w:bCs/>
          <w:color w:val="auto"/>
          <w:sz w:val="24"/>
          <w:szCs w:val="24"/>
          <w:highlight w:val="none"/>
        </w:rPr>
        <w:t>书</w:t>
      </w:r>
      <w:bookmarkEnd w:id="118"/>
    </w:p>
    <w:p w14:paraId="4F3B8602">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1中标通知书为签订中标合同的依据，是合同的有效组成部分。</w:t>
      </w:r>
    </w:p>
    <w:p w14:paraId="452B9B6A">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.2中标通知书对采购人和中标人均具有法律效力。中标通知书发出后，采购人改变中标结果，或者中标人无正当理由放弃中标的，应当承担相应的法律责任。</w:t>
      </w:r>
    </w:p>
    <w:p w14:paraId="32B53660">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中标人的投标文件本应作为无效投标处理或者有招投标法律法规规章制度规定的中标无效情形的，采购代理机构在取得有权主体的认定以后，应当宣布发出的中标通知书无效，并收回发出的中标通知书（中标人也应当缴回），依法重新确定中标人或者重新开展招标活动。</w:t>
      </w:r>
    </w:p>
    <w:p w14:paraId="60CA3CC2">
      <w:pPr>
        <w:pStyle w:val="3"/>
        <w:pageBreakBefore w:val="0"/>
        <w:wordWrap/>
        <w:overflowPunct/>
        <w:topLinePunct w:val="0"/>
        <w:bidi w:val="0"/>
        <w:spacing w:before="0" w:after="0" w:line="560" w:lineRule="exact"/>
        <w:ind w:left="0" w:leftChars="0" w:right="0" w:rightChars="0" w:firstLine="480" w:firstLineChars="200"/>
        <w:jc w:val="center"/>
        <w:rPr>
          <w:rFonts w:hint="eastAsia" w:ascii="宋体" w:hAnsi="宋体" w:eastAsia="宋体" w:cs="宋体"/>
          <w:color w:val="auto"/>
          <w:sz w:val="24"/>
          <w:szCs w:val="24"/>
          <w:highlight w:val="none"/>
        </w:rPr>
      </w:pPr>
      <w:bookmarkStart w:id="119" w:name="_Toc217446064"/>
      <w:bookmarkStart w:id="120" w:name="_Toc183682377"/>
      <w:bookmarkStart w:id="121" w:name="_Toc183582240"/>
      <w:r>
        <w:rPr>
          <w:rFonts w:hint="eastAsia" w:ascii="宋体" w:hAnsi="宋体" w:eastAsia="宋体" w:cs="宋体"/>
          <w:color w:val="auto"/>
          <w:sz w:val="24"/>
          <w:szCs w:val="24"/>
          <w:highlight w:val="none"/>
        </w:rPr>
        <w:t>六、签订及履行合同和验收</w:t>
      </w:r>
      <w:bookmarkEnd w:id="119"/>
    </w:p>
    <w:p w14:paraId="6C5901AE">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22" w:name="_Toc217446065"/>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.签订合同</w:t>
      </w:r>
      <w:bookmarkEnd w:id="122"/>
    </w:p>
    <w:p w14:paraId="3EFE59E8">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中标人在收到采购人发出的《中标通知书》后，应在法律法规规定的时间内与采购人签订采购合同。由于中标人的原因逾期未与采购人签订采购合同的，将视为放弃中标，取消其中标资格并将按相关规定进行处理。</w:t>
      </w:r>
    </w:p>
    <w:p w14:paraId="4C6526E3">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.2采购人不得向中标人提出任何不合理的要求，作为签订合同的条件，不得与中标人私下订立背离合同实质性内容的任何协议，所签订的合同不得对招标文件和投标文件作实质性修改。</w:t>
      </w:r>
    </w:p>
    <w:p w14:paraId="0EF3FC25">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.3中标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拒绝与采购人签订合同的，采购人可以按照评审报告推荐的中标候选人名单排序，确定下一候选人为中标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，也可以重新开展政府采购活动。</w:t>
      </w:r>
    </w:p>
    <w:p w14:paraId="19BE94A8">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.4中标人在合同签订之后三个工作日内，将签订的合同（彩色扫描件）交至采购代理机构。</w:t>
      </w:r>
    </w:p>
    <w:p w14:paraId="74211686">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23" w:name="_Toc217446066"/>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.合同分包</w:t>
      </w:r>
      <w:bookmarkEnd w:id="123"/>
      <w:r>
        <w:rPr>
          <w:rFonts w:hint="eastAsia" w:ascii="宋体" w:hAnsi="宋体" w:eastAsia="宋体" w:cs="宋体"/>
          <w:b/>
          <w:bCs/>
          <w:color w:val="auto"/>
          <w:sz w:val="24"/>
          <w:szCs w:val="24"/>
          <w:highlight w:val="none"/>
        </w:rPr>
        <w:t>（如有）</w:t>
      </w:r>
    </w:p>
    <w:p w14:paraId="20361995">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.1若本项目允许分包的，经采购人同意，中标人可以依法采取分包方式履行合同。这种要求应当在合同签订之前征得采购人同意，并且分包人履行分包项目的服务及技术要求等，必须与中标的一致。</w:t>
      </w:r>
    </w:p>
    <w:p w14:paraId="01DAF393">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.2招标合同实行分包履行的，中标人就招标项目和分包项目向采购人负责，分包人就分包项目承担责任。</w:t>
      </w:r>
    </w:p>
    <w:p w14:paraId="19ACB655">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24" w:name="_Toc217446067"/>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.采购人增加合同标的权</w:t>
      </w:r>
      <w:bookmarkEnd w:id="124"/>
      <w:r>
        <w:rPr>
          <w:rFonts w:hint="eastAsia" w:ascii="宋体" w:hAnsi="宋体" w:eastAsia="宋体" w:cs="宋体"/>
          <w:b/>
          <w:bCs/>
          <w:color w:val="auto"/>
          <w:sz w:val="24"/>
          <w:szCs w:val="24"/>
          <w:highlight w:val="none"/>
        </w:rPr>
        <w:t>利</w:t>
      </w:r>
    </w:p>
    <w:p w14:paraId="061D1628">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合同履行过程中，采购人需要追加与合同标的相同的货物或者服务的，在不改变合同其他条款的前提下，可以与中标投标人协商签订补充合同，但所有补充合同的招标金额不得超过原合同招标金额的百分之十。</w:t>
      </w:r>
    </w:p>
    <w:p w14:paraId="4BC79905">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25" w:name="_Toc217446068"/>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.履约保证金</w:t>
      </w:r>
      <w:bookmarkEnd w:id="125"/>
    </w:p>
    <w:p w14:paraId="0145B7DD">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人应在合同签订之前缴纳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文件规定数额的履约保证金。</w:t>
      </w:r>
    </w:p>
    <w:p w14:paraId="0F2ABF4F">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27.2如果</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人在规定的合同签订时间内，没有按照</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文件的规定缴纳履约保证金，且又无正当理由的，将视为放弃</w:t>
      </w:r>
      <w:r>
        <w:rPr>
          <w:rFonts w:hint="eastAsia" w:ascii="宋体" w:hAnsi="宋体" w:eastAsia="宋体" w:cs="宋体"/>
          <w:color w:val="auto"/>
          <w:sz w:val="24"/>
          <w:szCs w:val="24"/>
          <w:highlight w:val="none"/>
          <w:lang w:val="en-US" w:eastAsia="zh-CN"/>
        </w:rPr>
        <w:t>中标资格</w:t>
      </w:r>
      <w:r>
        <w:rPr>
          <w:rFonts w:hint="eastAsia" w:ascii="宋体" w:hAnsi="宋体" w:eastAsia="宋体" w:cs="宋体"/>
          <w:color w:val="auto"/>
          <w:sz w:val="24"/>
          <w:szCs w:val="24"/>
          <w:highlight w:val="none"/>
        </w:rPr>
        <w:t>，其缴纳的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保证金将不与退还。</w:t>
      </w:r>
    </w:p>
    <w:p w14:paraId="43289BCB">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26" w:name="_Toc217446069"/>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.履行合同</w:t>
      </w:r>
      <w:bookmarkEnd w:id="126"/>
    </w:p>
    <w:p w14:paraId="319FF91E">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.1中标人与采购人签订合同后，合同双方应严格执行合同条款，履行合同规定的义务，保证合同的顺利完成。</w:t>
      </w:r>
    </w:p>
    <w:p w14:paraId="6F280520">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.2在合同履行过程中，如发生合同纠纷，合同双方应按照《中华人民共和国民法典》的有关规定进行处理。</w:t>
      </w:r>
    </w:p>
    <w:p w14:paraId="4D9FCD96">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27" w:name="_Toc217446070"/>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.验收</w:t>
      </w:r>
      <w:bookmarkEnd w:id="127"/>
    </w:p>
    <w:p w14:paraId="29BA5304">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rPr>
      </w:pPr>
      <w:bookmarkStart w:id="128" w:name="_Toc217446071"/>
      <w:r>
        <w:rPr>
          <w:rFonts w:hint="eastAsia" w:ascii="宋体" w:hAnsi="宋体" w:eastAsia="宋体" w:cs="宋体"/>
          <w:color w:val="auto"/>
          <w:sz w:val="24"/>
          <w:szCs w:val="24"/>
          <w:highlight w:val="none"/>
        </w:rPr>
        <w:t>采购人应严格按照国家财政部《关于进一步加强政府采购需求和履约验收管理的指导意见》（</w:t>
      </w:r>
      <w:r>
        <w:rPr>
          <w:rFonts w:hint="eastAsia" w:ascii="宋体" w:hAnsi="宋体" w:eastAsia="宋体" w:cs="宋体"/>
          <w:color w:val="auto"/>
          <w:sz w:val="24"/>
          <w:szCs w:val="24"/>
          <w:highlight w:val="none"/>
          <w:shd w:val="clear" w:color="auto" w:fill="FFFFFF"/>
        </w:rPr>
        <w:t>财库〔2016〕205号</w:t>
      </w:r>
      <w:r>
        <w:rPr>
          <w:rFonts w:hint="eastAsia" w:ascii="宋体" w:hAnsi="宋体" w:eastAsia="宋体" w:cs="宋体"/>
          <w:color w:val="auto"/>
          <w:sz w:val="24"/>
          <w:szCs w:val="24"/>
          <w:highlight w:val="none"/>
        </w:rPr>
        <w:t>）的要求</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color="auto" w:fill="FFFFFF"/>
        </w:rPr>
        <w:t>根据采购项目的具体情况，自行组织项目验收或者委托采购代理机构邀请实际使用人</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参加本项目的其他</w:t>
      </w:r>
      <w:r>
        <w:rPr>
          <w:rFonts w:hint="eastAsia" w:ascii="宋体" w:hAnsi="宋体" w:eastAsia="宋体" w:cs="宋体"/>
          <w:i w:val="0"/>
          <w:iCs w:val="0"/>
          <w:caps w:val="0"/>
          <w:color w:val="auto"/>
          <w:spacing w:val="0"/>
          <w:sz w:val="24"/>
          <w:szCs w:val="24"/>
          <w:highlight w:val="none"/>
          <w:shd w:val="clear" w:color="auto" w:fill="FFFFFF"/>
          <w:lang w:eastAsia="zh-CN"/>
        </w:rPr>
        <w:t>投标人</w:t>
      </w:r>
      <w:r>
        <w:rPr>
          <w:rFonts w:hint="eastAsia" w:ascii="宋体" w:hAnsi="宋体" w:eastAsia="宋体" w:cs="宋体"/>
          <w:i w:val="0"/>
          <w:iCs w:val="0"/>
          <w:caps w:val="0"/>
          <w:color w:val="auto"/>
          <w:spacing w:val="0"/>
          <w:sz w:val="24"/>
          <w:szCs w:val="24"/>
          <w:highlight w:val="none"/>
          <w:shd w:val="clear" w:color="auto" w:fill="FFFFFF"/>
        </w:rPr>
        <w:t>或第三方专业机构及专家</w:t>
      </w:r>
      <w:r>
        <w:rPr>
          <w:rFonts w:hint="eastAsia" w:ascii="宋体" w:hAnsi="宋体" w:eastAsia="宋体" w:cs="宋体"/>
          <w:color w:val="auto"/>
          <w:sz w:val="24"/>
          <w:szCs w:val="24"/>
          <w:highlight w:val="none"/>
        </w:rPr>
        <w:t>进行验收。</w:t>
      </w:r>
    </w:p>
    <w:bookmarkEnd w:id="120"/>
    <w:bookmarkEnd w:id="121"/>
    <w:bookmarkEnd w:id="128"/>
    <w:p w14:paraId="61F34809">
      <w:pPr>
        <w:pStyle w:val="3"/>
        <w:pageBreakBefore w:val="0"/>
        <w:wordWrap/>
        <w:overflowPunct/>
        <w:topLinePunct w:val="0"/>
        <w:bidi w:val="0"/>
        <w:spacing w:before="0" w:after="0" w:line="560" w:lineRule="exact"/>
        <w:ind w:left="0" w:leftChars="0" w:right="0" w:rightChars="0" w:firstLine="480" w:firstLineChars="200"/>
        <w:jc w:val="center"/>
        <w:rPr>
          <w:rFonts w:hint="eastAsia" w:ascii="宋体" w:hAnsi="宋体" w:eastAsia="宋体" w:cs="宋体"/>
          <w:color w:val="auto"/>
          <w:sz w:val="24"/>
          <w:szCs w:val="24"/>
          <w:highlight w:val="none"/>
        </w:rPr>
      </w:pPr>
      <w:bookmarkStart w:id="129" w:name="_Toc217446074"/>
      <w:bookmarkStart w:id="130" w:name="_Toc183582243"/>
      <w:bookmarkStart w:id="131" w:name="_Toc183682380"/>
      <w:r>
        <w:rPr>
          <w:rFonts w:hint="eastAsia" w:ascii="宋体" w:hAnsi="宋体" w:eastAsia="宋体" w:cs="宋体"/>
          <w:color w:val="auto"/>
          <w:sz w:val="24"/>
          <w:szCs w:val="24"/>
          <w:highlight w:val="none"/>
        </w:rPr>
        <w:t>七、投标纪律要求</w:t>
      </w:r>
      <w:bookmarkEnd w:id="129"/>
    </w:p>
    <w:p w14:paraId="2EFA43FC">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32" w:name="_Toc217446075"/>
      <w:r>
        <w:rPr>
          <w:rFonts w:hint="eastAsia" w:ascii="宋体" w:hAnsi="宋体" w:eastAsia="宋体" w:cs="宋体"/>
          <w:b/>
          <w:bCs/>
          <w:color w:val="auto"/>
          <w:sz w:val="24"/>
          <w:szCs w:val="24"/>
          <w:highlight w:val="none"/>
          <w:lang w:val="en-US" w:eastAsia="zh-CN"/>
        </w:rPr>
        <w:t>29</w:t>
      </w:r>
      <w:r>
        <w:rPr>
          <w:rFonts w:hint="eastAsia" w:ascii="宋体" w:hAnsi="宋体" w:eastAsia="宋体" w:cs="宋体"/>
          <w:b/>
          <w:bCs/>
          <w:color w:val="auto"/>
          <w:sz w:val="24"/>
          <w:szCs w:val="24"/>
          <w:highlight w:val="none"/>
        </w:rPr>
        <w:t>.投标人不得具有的情形</w:t>
      </w:r>
      <w:bookmarkEnd w:id="132"/>
    </w:p>
    <w:p w14:paraId="7D5B04AB">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投标人参加投标不得有下列情形：</w:t>
      </w:r>
    </w:p>
    <w:p w14:paraId="408FBFA3">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（1）提供虚假材料谋取中标；</w:t>
      </w:r>
    </w:p>
    <w:p w14:paraId="5B4A065A">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（2）采取不正当手段诋毁、排挤其他投标人；</w:t>
      </w:r>
    </w:p>
    <w:p w14:paraId="5EAD11D2">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（3）与采购人、其他投标人恶意串通；</w:t>
      </w:r>
    </w:p>
    <w:p w14:paraId="3AE0A634">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（4）向采购人、评标委员会成员行贿或者提供其他不正当利益；</w:t>
      </w:r>
    </w:p>
    <w:p w14:paraId="575BA22E">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（5）在招标过程中与采购人进行协商谈判；</w:t>
      </w:r>
    </w:p>
    <w:p w14:paraId="55FC20C6">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（6）拒绝有关部门的监督检查或者向监督检查部门提供虚假情况。</w:t>
      </w:r>
    </w:p>
    <w:p w14:paraId="36CEAEA8">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有上述情形之一的投标人，属于不合格投标人，其投标或中标资格将被取消。</w:t>
      </w:r>
    </w:p>
    <w:p w14:paraId="5BD23202">
      <w:pPr>
        <w:pStyle w:val="3"/>
        <w:pageBreakBefore w:val="0"/>
        <w:wordWrap/>
        <w:overflowPunct/>
        <w:topLinePunct w:val="0"/>
        <w:bidi w:val="0"/>
        <w:spacing w:before="0" w:after="0" w:line="560" w:lineRule="exact"/>
        <w:ind w:left="0" w:leftChars="0" w:right="0" w:rightChars="0" w:firstLine="480" w:firstLineChars="200"/>
        <w:jc w:val="center"/>
        <w:rPr>
          <w:rFonts w:hint="eastAsia" w:ascii="宋体" w:hAnsi="宋体" w:eastAsia="宋体" w:cs="宋体"/>
          <w:b w:val="0"/>
          <w:bCs w:val="0"/>
          <w:color w:val="auto"/>
          <w:sz w:val="24"/>
          <w:szCs w:val="24"/>
          <w:highlight w:val="none"/>
        </w:rPr>
      </w:pPr>
      <w:bookmarkStart w:id="133" w:name="_Toc217446076"/>
      <w:r>
        <w:rPr>
          <w:rFonts w:hint="eastAsia" w:ascii="宋体" w:hAnsi="宋体" w:eastAsia="宋体" w:cs="宋体"/>
          <w:color w:val="auto"/>
          <w:sz w:val="24"/>
          <w:szCs w:val="24"/>
          <w:highlight w:val="none"/>
        </w:rPr>
        <w:t>八、</w:t>
      </w:r>
      <w:bookmarkEnd w:id="133"/>
      <w:r>
        <w:rPr>
          <w:rFonts w:hint="eastAsia" w:ascii="宋体" w:hAnsi="宋体" w:eastAsia="宋体" w:cs="宋体"/>
          <w:color w:val="auto"/>
          <w:sz w:val="24"/>
          <w:szCs w:val="24"/>
          <w:highlight w:val="none"/>
        </w:rPr>
        <w:t>合同价款支付</w:t>
      </w:r>
    </w:p>
    <w:p w14:paraId="0A144E79">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34" w:name="_Toc217446077"/>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 申请支付</w:t>
      </w:r>
      <w:bookmarkEnd w:id="134"/>
    </w:p>
    <w:p w14:paraId="0C3BBE4E">
      <w:pPr>
        <w:pageBreakBefore w:val="0"/>
        <w:wordWrap/>
        <w:overflowPunct/>
        <w:topLinePunct w:val="0"/>
        <w:bidi w:val="0"/>
        <w:spacing w:line="560" w:lineRule="exact"/>
        <w:ind w:left="0" w:leftChars="0" w:right="0" w:rightChars="0" w:firstLine="480" w:firstLineChars="200"/>
        <w:rPr>
          <w:rFonts w:hint="eastAsia" w:ascii="宋体" w:hAnsi="宋体" w:cs="宋体"/>
          <w:color w:val="auto"/>
          <w:sz w:val="24"/>
          <w:highlight w:val="none"/>
        </w:rPr>
      </w:pPr>
      <w:bookmarkStart w:id="135" w:name="_Toc217446078"/>
      <w:r>
        <w:rPr>
          <w:rFonts w:hint="eastAsia" w:ascii="宋体" w:hAnsi="宋体" w:cs="宋体"/>
          <w:color w:val="auto"/>
          <w:sz w:val="24"/>
          <w:highlight w:val="none"/>
        </w:rPr>
        <w:t>采购人应当按照政府采购合同规定，及时向中标供应商支付采购资金。</w:t>
      </w:r>
    </w:p>
    <w:p w14:paraId="4EC4A858">
      <w:pPr>
        <w:pageBreakBefore w:val="0"/>
        <w:wordWrap/>
        <w:overflowPunct/>
        <w:topLinePunct w:val="0"/>
        <w:bidi w:val="0"/>
        <w:spacing w:line="560" w:lineRule="exact"/>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政府采购项目资金支付程序，按照国家有关财政资金支付管理的规定执行。</w:t>
      </w:r>
    </w:p>
    <w:p w14:paraId="70E9C25A">
      <w:pPr>
        <w:pStyle w:val="3"/>
        <w:pageBreakBefore w:val="0"/>
        <w:wordWrap/>
        <w:overflowPunct/>
        <w:topLinePunct w:val="0"/>
        <w:bidi w:val="0"/>
        <w:spacing w:before="0" w:after="0" w:line="560" w:lineRule="exact"/>
        <w:ind w:left="0" w:leftChars="0" w:right="0" w:righ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九、质疑和投诉</w:t>
      </w:r>
      <w:bookmarkEnd w:id="135"/>
      <w:bookmarkStart w:id="136" w:name="_Toc217446079"/>
    </w:p>
    <w:p w14:paraId="7D9FC1EE">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End w:id="136"/>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．质疑、投诉的接收和处理严格按照《中华人共和国政府采购法</w:t>
      </w:r>
      <w:bookmarkEnd w:id="130"/>
      <w:bookmarkEnd w:id="131"/>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政府采购质疑和投诉办法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财政部关于加强政府采购投标人投诉受理审查工作的通知》的规定办理。</w:t>
      </w:r>
    </w:p>
    <w:p w14:paraId="140FD71B">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投标人认为招标文件、采购过程和中标、成交结果使自己的权益受到损害的，可以在知道或者应知其权益受到损害之日起七个工作日内，以书面形式向采购人提出质疑。针对同一采购环节的质疑应一次性提出，提出质疑的投标人应当是参与所质疑项目招标活动的投标人。</w:t>
      </w:r>
    </w:p>
    <w:p w14:paraId="54355AE6">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.2潜在投标人已依法获取其可质疑的招标文件的，可以对该文件提出质疑。对招标文件提出质疑的，应当在获取招标文件或者招标文件公告期限届满之日起7个工作日内提出。</w:t>
      </w:r>
    </w:p>
    <w:p w14:paraId="1B96F6A2">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826AA2D">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代理人提出质疑和投诉，应当提交投标人签署的授权委托书。</w:t>
      </w:r>
    </w:p>
    <w:p w14:paraId="175441AB">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.4投标人提出质疑应当提交质疑函和必要的证明材料。质疑函应当包括下列内容：</w:t>
      </w:r>
    </w:p>
    <w:p w14:paraId="282E36C1">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（一）投标人的姓名或者名称、地址、邮编、联系人及联系电话；</w:t>
      </w:r>
    </w:p>
    <w:p w14:paraId="24BF2DEB">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w:t>
      </w:r>
    </w:p>
    <w:p w14:paraId="4B7B05F6">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（三）具体、明确的质疑事项和与质疑事项相关的请求；</w:t>
      </w:r>
    </w:p>
    <w:p w14:paraId="5C1B0945">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w:t>
      </w:r>
    </w:p>
    <w:p w14:paraId="15D555E0">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（五）必要的法律依据；</w:t>
      </w:r>
    </w:p>
    <w:p w14:paraId="383D7516">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（六）提出质疑的日期。</w:t>
      </w:r>
    </w:p>
    <w:p w14:paraId="5971A4E9">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投标人为自然人的，应当由本人签字；投标人为法人或者其他组织的，应当由法定代表人、主要负责人或者其被授权人签字或盖章，并加盖公章。</w:t>
      </w:r>
    </w:p>
    <w:p w14:paraId="6E96412B">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接收质疑函的方式：书面形式</w:t>
      </w:r>
    </w:p>
    <w:p w14:paraId="40A41822">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联系部门：新疆拓源工程管理咨询有限公司招标部</w:t>
      </w:r>
    </w:p>
    <w:p w14:paraId="7B145618">
      <w:pPr>
        <w:pStyle w:val="6"/>
        <w:pageBreakBefore w:val="0"/>
        <w:wordWrap/>
        <w:overflowPunct/>
        <w:topLinePunct w:val="0"/>
        <w:bidi w:val="0"/>
        <w:spacing w:line="560" w:lineRule="exact"/>
        <w:ind w:left="0" w:leftChars="0" w:right="0" w:rightChars="0" w:firstLine="480"/>
        <w:rPr>
          <w:rStyle w:val="45"/>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联系人及联系电话：</w:t>
      </w:r>
      <w:r>
        <w:rPr>
          <w:rFonts w:hint="eastAsia" w:ascii="宋体" w:hAnsi="宋体" w:cs="宋体"/>
          <w:color w:val="auto"/>
          <w:sz w:val="24"/>
          <w:szCs w:val="24"/>
          <w:highlight w:val="none"/>
          <w:lang w:val="en-US" w:eastAsia="zh-CN"/>
        </w:rPr>
        <w:t>张曼</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18167989320</w:t>
      </w:r>
    </w:p>
    <w:p w14:paraId="548CCBDA">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通讯地址：乌鲁木齐市水磨沟区龙盛街898号万科中央公园S6栋5层</w:t>
      </w:r>
    </w:p>
    <w:p w14:paraId="34425383">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.5质疑投标人对采购人、采购代理机构的答复不满意，或者采购人、采购代理机构未在规定时间内作出答复的，可以在答复期满后15个工作日内向本办法第六条规定的财政部门提起投诉。</w:t>
      </w:r>
    </w:p>
    <w:p w14:paraId="70C98497">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.6投诉人投诉时，应当提交投诉书和必要的证明材料，并按照被投诉采购人、采购代理机构（以下简称被投诉人）和与投诉事项有关的投标人数量提供投诉书的副本。投诉书应当包括下列内容：</w:t>
      </w:r>
    </w:p>
    <w:p w14:paraId="7A53BC35">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（一）投诉人和被投诉人的姓名或者名称、通讯地址、邮编、联系人及联系电话；</w:t>
      </w:r>
    </w:p>
    <w:p w14:paraId="161FCF0E">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（二）质疑和质疑答复情况说明及相关证明材料；</w:t>
      </w:r>
    </w:p>
    <w:p w14:paraId="5D6520CA">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（三）具体、明确的投诉事项和与投诉事项相关的投诉请求；</w:t>
      </w:r>
    </w:p>
    <w:p w14:paraId="413669D6">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w:t>
      </w:r>
    </w:p>
    <w:p w14:paraId="7D6E1960">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（五）法律依据；</w:t>
      </w:r>
    </w:p>
    <w:p w14:paraId="60ECE38F">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（六）提起投诉的日期。</w:t>
      </w:r>
    </w:p>
    <w:p w14:paraId="09790119">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投诉人为自然人的，应当由本人签字；投诉人为法人或者其他组织的，应当由法定代表人、主要负责人，或者其授权代表签字或者盖章，并加盖公章。</w:t>
      </w:r>
    </w:p>
    <w:p w14:paraId="2D19FF0A">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.7投诉人应当根据《政府采购质疑和投诉办法》第七条第二款规定的信息内容，并按照其规定的方式提起投诉。</w:t>
      </w:r>
    </w:p>
    <w:p w14:paraId="5412DF9C">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投诉人提起投诉应当符合下列条件：</w:t>
      </w:r>
    </w:p>
    <w:p w14:paraId="3C5DD58B">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（一）提起投诉前已依法进行质疑；</w:t>
      </w:r>
    </w:p>
    <w:p w14:paraId="0574BE76">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（二）投诉书内容符合本办法的规定；</w:t>
      </w:r>
    </w:p>
    <w:p w14:paraId="4E0831B2">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（三）在投诉有效期限内提起投诉；</w:t>
      </w:r>
    </w:p>
    <w:p w14:paraId="539D645F">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（四）同一投诉事项未经财政部门投诉处理；</w:t>
      </w:r>
    </w:p>
    <w:p w14:paraId="122E98D1">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（五）财政部规定的其他条件。</w:t>
      </w:r>
    </w:p>
    <w:p w14:paraId="180419E3">
      <w:pPr>
        <w:pStyle w:val="28"/>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45F5E55D">
      <w:pPr>
        <w:pageBreakBefore w:val="0"/>
        <w:wordWrap/>
        <w:overflowPunct/>
        <w:topLinePunct w:val="0"/>
        <w:bidi w:val="0"/>
        <w:spacing w:line="56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质疑函范本</w:t>
      </w:r>
    </w:p>
    <w:p w14:paraId="578EA077">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bCs/>
          <w:color w:val="auto"/>
          <w:sz w:val="24"/>
          <w:szCs w:val="24"/>
          <w:highlight w:val="none"/>
        </w:rPr>
        <w:t>基本信息</w:t>
      </w:r>
    </w:p>
    <w:p w14:paraId="049EDC2B">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dotted"/>
        </w:rPr>
        <w:t xml:space="preserve">                                        </w:t>
      </w:r>
    </w:p>
    <w:p w14:paraId="0EEA0C8D">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36542F6">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4B16E53C">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dotted"/>
        </w:rPr>
        <w:t xml:space="preserve">                                          </w:t>
      </w:r>
    </w:p>
    <w:p w14:paraId="5021E15A">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5AFB142A">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BDA55DF">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66F651EE">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57D7A852">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3BA5A25F">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4089A26A">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招标文件获取日期：</w:t>
      </w:r>
      <w:r>
        <w:rPr>
          <w:rFonts w:hint="eastAsia" w:ascii="宋体" w:hAnsi="宋体" w:eastAsia="宋体" w:cs="宋体"/>
          <w:color w:val="auto"/>
          <w:sz w:val="24"/>
          <w:szCs w:val="24"/>
          <w:highlight w:val="none"/>
          <w:u w:val="dotted"/>
        </w:rPr>
        <w:t xml:space="preserve">                                           </w:t>
      </w:r>
    </w:p>
    <w:p w14:paraId="5F2BAE18">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7FCA8F30">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214D106A">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11A3475A">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5A721467">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049CD4D2">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5020C7C1">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B39A6E9">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A0675AD">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6056A1FD">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签章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公章：                      </w:t>
      </w:r>
    </w:p>
    <w:p w14:paraId="3B6BF840">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0ABEA3C2">
      <w:pPr>
        <w:pageBreakBefore w:val="0"/>
        <w:wordWrap/>
        <w:overflowPunct/>
        <w:topLinePunct w:val="0"/>
        <w:bidi w:val="0"/>
        <w:spacing w:line="560" w:lineRule="exact"/>
        <w:ind w:left="0" w:leftChars="0" w:right="0" w:rightChars="0" w:firstLine="482" w:firstLineChars="200"/>
        <w:jc w:val="center"/>
        <w:rPr>
          <w:rFonts w:hint="eastAsia" w:ascii="宋体" w:hAnsi="宋体" w:eastAsia="宋体" w:cs="宋体"/>
          <w:b/>
          <w:bCs/>
          <w:color w:val="auto"/>
          <w:sz w:val="24"/>
          <w:szCs w:val="24"/>
          <w:highlight w:val="none"/>
        </w:rPr>
      </w:pPr>
    </w:p>
    <w:p w14:paraId="0D26A003">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163DC0AE">
      <w:pPr>
        <w:pageBreakBefore w:val="0"/>
        <w:widowControl/>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提出质疑时，应提交质疑函和必要的证明材料。</w:t>
      </w:r>
    </w:p>
    <w:p w14:paraId="48C345CA">
      <w:pPr>
        <w:pageBreakBefore w:val="0"/>
        <w:widowControl/>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若委托代理人进行质疑的，质疑函应按要求列明“被授权人”的有关内容，并在附件中提交由质疑</w:t>
      </w:r>
      <w:r>
        <w:rPr>
          <w:rFonts w:hint="eastAsia" w:ascii="宋体" w:hAnsi="宋体" w:eastAsia="宋体" w:cs="宋体"/>
          <w:color w:val="auto"/>
          <w:kern w:val="0"/>
          <w:sz w:val="24"/>
          <w:szCs w:val="24"/>
          <w:highlight w:val="none"/>
        </w:rPr>
        <w:t>投标人签署的授权委托书。授权委托书应载明代理人的姓名或者名称、代理事项、具体权限、期限和相关事项。</w:t>
      </w:r>
    </w:p>
    <w:p w14:paraId="190C2C14">
      <w:pPr>
        <w:pageBreakBefore w:val="0"/>
        <w:widowControl/>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若对项目的某一分包进行质疑，质疑函中应列明具体分包号。</w:t>
      </w:r>
    </w:p>
    <w:p w14:paraId="6A1E972C">
      <w:pPr>
        <w:pageBreakBefore w:val="0"/>
        <w:widowControl/>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58996DAF">
      <w:pPr>
        <w:pageBreakBefore w:val="0"/>
        <w:widowControl/>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2B37173C">
      <w:pPr>
        <w:pageBreakBefore w:val="0"/>
        <w:widowControl/>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为自然人的，质疑函应由本人签字；质疑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为法人或者其他组织的，质疑函应由法定代表人、主要负责人或者其被授权人签字或者盖章，并加盖公章。</w:t>
      </w:r>
    </w:p>
    <w:p w14:paraId="007E7116">
      <w:pPr>
        <w:pStyle w:val="28"/>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3C9598E4">
      <w:pPr>
        <w:pStyle w:val="28"/>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60061974">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rPr>
      </w:pPr>
    </w:p>
    <w:p w14:paraId="0EEA8BBF">
      <w:pPr>
        <w:pageBreakBefore w:val="0"/>
        <w:wordWrap/>
        <w:overflowPunct/>
        <w:topLinePunct w:val="0"/>
        <w:bidi w:val="0"/>
        <w:spacing w:line="560" w:lineRule="exact"/>
        <w:ind w:left="0" w:leftChars="0" w:right="0" w:rightChars="0"/>
        <w:jc w:val="center"/>
        <w:outlineLvl w:val="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bookmarkStart w:id="137" w:name="_Toc5850_WPSOffice_Level1"/>
      <w:bookmarkStart w:id="138" w:name="_Toc7178"/>
      <w:r>
        <w:rPr>
          <w:rFonts w:hint="eastAsia" w:ascii="宋体" w:hAnsi="宋体" w:eastAsia="宋体" w:cs="宋体"/>
          <w:b/>
          <w:bCs/>
          <w:color w:val="auto"/>
          <w:sz w:val="24"/>
          <w:szCs w:val="24"/>
          <w:highlight w:val="none"/>
        </w:rPr>
        <w:t>第三章  投标文件格式</w:t>
      </w:r>
      <w:bookmarkEnd w:id="137"/>
      <w:bookmarkEnd w:id="138"/>
    </w:p>
    <w:p w14:paraId="1B93CCC7">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投标文件封面示例</w:t>
      </w:r>
    </w:p>
    <w:p w14:paraId="2B033232">
      <w:pPr>
        <w:pageBreakBefore w:val="0"/>
        <w:wordWrap/>
        <w:overflowPunct/>
        <w:topLinePunct w:val="0"/>
        <w:bidi w:val="0"/>
        <w:spacing w:line="560" w:lineRule="exact"/>
        <w:ind w:left="0" w:leftChars="0" w:right="0" w:rightChars="0"/>
        <w:rPr>
          <w:rFonts w:hint="eastAsia" w:ascii="宋体" w:hAnsi="宋体" w:eastAsia="宋体" w:cs="宋体"/>
          <w:b/>
          <w:color w:val="auto"/>
          <w:sz w:val="24"/>
          <w:szCs w:val="24"/>
          <w:highlight w:val="none"/>
        </w:rPr>
      </w:pPr>
    </w:p>
    <w:p w14:paraId="095BDFC7">
      <w:pPr>
        <w:pageBreakBefore w:val="0"/>
        <w:wordWrap/>
        <w:overflowPunct/>
        <w:topLinePunct w:val="0"/>
        <w:bidi w:val="0"/>
        <w:spacing w:line="560" w:lineRule="exact"/>
        <w:ind w:left="0" w:leftChars="0" w:right="0" w:rightChars="0"/>
        <w:jc w:val="center"/>
        <w:rPr>
          <w:rFonts w:hint="eastAsia" w:ascii="宋体" w:hAnsi="宋体" w:eastAsia="宋体" w:cs="宋体"/>
          <w:b/>
          <w:color w:val="auto"/>
          <w:sz w:val="24"/>
          <w:szCs w:val="24"/>
          <w:highlight w:val="none"/>
        </w:rPr>
      </w:pPr>
    </w:p>
    <w:p w14:paraId="6CF4571D">
      <w:pPr>
        <w:pageBreakBefore w:val="0"/>
        <w:wordWrap/>
        <w:overflowPunct/>
        <w:topLinePunct w:val="0"/>
        <w:bidi w:val="0"/>
        <w:spacing w:line="560" w:lineRule="exact"/>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w:t>
      </w:r>
    </w:p>
    <w:p w14:paraId="51F8B1A3">
      <w:pPr>
        <w:pageBreakBefore w:val="0"/>
        <w:wordWrap/>
        <w:overflowPunct/>
        <w:topLinePunct w:val="0"/>
        <w:bidi w:val="0"/>
        <w:spacing w:line="560" w:lineRule="exact"/>
        <w:ind w:left="0" w:leftChars="0" w:right="0" w:rightChars="0"/>
        <w:rPr>
          <w:rFonts w:hint="eastAsia" w:ascii="宋体" w:hAnsi="宋体" w:eastAsia="宋体" w:cs="宋体"/>
          <w:b/>
          <w:color w:val="auto"/>
          <w:sz w:val="24"/>
          <w:szCs w:val="24"/>
          <w:highlight w:val="none"/>
        </w:rPr>
      </w:pPr>
    </w:p>
    <w:p w14:paraId="60696708">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p>
    <w:p w14:paraId="38393B50">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p>
    <w:p w14:paraId="4600BFB1">
      <w:pPr>
        <w:pageBreakBefore w:val="0"/>
        <w:wordWrap/>
        <w:overflowPunct/>
        <w:topLinePunct w:val="0"/>
        <w:bidi w:val="0"/>
        <w:spacing w:line="560" w:lineRule="exact"/>
        <w:ind w:left="0" w:leftChars="0" w:right="0" w:rightChars="0"/>
        <w:rPr>
          <w:rFonts w:hint="eastAsia" w:ascii="宋体" w:hAnsi="宋体" w:eastAsia="宋体" w:cs="宋体"/>
          <w:b/>
          <w:color w:val="auto"/>
          <w:sz w:val="24"/>
          <w:szCs w:val="24"/>
          <w:highlight w:val="none"/>
        </w:rPr>
      </w:pPr>
    </w:p>
    <w:p w14:paraId="1D64A474">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p w14:paraId="5710CB41">
      <w:pPr>
        <w:pStyle w:val="28"/>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50134628">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项目编号：</w:t>
      </w:r>
    </w:p>
    <w:p w14:paraId="23D0D193">
      <w:pPr>
        <w:pageBreakBefore w:val="0"/>
        <w:wordWrap/>
        <w:overflowPunct/>
        <w:topLinePunct w:val="0"/>
        <w:bidi w:val="0"/>
        <w:spacing w:line="560" w:lineRule="exact"/>
        <w:ind w:right="0" w:rightChars="0"/>
        <w:rPr>
          <w:rFonts w:hint="eastAsia" w:ascii="宋体" w:hAnsi="宋体" w:eastAsia="宋体" w:cs="宋体"/>
          <w:b/>
          <w:color w:val="auto"/>
          <w:sz w:val="24"/>
          <w:szCs w:val="24"/>
          <w:highlight w:val="none"/>
        </w:rPr>
      </w:pPr>
    </w:p>
    <w:p w14:paraId="16B0F76B">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投标人名称（盖章）：</w:t>
      </w:r>
    </w:p>
    <w:p w14:paraId="5DF66638">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p>
    <w:p w14:paraId="77D919B0">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被授权人（签字或盖章）：</w:t>
      </w:r>
    </w:p>
    <w:p w14:paraId="24C2A465">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p>
    <w:p w14:paraId="0947A6C8">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项目联系人： </w:t>
      </w:r>
    </w:p>
    <w:p w14:paraId="747B7739">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p>
    <w:p w14:paraId="53D9BCB6">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p w14:paraId="41344605">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p>
    <w:p w14:paraId="40DF6409">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编制时间：</w:t>
      </w:r>
    </w:p>
    <w:p w14:paraId="07571515">
      <w:pPr>
        <w:pageBreakBefore w:val="0"/>
        <w:wordWrap/>
        <w:overflowPunct/>
        <w:topLinePunct w:val="0"/>
        <w:bidi w:val="0"/>
        <w:spacing w:line="56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目录</w:t>
      </w:r>
    </w:p>
    <w:p w14:paraId="2EBEDBEE">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bookmarkStart w:id="139" w:name="_Toc217446082"/>
    </w:p>
    <w:p w14:paraId="55408E6E">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14:paraId="144753A6">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分项报价明细表</w:t>
      </w:r>
    </w:p>
    <w:p w14:paraId="2B7571CA">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三、身份证明书</w:t>
      </w:r>
    </w:p>
    <w:p w14:paraId="35A8C634">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四、授权委托书</w:t>
      </w:r>
    </w:p>
    <w:p w14:paraId="02DB11AF">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五、投标人基本情况表</w:t>
      </w:r>
    </w:p>
    <w:p w14:paraId="2C596069">
      <w:pPr>
        <w:pageBreakBefore w:val="0"/>
        <w:tabs>
          <w:tab w:val="left" w:pos="3480"/>
        </w:tabs>
        <w:wordWrap/>
        <w:overflowPunct/>
        <w:topLinePunct w:val="0"/>
        <w:bidi w:val="0"/>
        <w:spacing w:line="560" w:lineRule="exact"/>
        <w:ind w:left="0" w:leftChars="0" w:right="0" w:rightChars="0"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拟配备人员简介</w:t>
      </w:r>
    </w:p>
    <w:p w14:paraId="7AB02C06">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、近年</w:t>
      </w:r>
      <w:r>
        <w:rPr>
          <w:rFonts w:hint="eastAsia" w:ascii="宋体" w:hAnsi="宋体" w:cs="宋体"/>
          <w:color w:val="auto"/>
          <w:sz w:val="24"/>
          <w:szCs w:val="24"/>
          <w:highlight w:val="none"/>
          <w:lang w:eastAsia="zh-CN"/>
        </w:rPr>
        <w:t>类似</w:t>
      </w:r>
      <w:r>
        <w:rPr>
          <w:rFonts w:hint="eastAsia" w:ascii="宋体" w:hAnsi="宋体" w:eastAsia="宋体" w:cs="宋体"/>
          <w:color w:val="auto"/>
          <w:sz w:val="24"/>
          <w:szCs w:val="24"/>
          <w:highlight w:val="none"/>
        </w:rPr>
        <w:t>项目情况表</w:t>
      </w:r>
    </w:p>
    <w:p w14:paraId="1294BCD5">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、商务、技术需求偏离表</w:t>
      </w:r>
    </w:p>
    <w:p w14:paraId="474BB411">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服务承诺及技术方案</w:t>
      </w:r>
    </w:p>
    <w:p w14:paraId="7C1425D5">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十、政府采购政策</w:t>
      </w:r>
    </w:p>
    <w:p w14:paraId="128B6262">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、投标人认为需要提供的资料</w:t>
      </w:r>
    </w:p>
    <w:p w14:paraId="02A51C01">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eastAsia="zh-CN"/>
        </w:rPr>
      </w:pPr>
    </w:p>
    <w:p w14:paraId="67DD483A">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rPr>
      </w:pPr>
    </w:p>
    <w:p w14:paraId="2C1099E2">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（备注：投标人应按以上目录顺序编排投标文件，并标注相应页码）。</w:t>
      </w:r>
    </w:p>
    <w:p w14:paraId="13AD2F92">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4E7C527F">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149EDF95">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0C951AE4">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p w14:paraId="783B6563">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1773AD12">
      <w:pPr>
        <w:pStyle w:val="28"/>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715CA8D2">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081240A8">
      <w:pPr>
        <w:pStyle w:val="28"/>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66A1B827">
      <w:pPr>
        <w:pageBreakBefore w:val="0"/>
        <w:wordWrap/>
        <w:overflowPunct/>
        <w:topLinePunct w:val="0"/>
        <w:bidi w:val="0"/>
        <w:spacing w:line="560" w:lineRule="exact"/>
        <w:ind w:left="0" w:leftChars="0" w:right="0" w:rightChars="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val="0"/>
          <w:bCs w:val="0"/>
          <w:color w:val="auto"/>
          <w:sz w:val="24"/>
          <w:szCs w:val="24"/>
          <w:highlight w:val="none"/>
        </w:rPr>
        <w:t>一、</w:t>
      </w:r>
      <w:bookmarkEnd w:id="139"/>
      <w:r>
        <w:rPr>
          <w:rFonts w:hint="eastAsia" w:ascii="宋体" w:hAnsi="宋体" w:eastAsia="宋体" w:cs="宋体"/>
          <w:b w:val="0"/>
          <w:bCs w:val="0"/>
          <w:color w:val="auto"/>
          <w:sz w:val="24"/>
          <w:szCs w:val="24"/>
          <w:highlight w:val="none"/>
        </w:rPr>
        <w:t>投标函</w:t>
      </w:r>
    </w:p>
    <w:p w14:paraId="6A05FB30">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0" w:firstLineChars="0"/>
        <w:textAlignment w:val="auto"/>
        <w:rPr>
          <w:rFonts w:hint="eastAsia" w:ascii="宋体" w:hAnsi="宋体" w:eastAsia="宋体" w:cs="宋体"/>
          <w:bCs/>
          <w:color w:val="auto"/>
          <w:sz w:val="24"/>
          <w:szCs w:val="24"/>
          <w:highlight w:val="none"/>
        </w:rPr>
      </w:pPr>
      <w:bookmarkStart w:id="140" w:name="_Toc217446083"/>
      <w:r>
        <w:rPr>
          <w:rFonts w:hint="eastAsia" w:ascii="宋体" w:hAnsi="宋体" w:eastAsia="宋体" w:cs="宋体"/>
          <w:bCs/>
          <w:color w:val="auto"/>
          <w:sz w:val="24"/>
          <w:szCs w:val="24"/>
          <w:highlight w:val="none"/>
        </w:rPr>
        <w:t>__________（采购人）：</w:t>
      </w:r>
    </w:p>
    <w:p w14:paraId="3EE6A3E1">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我方全面研究了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（项目名称、项目编号）”项目招标文件，决定参加贵单位组织的本项目投标。我方授权</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（姓名、职务）代表我方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（投标人的名称）全权处理本项目投标的有关事宜。</w:t>
      </w:r>
    </w:p>
    <w:p w14:paraId="5A23EA51">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1、我方自愿按照招标文件规定的各项要求向采购人提供所需货物</w:t>
      </w:r>
      <w:r>
        <w:rPr>
          <w:rFonts w:hint="eastAsia" w:ascii="宋体" w:hAnsi="宋体" w:cs="宋体"/>
          <w:bCs/>
          <w:color w:val="auto"/>
          <w:sz w:val="24"/>
          <w:szCs w:val="24"/>
          <w:highlight w:val="none"/>
          <w:lang w:val="en-US" w:eastAsia="zh-CN"/>
        </w:rPr>
        <w:t>及服务</w:t>
      </w:r>
      <w:r>
        <w:rPr>
          <w:rFonts w:hint="eastAsia" w:ascii="宋体" w:hAnsi="宋体" w:eastAsia="宋体" w:cs="宋体"/>
          <w:bCs/>
          <w:color w:val="auto"/>
          <w:sz w:val="24"/>
          <w:szCs w:val="24"/>
          <w:highlight w:val="none"/>
        </w:rPr>
        <w:t>，总投标价为人民币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该投标报价（单价合计）应为分项明细的报价相加之和</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中标</w:t>
      </w:r>
      <w:r>
        <w:rPr>
          <w:rFonts w:hint="eastAsia" w:ascii="宋体" w:hAnsi="宋体" w:eastAsia="宋体" w:cs="宋体"/>
          <w:bCs/>
          <w:color w:val="auto"/>
          <w:sz w:val="24"/>
          <w:szCs w:val="24"/>
          <w:highlight w:val="none"/>
        </w:rPr>
        <w:t>后采购人不再另行支付</w:t>
      </w:r>
      <w:r>
        <w:rPr>
          <w:rFonts w:hint="eastAsia" w:ascii="宋体" w:hAnsi="宋体" w:cs="宋体"/>
          <w:bCs/>
          <w:color w:val="auto"/>
          <w:sz w:val="24"/>
          <w:szCs w:val="24"/>
          <w:highlight w:val="none"/>
          <w:lang w:val="en-US" w:eastAsia="zh-CN"/>
        </w:rPr>
        <w:t>其他费用</w:t>
      </w:r>
      <w:r>
        <w:rPr>
          <w:rFonts w:hint="eastAsia" w:ascii="宋体" w:hAnsi="宋体" w:eastAsia="宋体" w:cs="宋体"/>
          <w:bCs/>
          <w:color w:val="auto"/>
          <w:sz w:val="24"/>
          <w:szCs w:val="24"/>
          <w:highlight w:val="none"/>
        </w:rPr>
        <w:t>，投标有效期</w:t>
      </w:r>
      <w:r>
        <w:rPr>
          <w:rFonts w:hint="eastAsia" w:ascii="宋体" w:hAnsi="宋体" w:eastAsia="宋体" w:cs="宋体"/>
          <w:bCs/>
          <w:color w:val="auto"/>
          <w:sz w:val="24"/>
          <w:szCs w:val="24"/>
          <w:highlight w:val="none"/>
          <w:u w:val="single"/>
        </w:rPr>
        <w:t xml:space="preserve"> 从提交</w:t>
      </w:r>
      <w:r>
        <w:rPr>
          <w:rFonts w:hint="eastAsia" w:ascii="宋体" w:hAnsi="宋体" w:eastAsia="宋体" w:cs="宋体"/>
          <w:bCs/>
          <w:color w:val="auto"/>
          <w:sz w:val="24"/>
          <w:szCs w:val="24"/>
          <w:highlight w:val="none"/>
          <w:u w:val="single"/>
          <w:lang w:val="en-US" w:eastAsia="zh-CN"/>
        </w:rPr>
        <w:t>投标</w:t>
      </w:r>
      <w:r>
        <w:rPr>
          <w:rFonts w:hint="eastAsia" w:ascii="宋体" w:hAnsi="宋体" w:eastAsia="宋体" w:cs="宋体"/>
          <w:bCs/>
          <w:color w:val="auto"/>
          <w:sz w:val="24"/>
          <w:szCs w:val="24"/>
          <w:highlight w:val="none"/>
          <w:u w:val="single"/>
        </w:rPr>
        <w:t>文件的截止之日起</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天 </w:t>
      </w:r>
      <w:r>
        <w:rPr>
          <w:rFonts w:hint="eastAsia" w:ascii="宋体" w:hAnsi="宋体" w:eastAsia="宋体" w:cs="宋体"/>
          <w:bCs/>
          <w:color w:val="auto"/>
          <w:sz w:val="24"/>
          <w:szCs w:val="24"/>
          <w:highlight w:val="none"/>
        </w:rPr>
        <w:t>。</w:t>
      </w:r>
    </w:p>
    <w:p w14:paraId="27B4BC3C">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480" w:firstLineChars="200"/>
        <w:textAlignment w:val="auto"/>
        <w:rPr>
          <w:rFonts w:hint="eastAsia" w:ascii="宋体" w:hAnsi="宋体" w:eastAsia="宋体" w:cs="宋体"/>
          <w:bCs/>
          <w:color w:val="auto"/>
          <w:sz w:val="24"/>
          <w:szCs w:val="24"/>
          <w:highlight w:val="yellow"/>
          <w:u w:val="none"/>
        </w:rPr>
      </w:pPr>
      <w:r>
        <w:rPr>
          <w:rFonts w:hint="eastAsia" w:ascii="宋体" w:hAnsi="宋体" w:eastAsia="宋体" w:cs="宋体"/>
          <w:bCs/>
          <w:color w:val="auto"/>
          <w:sz w:val="24"/>
          <w:szCs w:val="24"/>
          <w:highlight w:val="none"/>
        </w:rPr>
        <w:t>2、一旦我方成交，我方将严格履行合同规定的责任和义务，</w:t>
      </w:r>
      <w:r>
        <w:rPr>
          <w:rFonts w:hint="eastAsia" w:ascii="宋体"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期为：</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地点</w:t>
      </w:r>
      <w:r>
        <w:rPr>
          <w:rFonts w:hint="eastAsia" w:ascii="宋体" w:hAnsi="宋体" w:cs="宋体"/>
          <w:bCs/>
          <w:color w:val="auto"/>
          <w:sz w:val="24"/>
          <w:szCs w:val="24"/>
          <w:highlight w:val="none"/>
          <w:lang w:val="en-US" w:eastAsia="zh-CN"/>
        </w:rPr>
        <w:t>为：</w:t>
      </w:r>
      <w:r>
        <w:rPr>
          <w:rFonts w:hint="eastAsia" w:ascii="宋体" w:hAnsi="宋体" w:eastAsia="宋体" w:cs="宋体"/>
          <w:bCs/>
          <w:color w:val="auto"/>
          <w:sz w:val="24"/>
          <w:szCs w:val="24"/>
          <w:highlight w:val="none"/>
          <w:u w:val="single"/>
          <w:lang w:val="en-US" w:eastAsia="zh-CN"/>
        </w:rPr>
        <w:t xml:space="preserve"> 采购人指定地点 </w:t>
      </w:r>
      <w:r>
        <w:rPr>
          <w:rFonts w:hint="eastAsia" w:ascii="宋体" w:hAnsi="宋体" w:eastAsia="宋体" w:cs="宋体"/>
          <w:bCs/>
          <w:color w:val="auto"/>
          <w:sz w:val="24"/>
          <w:szCs w:val="24"/>
          <w:highlight w:val="none"/>
        </w:rPr>
        <w:t>，并达到采购人要求</w:t>
      </w:r>
      <w:r>
        <w:rPr>
          <w:rFonts w:hint="eastAsia" w:ascii="宋体" w:hAnsi="宋体" w:eastAsia="宋体" w:cs="宋体"/>
          <w:bCs/>
          <w:color w:val="auto"/>
          <w:sz w:val="24"/>
          <w:szCs w:val="24"/>
          <w:highlight w:val="none"/>
          <w:u w:val="none"/>
        </w:rPr>
        <w:t>。</w:t>
      </w:r>
    </w:p>
    <w:p w14:paraId="3A97573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3、我方同意按照招标文件的要求，向贵单位缴纳人民币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）的投标保证金，并承诺如发生符合“第二章投标人须知”第15.5条的任何情况时，我方将不要求退还投标保证金。</w:t>
      </w:r>
    </w:p>
    <w:p w14:paraId="2F3370E6">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4、我方提交的投标文件满足招标文件实质性要求。</w:t>
      </w:r>
    </w:p>
    <w:p w14:paraId="6AFE6E72">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5、我方愿意提供采购人可能另外要求的，与投标有关的文件资料，并保证我方已提供和将要提供的文件资料是真实、准确的。</w:t>
      </w:r>
    </w:p>
    <w:p w14:paraId="6F1F1976">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6、我方完全理解采购人不一定将合同授予最低报价的投标人。</w:t>
      </w:r>
    </w:p>
    <w:p w14:paraId="538C4465">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3360" w:firstLineChars="1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投标人名称（盖章）：</w:t>
      </w:r>
    </w:p>
    <w:p w14:paraId="55AD2AD4">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480" w:firstLineChars="20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授权人</w:t>
      </w:r>
      <w:r>
        <w:rPr>
          <w:rFonts w:hint="eastAsia" w:ascii="宋体" w:hAnsi="宋体" w:eastAsia="宋体" w:cs="宋体"/>
          <w:color w:val="auto"/>
          <w:sz w:val="24"/>
          <w:szCs w:val="24"/>
          <w:highlight w:val="none"/>
        </w:rPr>
        <w:t>或被授权人（签字或盖章）</w:t>
      </w:r>
      <w:r>
        <w:rPr>
          <w:rFonts w:hint="eastAsia" w:ascii="宋体" w:hAnsi="宋体" w:eastAsia="宋体" w:cs="宋体"/>
          <w:bCs/>
          <w:color w:val="auto"/>
          <w:sz w:val="24"/>
          <w:szCs w:val="24"/>
          <w:highlight w:val="none"/>
        </w:rPr>
        <w:t>：</w:t>
      </w:r>
    </w:p>
    <w:p w14:paraId="03327CAC">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3360" w:firstLineChars="1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通讯地址：</w:t>
      </w:r>
    </w:p>
    <w:p w14:paraId="5BEC3895">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3360" w:firstLineChars="1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p w14:paraId="16930325">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3360" w:firstLineChars="14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 年 月 日</w:t>
      </w:r>
    </w:p>
    <w:p w14:paraId="6EBBCA1F">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46103B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w:t>
      </w:r>
      <w:r>
        <w:rPr>
          <w:rFonts w:hint="eastAsia" w:ascii="宋体" w:hAnsi="宋体" w:cs="宋体"/>
          <w:b w:val="0"/>
          <w:bCs w:val="0"/>
          <w:color w:val="auto"/>
          <w:sz w:val="24"/>
          <w:szCs w:val="24"/>
          <w:highlight w:val="none"/>
          <w:lang w:val="en-US" w:eastAsia="zh-CN"/>
        </w:rPr>
        <w:t>分项报价明细表</w:t>
      </w:r>
    </w:p>
    <w:p w14:paraId="6F50B01F">
      <w:pPr>
        <w:pageBreakBefore w:val="0"/>
        <w:wordWrap/>
        <w:overflowPunct/>
        <w:topLinePunct w:val="0"/>
        <w:bidi w:val="0"/>
        <w:spacing w:line="560" w:lineRule="exact"/>
        <w:ind w:left="0" w:leftChars="0" w:right="0" w:rightChars="0" w:firstLine="5280" w:firstLineChars="2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货币单位：人民币元</w:t>
      </w:r>
    </w:p>
    <w:p w14:paraId="7C2BBA12">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2998"/>
        <w:gridCol w:w="2589"/>
      </w:tblGrid>
      <w:tr w14:paraId="091D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935" w:type="dxa"/>
            <w:noWrap w:val="0"/>
            <w:vAlign w:val="center"/>
          </w:tcPr>
          <w:p w14:paraId="402C4B30">
            <w:pPr>
              <w:spacing w:line="400" w:lineRule="atLeast"/>
              <w:jc w:val="center"/>
              <w:rPr>
                <w:rFonts w:hint="eastAsia" w:ascii="宋体" w:hAnsi="宋体" w:eastAsia="宋体" w:cs="宋体"/>
                <w:b/>
                <w:bCs/>
                <w:color w:val="auto"/>
                <w:spacing w:val="5"/>
                <w:sz w:val="24"/>
                <w:szCs w:val="24"/>
                <w:vertAlign w:val="baseline"/>
                <w:lang w:val="en-US" w:eastAsia="zh-CN"/>
              </w:rPr>
            </w:pPr>
            <w:r>
              <w:rPr>
                <w:rFonts w:hint="eastAsia" w:ascii="宋体" w:hAnsi="宋体" w:eastAsia="宋体" w:cs="宋体"/>
                <w:b/>
                <w:bCs/>
                <w:color w:val="auto"/>
                <w:spacing w:val="5"/>
                <w:sz w:val="24"/>
                <w:szCs w:val="24"/>
                <w:vertAlign w:val="baseline"/>
                <w:lang w:val="en-US" w:eastAsia="zh-CN"/>
              </w:rPr>
              <w:t>品名</w:t>
            </w:r>
          </w:p>
        </w:tc>
        <w:tc>
          <w:tcPr>
            <w:tcW w:w="2998" w:type="dxa"/>
            <w:noWrap w:val="0"/>
            <w:vAlign w:val="center"/>
          </w:tcPr>
          <w:p w14:paraId="370C6AB5">
            <w:pPr>
              <w:spacing w:line="400" w:lineRule="atLeast"/>
              <w:jc w:val="center"/>
              <w:rPr>
                <w:rFonts w:hint="eastAsia" w:ascii="宋体" w:hAnsi="宋体" w:eastAsia="宋体" w:cs="宋体"/>
                <w:b/>
                <w:bCs/>
                <w:color w:val="auto"/>
                <w:spacing w:val="5"/>
                <w:sz w:val="24"/>
                <w:szCs w:val="24"/>
                <w:vertAlign w:val="baseline"/>
                <w:lang w:val="en-US" w:eastAsia="zh-CN"/>
              </w:rPr>
            </w:pPr>
            <w:r>
              <w:rPr>
                <w:rFonts w:hint="eastAsia" w:ascii="宋体" w:hAnsi="宋体" w:eastAsia="宋体" w:cs="宋体"/>
                <w:b/>
                <w:bCs/>
                <w:color w:val="auto"/>
                <w:spacing w:val="5"/>
                <w:sz w:val="24"/>
                <w:szCs w:val="24"/>
                <w:vertAlign w:val="baseline"/>
                <w:lang w:val="en-US" w:eastAsia="zh-CN"/>
              </w:rPr>
              <w:t>最高投标限价/单价（元）</w:t>
            </w:r>
          </w:p>
        </w:tc>
        <w:tc>
          <w:tcPr>
            <w:tcW w:w="2589" w:type="dxa"/>
            <w:noWrap w:val="0"/>
            <w:vAlign w:val="center"/>
          </w:tcPr>
          <w:p w14:paraId="4F4B7FA6">
            <w:pPr>
              <w:spacing w:line="400" w:lineRule="atLeast"/>
              <w:jc w:val="center"/>
              <w:rPr>
                <w:rFonts w:hint="eastAsia" w:ascii="宋体" w:hAnsi="宋体" w:eastAsia="宋体" w:cs="宋体"/>
                <w:b/>
                <w:bCs/>
                <w:color w:val="auto"/>
                <w:spacing w:val="5"/>
                <w:sz w:val="24"/>
                <w:szCs w:val="24"/>
                <w:vertAlign w:val="baseline"/>
                <w:lang w:val="en-US" w:eastAsia="zh-CN"/>
              </w:rPr>
            </w:pPr>
            <w:r>
              <w:rPr>
                <w:rFonts w:hint="eastAsia" w:ascii="宋体" w:hAnsi="宋体" w:eastAsia="宋体" w:cs="宋体"/>
                <w:b/>
                <w:bCs/>
                <w:color w:val="auto"/>
                <w:spacing w:val="5"/>
                <w:sz w:val="24"/>
                <w:szCs w:val="24"/>
                <w:vertAlign w:val="baseline"/>
                <w:lang w:val="en-US" w:eastAsia="zh-CN"/>
              </w:rPr>
              <w:t>投标报价（单价/元）</w:t>
            </w:r>
          </w:p>
        </w:tc>
      </w:tr>
      <w:tr w14:paraId="33FE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6719B636">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宝宝服</w:t>
            </w:r>
          </w:p>
        </w:tc>
        <w:tc>
          <w:tcPr>
            <w:tcW w:w="2998" w:type="dxa"/>
            <w:noWrap w:val="0"/>
            <w:vAlign w:val="center"/>
          </w:tcPr>
          <w:p w14:paraId="6FD1D3F8">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3</w:t>
            </w:r>
          </w:p>
        </w:tc>
        <w:tc>
          <w:tcPr>
            <w:tcW w:w="2589" w:type="dxa"/>
            <w:noWrap w:val="0"/>
            <w:vAlign w:val="center"/>
          </w:tcPr>
          <w:p w14:paraId="614C42FF">
            <w:pPr>
              <w:spacing w:line="400" w:lineRule="atLeast"/>
              <w:jc w:val="center"/>
              <w:rPr>
                <w:rFonts w:hint="eastAsia" w:ascii="宋体" w:hAnsi="宋体" w:eastAsia="宋体" w:cs="宋体"/>
                <w:b/>
                <w:bCs/>
                <w:color w:val="auto"/>
                <w:spacing w:val="5"/>
                <w:sz w:val="24"/>
                <w:szCs w:val="24"/>
                <w:vertAlign w:val="baseline"/>
              </w:rPr>
            </w:pPr>
          </w:p>
        </w:tc>
      </w:tr>
      <w:tr w14:paraId="144C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41E6FB54">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被套</w:t>
            </w:r>
          </w:p>
        </w:tc>
        <w:tc>
          <w:tcPr>
            <w:tcW w:w="2998" w:type="dxa"/>
            <w:noWrap w:val="0"/>
            <w:vAlign w:val="center"/>
          </w:tcPr>
          <w:p w14:paraId="04D00280">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5</w:t>
            </w:r>
          </w:p>
        </w:tc>
        <w:tc>
          <w:tcPr>
            <w:tcW w:w="2589" w:type="dxa"/>
            <w:noWrap w:val="0"/>
            <w:vAlign w:val="center"/>
          </w:tcPr>
          <w:p w14:paraId="1474C979">
            <w:pPr>
              <w:spacing w:line="400" w:lineRule="atLeast"/>
              <w:jc w:val="center"/>
              <w:rPr>
                <w:rFonts w:hint="eastAsia" w:ascii="宋体" w:hAnsi="宋体" w:eastAsia="宋体" w:cs="宋体"/>
                <w:b/>
                <w:bCs/>
                <w:color w:val="auto"/>
                <w:spacing w:val="5"/>
                <w:sz w:val="24"/>
                <w:szCs w:val="24"/>
                <w:vertAlign w:val="baseline"/>
              </w:rPr>
            </w:pPr>
          </w:p>
        </w:tc>
      </w:tr>
      <w:tr w14:paraId="7FC6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6DEA7999">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病员衣裤</w:t>
            </w:r>
          </w:p>
        </w:tc>
        <w:tc>
          <w:tcPr>
            <w:tcW w:w="2998" w:type="dxa"/>
            <w:noWrap w:val="0"/>
            <w:vAlign w:val="center"/>
          </w:tcPr>
          <w:p w14:paraId="781E2E54">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8</w:t>
            </w:r>
          </w:p>
        </w:tc>
        <w:tc>
          <w:tcPr>
            <w:tcW w:w="2589" w:type="dxa"/>
            <w:noWrap w:val="0"/>
            <w:vAlign w:val="center"/>
          </w:tcPr>
          <w:p w14:paraId="36F932A6">
            <w:pPr>
              <w:spacing w:line="400" w:lineRule="atLeast"/>
              <w:jc w:val="center"/>
              <w:rPr>
                <w:rFonts w:hint="eastAsia" w:ascii="宋体" w:hAnsi="宋体" w:eastAsia="宋体" w:cs="宋体"/>
                <w:b/>
                <w:bCs/>
                <w:color w:val="auto"/>
                <w:spacing w:val="5"/>
                <w:sz w:val="24"/>
                <w:szCs w:val="24"/>
                <w:vertAlign w:val="baseline"/>
              </w:rPr>
            </w:pPr>
          </w:p>
        </w:tc>
      </w:tr>
      <w:tr w14:paraId="3253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527371B2">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布袋</w:t>
            </w:r>
          </w:p>
        </w:tc>
        <w:tc>
          <w:tcPr>
            <w:tcW w:w="2998" w:type="dxa"/>
            <w:noWrap w:val="0"/>
            <w:vAlign w:val="center"/>
          </w:tcPr>
          <w:p w14:paraId="28F70BD3">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3.9</w:t>
            </w:r>
          </w:p>
        </w:tc>
        <w:tc>
          <w:tcPr>
            <w:tcW w:w="2589" w:type="dxa"/>
            <w:noWrap w:val="0"/>
            <w:vAlign w:val="center"/>
          </w:tcPr>
          <w:p w14:paraId="0DF7EAB0">
            <w:pPr>
              <w:spacing w:line="400" w:lineRule="atLeast"/>
              <w:jc w:val="center"/>
              <w:rPr>
                <w:rFonts w:hint="eastAsia" w:ascii="宋体" w:hAnsi="宋体" w:eastAsia="宋体" w:cs="宋体"/>
                <w:b/>
                <w:bCs/>
                <w:color w:val="auto"/>
                <w:spacing w:val="5"/>
                <w:sz w:val="24"/>
                <w:szCs w:val="24"/>
                <w:vertAlign w:val="baseline"/>
              </w:rPr>
            </w:pPr>
          </w:p>
        </w:tc>
      </w:tr>
      <w:tr w14:paraId="0EF9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0FD9352D">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产单</w:t>
            </w:r>
          </w:p>
        </w:tc>
        <w:tc>
          <w:tcPr>
            <w:tcW w:w="2998" w:type="dxa"/>
            <w:noWrap w:val="0"/>
            <w:vAlign w:val="center"/>
          </w:tcPr>
          <w:p w14:paraId="44097A23">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5</w:t>
            </w:r>
          </w:p>
        </w:tc>
        <w:tc>
          <w:tcPr>
            <w:tcW w:w="2589" w:type="dxa"/>
            <w:noWrap w:val="0"/>
            <w:vAlign w:val="center"/>
          </w:tcPr>
          <w:p w14:paraId="5C5A9B4E">
            <w:pPr>
              <w:spacing w:line="400" w:lineRule="atLeast"/>
              <w:jc w:val="center"/>
              <w:rPr>
                <w:rFonts w:hint="eastAsia" w:ascii="宋体" w:hAnsi="宋体" w:eastAsia="宋体" w:cs="宋体"/>
                <w:b/>
                <w:bCs/>
                <w:color w:val="auto"/>
                <w:spacing w:val="5"/>
                <w:sz w:val="24"/>
                <w:szCs w:val="24"/>
                <w:vertAlign w:val="baseline"/>
              </w:rPr>
            </w:pPr>
          </w:p>
        </w:tc>
      </w:tr>
      <w:tr w14:paraId="7713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1B90D86F">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窗户帘</w:t>
            </w:r>
          </w:p>
        </w:tc>
        <w:tc>
          <w:tcPr>
            <w:tcW w:w="2998" w:type="dxa"/>
            <w:noWrap w:val="0"/>
            <w:vAlign w:val="center"/>
          </w:tcPr>
          <w:p w14:paraId="59D744D9">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10</w:t>
            </w:r>
          </w:p>
        </w:tc>
        <w:tc>
          <w:tcPr>
            <w:tcW w:w="2589" w:type="dxa"/>
            <w:noWrap w:val="0"/>
            <w:vAlign w:val="center"/>
          </w:tcPr>
          <w:p w14:paraId="30241AD6">
            <w:pPr>
              <w:spacing w:line="400" w:lineRule="atLeast"/>
              <w:jc w:val="center"/>
              <w:rPr>
                <w:rFonts w:hint="eastAsia" w:ascii="宋体" w:hAnsi="宋体" w:eastAsia="宋体" w:cs="宋体"/>
                <w:b/>
                <w:bCs/>
                <w:color w:val="auto"/>
                <w:spacing w:val="5"/>
                <w:sz w:val="24"/>
                <w:szCs w:val="24"/>
                <w:vertAlign w:val="baseline"/>
              </w:rPr>
            </w:pPr>
          </w:p>
        </w:tc>
      </w:tr>
      <w:tr w14:paraId="62D5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44C162AC">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床罩</w:t>
            </w:r>
          </w:p>
        </w:tc>
        <w:tc>
          <w:tcPr>
            <w:tcW w:w="2998" w:type="dxa"/>
            <w:noWrap w:val="0"/>
            <w:vAlign w:val="center"/>
          </w:tcPr>
          <w:p w14:paraId="20A162AB">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7</w:t>
            </w:r>
          </w:p>
        </w:tc>
        <w:tc>
          <w:tcPr>
            <w:tcW w:w="2589" w:type="dxa"/>
            <w:noWrap w:val="0"/>
            <w:vAlign w:val="center"/>
          </w:tcPr>
          <w:p w14:paraId="49285F90">
            <w:pPr>
              <w:spacing w:line="400" w:lineRule="atLeast"/>
              <w:jc w:val="center"/>
              <w:rPr>
                <w:rFonts w:hint="eastAsia" w:ascii="宋体" w:hAnsi="宋体" w:eastAsia="宋体" w:cs="宋体"/>
                <w:b/>
                <w:bCs/>
                <w:color w:val="auto"/>
                <w:spacing w:val="5"/>
                <w:sz w:val="24"/>
                <w:szCs w:val="24"/>
                <w:vertAlign w:val="baseline"/>
              </w:rPr>
            </w:pPr>
          </w:p>
        </w:tc>
      </w:tr>
      <w:tr w14:paraId="1CCA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1A93A3C9">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大单</w:t>
            </w:r>
          </w:p>
        </w:tc>
        <w:tc>
          <w:tcPr>
            <w:tcW w:w="2998" w:type="dxa"/>
            <w:noWrap w:val="0"/>
            <w:vAlign w:val="center"/>
          </w:tcPr>
          <w:p w14:paraId="7835D80B">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4.5</w:t>
            </w:r>
          </w:p>
        </w:tc>
        <w:tc>
          <w:tcPr>
            <w:tcW w:w="2589" w:type="dxa"/>
            <w:noWrap w:val="0"/>
            <w:vAlign w:val="center"/>
          </w:tcPr>
          <w:p w14:paraId="6CABAE8E">
            <w:pPr>
              <w:spacing w:line="400" w:lineRule="atLeast"/>
              <w:jc w:val="center"/>
              <w:rPr>
                <w:rFonts w:hint="eastAsia" w:ascii="宋体" w:hAnsi="宋体" w:eastAsia="宋体" w:cs="宋体"/>
                <w:b/>
                <w:bCs/>
                <w:color w:val="auto"/>
                <w:spacing w:val="5"/>
                <w:sz w:val="24"/>
                <w:szCs w:val="24"/>
                <w:vertAlign w:val="baseline"/>
              </w:rPr>
            </w:pPr>
          </w:p>
        </w:tc>
      </w:tr>
      <w:tr w14:paraId="46C6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446A4110">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大洞巾</w:t>
            </w:r>
          </w:p>
        </w:tc>
        <w:tc>
          <w:tcPr>
            <w:tcW w:w="2998" w:type="dxa"/>
            <w:noWrap w:val="0"/>
            <w:vAlign w:val="center"/>
          </w:tcPr>
          <w:p w14:paraId="63CA43C6">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5</w:t>
            </w:r>
          </w:p>
        </w:tc>
        <w:tc>
          <w:tcPr>
            <w:tcW w:w="2589" w:type="dxa"/>
            <w:noWrap w:val="0"/>
            <w:vAlign w:val="center"/>
          </w:tcPr>
          <w:p w14:paraId="47D44800">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1C1C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6E77032F">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单包布</w:t>
            </w:r>
          </w:p>
        </w:tc>
        <w:tc>
          <w:tcPr>
            <w:tcW w:w="2998" w:type="dxa"/>
            <w:noWrap w:val="0"/>
            <w:vAlign w:val="center"/>
          </w:tcPr>
          <w:p w14:paraId="270DBE6A">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3.5</w:t>
            </w:r>
          </w:p>
        </w:tc>
        <w:tc>
          <w:tcPr>
            <w:tcW w:w="2589" w:type="dxa"/>
            <w:noWrap w:val="0"/>
            <w:vAlign w:val="center"/>
          </w:tcPr>
          <w:p w14:paraId="1ADBBA2F">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5FF5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5462C750">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工作裤</w:t>
            </w:r>
          </w:p>
        </w:tc>
        <w:tc>
          <w:tcPr>
            <w:tcW w:w="2998" w:type="dxa"/>
            <w:noWrap w:val="0"/>
            <w:vAlign w:val="center"/>
          </w:tcPr>
          <w:p w14:paraId="36DB28E6">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5.5</w:t>
            </w:r>
          </w:p>
        </w:tc>
        <w:tc>
          <w:tcPr>
            <w:tcW w:w="2589" w:type="dxa"/>
            <w:noWrap w:val="0"/>
            <w:vAlign w:val="center"/>
          </w:tcPr>
          <w:p w14:paraId="20BB00EB">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1195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1B68C1B0">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工作衣</w:t>
            </w:r>
          </w:p>
        </w:tc>
        <w:tc>
          <w:tcPr>
            <w:tcW w:w="2998" w:type="dxa"/>
            <w:noWrap w:val="0"/>
            <w:vAlign w:val="center"/>
          </w:tcPr>
          <w:p w14:paraId="3A52C696">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6</w:t>
            </w:r>
          </w:p>
        </w:tc>
        <w:tc>
          <w:tcPr>
            <w:tcW w:w="2589" w:type="dxa"/>
            <w:noWrap w:val="0"/>
            <w:vAlign w:val="center"/>
          </w:tcPr>
          <w:p w14:paraId="5B9E98DD">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6549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76B928B4">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沙发套</w:t>
            </w:r>
          </w:p>
        </w:tc>
        <w:tc>
          <w:tcPr>
            <w:tcW w:w="2998" w:type="dxa"/>
            <w:noWrap w:val="0"/>
            <w:vAlign w:val="center"/>
          </w:tcPr>
          <w:p w14:paraId="41D3F751">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6</w:t>
            </w:r>
          </w:p>
        </w:tc>
        <w:tc>
          <w:tcPr>
            <w:tcW w:w="2589" w:type="dxa"/>
            <w:noWrap w:val="0"/>
            <w:vAlign w:val="center"/>
          </w:tcPr>
          <w:p w14:paraId="3C764ABE">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52BA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75C980FD">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手术衣</w:t>
            </w:r>
          </w:p>
        </w:tc>
        <w:tc>
          <w:tcPr>
            <w:tcW w:w="2998" w:type="dxa"/>
            <w:noWrap w:val="0"/>
            <w:vAlign w:val="center"/>
          </w:tcPr>
          <w:p w14:paraId="0CA8C28C">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5.9</w:t>
            </w:r>
          </w:p>
        </w:tc>
        <w:tc>
          <w:tcPr>
            <w:tcW w:w="2589" w:type="dxa"/>
            <w:noWrap w:val="0"/>
            <w:vAlign w:val="center"/>
          </w:tcPr>
          <w:p w14:paraId="63CA9BED">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650B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55FFA493">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双包布</w:t>
            </w:r>
          </w:p>
        </w:tc>
        <w:tc>
          <w:tcPr>
            <w:tcW w:w="2998" w:type="dxa"/>
            <w:noWrap w:val="0"/>
            <w:vAlign w:val="center"/>
          </w:tcPr>
          <w:p w14:paraId="6DF796F4">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5</w:t>
            </w:r>
          </w:p>
        </w:tc>
        <w:tc>
          <w:tcPr>
            <w:tcW w:w="2589" w:type="dxa"/>
            <w:noWrap w:val="0"/>
            <w:vAlign w:val="center"/>
          </w:tcPr>
          <w:p w14:paraId="152E042B">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7B35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412B872C">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腿套</w:t>
            </w:r>
          </w:p>
        </w:tc>
        <w:tc>
          <w:tcPr>
            <w:tcW w:w="2998" w:type="dxa"/>
            <w:noWrap w:val="0"/>
            <w:vAlign w:val="center"/>
          </w:tcPr>
          <w:p w14:paraId="39CDFCD7">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2.6</w:t>
            </w:r>
          </w:p>
        </w:tc>
        <w:tc>
          <w:tcPr>
            <w:tcW w:w="2589" w:type="dxa"/>
            <w:noWrap w:val="0"/>
            <w:vAlign w:val="center"/>
          </w:tcPr>
          <w:p w14:paraId="29221A51">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4932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50E7B606">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洗手裤</w:t>
            </w:r>
          </w:p>
        </w:tc>
        <w:tc>
          <w:tcPr>
            <w:tcW w:w="2998" w:type="dxa"/>
            <w:noWrap w:val="0"/>
            <w:vAlign w:val="center"/>
          </w:tcPr>
          <w:p w14:paraId="5B6E183E">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4.5</w:t>
            </w:r>
          </w:p>
        </w:tc>
        <w:tc>
          <w:tcPr>
            <w:tcW w:w="2589" w:type="dxa"/>
            <w:noWrap w:val="0"/>
            <w:vAlign w:val="center"/>
          </w:tcPr>
          <w:p w14:paraId="394967D2">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0568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2357A866">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洗手衣</w:t>
            </w:r>
          </w:p>
        </w:tc>
        <w:tc>
          <w:tcPr>
            <w:tcW w:w="2998" w:type="dxa"/>
            <w:noWrap w:val="0"/>
            <w:vAlign w:val="center"/>
          </w:tcPr>
          <w:p w14:paraId="64382CB5">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4.5</w:t>
            </w:r>
          </w:p>
        </w:tc>
        <w:tc>
          <w:tcPr>
            <w:tcW w:w="2589" w:type="dxa"/>
            <w:noWrap w:val="0"/>
            <w:vAlign w:val="center"/>
          </w:tcPr>
          <w:p w14:paraId="727467F1">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29D1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0596FB0B">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小洞巾</w:t>
            </w:r>
          </w:p>
        </w:tc>
        <w:tc>
          <w:tcPr>
            <w:tcW w:w="2998" w:type="dxa"/>
            <w:noWrap w:val="0"/>
            <w:vAlign w:val="center"/>
          </w:tcPr>
          <w:p w14:paraId="3E69A6B5">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2.6</w:t>
            </w:r>
          </w:p>
        </w:tc>
        <w:tc>
          <w:tcPr>
            <w:tcW w:w="2589" w:type="dxa"/>
            <w:noWrap w:val="0"/>
            <w:vAlign w:val="center"/>
          </w:tcPr>
          <w:p w14:paraId="7738A199">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4E88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6313BE95">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椅套</w:t>
            </w:r>
          </w:p>
        </w:tc>
        <w:tc>
          <w:tcPr>
            <w:tcW w:w="2998" w:type="dxa"/>
            <w:noWrap w:val="0"/>
            <w:vAlign w:val="center"/>
          </w:tcPr>
          <w:p w14:paraId="485BC0FC">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3.9</w:t>
            </w:r>
          </w:p>
        </w:tc>
        <w:tc>
          <w:tcPr>
            <w:tcW w:w="2589" w:type="dxa"/>
            <w:noWrap w:val="0"/>
            <w:vAlign w:val="center"/>
          </w:tcPr>
          <w:p w14:paraId="57F80406">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1F62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44F2656F">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浴巾</w:t>
            </w:r>
          </w:p>
        </w:tc>
        <w:tc>
          <w:tcPr>
            <w:tcW w:w="2998" w:type="dxa"/>
            <w:noWrap w:val="0"/>
            <w:vAlign w:val="center"/>
          </w:tcPr>
          <w:p w14:paraId="71677265">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7</w:t>
            </w:r>
          </w:p>
        </w:tc>
        <w:tc>
          <w:tcPr>
            <w:tcW w:w="2589" w:type="dxa"/>
            <w:noWrap w:val="0"/>
            <w:vAlign w:val="center"/>
          </w:tcPr>
          <w:p w14:paraId="26F43F57">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0041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5FCD8522">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枕套</w:t>
            </w:r>
          </w:p>
        </w:tc>
        <w:tc>
          <w:tcPr>
            <w:tcW w:w="2998" w:type="dxa"/>
            <w:noWrap w:val="0"/>
            <w:vAlign w:val="center"/>
          </w:tcPr>
          <w:p w14:paraId="389BAD97">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2.6</w:t>
            </w:r>
          </w:p>
        </w:tc>
        <w:tc>
          <w:tcPr>
            <w:tcW w:w="2589" w:type="dxa"/>
            <w:noWrap w:val="0"/>
            <w:vAlign w:val="center"/>
          </w:tcPr>
          <w:p w14:paraId="280B1CD8">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3382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7E2F8E7A">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治疗巾</w:t>
            </w:r>
          </w:p>
        </w:tc>
        <w:tc>
          <w:tcPr>
            <w:tcW w:w="2998" w:type="dxa"/>
            <w:noWrap w:val="0"/>
            <w:vAlign w:val="center"/>
          </w:tcPr>
          <w:p w14:paraId="032687A9">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3.9</w:t>
            </w:r>
          </w:p>
        </w:tc>
        <w:tc>
          <w:tcPr>
            <w:tcW w:w="2589" w:type="dxa"/>
            <w:noWrap w:val="0"/>
            <w:vAlign w:val="center"/>
          </w:tcPr>
          <w:p w14:paraId="26F05411">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6561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112A7367">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中单</w:t>
            </w:r>
          </w:p>
        </w:tc>
        <w:tc>
          <w:tcPr>
            <w:tcW w:w="2998" w:type="dxa"/>
            <w:noWrap w:val="0"/>
            <w:vAlign w:val="center"/>
          </w:tcPr>
          <w:p w14:paraId="06A1032B">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5.5</w:t>
            </w:r>
          </w:p>
        </w:tc>
        <w:tc>
          <w:tcPr>
            <w:tcW w:w="2589" w:type="dxa"/>
            <w:noWrap w:val="0"/>
            <w:vAlign w:val="center"/>
          </w:tcPr>
          <w:p w14:paraId="7D87457A">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5E3F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239562BE">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毛巾被</w:t>
            </w:r>
          </w:p>
        </w:tc>
        <w:tc>
          <w:tcPr>
            <w:tcW w:w="2998" w:type="dxa"/>
            <w:noWrap w:val="0"/>
            <w:vAlign w:val="center"/>
          </w:tcPr>
          <w:p w14:paraId="5E07F1E8">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7</w:t>
            </w:r>
          </w:p>
        </w:tc>
        <w:tc>
          <w:tcPr>
            <w:tcW w:w="2589" w:type="dxa"/>
            <w:noWrap w:val="0"/>
            <w:vAlign w:val="center"/>
          </w:tcPr>
          <w:p w14:paraId="02C185C1">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4DCC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3DF7A8CD">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小包布</w:t>
            </w:r>
          </w:p>
        </w:tc>
        <w:tc>
          <w:tcPr>
            <w:tcW w:w="2998" w:type="dxa"/>
            <w:noWrap w:val="0"/>
            <w:vAlign w:val="center"/>
          </w:tcPr>
          <w:p w14:paraId="0618093E">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3.5</w:t>
            </w:r>
          </w:p>
        </w:tc>
        <w:tc>
          <w:tcPr>
            <w:tcW w:w="2589" w:type="dxa"/>
            <w:noWrap w:val="0"/>
            <w:vAlign w:val="center"/>
          </w:tcPr>
          <w:p w14:paraId="1E0AD628">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5C63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28571D19">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门帘</w:t>
            </w:r>
          </w:p>
        </w:tc>
        <w:tc>
          <w:tcPr>
            <w:tcW w:w="2998" w:type="dxa"/>
            <w:noWrap w:val="0"/>
            <w:vAlign w:val="center"/>
          </w:tcPr>
          <w:p w14:paraId="626EC610">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14</w:t>
            </w:r>
          </w:p>
        </w:tc>
        <w:tc>
          <w:tcPr>
            <w:tcW w:w="2589" w:type="dxa"/>
            <w:noWrap w:val="0"/>
            <w:vAlign w:val="center"/>
          </w:tcPr>
          <w:p w14:paraId="2D6F36B9">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461A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5" w:type="dxa"/>
            <w:noWrap w:val="0"/>
            <w:vAlign w:val="center"/>
          </w:tcPr>
          <w:p w14:paraId="2670CE9B">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隔帘</w:t>
            </w:r>
          </w:p>
        </w:tc>
        <w:tc>
          <w:tcPr>
            <w:tcW w:w="2998" w:type="dxa"/>
            <w:noWrap w:val="0"/>
            <w:vAlign w:val="center"/>
          </w:tcPr>
          <w:p w14:paraId="7DF5059D">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14</w:t>
            </w:r>
          </w:p>
        </w:tc>
        <w:tc>
          <w:tcPr>
            <w:tcW w:w="2589" w:type="dxa"/>
            <w:noWrap w:val="0"/>
            <w:vAlign w:val="center"/>
          </w:tcPr>
          <w:p w14:paraId="4406CDEB">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r w14:paraId="20BF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3" w:type="dxa"/>
            <w:gridSpan w:val="2"/>
            <w:noWrap w:val="0"/>
            <w:vAlign w:val="center"/>
          </w:tcPr>
          <w:p w14:paraId="15601D79">
            <w:pPr>
              <w:spacing w:line="400" w:lineRule="atLeast"/>
              <w:jc w:val="center"/>
              <w:rPr>
                <w:rFonts w:hint="default"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合计</w:t>
            </w:r>
          </w:p>
        </w:tc>
        <w:tc>
          <w:tcPr>
            <w:tcW w:w="2589" w:type="dxa"/>
            <w:noWrap w:val="0"/>
            <w:vAlign w:val="center"/>
          </w:tcPr>
          <w:p w14:paraId="4B8484C2">
            <w:pPr>
              <w:keepNext w:val="0"/>
              <w:keepLines w:val="0"/>
              <w:widowControl/>
              <w:suppressLineNumbers w:val="0"/>
              <w:jc w:val="center"/>
              <w:textAlignment w:val="center"/>
              <w:rPr>
                <w:rFonts w:hint="eastAsia" w:ascii="宋体" w:hAnsi="宋体" w:eastAsia="宋体" w:cs="宋体"/>
                <w:b/>
                <w:bCs/>
                <w:color w:val="auto"/>
                <w:spacing w:val="5"/>
                <w:sz w:val="24"/>
                <w:szCs w:val="24"/>
                <w:vertAlign w:val="baseline"/>
              </w:rPr>
            </w:pPr>
          </w:p>
        </w:tc>
      </w:tr>
    </w:tbl>
    <w:p w14:paraId="6E0C9C8A">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5877DD90">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1、投标人须详细报出投标</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lang w:eastAsia="zh-CN"/>
        </w:rPr>
        <w:t>的各个组成部分的报价（</w:t>
      </w:r>
      <w:r>
        <w:rPr>
          <w:rFonts w:hint="eastAsia" w:ascii="宋体" w:hAnsi="宋体" w:eastAsia="宋体" w:cs="宋体"/>
          <w:color w:val="auto"/>
          <w:sz w:val="24"/>
          <w:szCs w:val="24"/>
          <w:highlight w:val="none"/>
          <w:lang w:val="en-US" w:eastAsia="zh-CN"/>
        </w:rPr>
        <w:t>单价</w:t>
      </w:r>
      <w:r>
        <w:rPr>
          <w:rFonts w:hint="eastAsia" w:ascii="宋体" w:hAnsi="宋体" w:eastAsia="宋体" w:cs="宋体"/>
          <w:color w:val="auto"/>
          <w:sz w:val="24"/>
          <w:szCs w:val="24"/>
          <w:highlight w:val="none"/>
          <w:lang w:eastAsia="zh-CN"/>
        </w:rPr>
        <w:t>）。</w:t>
      </w:r>
    </w:p>
    <w:p w14:paraId="6514408F">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“分项报价明细表”各分项报价合计应当与“开标一览表”报价合计相等。</w:t>
      </w:r>
    </w:p>
    <w:p w14:paraId="2D2237D6">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1B3F4B52">
      <w:pPr>
        <w:pStyle w:val="15"/>
        <w:keepNext w:val="0"/>
        <w:pageBreakBefore w:val="0"/>
        <w:widowControl w:val="0"/>
        <w:kinsoku/>
        <w:wordWrap/>
        <w:overflowPunct/>
        <w:topLinePunct w:val="0"/>
        <w:autoSpaceDE/>
        <w:autoSpaceDN/>
        <w:bidi w:val="0"/>
        <w:adjustRightInd/>
        <w:snapToGrid/>
        <w:spacing w:after="0"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13B658EB">
      <w:pPr>
        <w:pStyle w:val="15"/>
        <w:keepNext w:val="0"/>
        <w:pageBreakBefore w:val="0"/>
        <w:widowControl w:val="0"/>
        <w:kinsoku/>
        <w:wordWrap/>
        <w:overflowPunct/>
        <w:topLinePunct w:val="0"/>
        <w:autoSpaceDE/>
        <w:autoSpaceDN/>
        <w:bidi w:val="0"/>
        <w:adjustRightInd/>
        <w:snapToGrid/>
        <w:spacing w:after="0" w:line="440" w:lineRule="exact"/>
        <w:ind w:left="0" w:leftChars="0"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名称（盖章）：</w:t>
      </w:r>
    </w:p>
    <w:p w14:paraId="7DE2C66D">
      <w:pPr>
        <w:pStyle w:val="15"/>
        <w:keepNext w:val="0"/>
        <w:pageBreakBefore w:val="0"/>
        <w:widowControl w:val="0"/>
        <w:kinsoku/>
        <w:wordWrap/>
        <w:overflowPunct/>
        <w:topLinePunct w:val="0"/>
        <w:autoSpaceDE/>
        <w:autoSpaceDN/>
        <w:bidi w:val="0"/>
        <w:adjustRightInd/>
        <w:snapToGrid/>
        <w:spacing w:after="0" w:line="440" w:lineRule="exact"/>
        <w:ind w:left="0" w:leftChars="0"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授权人</w:t>
      </w:r>
      <w:r>
        <w:rPr>
          <w:rFonts w:hint="eastAsia" w:ascii="宋体" w:hAnsi="宋体" w:cs="宋体"/>
          <w:bCs/>
          <w:color w:val="auto"/>
          <w:sz w:val="24"/>
          <w:szCs w:val="24"/>
          <w:highlight w:val="none"/>
          <w:lang w:val="en-US" w:eastAsia="zh-CN"/>
        </w:rPr>
        <w:t>或</w:t>
      </w:r>
      <w:r>
        <w:rPr>
          <w:rFonts w:hint="eastAsia" w:ascii="宋体" w:hAnsi="宋体" w:eastAsia="宋体" w:cs="宋体"/>
          <w:bCs/>
          <w:color w:val="auto"/>
          <w:sz w:val="24"/>
          <w:szCs w:val="24"/>
          <w:highlight w:val="none"/>
          <w:lang w:val="en-US" w:eastAsia="zh-CN"/>
        </w:rPr>
        <w:t>被授权人</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val="en-US" w:eastAsia="zh-CN"/>
        </w:rPr>
        <w:t>或签字</w:t>
      </w:r>
      <w:r>
        <w:rPr>
          <w:rFonts w:hint="eastAsia" w:ascii="宋体" w:hAnsi="宋体" w:eastAsia="宋体" w:cs="宋体"/>
          <w:bCs/>
          <w:color w:val="auto"/>
          <w:sz w:val="24"/>
          <w:szCs w:val="24"/>
          <w:highlight w:val="none"/>
        </w:rPr>
        <w:t>）：</w:t>
      </w:r>
    </w:p>
    <w:p w14:paraId="1530A78C">
      <w:pPr>
        <w:keepNext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 年 月 日</w:t>
      </w:r>
    </w:p>
    <w:p w14:paraId="6FD07485">
      <w:pPr>
        <w:pStyle w:val="3"/>
        <w:keepNext w:val="0"/>
        <w:pageBreakBefore w:val="0"/>
        <w:widowControl w:val="0"/>
        <w:numPr>
          <w:ilvl w:val="0"/>
          <w:numId w:val="0"/>
        </w:numPr>
        <w:kinsoku/>
        <w:wordWrap/>
        <w:overflowPunct/>
        <w:topLinePunct w:val="0"/>
        <w:autoSpaceDE/>
        <w:autoSpaceDN/>
        <w:bidi w:val="0"/>
        <w:adjustRightInd/>
        <w:snapToGrid/>
        <w:spacing w:before="0" w:after="0" w:line="440" w:lineRule="exact"/>
        <w:ind w:left="0" w:leftChars="0" w:right="0" w:rightChars="0" w:firstLine="480" w:firstLineChars="200"/>
        <w:jc w:val="center"/>
        <w:textAlignment w:val="auto"/>
        <w:rPr>
          <w:rFonts w:hint="eastAsia" w:ascii="宋体" w:hAnsi="宋体" w:eastAsia="宋体" w:cs="宋体"/>
          <w:b w:val="0"/>
          <w:bCs/>
          <w:color w:val="auto"/>
          <w:kern w:val="2"/>
          <w:sz w:val="24"/>
          <w:szCs w:val="24"/>
          <w:highlight w:val="none"/>
          <w:lang w:val="en-US" w:eastAsia="zh-CN" w:bidi="ar-SA"/>
        </w:rPr>
        <w:sectPr>
          <w:footerReference r:id="rId4" w:type="default"/>
          <w:pgSz w:w="11906" w:h="16838"/>
          <w:pgMar w:top="1440" w:right="1800" w:bottom="1440" w:left="1800" w:header="851" w:footer="992" w:gutter="0"/>
          <w:pgNumType w:fmt="decimal" w:start="1"/>
          <w:cols w:space="720" w:num="1"/>
          <w:docGrid w:type="lines" w:linePitch="312" w:charSpace="0"/>
        </w:sectPr>
      </w:pPr>
    </w:p>
    <w:p w14:paraId="3A6163C6">
      <w:pPr>
        <w:pStyle w:val="3"/>
        <w:pageBreakBefore w:val="0"/>
        <w:numPr>
          <w:ilvl w:val="0"/>
          <w:numId w:val="0"/>
        </w:numPr>
        <w:wordWrap/>
        <w:overflowPunct/>
        <w:topLinePunct w:val="0"/>
        <w:bidi w:val="0"/>
        <w:spacing w:before="0" w:after="0" w:line="560" w:lineRule="exact"/>
        <w:ind w:left="0" w:leftChars="0" w:right="0" w:rightChars="0" w:firstLine="480" w:firstLineChars="20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三、</w:t>
      </w:r>
      <w:r>
        <w:rPr>
          <w:rFonts w:hint="eastAsia" w:ascii="宋体" w:hAnsi="宋体" w:eastAsia="宋体" w:cs="宋体"/>
          <w:b w:val="0"/>
          <w:bCs/>
          <w:color w:val="auto"/>
          <w:sz w:val="24"/>
          <w:szCs w:val="24"/>
          <w:highlight w:val="none"/>
        </w:rPr>
        <w:t>身份证明书</w:t>
      </w:r>
    </w:p>
    <w:p w14:paraId="50703705">
      <w:pPr>
        <w:pageBreakBefore w:val="0"/>
        <w:wordWrap/>
        <w:overflowPunct/>
        <w:topLinePunct w:val="0"/>
        <w:bidi w:val="0"/>
        <w:spacing w:line="560" w:lineRule="exact"/>
        <w:ind w:left="0" w:leftChars="0" w:right="0" w:rightChars="0" w:firstLine="720" w:firstLineChars="30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（一）身份证明书（</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为法人）</w:t>
      </w:r>
    </w:p>
    <w:p w14:paraId="43E5C807">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单位名称：</w:t>
      </w:r>
      <w:r>
        <w:rPr>
          <w:rFonts w:hint="eastAsia" w:ascii="宋体" w:hAnsi="宋体" w:eastAsia="宋体" w:cs="宋体"/>
          <w:b w:val="0"/>
          <w:bCs/>
          <w:color w:val="auto"/>
          <w:sz w:val="24"/>
          <w:szCs w:val="24"/>
          <w:highlight w:val="none"/>
          <w:u w:val="single"/>
        </w:rPr>
        <w:t xml:space="preserve">                                             。 </w:t>
      </w:r>
    </w:p>
    <w:p w14:paraId="6627CD53">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地    址：</w:t>
      </w:r>
      <w:r>
        <w:rPr>
          <w:rFonts w:hint="eastAsia" w:ascii="宋体" w:hAnsi="宋体" w:eastAsia="宋体" w:cs="宋体"/>
          <w:b w:val="0"/>
          <w:bCs/>
          <w:color w:val="auto"/>
          <w:sz w:val="24"/>
          <w:szCs w:val="24"/>
          <w:highlight w:val="none"/>
          <w:u w:val="single"/>
        </w:rPr>
        <w:t xml:space="preserve">                                             。</w:t>
      </w:r>
    </w:p>
    <w:p w14:paraId="2B8E7FDC">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姓    名：</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性别：</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年龄：</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职务：</w:t>
      </w:r>
      <w:r>
        <w:rPr>
          <w:rFonts w:hint="eastAsia" w:ascii="宋体" w:hAnsi="宋体" w:eastAsia="宋体" w:cs="宋体"/>
          <w:b w:val="0"/>
          <w:bCs/>
          <w:color w:val="auto"/>
          <w:sz w:val="24"/>
          <w:szCs w:val="24"/>
          <w:highlight w:val="none"/>
          <w:u w:val="single"/>
        </w:rPr>
        <w:t xml:space="preserve">       。</w:t>
      </w:r>
    </w:p>
    <w:p w14:paraId="04B0699F">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身份证号码：</w:t>
      </w:r>
      <w:r>
        <w:rPr>
          <w:rFonts w:hint="eastAsia" w:ascii="宋体" w:hAnsi="宋体" w:eastAsia="宋体" w:cs="宋体"/>
          <w:b w:val="0"/>
          <w:bCs/>
          <w:color w:val="auto"/>
          <w:sz w:val="24"/>
          <w:szCs w:val="24"/>
          <w:highlight w:val="none"/>
          <w:u w:val="single"/>
        </w:rPr>
        <w:t xml:space="preserve">                                           。</w:t>
      </w:r>
    </w:p>
    <w:p w14:paraId="39446FF7">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single"/>
        </w:rPr>
        <w:t xml:space="preserve"> </w:t>
      </w: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系</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的法定代表人，为具有参加</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（项目名称）的</w:t>
      </w:r>
      <w:r>
        <w:rPr>
          <w:rFonts w:hint="eastAsia" w:ascii="宋体" w:hAnsi="宋体" w:eastAsia="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rPr>
        <w:t>、签署上述</w:t>
      </w:r>
      <w:r>
        <w:rPr>
          <w:rFonts w:hint="eastAsia" w:ascii="宋体" w:hAnsi="宋体" w:eastAsia="宋体" w:cs="宋体"/>
          <w:b w:val="0"/>
          <w:bCs/>
          <w:color w:val="auto"/>
          <w:sz w:val="24"/>
          <w:szCs w:val="24"/>
          <w:highlight w:val="none"/>
          <w:lang w:eastAsia="zh-CN"/>
        </w:rPr>
        <w:t>投标文件</w:t>
      </w:r>
      <w:r>
        <w:rPr>
          <w:rFonts w:hint="eastAsia" w:ascii="宋体" w:hAnsi="宋体" w:eastAsia="宋体" w:cs="宋体"/>
          <w:b w:val="0"/>
          <w:bCs/>
          <w:color w:val="auto"/>
          <w:sz w:val="24"/>
          <w:szCs w:val="24"/>
          <w:highlight w:val="none"/>
        </w:rPr>
        <w:t>、进行合同谈判、签署合同和处理与之有关的一切事务权利的</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 xml:space="preserve">。 </w:t>
      </w:r>
    </w:p>
    <w:p w14:paraId="24D172E8">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特此证明。                       </w:t>
      </w:r>
    </w:p>
    <w:p w14:paraId="40A7EAAE">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附：法定代表人身份证正反面。</w:t>
      </w:r>
    </w:p>
    <w:p w14:paraId="50748B8E">
      <w:pPr>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b w:val="0"/>
          <w:bCs/>
          <w:color w:val="auto"/>
          <w:sz w:val="24"/>
          <w:szCs w:val="24"/>
          <w:highlight w:val="none"/>
        </w:rPr>
      </w:pPr>
    </w:p>
    <w:p w14:paraId="0C5E74EB">
      <w:pPr>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b w:val="0"/>
          <w:bCs/>
          <w:color w:val="auto"/>
          <w:sz w:val="24"/>
          <w:szCs w:val="24"/>
          <w:highlight w:val="none"/>
        </w:rPr>
      </w:pPr>
    </w:p>
    <w:p w14:paraId="248A8223">
      <w:pPr>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b w:val="0"/>
          <w:bCs/>
          <w:color w:val="auto"/>
          <w:sz w:val="24"/>
          <w:szCs w:val="24"/>
          <w:highlight w:val="none"/>
        </w:rPr>
      </w:pPr>
    </w:p>
    <w:p w14:paraId="5C2FF38F">
      <w:pPr>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名称（盖章）：</w:t>
      </w:r>
    </w:p>
    <w:p w14:paraId="32407BAC">
      <w:pPr>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日   期：  年   月   日</w:t>
      </w:r>
    </w:p>
    <w:p w14:paraId="7C034CDC">
      <w:pPr>
        <w:pageBreakBefore w:val="0"/>
        <w:wordWrap/>
        <w:overflowPunct/>
        <w:topLinePunct w:val="0"/>
        <w:bidi w:val="0"/>
        <w:spacing w:line="560" w:lineRule="exact"/>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6DCBA0E0">
      <w:pPr>
        <w:pageBreakBefore w:val="0"/>
        <w:wordWrap/>
        <w:overflowPunct/>
        <w:topLinePunct w:val="0"/>
        <w:bidi w:val="0"/>
        <w:spacing w:line="560" w:lineRule="exact"/>
        <w:ind w:left="0" w:leftChars="0" w:right="0" w:right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身份证明书（</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为非法人）</w:t>
      </w:r>
    </w:p>
    <w:p w14:paraId="0789D8B3">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rPr>
        <w:t xml:space="preserve">                                          </w:t>
      </w:r>
    </w:p>
    <w:p w14:paraId="20A54E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692F6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val="en-US" w:eastAsia="zh-CN"/>
        </w:rPr>
        <w:t xml:space="preserve">                                                 。                                             </w:t>
      </w:r>
    </w:p>
    <w:p w14:paraId="7A4D6B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E37D7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为具有参加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、签署上述</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、进行合同谈判、签署合同和处理与之有关的一切事务权利的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04442C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416897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身份证</w:t>
      </w:r>
      <w:r>
        <w:rPr>
          <w:rFonts w:hint="eastAsia" w:ascii="宋体" w:hAnsi="宋体" w:eastAsia="宋体" w:cs="宋体"/>
          <w:b w:val="0"/>
          <w:bCs w:val="0"/>
          <w:color w:val="auto"/>
          <w:sz w:val="24"/>
          <w:szCs w:val="24"/>
          <w:highlight w:val="none"/>
          <w:lang w:val="en-US" w:eastAsia="zh-CN"/>
        </w:rPr>
        <w:t>正反面。</w:t>
      </w:r>
    </w:p>
    <w:p w14:paraId="377132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名称（盖章）：</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p>
    <w:p w14:paraId="70531C7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41A34A64">
      <w:pPr>
        <w:pageBreakBefore w:val="0"/>
        <w:wordWrap/>
        <w:overflowPunct/>
        <w:topLinePunct w:val="0"/>
        <w:bidi w:val="0"/>
        <w:spacing w:line="560" w:lineRule="exact"/>
        <w:ind w:left="0" w:leftChars="0" w:right="0" w:rightChars="0"/>
        <w:jc w:val="center"/>
        <w:rPr>
          <w:rFonts w:hint="eastAsia" w:ascii="宋体" w:hAnsi="宋体" w:eastAsia="宋体" w:cs="宋体"/>
          <w:b/>
          <w:bCs/>
          <w:color w:val="auto"/>
          <w:sz w:val="24"/>
          <w:szCs w:val="24"/>
          <w:highlight w:val="none"/>
        </w:rPr>
      </w:pPr>
    </w:p>
    <w:p w14:paraId="29A7A48A">
      <w:pPr>
        <w:pStyle w:val="10"/>
        <w:pageBreakBefore w:val="0"/>
        <w:wordWrap/>
        <w:overflowPunct/>
        <w:topLinePunct w:val="0"/>
        <w:bidi w:val="0"/>
        <w:spacing w:after="0" w:line="560" w:lineRule="exact"/>
        <w:ind w:left="0" w:leftChars="0" w:right="0" w:rightChars="0"/>
        <w:rPr>
          <w:rFonts w:hint="eastAsia" w:ascii="宋体" w:hAnsi="宋体" w:eastAsia="宋体" w:cs="宋体"/>
          <w:b/>
          <w:bCs/>
          <w:color w:val="auto"/>
          <w:sz w:val="24"/>
          <w:szCs w:val="24"/>
          <w:highlight w:val="none"/>
        </w:rPr>
      </w:pPr>
    </w:p>
    <w:p w14:paraId="1007CC1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14:paraId="30B28D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授权委托书</w:t>
      </w:r>
    </w:p>
    <w:p w14:paraId="4B55DF4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rPr>
        <w:t>）法定代表人授权委托书（</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为法人）</w:t>
      </w:r>
    </w:p>
    <w:p w14:paraId="61E9956D">
      <w:pPr>
        <w:pStyle w:val="28"/>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p w14:paraId="1E944047">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_______（采购人名称）：</w:t>
      </w:r>
    </w:p>
    <w:p w14:paraId="2D5058C1">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本授权声明：</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名称）</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（法定代表人姓名、职务）授权</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（被授权人姓名、职务）为我方 “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（项目名称、项目编号）”项目</w:t>
      </w:r>
      <w:r>
        <w:rPr>
          <w:rFonts w:hint="eastAsia" w:ascii="宋体" w:hAnsi="宋体" w:eastAsia="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rPr>
        <w:t>活动的合法代表，以我方名义全权处理该项目有关</w:t>
      </w:r>
      <w:r>
        <w:rPr>
          <w:rFonts w:hint="eastAsia" w:ascii="宋体" w:hAnsi="宋体" w:eastAsia="宋体" w:cs="宋体"/>
          <w:b w:val="0"/>
          <w:bCs/>
          <w:color w:val="auto"/>
          <w:sz w:val="24"/>
          <w:szCs w:val="24"/>
          <w:highlight w:val="none"/>
          <w:lang w:eastAsia="zh-CN"/>
        </w:rPr>
        <w:t>谈判</w:t>
      </w:r>
      <w:r>
        <w:rPr>
          <w:rFonts w:hint="eastAsia" w:ascii="宋体" w:hAnsi="宋体" w:eastAsia="宋体" w:cs="宋体"/>
          <w:b w:val="0"/>
          <w:bCs/>
          <w:color w:val="auto"/>
          <w:sz w:val="24"/>
          <w:szCs w:val="24"/>
          <w:highlight w:val="none"/>
        </w:rPr>
        <w:t>、签订合同以及执行合同等一切事宜。</w:t>
      </w:r>
    </w:p>
    <w:p w14:paraId="54B2F865">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被授权人无权转让本授权，特此声明。</w:t>
      </w:r>
    </w:p>
    <w:p w14:paraId="4F2A1717">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附：法定代表人及被授权人身份证正反面。</w:t>
      </w:r>
    </w:p>
    <w:p w14:paraId="6700B059">
      <w:pPr>
        <w:pStyle w:val="28"/>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p w14:paraId="35C855BF">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rPr>
      </w:pPr>
    </w:p>
    <w:p w14:paraId="44EDAD54">
      <w:pPr>
        <w:pStyle w:val="15"/>
        <w:pageBreakBefore w:val="0"/>
        <w:wordWrap/>
        <w:overflowPunct/>
        <w:topLinePunct w:val="0"/>
        <w:bidi w:val="0"/>
        <w:spacing w:after="0"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名称（盖章）：</w:t>
      </w:r>
    </w:p>
    <w:p w14:paraId="5F2A2AAA">
      <w:pPr>
        <w:pStyle w:val="15"/>
        <w:pageBreakBefore w:val="0"/>
        <w:wordWrap/>
        <w:overflowPunct/>
        <w:topLinePunct w:val="0"/>
        <w:bidi w:val="0"/>
        <w:spacing w:after="0"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法定代表人（盖章或签字）：</w:t>
      </w:r>
    </w:p>
    <w:p w14:paraId="26435D17">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日期： 年 月 日</w:t>
      </w:r>
    </w:p>
    <w:p w14:paraId="40B7558E">
      <w:pPr>
        <w:pageBreakBefore w:val="0"/>
        <w:wordWrap/>
        <w:overflowPunct/>
        <w:topLinePunct w:val="0"/>
        <w:bidi w:val="0"/>
        <w:spacing w:line="560" w:lineRule="exact"/>
        <w:ind w:left="0" w:leftChars="0" w:right="0" w:rightChars="0" w:firstLine="4080" w:firstLineChars="1700"/>
        <w:rPr>
          <w:rFonts w:hint="eastAsia" w:ascii="宋体" w:hAnsi="宋体" w:eastAsia="宋体" w:cs="宋体"/>
          <w:b w:val="0"/>
          <w:bCs/>
          <w:color w:val="auto"/>
          <w:sz w:val="24"/>
          <w:szCs w:val="24"/>
          <w:highlight w:val="none"/>
        </w:rPr>
      </w:pPr>
    </w:p>
    <w:p w14:paraId="3BDA8613">
      <w:pPr>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b w:val="0"/>
          <w:bCs/>
          <w:color w:val="auto"/>
          <w:sz w:val="24"/>
          <w:szCs w:val="24"/>
          <w:highlight w:val="none"/>
        </w:rPr>
      </w:pPr>
    </w:p>
    <w:p w14:paraId="00DBD781">
      <w:pPr>
        <w:pageBreakBefore w:val="0"/>
        <w:wordWrap/>
        <w:overflowPunct/>
        <w:topLinePunct w:val="0"/>
        <w:bidi w:val="0"/>
        <w:snapToGrid w:val="0"/>
        <w:spacing w:line="560" w:lineRule="exact"/>
        <w:ind w:left="0" w:leftChars="0" w:right="0" w:rightChars="0" w:firstLine="480" w:firstLineChars="200"/>
        <w:jc w:val="center"/>
        <w:rPr>
          <w:rFonts w:hint="eastAsia" w:ascii="宋体" w:hAnsi="宋体" w:eastAsia="宋体" w:cs="宋体"/>
          <w:b w:val="0"/>
          <w:bCs/>
          <w:color w:val="auto"/>
          <w:sz w:val="24"/>
          <w:szCs w:val="24"/>
          <w:highlight w:val="none"/>
        </w:rPr>
      </w:pPr>
    </w:p>
    <w:p w14:paraId="4699C782">
      <w:pPr>
        <w:pStyle w:val="10"/>
        <w:pageBreakBefore w:val="0"/>
        <w:wordWrap/>
        <w:overflowPunct/>
        <w:topLinePunct w:val="0"/>
        <w:bidi w:val="0"/>
        <w:spacing w:after="0" w:line="560" w:lineRule="exact"/>
        <w:ind w:left="0" w:leftChars="0" w:right="0" w:rightChars="0"/>
        <w:rPr>
          <w:rFonts w:hint="eastAsia" w:ascii="宋体" w:hAnsi="宋体" w:eastAsia="宋体" w:cs="宋体"/>
          <w:b w:val="0"/>
          <w:bCs/>
          <w:color w:val="auto"/>
          <w:sz w:val="24"/>
          <w:szCs w:val="24"/>
          <w:highlight w:val="none"/>
        </w:rPr>
      </w:pPr>
    </w:p>
    <w:p w14:paraId="23B8630F">
      <w:pPr>
        <w:pageBreakBefore w:val="0"/>
        <w:wordWrap/>
        <w:overflowPunct/>
        <w:topLinePunct w:val="0"/>
        <w:bidi w:val="0"/>
        <w:spacing w:line="560" w:lineRule="exact"/>
        <w:ind w:left="0" w:leftChars="0" w:right="0" w:right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br w:type="page"/>
      </w:r>
    </w:p>
    <w:p w14:paraId="38A42CB7">
      <w:pPr>
        <w:pageBreakBefore w:val="0"/>
        <w:wordWrap/>
        <w:overflowPunct/>
        <w:topLinePunct w:val="0"/>
        <w:bidi w:val="0"/>
        <w:spacing w:line="560" w:lineRule="exact"/>
        <w:ind w:left="0" w:leftChars="0" w:right="0" w:right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）授权委托书</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为非法人）</w:t>
      </w:r>
    </w:p>
    <w:p w14:paraId="27E05931">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p w14:paraId="5E519D59">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_____（采购人名称）：</w:t>
      </w:r>
    </w:p>
    <w:p w14:paraId="41F65A15">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本授权声明：</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名称）授权</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（被授权人姓名、职务）</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为我方 “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（项目名称、项目编号）” 项目</w:t>
      </w:r>
      <w:r>
        <w:rPr>
          <w:rFonts w:hint="eastAsia" w:ascii="宋体" w:hAnsi="宋体" w:eastAsia="宋体"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rPr>
        <w:t>活动的合法代表，以我方名义全权处理该项目有关</w:t>
      </w:r>
      <w:r>
        <w:rPr>
          <w:rFonts w:hint="eastAsia" w:ascii="宋体" w:hAnsi="宋体" w:eastAsia="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、签订合同以及执行合同等一切事宜。</w:t>
      </w:r>
    </w:p>
    <w:p w14:paraId="07AFBB4A">
      <w:pPr>
        <w:pageBreakBefore w:val="0"/>
        <w:shd w:val="clear" w:color="auto" w:fill="auto"/>
        <w:kinsoku/>
        <w:wordWrap/>
        <w:overflowPunct/>
        <w:topLinePunct w:val="0"/>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被授权人</w:t>
      </w:r>
      <w:r>
        <w:rPr>
          <w:rFonts w:hint="eastAsia" w:ascii="宋体" w:hAnsi="宋体" w:eastAsia="宋体" w:cs="宋体"/>
          <w:b w:val="0"/>
          <w:bCs w:val="0"/>
          <w:color w:val="auto"/>
          <w:sz w:val="24"/>
          <w:szCs w:val="24"/>
          <w:highlight w:val="none"/>
        </w:rPr>
        <w:t>无</w:t>
      </w:r>
      <w:r>
        <w:rPr>
          <w:rFonts w:hint="eastAsia" w:ascii="宋体" w:hAnsi="宋体" w:eastAsia="宋体" w:cs="宋体"/>
          <w:b w:val="0"/>
          <w:bCs w:val="0"/>
          <w:color w:val="auto"/>
          <w:sz w:val="24"/>
          <w:szCs w:val="24"/>
          <w:highlight w:val="none"/>
          <w:lang w:val="en-US" w:eastAsia="zh-CN"/>
        </w:rPr>
        <w:t>权转让本授权</w:t>
      </w:r>
      <w:r>
        <w:rPr>
          <w:rFonts w:hint="eastAsia" w:ascii="宋体" w:hAnsi="宋体" w:eastAsia="宋体" w:cs="宋体"/>
          <w:b w:val="0"/>
          <w:bCs w:val="0"/>
          <w:color w:val="auto"/>
          <w:sz w:val="24"/>
          <w:szCs w:val="24"/>
          <w:highlight w:val="none"/>
        </w:rPr>
        <w:t>，特此</w:t>
      </w:r>
      <w:r>
        <w:rPr>
          <w:rFonts w:hint="eastAsia" w:ascii="宋体" w:hAnsi="宋体" w:eastAsia="宋体" w:cs="宋体"/>
          <w:b w:val="0"/>
          <w:bCs w:val="0"/>
          <w:color w:val="auto"/>
          <w:sz w:val="24"/>
          <w:szCs w:val="24"/>
          <w:highlight w:val="none"/>
          <w:lang w:eastAsia="zh-CN"/>
        </w:rPr>
        <w:t>声明。</w:t>
      </w:r>
    </w:p>
    <w:p w14:paraId="1881ADFC">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附：授权人及被授权人身份证</w:t>
      </w:r>
      <w:r>
        <w:rPr>
          <w:rFonts w:hint="eastAsia" w:ascii="宋体" w:hAnsi="宋体" w:eastAsia="宋体" w:cs="宋体"/>
          <w:b w:val="0"/>
          <w:bCs w:val="0"/>
          <w:color w:val="auto"/>
          <w:sz w:val="24"/>
          <w:szCs w:val="24"/>
          <w:highlight w:val="none"/>
          <w:lang w:val="en-US" w:eastAsia="zh-CN"/>
        </w:rPr>
        <w:t>正反面。</w:t>
      </w:r>
    </w:p>
    <w:p w14:paraId="44DF9626">
      <w:pPr>
        <w:pStyle w:val="28"/>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p w14:paraId="6223AF44">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p>
    <w:p w14:paraId="296EEF94">
      <w:pPr>
        <w:pStyle w:val="15"/>
        <w:pageBreakBefore w:val="0"/>
        <w:wordWrap/>
        <w:overflowPunct/>
        <w:topLinePunct w:val="0"/>
        <w:bidi w:val="0"/>
        <w:spacing w:after="0" w:line="560" w:lineRule="exact"/>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名称（盖章）：</w:t>
      </w:r>
    </w:p>
    <w:p w14:paraId="66B15C35">
      <w:pPr>
        <w:pStyle w:val="15"/>
        <w:pageBreakBefore w:val="0"/>
        <w:wordWrap/>
        <w:overflowPunct/>
        <w:topLinePunct w:val="0"/>
        <w:bidi w:val="0"/>
        <w:spacing w:after="0" w:line="560" w:lineRule="exact"/>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val="en-US" w:eastAsia="zh-CN"/>
        </w:rPr>
        <w:t>被</w:t>
      </w:r>
      <w:r>
        <w:rPr>
          <w:rFonts w:hint="eastAsia" w:ascii="宋体" w:hAnsi="宋体" w:eastAsia="宋体" w:cs="宋体"/>
          <w:bCs/>
          <w:color w:val="auto"/>
          <w:sz w:val="24"/>
          <w:szCs w:val="24"/>
          <w:highlight w:val="none"/>
          <w:lang w:val="en-US" w:eastAsia="zh-CN"/>
        </w:rPr>
        <w:t>授权人</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val="en-US" w:eastAsia="zh-CN"/>
        </w:rPr>
        <w:t>或签字</w:t>
      </w:r>
      <w:r>
        <w:rPr>
          <w:rFonts w:hint="eastAsia" w:ascii="宋体" w:hAnsi="宋体" w:eastAsia="宋体" w:cs="宋体"/>
          <w:bCs/>
          <w:color w:val="auto"/>
          <w:sz w:val="24"/>
          <w:szCs w:val="24"/>
          <w:highlight w:val="none"/>
        </w:rPr>
        <w:t>）：</w:t>
      </w:r>
    </w:p>
    <w:p w14:paraId="3CA15D90">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 年 月 日</w:t>
      </w:r>
    </w:p>
    <w:p w14:paraId="07269A24">
      <w:pPr>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b w:val="0"/>
          <w:bCs/>
          <w:color w:val="auto"/>
          <w:sz w:val="24"/>
          <w:szCs w:val="24"/>
          <w:highlight w:val="none"/>
        </w:rPr>
      </w:pPr>
    </w:p>
    <w:p w14:paraId="20B7FE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br w:type="page"/>
      </w:r>
      <w:bookmarkStart w:id="141" w:name="_Toc28653"/>
      <w:r>
        <w:rPr>
          <w:rFonts w:hint="eastAsia" w:ascii="宋体" w:hAnsi="宋体" w:eastAsia="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基本情况表</w:t>
      </w:r>
    </w:p>
    <w:p w14:paraId="33C9522D">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bl>
      <w:tblPr>
        <w:tblStyle w:val="110"/>
        <w:tblW w:w="96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4"/>
        <w:gridCol w:w="1303"/>
        <w:gridCol w:w="227"/>
        <w:gridCol w:w="1575"/>
        <w:gridCol w:w="1545"/>
        <w:gridCol w:w="1478"/>
        <w:gridCol w:w="1970"/>
      </w:tblGrid>
      <w:tr w14:paraId="02817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1534" w:type="dxa"/>
            <w:noWrap w:val="0"/>
            <w:vAlign w:val="center"/>
          </w:tcPr>
          <w:p w14:paraId="72413C5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lang w:val="en-US" w:eastAsia="zh-CN"/>
              </w:rPr>
              <w:t>投标人</w:t>
            </w:r>
            <w:r>
              <w:rPr>
                <w:rFonts w:hint="eastAsia" w:ascii="宋体" w:hAnsi="宋体" w:eastAsia="宋体" w:cs="宋体"/>
                <w:color w:val="auto"/>
                <w:spacing w:val="-3"/>
                <w:sz w:val="24"/>
                <w:szCs w:val="24"/>
                <w:highlight w:val="none"/>
                <w:u w:val="none"/>
              </w:rPr>
              <w:t>名称</w:t>
            </w:r>
          </w:p>
        </w:tc>
        <w:tc>
          <w:tcPr>
            <w:tcW w:w="8098" w:type="dxa"/>
            <w:gridSpan w:val="6"/>
            <w:noWrap w:val="0"/>
            <w:vAlign w:val="center"/>
          </w:tcPr>
          <w:p w14:paraId="1C83552B">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22FCE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1534" w:type="dxa"/>
            <w:noWrap w:val="0"/>
            <w:vAlign w:val="center"/>
          </w:tcPr>
          <w:p w14:paraId="045679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4"/>
                <w:sz w:val="24"/>
                <w:szCs w:val="24"/>
                <w:highlight w:val="none"/>
                <w:u w:val="none"/>
              </w:rPr>
              <w:t>详细地址</w:t>
            </w:r>
          </w:p>
        </w:tc>
        <w:tc>
          <w:tcPr>
            <w:tcW w:w="8098" w:type="dxa"/>
            <w:gridSpan w:val="6"/>
            <w:noWrap w:val="0"/>
            <w:vAlign w:val="center"/>
          </w:tcPr>
          <w:p w14:paraId="3543945E">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787CC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1534" w:type="dxa"/>
            <w:noWrap w:val="0"/>
            <w:vAlign w:val="center"/>
          </w:tcPr>
          <w:p w14:paraId="4803A4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default" w:ascii="宋体" w:hAnsi="宋体" w:eastAsia="宋体" w:cs="宋体"/>
                <w:color w:val="auto"/>
                <w:sz w:val="24"/>
                <w:szCs w:val="24"/>
                <w:highlight w:val="none"/>
                <w:u w:val="none"/>
                <w:lang w:val="en-US" w:eastAsia="zh-CN"/>
              </w:rPr>
            </w:pPr>
            <w:r>
              <w:rPr>
                <w:rFonts w:hint="eastAsia" w:ascii="宋体" w:hAnsi="宋体" w:cs="宋体"/>
                <w:color w:val="auto"/>
                <w:spacing w:val="-3"/>
                <w:sz w:val="24"/>
                <w:szCs w:val="24"/>
                <w:highlight w:val="none"/>
                <w:u w:val="none"/>
                <w:lang w:val="en-US" w:eastAsia="zh-CN"/>
              </w:rPr>
              <w:t>注册资金</w:t>
            </w:r>
          </w:p>
        </w:tc>
        <w:tc>
          <w:tcPr>
            <w:tcW w:w="1530" w:type="dxa"/>
            <w:gridSpan w:val="2"/>
            <w:noWrap w:val="0"/>
            <w:vAlign w:val="center"/>
          </w:tcPr>
          <w:p w14:paraId="4D47FE1F">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575" w:type="dxa"/>
            <w:noWrap w:val="0"/>
            <w:vAlign w:val="center"/>
          </w:tcPr>
          <w:p w14:paraId="4513A1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pacing w:val="3"/>
                <w:sz w:val="24"/>
                <w:szCs w:val="24"/>
                <w:highlight w:val="none"/>
                <w:u w:val="none"/>
              </w:rPr>
            </w:pPr>
            <w:r>
              <w:rPr>
                <w:rFonts w:hint="eastAsia" w:ascii="宋体" w:hAnsi="宋体" w:eastAsia="宋体" w:cs="宋体"/>
                <w:color w:val="auto"/>
                <w:spacing w:val="-3"/>
                <w:sz w:val="24"/>
                <w:szCs w:val="24"/>
                <w:highlight w:val="none"/>
                <w:u w:val="none"/>
              </w:rPr>
              <w:t>法定代表人</w:t>
            </w:r>
            <w:r>
              <w:rPr>
                <w:rFonts w:hint="eastAsia" w:ascii="宋体" w:hAnsi="宋体" w:eastAsia="宋体" w:cs="宋体"/>
                <w:color w:val="auto"/>
                <w:spacing w:val="3"/>
                <w:sz w:val="24"/>
                <w:szCs w:val="24"/>
                <w:highlight w:val="none"/>
                <w:u w:val="none"/>
              </w:rPr>
              <w:t xml:space="preserve"> </w:t>
            </w:r>
          </w:p>
          <w:p w14:paraId="3C05B3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4"/>
                <w:sz w:val="24"/>
                <w:szCs w:val="24"/>
                <w:highlight w:val="none"/>
                <w:u w:val="none"/>
              </w:rPr>
              <w:t>或负责人</w:t>
            </w:r>
          </w:p>
        </w:tc>
        <w:tc>
          <w:tcPr>
            <w:tcW w:w="1545" w:type="dxa"/>
            <w:noWrap w:val="0"/>
            <w:vAlign w:val="center"/>
          </w:tcPr>
          <w:p w14:paraId="3E42F0F9">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478" w:type="dxa"/>
            <w:noWrap w:val="0"/>
            <w:vAlign w:val="center"/>
          </w:tcPr>
          <w:p w14:paraId="054315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6"/>
                <w:sz w:val="24"/>
                <w:szCs w:val="24"/>
                <w:highlight w:val="none"/>
                <w:u w:val="none"/>
              </w:rPr>
              <w:t>职务</w:t>
            </w:r>
          </w:p>
        </w:tc>
        <w:tc>
          <w:tcPr>
            <w:tcW w:w="1970" w:type="dxa"/>
            <w:noWrap w:val="0"/>
            <w:vAlign w:val="center"/>
          </w:tcPr>
          <w:p w14:paraId="261E388C">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69AFE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1534" w:type="dxa"/>
            <w:noWrap w:val="0"/>
            <w:vAlign w:val="center"/>
          </w:tcPr>
          <w:p w14:paraId="345FA1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经济类型</w:t>
            </w:r>
          </w:p>
        </w:tc>
        <w:tc>
          <w:tcPr>
            <w:tcW w:w="1530" w:type="dxa"/>
            <w:gridSpan w:val="2"/>
            <w:noWrap w:val="0"/>
            <w:vAlign w:val="center"/>
          </w:tcPr>
          <w:p w14:paraId="721D982B">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575" w:type="dxa"/>
            <w:noWrap w:val="0"/>
            <w:vAlign w:val="center"/>
          </w:tcPr>
          <w:p w14:paraId="245556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授权代表</w:t>
            </w:r>
          </w:p>
        </w:tc>
        <w:tc>
          <w:tcPr>
            <w:tcW w:w="1545" w:type="dxa"/>
            <w:noWrap w:val="0"/>
            <w:vAlign w:val="center"/>
          </w:tcPr>
          <w:p w14:paraId="73E83A60">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478" w:type="dxa"/>
            <w:noWrap w:val="0"/>
            <w:vAlign w:val="center"/>
          </w:tcPr>
          <w:p w14:paraId="7B749BC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6"/>
                <w:sz w:val="24"/>
                <w:szCs w:val="24"/>
                <w:highlight w:val="none"/>
                <w:u w:val="none"/>
              </w:rPr>
              <w:t>职务</w:t>
            </w:r>
          </w:p>
        </w:tc>
        <w:tc>
          <w:tcPr>
            <w:tcW w:w="1970" w:type="dxa"/>
            <w:noWrap w:val="0"/>
            <w:vAlign w:val="center"/>
          </w:tcPr>
          <w:p w14:paraId="184F57FA">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64411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1534" w:type="dxa"/>
            <w:noWrap w:val="0"/>
            <w:vAlign w:val="center"/>
          </w:tcPr>
          <w:p w14:paraId="654035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成立时间</w:t>
            </w:r>
          </w:p>
        </w:tc>
        <w:tc>
          <w:tcPr>
            <w:tcW w:w="4650" w:type="dxa"/>
            <w:gridSpan w:val="4"/>
            <w:noWrap w:val="0"/>
            <w:vAlign w:val="center"/>
          </w:tcPr>
          <w:p w14:paraId="75FB792B">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478" w:type="dxa"/>
            <w:noWrap w:val="0"/>
            <w:vAlign w:val="center"/>
          </w:tcPr>
          <w:p w14:paraId="4C9DA46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19"/>
                <w:sz w:val="24"/>
                <w:szCs w:val="24"/>
                <w:highlight w:val="none"/>
                <w:u w:val="none"/>
              </w:rPr>
              <w:t>电话</w:t>
            </w:r>
          </w:p>
        </w:tc>
        <w:tc>
          <w:tcPr>
            <w:tcW w:w="1970" w:type="dxa"/>
            <w:noWrap w:val="0"/>
            <w:vAlign w:val="center"/>
          </w:tcPr>
          <w:p w14:paraId="14EB2488">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50A7E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1534" w:type="dxa"/>
            <w:noWrap w:val="0"/>
            <w:vAlign w:val="center"/>
          </w:tcPr>
          <w:p w14:paraId="479CFB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pacing w:val="2"/>
                <w:sz w:val="24"/>
                <w:szCs w:val="24"/>
                <w:highlight w:val="none"/>
                <w:u w:val="none"/>
              </w:rPr>
            </w:pPr>
            <w:r>
              <w:rPr>
                <w:rFonts w:hint="eastAsia" w:ascii="宋体" w:hAnsi="宋体" w:eastAsia="宋体" w:cs="宋体"/>
                <w:color w:val="auto"/>
                <w:spacing w:val="-3"/>
                <w:sz w:val="24"/>
                <w:szCs w:val="24"/>
                <w:highlight w:val="none"/>
                <w:u w:val="none"/>
              </w:rPr>
              <w:t>单位简介及</w:t>
            </w:r>
            <w:r>
              <w:rPr>
                <w:rFonts w:hint="eastAsia" w:ascii="宋体" w:hAnsi="宋体" w:eastAsia="宋体" w:cs="宋体"/>
                <w:color w:val="auto"/>
                <w:spacing w:val="2"/>
                <w:sz w:val="24"/>
                <w:szCs w:val="24"/>
                <w:highlight w:val="none"/>
                <w:u w:val="none"/>
              </w:rPr>
              <w:t xml:space="preserve"> </w:t>
            </w:r>
          </w:p>
          <w:p w14:paraId="509E661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机构情况</w:t>
            </w:r>
          </w:p>
        </w:tc>
        <w:tc>
          <w:tcPr>
            <w:tcW w:w="8098" w:type="dxa"/>
            <w:gridSpan w:val="6"/>
            <w:noWrap w:val="0"/>
            <w:vAlign w:val="center"/>
          </w:tcPr>
          <w:p w14:paraId="373C802C">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10AB1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1534" w:type="dxa"/>
            <w:noWrap w:val="0"/>
            <w:vAlign w:val="center"/>
          </w:tcPr>
          <w:p w14:paraId="64BA00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kern w:val="0"/>
                <w:sz w:val="24"/>
                <w:highlight w:val="none"/>
              </w:rPr>
              <w:t>本公司所属行业</w:t>
            </w:r>
          </w:p>
        </w:tc>
        <w:tc>
          <w:tcPr>
            <w:tcW w:w="8098" w:type="dxa"/>
            <w:gridSpan w:val="6"/>
            <w:noWrap w:val="0"/>
            <w:vAlign w:val="center"/>
          </w:tcPr>
          <w:p w14:paraId="44F0E9BB">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19BC3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1534" w:type="dxa"/>
            <w:noWrap w:val="0"/>
            <w:vAlign w:val="center"/>
          </w:tcPr>
          <w:p w14:paraId="3E68CE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8"/>
                <w:sz w:val="24"/>
                <w:szCs w:val="24"/>
                <w:highlight w:val="none"/>
                <w:u w:val="none"/>
              </w:rPr>
              <w:t>内部管理制</w:t>
            </w:r>
            <w:r>
              <w:rPr>
                <w:rFonts w:hint="eastAsia" w:ascii="宋体" w:hAnsi="宋体" w:eastAsia="宋体" w:cs="宋体"/>
                <w:color w:val="auto"/>
                <w:sz w:val="24"/>
                <w:szCs w:val="24"/>
                <w:highlight w:val="none"/>
                <w:u w:val="none"/>
              </w:rPr>
              <w:t xml:space="preserve"> </w:t>
            </w:r>
          </w:p>
          <w:p w14:paraId="3AAB3C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度情况</w:t>
            </w:r>
          </w:p>
        </w:tc>
        <w:tc>
          <w:tcPr>
            <w:tcW w:w="8098" w:type="dxa"/>
            <w:gridSpan w:val="6"/>
            <w:noWrap w:val="0"/>
            <w:vAlign w:val="center"/>
          </w:tcPr>
          <w:p w14:paraId="531EDA7F">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34194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restart"/>
            <w:tcBorders>
              <w:bottom w:val="nil"/>
            </w:tcBorders>
            <w:noWrap w:val="0"/>
            <w:vAlign w:val="center"/>
          </w:tcPr>
          <w:p w14:paraId="334868E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单位概况</w:t>
            </w:r>
          </w:p>
        </w:tc>
        <w:tc>
          <w:tcPr>
            <w:tcW w:w="1303" w:type="dxa"/>
            <w:vMerge w:val="restart"/>
            <w:tcBorders>
              <w:bottom w:val="nil"/>
            </w:tcBorders>
            <w:noWrap w:val="0"/>
            <w:vAlign w:val="center"/>
          </w:tcPr>
          <w:p w14:paraId="2D44BF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职工总数</w:t>
            </w:r>
          </w:p>
        </w:tc>
        <w:tc>
          <w:tcPr>
            <w:tcW w:w="1802" w:type="dxa"/>
            <w:gridSpan w:val="2"/>
            <w:vMerge w:val="restart"/>
            <w:tcBorders>
              <w:bottom w:val="nil"/>
            </w:tcBorders>
            <w:noWrap w:val="0"/>
            <w:vAlign w:val="center"/>
          </w:tcPr>
          <w:p w14:paraId="62765A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人</w:t>
            </w:r>
          </w:p>
        </w:tc>
        <w:tc>
          <w:tcPr>
            <w:tcW w:w="4993" w:type="dxa"/>
            <w:gridSpan w:val="3"/>
            <w:noWrap w:val="0"/>
            <w:vAlign w:val="center"/>
          </w:tcPr>
          <w:p w14:paraId="188DA2A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生产工人</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pacing w:val="-3"/>
                <w:sz w:val="24"/>
                <w:szCs w:val="24"/>
                <w:highlight w:val="none"/>
                <w:u w:val="none"/>
              </w:rPr>
              <w:t>人</w:t>
            </w:r>
          </w:p>
        </w:tc>
      </w:tr>
      <w:tr w14:paraId="6BA3F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continue"/>
            <w:tcBorders>
              <w:top w:val="nil"/>
              <w:bottom w:val="nil"/>
            </w:tcBorders>
            <w:noWrap w:val="0"/>
            <w:vAlign w:val="center"/>
          </w:tcPr>
          <w:p w14:paraId="0B43B189">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303" w:type="dxa"/>
            <w:vMerge w:val="continue"/>
            <w:tcBorders>
              <w:top w:val="nil"/>
            </w:tcBorders>
            <w:noWrap w:val="0"/>
            <w:vAlign w:val="center"/>
          </w:tcPr>
          <w:p w14:paraId="28652B1C">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802" w:type="dxa"/>
            <w:gridSpan w:val="2"/>
            <w:vMerge w:val="continue"/>
            <w:tcBorders>
              <w:top w:val="nil"/>
            </w:tcBorders>
            <w:noWrap w:val="0"/>
            <w:vAlign w:val="center"/>
          </w:tcPr>
          <w:p w14:paraId="46C83A79">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4993" w:type="dxa"/>
            <w:gridSpan w:val="3"/>
            <w:noWrap w:val="0"/>
            <w:vAlign w:val="center"/>
          </w:tcPr>
          <w:p w14:paraId="0B4287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技术人员               人</w:t>
            </w:r>
          </w:p>
        </w:tc>
      </w:tr>
      <w:tr w14:paraId="44AD7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continue"/>
            <w:tcBorders>
              <w:top w:val="nil"/>
              <w:bottom w:val="nil"/>
            </w:tcBorders>
            <w:noWrap w:val="0"/>
            <w:vAlign w:val="center"/>
          </w:tcPr>
          <w:p w14:paraId="08C36CA7">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303" w:type="dxa"/>
            <w:vMerge w:val="restart"/>
            <w:tcBorders>
              <w:bottom w:val="nil"/>
            </w:tcBorders>
            <w:noWrap w:val="0"/>
            <w:vAlign w:val="center"/>
          </w:tcPr>
          <w:p w14:paraId="0C33A1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流动资金</w:t>
            </w:r>
          </w:p>
        </w:tc>
        <w:tc>
          <w:tcPr>
            <w:tcW w:w="1802" w:type="dxa"/>
            <w:gridSpan w:val="2"/>
            <w:vMerge w:val="restart"/>
            <w:tcBorders>
              <w:bottom w:val="nil"/>
            </w:tcBorders>
            <w:noWrap w:val="0"/>
            <w:vAlign w:val="center"/>
          </w:tcPr>
          <w:p w14:paraId="2455A5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8"/>
                <w:sz w:val="24"/>
                <w:szCs w:val="24"/>
                <w:highlight w:val="none"/>
                <w:u w:val="none"/>
              </w:rPr>
              <w:t>万元</w:t>
            </w:r>
          </w:p>
        </w:tc>
        <w:tc>
          <w:tcPr>
            <w:tcW w:w="1545" w:type="dxa"/>
            <w:vMerge w:val="restart"/>
            <w:tcBorders>
              <w:bottom w:val="nil"/>
            </w:tcBorders>
            <w:noWrap w:val="0"/>
            <w:vAlign w:val="center"/>
          </w:tcPr>
          <w:p w14:paraId="6CD9F2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5"/>
                <w:sz w:val="24"/>
                <w:szCs w:val="24"/>
                <w:highlight w:val="none"/>
                <w:u w:val="none"/>
              </w:rPr>
              <w:t>资金来源</w:t>
            </w:r>
          </w:p>
        </w:tc>
        <w:tc>
          <w:tcPr>
            <w:tcW w:w="1478" w:type="dxa"/>
            <w:noWrap w:val="0"/>
            <w:vAlign w:val="center"/>
          </w:tcPr>
          <w:p w14:paraId="6AF880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13"/>
                <w:sz w:val="24"/>
                <w:szCs w:val="24"/>
                <w:highlight w:val="none"/>
                <w:u w:val="none"/>
              </w:rPr>
              <w:t>自有资金</w:t>
            </w:r>
          </w:p>
        </w:tc>
        <w:tc>
          <w:tcPr>
            <w:tcW w:w="1970" w:type="dxa"/>
            <w:noWrap w:val="0"/>
            <w:vAlign w:val="center"/>
          </w:tcPr>
          <w:p w14:paraId="68D70EC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8"/>
                <w:sz w:val="24"/>
                <w:szCs w:val="24"/>
                <w:highlight w:val="none"/>
                <w:u w:val="none"/>
              </w:rPr>
              <w:t>万元</w:t>
            </w:r>
          </w:p>
        </w:tc>
      </w:tr>
      <w:tr w14:paraId="4FDEB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continue"/>
            <w:tcBorders>
              <w:top w:val="nil"/>
              <w:bottom w:val="nil"/>
            </w:tcBorders>
            <w:noWrap w:val="0"/>
            <w:vAlign w:val="center"/>
          </w:tcPr>
          <w:p w14:paraId="13EE9C52">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303" w:type="dxa"/>
            <w:vMerge w:val="continue"/>
            <w:tcBorders>
              <w:top w:val="nil"/>
            </w:tcBorders>
            <w:noWrap w:val="0"/>
            <w:vAlign w:val="center"/>
          </w:tcPr>
          <w:p w14:paraId="60EF612B">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802" w:type="dxa"/>
            <w:gridSpan w:val="2"/>
            <w:vMerge w:val="continue"/>
            <w:tcBorders>
              <w:top w:val="nil"/>
            </w:tcBorders>
            <w:noWrap w:val="0"/>
            <w:vAlign w:val="center"/>
          </w:tcPr>
          <w:p w14:paraId="57F5EA1B">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545" w:type="dxa"/>
            <w:vMerge w:val="continue"/>
            <w:tcBorders>
              <w:top w:val="nil"/>
            </w:tcBorders>
            <w:noWrap w:val="0"/>
            <w:vAlign w:val="center"/>
          </w:tcPr>
          <w:p w14:paraId="12EC0CD6">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478" w:type="dxa"/>
            <w:noWrap w:val="0"/>
            <w:vAlign w:val="center"/>
          </w:tcPr>
          <w:p w14:paraId="3477E55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银行贷款</w:t>
            </w:r>
          </w:p>
        </w:tc>
        <w:tc>
          <w:tcPr>
            <w:tcW w:w="1970" w:type="dxa"/>
            <w:noWrap w:val="0"/>
            <w:vAlign w:val="center"/>
          </w:tcPr>
          <w:p w14:paraId="1971B3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8"/>
                <w:sz w:val="24"/>
                <w:szCs w:val="24"/>
                <w:highlight w:val="none"/>
                <w:u w:val="none"/>
              </w:rPr>
              <w:t>万元</w:t>
            </w:r>
          </w:p>
        </w:tc>
      </w:tr>
      <w:tr w14:paraId="5A1BA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continue"/>
            <w:tcBorders>
              <w:top w:val="nil"/>
              <w:bottom w:val="nil"/>
            </w:tcBorders>
            <w:noWrap w:val="0"/>
            <w:vAlign w:val="center"/>
          </w:tcPr>
          <w:p w14:paraId="22346596">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303" w:type="dxa"/>
            <w:vMerge w:val="restart"/>
            <w:tcBorders>
              <w:bottom w:val="nil"/>
            </w:tcBorders>
            <w:noWrap w:val="0"/>
            <w:vAlign w:val="center"/>
          </w:tcPr>
          <w:p w14:paraId="4806C0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8"/>
                <w:sz w:val="24"/>
                <w:szCs w:val="24"/>
                <w:highlight w:val="none"/>
                <w:u w:val="none"/>
              </w:rPr>
              <w:t>固定资产</w:t>
            </w:r>
          </w:p>
        </w:tc>
        <w:tc>
          <w:tcPr>
            <w:tcW w:w="1802" w:type="dxa"/>
            <w:gridSpan w:val="2"/>
            <w:noWrap w:val="0"/>
            <w:vAlign w:val="center"/>
          </w:tcPr>
          <w:p w14:paraId="347B7A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8"/>
                <w:sz w:val="24"/>
                <w:szCs w:val="24"/>
                <w:highlight w:val="none"/>
                <w:u w:val="none"/>
              </w:rPr>
              <w:t>原值</w:t>
            </w:r>
            <w:r>
              <w:rPr>
                <w:rFonts w:hint="eastAsia" w:ascii="宋体" w:hAnsi="宋体" w:eastAsia="宋体" w:cs="宋体"/>
                <w:color w:val="auto"/>
                <w:spacing w:val="3"/>
                <w:sz w:val="24"/>
                <w:szCs w:val="24"/>
                <w:highlight w:val="none"/>
                <w:u w:val="none"/>
              </w:rPr>
              <w:t xml:space="preserve">     </w:t>
            </w:r>
            <w:r>
              <w:rPr>
                <w:rFonts w:hint="eastAsia" w:ascii="宋体" w:hAnsi="宋体" w:eastAsia="宋体" w:cs="宋体"/>
                <w:color w:val="auto"/>
                <w:spacing w:val="-8"/>
                <w:sz w:val="24"/>
                <w:szCs w:val="24"/>
                <w:highlight w:val="none"/>
                <w:u w:val="none"/>
              </w:rPr>
              <w:t>万元</w:t>
            </w:r>
          </w:p>
        </w:tc>
        <w:tc>
          <w:tcPr>
            <w:tcW w:w="1545" w:type="dxa"/>
            <w:vMerge w:val="restart"/>
            <w:tcBorders>
              <w:bottom w:val="nil"/>
            </w:tcBorders>
            <w:noWrap w:val="0"/>
            <w:vAlign w:val="center"/>
          </w:tcPr>
          <w:p w14:paraId="10E580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5"/>
                <w:sz w:val="24"/>
                <w:szCs w:val="24"/>
                <w:highlight w:val="none"/>
                <w:u w:val="none"/>
              </w:rPr>
              <w:t>资金性质</w:t>
            </w:r>
          </w:p>
        </w:tc>
        <w:tc>
          <w:tcPr>
            <w:tcW w:w="1478" w:type="dxa"/>
            <w:noWrap w:val="0"/>
            <w:vAlign w:val="center"/>
          </w:tcPr>
          <w:p w14:paraId="433B2C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4"/>
                <w:sz w:val="24"/>
                <w:szCs w:val="24"/>
                <w:highlight w:val="none"/>
                <w:u w:val="none"/>
              </w:rPr>
              <w:t>生产性</w:t>
            </w:r>
          </w:p>
        </w:tc>
        <w:tc>
          <w:tcPr>
            <w:tcW w:w="1970" w:type="dxa"/>
            <w:noWrap w:val="0"/>
            <w:vAlign w:val="center"/>
          </w:tcPr>
          <w:p w14:paraId="7E291FA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8"/>
                <w:sz w:val="24"/>
                <w:szCs w:val="24"/>
                <w:highlight w:val="none"/>
                <w:u w:val="none"/>
              </w:rPr>
              <w:t>万元</w:t>
            </w:r>
          </w:p>
        </w:tc>
      </w:tr>
      <w:tr w14:paraId="609CF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continue"/>
            <w:tcBorders>
              <w:top w:val="nil"/>
            </w:tcBorders>
            <w:noWrap w:val="0"/>
            <w:vAlign w:val="center"/>
          </w:tcPr>
          <w:p w14:paraId="4465656C">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303" w:type="dxa"/>
            <w:vMerge w:val="continue"/>
            <w:tcBorders>
              <w:top w:val="nil"/>
            </w:tcBorders>
            <w:noWrap w:val="0"/>
            <w:vAlign w:val="center"/>
          </w:tcPr>
          <w:p w14:paraId="74D50286">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802" w:type="dxa"/>
            <w:gridSpan w:val="2"/>
            <w:noWrap w:val="0"/>
            <w:vAlign w:val="center"/>
          </w:tcPr>
          <w:p w14:paraId="2FEA7B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7"/>
                <w:sz w:val="24"/>
                <w:szCs w:val="24"/>
                <w:highlight w:val="none"/>
                <w:u w:val="none"/>
              </w:rPr>
              <w:t>净值</w:t>
            </w:r>
            <w:r>
              <w:rPr>
                <w:rFonts w:hint="eastAsia" w:ascii="宋体" w:hAnsi="宋体" w:eastAsia="宋体" w:cs="宋体"/>
                <w:color w:val="auto"/>
                <w:spacing w:val="3"/>
                <w:sz w:val="24"/>
                <w:szCs w:val="24"/>
                <w:highlight w:val="none"/>
                <w:u w:val="none"/>
              </w:rPr>
              <w:t xml:space="preserve">     </w:t>
            </w:r>
            <w:r>
              <w:rPr>
                <w:rFonts w:hint="eastAsia" w:ascii="宋体" w:hAnsi="宋体" w:eastAsia="宋体" w:cs="宋体"/>
                <w:color w:val="auto"/>
                <w:spacing w:val="-7"/>
                <w:sz w:val="24"/>
                <w:szCs w:val="24"/>
                <w:highlight w:val="none"/>
                <w:u w:val="none"/>
              </w:rPr>
              <w:t>万元</w:t>
            </w:r>
          </w:p>
        </w:tc>
        <w:tc>
          <w:tcPr>
            <w:tcW w:w="1545" w:type="dxa"/>
            <w:vMerge w:val="continue"/>
            <w:tcBorders>
              <w:top w:val="nil"/>
            </w:tcBorders>
            <w:noWrap w:val="0"/>
            <w:vAlign w:val="center"/>
          </w:tcPr>
          <w:p w14:paraId="326372A2">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478" w:type="dxa"/>
            <w:noWrap w:val="0"/>
            <w:vAlign w:val="center"/>
          </w:tcPr>
          <w:p w14:paraId="244790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4"/>
                <w:sz w:val="24"/>
                <w:szCs w:val="24"/>
                <w:highlight w:val="none"/>
                <w:u w:val="none"/>
              </w:rPr>
              <w:t>非生产性</w:t>
            </w:r>
          </w:p>
        </w:tc>
        <w:tc>
          <w:tcPr>
            <w:tcW w:w="1970" w:type="dxa"/>
            <w:noWrap w:val="0"/>
            <w:vAlign w:val="center"/>
          </w:tcPr>
          <w:p w14:paraId="48D8D73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8"/>
                <w:sz w:val="24"/>
                <w:szCs w:val="24"/>
                <w:highlight w:val="none"/>
                <w:u w:val="none"/>
              </w:rPr>
              <w:t>万元</w:t>
            </w:r>
          </w:p>
        </w:tc>
      </w:tr>
      <w:tr w14:paraId="6E453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restart"/>
            <w:tcBorders>
              <w:bottom w:val="nil"/>
            </w:tcBorders>
            <w:noWrap w:val="0"/>
            <w:vAlign w:val="center"/>
          </w:tcPr>
          <w:p w14:paraId="46D0680C">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p w14:paraId="498E2B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pacing w:val="-3"/>
                <w:sz w:val="24"/>
                <w:szCs w:val="24"/>
                <w:highlight w:val="none"/>
                <w:u w:val="none"/>
              </w:rPr>
            </w:pPr>
            <w:r>
              <w:rPr>
                <w:rFonts w:hint="eastAsia" w:ascii="宋体" w:hAnsi="宋体" w:eastAsia="宋体" w:cs="宋体"/>
                <w:color w:val="auto"/>
                <w:spacing w:val="-3"/>
                <w:sz w:val="24"/>
                <w:szCs w:val="24"/>
                <w:highlight w:val="none"/>
                <w:u w:val="none"/>
              </w:rPr>
              <w:t>企业财务</w:t>
            </w:r>
          </w:p>
          <w:p w14:paraId="5F8D92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状</w:t>
            </w:r>
            <w:r>
              <w:rPr>
                <w:rFonts w:hint="eastAsia" w:ascii="宋体" w:hAnsi="宋体" w:eastAsia="宋体" w:cs="宋体"/>
                <w:color w:val="auto"/>
                <w:sz w:val="24"/>
                <w:szCs w:val="24"/>
                <w:highlight w:val="none"/>
                <w:u w:val="none"/>
              </w:rPr>
              <w:t>况</w:t>
            </w:r>
          </w:p>
        </w:tc>
        <w:tc>
          <w:tcPr>
            <w:tcW w:w="1303" w:type="dxa"/>
            <w:noWrap w:val="0"/>
            <w:vAlign w:val="center"/>
          </w:tcPr>
          <w:p w14:paraId="311A0E35">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802" w:type="dxa"/>
            <w:gridSpan w:val="2"/>
            <w:noWrap w:val="0"/>
            <w:vAlign w:val="center"/>
          </w:tcPr>
          <w:p w14:paraId="1BFF99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5"/>
                <w:sz w:val="24"/>
                <w:szCs w:val="24"/>
                <w:highlight w:val="none"/>
                <w:u w:val="none"/>
              </w:rPr>
              <w:t>收入总额</w:t>
            </w:r>
          </w:p>
        </w:tc>
        <w:tc>
          <w:tcPr>
            <w:tcW w:w="1545" w:type="dxa"/>
            <w:noWrap w:val="0"/>
            <w:vAlign w:val="center"/>
          </w:tcPr>
          <w:p w14:paraId="74D92E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利润总额</w:t>
            </w:r>
          </w:p>
        </w:tc>
        <w:tc>
          <w:tcPr>
            <w:tcW w:w="1478" w:type="dxa"/>
            <w:noWrap w:val="0"/>
            <w:vAlign w:val="center"/>
          </w:tcPr>
          <w:p w14:paraId="17C4F6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5"/>
                <w:sz w:val="24"/>
                <w:szCs w:val="24"/>
                <w:highlight w:val="none"/>
                <w:u w:val="none"/>
              </w:rPr>
              <w:t>净利润</w:t>
            </w:r>
          </w:p>
        </w:tc>
        <w:tc>
          <w:tcPr>
            <w:tcW w:w="1970" w:type="dxa"/>
            <w:noWrap w:val="0"/>
            <w:vAlign w:val="center"/>
          </w:tcPr>
          <w:p w14:paraId="445F618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5"/>
                <w:sz w:val="24"/>
                <w:szCs w:val="24"/>
                <w:highlight w:val="none"/>
                <w:u w:val="none"/>
              </w:rPr>
              <w:t>负债总额</w:t>
            </w:r>
          </w:p>
        </w:tc>
      </w:tr>
      <w:tr w14:paraId="32778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continue"/>
            <w:tcBorders>
              <w:top w:val="nil"/>
              <w:bottom w:val="nil"/>
            </w:tcBorders>
            <w:noWrap w:val="0"/>
            <w:vAlign w:val="center"/>
          </w:tcPr>
          <w:p w14:paraId="2E0D259A">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303" w:type="dxa"/>
            <w:noWrap w:val="0"/>
            <w:vAlign w:val="center"/>
          </w:tcPr>
          <w:p w14:paraId="6FF5E9E3">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1"/>
                <w:sz w:val="24"/>
                <w:szCs w:val="24"/>
                <w:highlight w:val="none"/>
                <w:u w:val="none"/>
              </w:rPr>
              <w:t>20</w:t>
            </w:r>
            <w:r>
              <w:rPr>
                <w:rFonts w:hint="eastAsia" w:ascii="宋体" w:hAnsi="宋体" w:eastAsia="宋体" w:cs="宋体"/>
                <w:color w:val="auto"/>
                <w:spacing w:val="-1"/>
                <w:sz w:val="24"/>
                <w:szCs w:val="24"/>
                <w:highlight w:val="none"/>
                <w:u w:val="none"/>
                <w:lang w:val="en-US" w:eastAsia="zh-CN"/>
              </w:rPr>
              <w:t>23</w:t>
            </w:r>
            <w:r>
              <w:rPr>
                <w:rFonts w:hint="eastAsia" w:ascii="宋体" w:hAnsi="宋体" w:eastAsia="宋体" w:cs="宋体"/>
                <w:color w:val="auto"/>
                <w:spacing w:val="-1"/>
                <w:sz w:val="24"/>
                <w:szCs w:val="24"/>
                <w:highlight w:val="none"/>
                <w:u w:val="none"/>
              </w:rPr>
              <w:t xml:space="preserve"> 年</w:t>
            </w:r>
          </w:p>
        </w:tc>
        <w:tc>
          <w:tcPr>
            <w:tcW w:w="1802" w:type="dxa"/>
            <w:gridSpan w:val="2"/>
            <w:noWrap w:val="0"/>
            <w:vAlign w:val="center"/>
          </w:tcPr>
          <w:p w14:paraId="298405B9">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545" w:type="dxa"/>
            <w:noWrap w:val="0"/>
            <w:vAlign w:val="center"/>
          </w:tcPr>
          <w:p w14:paraId="24406952">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478" w:type="dxa"/>
            <w:noWrap w:val="0"/>
            <w:vAlign w:val="center"/>
          </w:tcPr>
          <w:p w14:paraId="35C12BFE">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970" w:type="dxa"/>
            <w:noWrap w:val="0"/>
            <w:vAlign w:val="center"/>
          </w:tcPr>
          <w:p w14:paraId="6988B1FC">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6EBDC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continue"/>
            <w:tcBorders>
              <w:top w:val="nil"/>
              <w:bottom w:val="nil"/>
            </w:tcBorders>
            <w:noWrap w:val="0"/>
            <w:vAlign w:val="center"/>
          </w:tcPr>
          <w:p w14:paraId="7F9B39DE">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303" w:type="dxa"/>
            <w:noWrap w:val="0"/>
            <w:vAlign w:val="center"/>
          </w:tcPr>
          <w:p w14:paraId="4A707CBF">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1"/>
                <w:sz w:val="24"/>
                <w:szCs w:val="24"/>
                <w:highlight w:val="none"/>
                <w:u w:val="none"/>
              </w:rPr>
              <w:t>20</w:t>
            </w:r>
            <w:r>
              <w:rPr>
                <w:rFonts w:hint="eastAsia" w:ascii="宋体" w:hAnsi="宋体" w:eastAsia="宋体" w:cs="宋体"/>
                <w:color w:val="auto"/>
                <w:spacing w:val="-1"/>
                <w:sz w:val="24"/>
                <w:szCs w:val="24"/>
                <w:highlight w:val="none"/>
                <w:u w:val="none"/>
                <w:lang w:val="en-US" w:eastAsia="zh-CN"/>
              </w:rPr>
              <w:t xml:space="preserve">22 </w:t>
            </w:r>
            <w:r>
              <w:rPr>
                <w:rFonts w:hint="eastAsia" w:ascii="宋体" w:hAnsi="宋体" w:eastAsia="宋体" w:cs="宋体"/>
                <w:color w:val="auto"/>
                <w:spacing w:val="-1"/>
                <w:sz w:val="24"/>
                <w:szCs w:val="24"/>
                <w:highlight w:val="none"/>
                <w:u w:val="none"/>
              </w:rPr>
              <w:t>年</w:t>
            </w:r>
          </w:p>
        </w:tc>
        <w:tc>
          <w:tcPr>
            <w:tcW w:w="1802" w:type="dxa"/>
            <w:gridSpan w:val="2"/>
            <w:noWrap w:val="0"/>
            <w:vAlign w:val="center"/>
          </w:tcPr>
          <w:p w14:paraId="3E60FEA7">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545" w:type="dxa"/>
            <w:noWrap w:val="0"/>
            <w:vAlign w:val="center"/>
          </w:tcPr>
          <w:p w14:paraId="40B2C153">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478" w:type="dxa"/>
            <w:noWrap w:val="0"/>
            <w:vAlign w:val="center"/>
          </w:tcPr>
          <w:p w14:paraId="5552B85A">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970" w:type="dxa"/>
            <w:noWrap w:val="0"/>
            <w:vAlign w:val="center"/>
          </w:tcPr>
          <w:p w14:paraId="3D643560">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3A2E7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continue"/>
            <w:tcBorders>
              <w:top w:val="nil"/>
              <w:bottom w:val="single" w:color="auto" w:sz="4" w:space="0"/>
            </w:tcBorders>
            <w:noWrap w:val="0"/>
            <w:vAlign w:val="center"/>
          </w:tcPr>
          <w:p w14:paraId="5AC0DE0F">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303" w:type="dxa"/>
            <w:tcBorders>
              <w:bottom w:val="single" w:color="auto" w:sz="4" w:space="0"/>
            </w:tcBorders>
            <w:noWrap w:val="0"/>
            <w:vAlign w:val="center"/>
          </w:tcPr>
          <w:p w14:paraId="5303D40A">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1"/>
                <w:sz w:val="24"/>
                <w:szCs w:val="24"/>
                <w:highlight w:val="none"/>
                <w:u w:val="none"/>
              </w:rPr>
              <w:t>20</w:t>
            </w:r>
            <w:r>
              <w:rPr>
                <w:rFonts w:hint="eastAsia" w:ascii="宋体" w:hAnsi="宋体" w:eastAsia="宋体" w:cs="宋体"/>
                <w:color w:val="auto"/>
                <w:spacing w:val="-1"/>
                <w:sz w:val="24"/>
                <w:szCs w:val="24"/>
                <w:highlight w:val="none"/>
                <w:u w:val="none"/>
                <w:lang w:val="en-US" w:eastAsia="zh-CN"/>
              </w:rPr>
              <w:t>21</w:t>
            </w:r>
            <w:r>
              <w:rPr>
                <w:rFonts w:hint="eastAsia" w:ascii="宋体" w:hAnsi="宋体" w:eastAsia="宋体" w:cs="宋体"/>
                <w:color w:val="auto"/>
                <w:spacing w:val="-1"/>
                <w:sz w:val="24"/>
                <w:szCs w:val="24"/>
                <w:highlight w:val="none"/>
                <w:u w:val="none"/>
              </w:rPr>
              <w:t xml:space="preserve"> 年</w:t>
            </w:r>
          </w:p>
        </w:tc>
        <w:tc>
          <w:tcPr>
            <w:tcW w:w="1802" w:type="dxa"/>
            <w:gridSpan w:val="2"/>
            <w:tcBorders>
              <w:bottom w:val="single" w:color="auto" w:sz="4" w:space="0"/>
            </w:tcBorders>
            <w:noWrap w:val="0"/>
            <w:vAlign w:val="center"/>
          </w:tcPr>
          <w:p w14:paraId="2D782C0E">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545" w:type="dxa"/>
            <w:noWrap w:val="0"/>
            <w:vAlign w:val="center"/>
          </w:tcPr>
          <w:p w14:paraId="475834F2">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478" w:type="dxa"/>
            <w:noWrap w:val="0"/>
            <w:vAlign w:val="center"/>
          </w:tcPr>
          <w:p w14:paraId="42721D16">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970" w:type="dxa"/>
            <w:noWrap w:val="0"/>
            <w:vAlign w:val="center"/>
          </w:tcPr>
          <w:p w14:paraId="65FFA55F">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3034B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2837" w:type="dxa"/>
            <w:gridSpan w:val="2"/>
            <w:tcBorders>
              <w:top w:val="single" w:color="auto" w:sz="4" w:space="0"/>
              <w:left w:val="single" w:color="auto" w:sz="4" w:space="0"/>
              <w:bottom w:val="single" w:color="auto" w:sz="4" w:space="0"/>
              <w:right w:val="single" w:color="auto" w:sz="4" w:space="0"/>
            </w:tcBorders>
            <w:noWrap w:val="0"/>
            <w:vAlign w:val="center"/>
          </w:tcPr>
          <w:p w14:paraId="2C016A18">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2"/>
                <w:position w:val="1"/>
                <w:sz w:val="24"/>
                <w:szCs w:val="24"/>
                <w:highlight w:val="none"/>
                <w:u w:val="none"/>
              </w:rPr>
              <w:t>生产/经营地点</w:t>
            </w:r>
          </w:p>
        </w:tc>
        <w:tc>
          <w:tcPr>
            <w:tcW w:w="6795" w:type="dxa"/>
            <w:gridSpan w:val="5"/>
            <w:tcBorders>
              <w:left w:val="single" w:color="auto" w:sz="4" w:space="0"/>
            </w:tcBorders>
            <w:noWrap w:val="0"/>
            <w:vAlign w:val="center"/>
          </w:tcPr>
          <w:p w14:paraId="4F1E2CBC">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00FF6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2837" w:type="dxa"/>
            <w:gridSpan w:val="2"/>
            <w:vMerge w:val="restart"/>
            <w:tcBorders>
              <w:top w:val="single" w:color="auto" w:sz="4" w:space="0"/>
              <w:bottom w:val="single" w:color="auto" w:sz="4" w:space="0"/>
            </w:tcBorders>
            <w:noWrap w:val="0"/>
            <w:vAlign w:val="center"/>
          </w:tcPr>
          <w:p w14:paraId="116F6D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4"/>
                <w:sz w:val="24"/>
                <w:szCs w:val="24"/>
                <w:highlight w:val="none"/>
                <w:u w:val="none"/>
              </w:rPr>
              <w:t>关联单位</w:t>
            </w:r>
          </w:p>
        </w:tc>
        <w:tc>
          <w:tcPr>
            <w:tcW w:w="6795" w:type="dxa"/>
            <w:gridSpan w:val="5"/>
            <w:noWrap w:val="0"/>
            <w:vAlign w:val="center"/>
          </w:tcPr>
          <w:p w14:paraId="20A171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1"/>
                <w:sz w:val="24"/>
                <w:szCs w:val="24"/>
                <w:highlight w:val="none"/>
                <w:u w:val="none"/>
              </w:rPr>
              <w:t>与</w:t>
            </w:r>
            <w:r>
              <w:rPr>
                <w:rFonts w:hint="eastAsia" w:ascii="宋体" w:hAnsi="宋体" w:eastAsia="宋体" w:cs="宋体"/>
                <w:color w:val="auto"/>
                <w:spacing w:val="-1"/>
                <w:sz w:val="24"/>
                <w:szCs w:val="24"/>
                <w:highlight w:val="none"/>
                <w:u w:val="none"/>
                <w:lang w:eastAsia="zh-CN"/>
              </w:rPr>
              <w:t>投标人</w:t>
            </w:r>
            <w:r>
              <w:rPr>
                <w:rFonts w:hint="eastAsia" w:ascii="宋体" w:hAnsi="宋体" w:eastAsia="宋体" w:cs="宋体"/>
                <w:color w:val="auto"/>
                <w:spacing w:val="-1"/>
                <w:sz w:val="24"/>
                <w:szCs w:val="24"/>
                <w:highlight w:val="none"/>
                <w:u w:val="none"/>
              </w:rPr>
              <w:t>单位负责人为同一人的其他单位：</w:t>
            </w:r>
          </w:p>
        </w:tc>
      </w:tr>
      <w:tr w14:paraId="3A6D7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2837" w:type="dxa"/>
            <w:gridSpan w:val="2"/>
            <w:vMerge w:val="continue"/>
            <w:tcBorders>
              <w:top w:val="single" w:color="auto" w:sz="4" w:space="0"/>
              <w:bottom w:val="single" w:color="auto" w:sz="4" w:space="0"/>
            </w:tcBorders>
            <w:noWrap w:val="0"/>
            <w:vAlign w:val="center"/>
          </w:tcPr>
          <w:p w14:paraId="7B51B7BA">
            <w:pPr>
              <w:pStyle w:val="1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6795" w:type="dxa"/>
            <w:gridSpan w:val="5"/>
            <w:noWrap w:val="0"/>
            <w:vAlign w:val="center"/>
          </w:tcPr>
          <w:p w14:paraId="2AFDD2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1"/>
                <w:sz w:val="24"/>
                <w:szCs w:val="24"/>
                <w:highlight w:val="none"/>
                <w:u w:val="none"/>
              </w:rPr>
              <w:t>与</w:t>
            </w:r>
            <w:r>
              <w:rPr>
                <w:rFonts w:hint="eastAsia" w:ascii="宋体" w:hAnsi="宋体" w:eastAsia="宋体" w:cs="宋体"/>
                <w:color w:val="auto"/>
                <w:spacing w:val="-1"/>
                <w:sz w:val="24"/>
                <w:szCs w:val="24"/>
                <w:highlight w:val="none"/>
                <w:u w:val="none"/>
                <w:lang w:eastAsia="zh-CN"/>
              </w:rPr>
              <w:t>投标人</w:t>
            </w:r>
            <w:r>
              <w:rPr>
                <w:rFonts w:hint="eastAsia" w:ascii="宋体" w:hAnsi="宋体" w:eastAsia="宋体" w:cs="宋体"/>
                <w:color w:val="auto"/>
                <w:spacing w:val="-1"/>
                <w:sz w:val="24"/>
                <w:szCs w:val="24"/>
                <w:highlight w:val="none"/>
                <w:u w:val="none"/>
              </w:rPr>
              <w:t>存在控股、管理关系的其他单位：</w:t>
            </w:r>
          </w:p>
        </w:tc>
      </w:tr>
      <w:bookmarkEnd w:id="141"/>
    </w:tbl>
    <w:p w14:paraId="21B3D4FD">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bookmarkStart w:id="142" w:name="_Toc26218"/>
      <w:r>
        <w:rPr>
          <w:rFonts w:hint="eastAsia" w:ascii="宋体" w:hAnsi="宋体" w:eastAsia="宋体" w:cs="宋体"/>
          <w:b w:val="0"/>
          <w:bCs/>
          <w:color w:val="auto"/>
          <w:sz w:val="24"/>
          <w:szCs w:val="24"/>
          <w:highlight w:val="none"/>
        </w:rPr>
        <w:t>备注：</w:t>
      </w:r>
    </w:p>
    <w:p w14:paraId="2A971344">
      <w:pPr>
        <w:pageBreakBefore w:val="0"/>
        <w:numPr>
          <w:ilvl w:val="0"/>
          <w:numId w:val="7"/>
        </w:numPr>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sz w:val="24"/>
          <w:szCs w:val="24"/>
          <w:highlight w:val="none"/>
          <w:lang w:val="en-US" w:eastAsia="zh-CN"/>
        </w:rPr>
        <w:t>投标人为法人时，</w:t>
      </w:r>
      <w:r>
        <w:rPr>
          <w:rFonts w:hint="eastAsia" w:ascii="宋体" w:hAnsi="宋体" w:eastAsia="宋体" w:cs="宋体"/>
          <w:b w:val="0"/>
          <w:bCs/>
          <w:color w:val="auto"/>
          <w:sz w:val="24"/>
          <w:szCs w:val="24"/>
          <w:highlight w:val="none"/>
        </w:rPr>
        <w:t>后附营业执照</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资质证书、质量管理体系认证证书</w:t>
      </w:r>
      <w:r>
        <w:rPr>
          <w:rFonts w:hint="eastAsia" w:ascii="宋体" w:hAnsi="宋体" w:eastAsia="宋体" w:cs="宋体"/>
          <w:b w:val="0"/>
          <w:bCs/>
          <w:color w:val="auto"/>
          <w:sz w:val="24"/>
          <w:szCs w:val="24"/>
          <w:highlight w:val="none"/>
        </w:rPr>
        <w:t>等相关证明材料</w:t>
      </w:r>
      <w:r>
        <w:rPr>
          <w:rFonts w:hint="eastAsia" w:ascii="宋体" w:hAnsi="宋体" w:eastAsia="宋体" w:cs="宋体"/>
          <w:b w:val="0"/>
          <w:bCs/>
          <w:color w:val="auto"/>
          <w:sz w:val="24"/>
          <w:szCs w:val="24"/>
          <w:highlight w:val="none"/>
          <w:lang w:eastAsia="zh-CN"/>
        </w:rPr>
        <w:t>；</w:t>
      </w:r>
    </w:p>
    <w:p w14:paraId="33E3527A">
      <w:pPr>
        <w:pageBreakBefore w:val="0"/>
        <w:numPr>
          <w:ilvl w:val="0"/>
          <w:numId w:val="7"/>
        </w:numPr>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为非法人时，格式自拟。</w:t>
      </w:r>
    </w:p>
    <w:p w14:paraId="0D165397">
      <w:pPr>
        <w:pStyle w:val="43"/>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sectPr>
          <w:pgSz w:w="11906" w:h="16838"/>
          <w:pgMar w:top="1440" w:right="1800" w:bottom="1440" w:left="1800" w:header="851" w:footer="992" w:gutter="0"/>
          <w:pgNumType w:fmt="decimal"/>
          <w:cols w:space="720" w:num="1"/>
          <w:docGrid w:type="lines" w:linePitch="312" w:charSpace="0"/>
        </w:sectPr>
      </w:pPr>
    </w:p>
    <w:bookmarkEnd w:id="142"/>
    <w:p w14:paraId="6FECF61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jc w:val="center"/>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六、</w:t>
      </w:r>
      <w:r>
        <w:rPr>
          <w:rFonts w:hint="eastAsia" w:ascii="宋体" w:hAnsi="宋体" w:eastAsia="宋体" w:cs="宋体"/>
          <w:b w:val="0"/>
          <w:bCs/>
          <w:color w:val="auto"/>
          <w:sz w:val="24"/>
          <w:szCs w:val="24"/>
          <w:highlight w:val="none"/>
          <w:lang w:val="en-US" w:eastAsia="zh-CN"/>
        </w:rPr>
        <w:t>拟配备人员简介</w:t>
      </w:r>
    </w:p>
    <w:tbl>
      <w:tblPr>
        <w:tblStyle w:val="29"/>
        <w:tblpPr w:leftFromText="180" w:rightFromText="180" w:vertAnchor="text" w:horzAnchor="page" w:tblpX="1844" w:tblpY="527"/>
        <w:tblOverlap w:val="never"/>
        <w:tblW w:w="51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989"/>
        <w:gridCol w:w="1410"/>
        <w:gridCol w:w="1149"/>
        <w:gridCol w:w="1496"/>
        <w:gridCol w:w="1052"/>
        <w:gridCol w:w="1198"/>
        <w:gridCol w:w="1074"/>
      </w:tblGrid>
      <w:tr w14:paraId="3CA6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vMerge w:val="restart"/>
            <w:noWrap w:val="0"/>
            <w:vAlign w:val="center"/>
          </w:tcPr>
          <w:p w14:paraId="29FA6D4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542" w:type="pct"/>
            <w:vMerge w:val="restart"/>
            <w:noWrap w:val="0"/>
            <w:vAlign w:val="center"/>
          </w:tcPr>
          <w:p w14:paraId="00E67ED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姓名</w:t>
            </w:r>
          </w:p>
        </w:tc>
        <w:tc>
          <w:tcPr>
            <w:tcW w:w="772" w:type="pct"/>
            <w:vMerge w:val="restart"/>
            <w:noWrap w:val="0"/>
            <w:vAlign w:val="center"/>
          </w:tcPr>
          <w:p w14:paraId="643754B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拟担任本项目职务/岗位</w:t>
            </w:r>
          </w:p>
        </w:tc>
        <w:tc>
          <w:tcPr>
            <w:tcW w:w="629" w:type="pct"/>
            <w:vMerge w:val="restart"/>
            <w:noWrap w:val="0"/>
            <w:vAlign w:val="center"/>
          </w:tcPr>
          <w:p w14:paraId="0204813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常住地</w:t>
            </w:r>
          </w:p>
        </w:tc>
        <w:tc>
          <w:tcPr>
            <w:tcW w:w="2639" w:type="pct"/>
            <w:gridSpan w:val="4"/>
            <w:noWrap w:val="0"/>
            <w:vAlign w:val="center"/>
          </w:tcPr>
          <w:p w14:paraId="77733DD2">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相关证书</w:t>
            </w:r>
          </w:p>
        </w:tc>
      </w:tr>
      <w:tr w14:paraId="5879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trPr>
        <w:tc>
          <w:tcPr>
            <w:tcW w:w="416" w:type="pct"/>
            <w:vMerge w:val="continue"/>
            <w:noWrap w:val="0"/>
            <w:vAlign w:val="center"/>
          </w:tcPr>
          <w:p w14:paraId="50E5D7FA">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42" w:type="pct"/>
            <w:vMerge w:val="continue"/>
            <w:noWrap w:val="0"/>
            <w:vAlign w:val="center"/>
          </w:tcPr>
          <w:p w14:paraId="73B02DB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772" w:type="pct"/>
            <w:vMerge w:val="continue"/>
            <w:noWrap w:val="0"/>
            <w:vAlign w:val="center"/>
          </w:tcPr>
          <w:p w14:paraId="1ACBB0B7">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29" w:type="pct"/>
            <w:vMerge w:val="continue"/>
            <w:noWrap w:val="0"/>
            <w:vAlign w:val="center"/>
          </w:tcPr>
          <w:p w14:paraId="545BFF1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819" w:type="pct"/>
            <w:noWrap w:val="0"/>
            <w:vAlign w:val="center"/>
          </w:tcPr>
          <w:p w14:paraId="04C1021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证书名称</w:t>
            </w:r>
          </w:p>
        </w:tc>
        <w:tc>
          <w:tcPr>
            <w:tcW w:w="576" w:type="pct"/>
            <w:noWrap w:val="0"/>
            <w:vAlign w:val="center"/>
          </w:tcPr>
          <w:p w14:paraId="58C5937D">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级别</w:t>
            </w:r>
          </w:p>
        </w:tc>
        <w:tc>
          <w:tcPr>
            <w:tcW w:w="656" w:type="pct"/>
            <w:noWrap w:val="0"/>
            <w:vAlign w:val="center"/>
          </w:tcPr>
          <w:p w14:paraId="1112F4C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证书号</w:t>
            </w:r>
          </w:p>
        </w:tc>
        <w:tc>
          <w:tcPr>
            <w:tcW w:w="587" w:type="pct"/>
            <w:noWrap w:val="0"/>
            <w:vAlign w:val="center"/>
          </w:tcPr>
          <w:p w14:paraId="59DC31F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专业</w:t>
            </w:r>
          </w:p>
        </w:tc>
      </w:tr>
      <w:tr w14:paraId="36E5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noWrap w:val="0"/>
            <w:vAlign w:val="top"/>
          </w:tcPr>
          <w:p w14:paraId="41A191FD">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42" w:type="pct"/>
            <w:noWrap w:val="0"/>
            <w:vAlign w:val="top"/>
          </w:tcPr>
          <w:p w14:paraId="766CB7B2">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772" w:type="pct"/>
            <w:noWrap w:val="0"/>
            <w:vAlign w:val="top"/>
          </w:tcPr>
          <w:p w14:paraId="2AADBC42">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29" w:type="pct"/>
            <w:noWrap w:val="0"/>
            <w:vAlign w:val="top"/>
          </w:tcPr>
          <w:p w14:paraId="6C28A9F2">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819" w:type="pct"/>
            <w:noWrap w:val="0"/>
            <w:vAlign w:val="top"/>
          </w:tcPr>
          <w:p w14:paraId="0C2D0F2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76" w:type="pct"/>
            <w:noWrap w:val="0"/>
            <w:vAlign w:val="top"/>
          </w:tcPr>
          <w:p w14:paraId="14A6B0C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56" w:type="pct"/>
            <w:noWrap w:val="0"/>
            <w:vAlign w:val="top"/>
          </w:tcPr>
          <w:p w14:paraId="4EA1C3D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87" w:type="pct"/>
            <w:noWrap w:val="0"/>
            <w:vAlign w:val="top"/>
          </w:tcPr>
          <w:p w14:paraId="42645A67">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6878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noWrap w:val="0"/>
            <w:vAlign w:val="top"/>
          </w:tcPr>
          <w:p w14:paraId="1B9A2CC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42" w:type="pct"/>
            <w:noWrap w:val="0"/>
            <w:vAlign w:val="top"/>
          </w:tcPr>
          <w:p w14:paraId="00897C8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772" w:type="pct"/>
            <w:noWrap w:val="0"/>
            <w:vAlign w:val="top"/>
          </w:tcPr>
          <w:p w14:paraId="28FAD8C7">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29" w:type="pct"/>
            <w:noWrap w:val="0"/>
            <w:vAlign w:val="top"/>
          </w:tcPr>
          <w:p w14:paraId="3C7C920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819" w:type="pct"/>
            <w:noWrap w:val="0"/>
            <w:vAlign w:val="top"/>
          </w:tcPr>
          <w:p w14:paraId="64C3324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76" w:type="pct"/>
            <w:noWrap w:val="0"/>
            <w:vAlign w:val="top"/>
          </w:tcPr>
          <w:p w14:paraId="0AC9F1A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56" w:type="pct"/>
            <w:noWrap w:val="0"/>
            <w:vAlign w:val="top"/>
          </w:tcPr>
          <w:p w14:paraId="2542093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87" w:type="pct"/>
            <w:noWrap w:val="0"/>
            <w:vAlign w:val="top"/>
          </w:tcPr>
          <w:p w14:paraId="262D295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4312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noWrap w:val="0"/>
            <w:vAlign w:val="top"/>
          </w:tcPr>
          <w:p w14:paraId="2066514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42" w:type="pct"/>
            <w:noWrap w:val="0"/>
            <w:vAlign w:val="top"/>
          </w:tcPr>
          <w:p w14:paraId="3452AFB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772" w:type="pct"/>
            <w:noWrap w:val="0"/>
            <w:vAlign w:val="top"/>
          </w:tcPr>
          <w:p w14:paraId="4B4C508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29" w:type="pct"/>
            <w:noWrap w:val="0"/>
            <w:vAlign w:val="top"/>
          </w:tcPr>
          <w:p w14:paraId="5BA88194">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819" w:type="pct"/>
            <w:noWrap w:val="0"/>
            <w:vAlign w:val="top"/>
          </w:tcPr>
          <w:p w14:paraId="670564B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76" w:type="pct"/>
            <w:noWrap w:val="0"/>
            <w:vAlign w:val="top"/>
          </w:tcPr>
          <w:p w14:paraId="12E9785D">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56" w:type="pct"/>
            <w:noWrap w:val="0"/>
            <w:vAlign w:val="top"/>
          </w:tcPr>
          <w:p w14:paraId="770AF25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87" w:type="pct"/>
            <w:noWrap w:val="0"/>
            <w:vAlign w:val="top"/>
          </w:tcPr>
          <w:p w14:paraId="1A957D3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6126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noWrap w:val="0"/>
            <w:vAlign w:val="center"/>
          </w:tcPr>
          <w:p w14:paraId="156B57F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42" w:type="pct"/>
            <w:noWrap w:val="0"/>
            <w:vAlign w:val="top"/>
          </w:tcPr>
          <w:p w14:paraId="695BD5F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772" w:type="pct"/>
            <w:noWrap w:val="0"/>
            <w:vAlign w:val="top"/>
          </w:tcPr>
          <w:p w14:paraId="3FDA28E7">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29" w:type="pct"/>
            <w:noWrap w:val="0"/>
            <w:vAlign w:val="top"/>
          </w:tcPr>
          <w:p w14:paraId="6652D5B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819" w:type="pct"/>
            <w:noWrap w:val="0"/>
            <w:vAlign w:val="top"/>
          </w:tcPr>
          <w:p w14:paraId="6A6C17B4">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76" w:type="pct"/>
            <w:noWrap w:val="0"/>
            <w:vAlign w:val="top"/>
          </w:tcPr>
          <w:p w14:paraId="5F236604">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56" w:type="pct"/>
            <w:noWrap w:val="0"/>
            <w:vAlign w:val="top"/>
          </w:tcPr>
          <w:p w14:paraId="641888C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87" w:type="pct"/>
            <w:noWrap w:val="0"/>
            <w:vAlign w:val="top"/>
          </w:tcPr>
          <w:p w14:paraId="0120A697">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76DB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noWrap w:val="0"/>
            <w:vAlign w:val="top"/>
          </w:tcPr>
          <w:p w14:paraId="28D226D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42" w:type="pct"/>
            <w:noWrap w:val="0"/>
            <w:vAlign w:val="top"/>
          </w:tcPr>
          <w:p w14:paraId="1FE711A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772" w:type="pct"/>
            <w:noWrap w:val="0"/>
            <w:vAlign w:val="top"/>
          </w:tcPr>
          <w:p w14:paraId="095A5AD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29" w:type="pct"/>
            <w:noWrap w:val="0"/>
            <w:vAlign w:val="top"/>
          </w:tcPr>
          <w:p w14:paraId="39B13BB6">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819" w:type="pct"/>
            <w:noWrap w:val="0"/>
            <w:vAlign w:val="top"/>
          </w:tcPr>
          <w:p w14:paraId="5363314D">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76" w:type="pct"/>
            <w:noWrap w:val="0"/>
            <w:vAlign w:val="top"/>
          </w:tcPr>
          <w:p w14:paraId="76E8B832">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56" w:type="pct"/>
            <w:noWrap w:val="0"/>
            <w:vAlign w:val="top"/>
          </w:tcPr>
          <w:p w14:paraId="6780264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87" w:type="pct"/>
            <w:noWrap w:val="0"/>
            <w:vAlign w:val="top"/>
          </w:tcPr>
          <w:p w14:paraId="7D29C60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3990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noWrap w:val="0"/>
            <w:vAlign w:val="top"/>
          </w:tcPr>
          <w:p w14:paraId="32CEC8F2">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42" w:type="pct"/>
            <w:noWrap w:val="0"/>
            <w:vAlign w:val="top"/>
          </w:tcPr>
          <w:p w14:paraId="043F07F2">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772" w:type="pct"/>
            <w:noWrap w:val="0"/>
            <w:vAlign w:val="top"/>
          </w:tcPr>
          <w:p w14:paraId="19EF376F">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29" w:type="pct"/>
            <w:noWrap w:val="0"/>
            <w:vAlign w:val="top"/>
          </w:tcPr>
          <w:p w14:paraId="6FF3CC5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819" w:type="pct"/>
            <w:noWrap w:val="0"/>
            <w:vAlign w:val="top"/>
          </w:tcPr>
          <w:p w14:paraId="2A50792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76" w:type="pct"/>
            <w:noWrap w:val="0"/>
            <w:vAlign w:val="top"/>
          </w:tcPr>
          <w:p w14:paraId="223F017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56" w:type="pct"/>
            <w:noWrap w:val="0"/>
            <w:vAlign w:val="top"/>
          </w:tcPr>
          <w:p w14:paraId="56EC7EA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87" w:type="pct"/>
            <w:noWrap w:val="0"/>
            <w:vAlign w:val="top"/>
          </w:tcPr>
          <w:p w14:paraId="1B9A6DE7">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bl>
    <w:p w14:paraId="37E802C9">
      <w:pPr>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拟配备人员汇总表</w:t>
      </w:r>
    </w:p>
    <w:p w14:paraId="772BC20D">
      <w:pPr>
        <w:pageBreakBefore w:val="0"/>
        <w:wordWrap/>
        <w:overflowPunct/>
        <w:topLinePunct w:val="0"/>
        <w:bidi w:val="0"/>
        <w:adjustRightInd w:val="0"/>
        <w:spacing w:line="560" w:lineRule="exact"/>
        <w:ind w:left="0" w:leftChars="0" w:right="0" w:rightChars="0" w:firstLine="900" w:firstLineChars="375"/>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w:t>
      </w:r>
    </w:p>
    <w:p w14:paraId="49213CF5">
      <w:pPr>
        <w:pageBreakBefore w:val="0"/>
        <w:wordWrap/>
        <w:overflowPunct/>
        <w:topLinePunct w:val="0"/>
        <w:bidi w:val="0"/>
        <w:adjustRightInd w:val="0"/>
        <w:spacing w:line="560" w:lineRule="exact"/>
        <w:ind w:left="0" w:leftChars="0" w:right="0" w:rightChars="0" w:firstLine="900" w:firstLineChars="375"/>
        <w:jc w:val="center"/>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 xml:space="preserve">名称（盖章）：        </w:t>
      </w:r>
    </w:p>
    <w:p w14:paraId="3A48310B">
      <w:pPr>
        <w:pStyle w:val="15"/>
        <w:pageBreakBefore w:val="0"/>
        <w:wordWrap/>
        <w:overflowPunct/>
        <w:topLinePunct w:val="0"/>
        <w:bidi w:val="0"/>
        <w:spacing w:after="0"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授权人</w:t>
      </w:r>
      <w:r>
        <w:rPr>
          <w:rFonts w:hint="eastAsia" w:ascii="宋体" w:hAnsi="宋体" w:eastAsia="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rPr>
        <w:t>被授权人（签字或盖章）：</w:t>
      </w:r>
    </w:p>
    <w:p w14:paraId="71D3F00B">
      <w:pPr>
        <w:pageBreakBefore w:val="0"/>
        <w:wordWrap/>
        <w:overflowPunct/>
        <w:topLinePunct w:val="0"/>
        <w:bidi w:val="0"/>
        <w:adjustRightInd w:val="0"/>
        <w:spacing w:line="560" w:lineRule="exact"/>
        <w:ind w:right="0" w:rightChars="0" w:firstLine="4320" w:firstLineChars="18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日期</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年  月  日</w:t>
      </w:r>
    </w:p>
    <w:p w14:paraId="37E8BC32">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br w:type="page"/>
      </w:r>
    </w:p>
    <w:p w14:paraId="715BBA15">
      <w:pPr>
        <w:pStyle w:val="10"/>
        <w:rPr>
          <w:rFonts w:hint="eastAsia"/>
          <w:color w:val="auto"/>
          <w:highlight w:val="none"/>
          <w:lang w:val="en-US" w:eastAsia="zh-CN"/>
        </w:rPr>
      </w:pPr>
    </w:p>
    <w:p w14:paraId="6519C8B0">
      <w:pPr>
        <w:pageBreakBefore w:val="0"/>
        <w:kinsoku/>
        <w:topLinePunct w:val="0"/>
        <w:bidi w:val="0"/>
        <w:spacing w:line="500" w:lineRule="exact"/>
        <w:ind w:firstLine="480" w:firstLineChars="20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人员简历</w:t>
      </w:r>
    </w:p>
    <w:tbl>
      <w:tblPr>
        <w:tblStyle w:val="2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136"/>
        <w:gridCol w:w="1421"/>
        <w:gridCol w:w="1420"/>
        <w:gridCol w:w="1267"/>
        <w:gridCol w:w="2160"/>
      </w:tblGrid>
      <w:tr w14:paraId="4842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2523E3E1">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136" w:type="dxa"/>
            <w:noWrap w:val="0"/>
            <w:vAlign w:val="center"/>
          </w:tcPr>
          <w:p w14:paraId="4C05F0AE">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c>
          <w:tcPr>
            <w:tcW w:w="1421" w:type="dxa"/>
            <w:noWrap w:val="0"/>
            <w:vAlign w:val="center"/>
          </w:tcPr>
          <w:p w14:paraId="1011E952">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420" w:type="dxa"/>
            <w:noWrap w:val="0"/>
            <w:vAlign w:val="center"/>
          </w:tcPr>
          <w:p w14:paraId="03DC5501">
            <w:pPr>
              <w:pageBreakBefore w:val="0"/>
              <w:kinsoku/>
              <w:topLinePunct w:val="0"/>
              <w:bidi w:val="0"/>
              <w:spacing w:line="500" w:lineRule="exact"/>
              <w:jc w:val="center"/>
              <w:rPr>
                <w:rFonts w:hint="eastAsia" w:ascii="宋体" w:hAnsi="宋体" w:eastAsia="宋体" w:cs="宋体"/>
                <w:color w:val="auto"/>
                <w:sz w:val="24"/>
                <w:highlight w:val="none"/>
              </w:rPr>
            </w:pPr>
          </w:p>
        </w:tc>
        <w:tc>
          <w:tcPr>
            <w:tcW w:w="1267" w:type="dxa"/>
            <w:noWrap w:val="0"/>
            <w:vAlign w:val="center"/>
          </w:tcPr>
          <w:p w14:paraId="60C4DAA5">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2160" w:type="dxa"/>
            <w:noWrap w:val="0"/>
            <w:vAlign w:val="center"/>
          </w:tcPr>
          <w:p w14:paraId="45BA9131">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r>
      <w:tr w14:paraId="1FEE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1BCC0568">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136" w:type="dxa"/>
            <w:noWrap w:val="0"/>
            <w:vAlign w:val="center"/>
          </w:tcPr>
          <w:p w14:paraId="793DD52C">
            <w:pPr>
              <w:pageBreakBefore w:val="0"/>
              <w:kinsoku/>
              <w:topLinePunct w:val="0"/>
              <w:bidi w:val="0"/>
              <w:spacing w:line="500" w:lineRule="exact"/>
              <w:jc w:val="center"/>
              <w:rPr>
                <w:rFonts w:hint="eastAsia" w:ascii="宋体" w:hAnsi="宋体" w:eastAsia="宋体" w:cs="宋体"/>
                <w:color w:val="auto"/>
                <w:sz w:val="24"/>
                <w:highlight w:val="none"/>
                <w:lang w:val="en-US" w:eastAsia="zh-CN"/>
              </w:rPr>
            </w:pPr>
          </w:p>
        </w:tc>
        <w:tc>
          <w:tcPr>
            <w:tcW w:w="1421" w:type="dxa"/>
            <w:noWrap w:val="0"/>
            <w:vAlign w:val="center"/>
          </w:tcPr>
          <w:p w14:paraId="0C844BB3">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420" w:type="dxa"/>
            <w:noWrap w:val="0"/>
            <w:vAlign w:val="center"/>
          </w:tcPr>
          <w:p w14:paraId="63E55DCC">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c>
          <w:tcPr>
            <w:tcW w:w="1267" w:type="dxa"/>
            <w:noWrap w:val="0"/>
            <w:vAlign w:val="center"/>
          </w:tcPr>
          <w:p w14:paraId="1606D051">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2160" w:type="dxa"/>
            <w:noWrap w:val="0"/>
            <w:vAlign w:val="center"/>
          </w:tcPr>
          <w:p w14:paraId="48A02C26">
            <w:pPr>
              <w:pageBreakBefore w:val="0"/>
              <w:kinsoku/>
              <w:topLinePunct w:val="0"/>
              <w:bidi w:val="0"/>
              <w:spacing w:line="500" w:lineRule="exact"/>
              <w:jc w:val="center"/>
              <w:rPr>
                <w:rFonts w:hint="eastAsia" w:ascii="宋体" w:hAnsi="宋体" w:eastAsia="宋体" w:cs="宋体"/>
                <w:color w:val="auto"/>
                <w:sz w:val="24"/>
                <w:highlight w:val="none"/>
                <w:lang w:val="en-US" w:eastAsia="zh-CN"/>
              </w:rPr>
            </w:pPr>
          </w:p>
        </w:tc>
      </w:tr>
      <w:tr w14:paraId="2D90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noWrap w:val="0"/>
            <w:vAlign w:val="center"/>
          </w:tcPr>
          <w:p w14:paraId="44E15059">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身份证号</w:t>
            </w:r>
          </w:p>
        </w:tc>
        <w:tc>
          <w:tcPr>
            <w:tcW w:w="2557" w:type="dxa"/>
            <w:gridSpan w:val="2"/>
            <w:noWrap w:val="0"/>
            <w:vAlign w:val="center"/>
          </w:tcPr>
          <w:p w14:paraId="69FD1093">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c>
          <w:tcPr>
            <w:tcW w:w="2687" w:type="dxa"/>
            <w:gridSpan w:val="2"/>
            <w:noWrap w:val="0"/>
            <w:vAlign w:val="center"/>
          </w:tcPr>
          <w:p w14:paraId="1251272E">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w:t>
            </w:r>
          </w:p>
        </w:tc>
        <w:tc>
          <w:tcPr>
            <w:tcW w:w="2160" w:type="dxa"/>
            <w:noWrap w:val="0"/>
            <w:vAlign w:val="center"/>
          </w:tcPr>
          <w:p w14:paraId="47B4E427">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r>
      <w:tr w14:paraId="1D04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noWrap w:val="0"/>
            <w:vAlign w:val="center"/>
          </w:tcPr>
          <w:p w14:paraId="51CA1119">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2557" w:type="dxa"/>
            <w:gridSpan w:val="2"/>
            <w:noWrap w:val="0"/>
            <w:vAlign w:val="center"/>
          </w:tcPr>
          <w:p w14:paraId="6BE2A9E3">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c>
          <w:tcPr>
            <w:tcW w:w="2687" w:type="dxa"/>
            <w:gridSpan w:val="2"/>
            <w:noWrap w:val="0"/>
            <w:vAlign w:val="center"/>
          </w:tcPr>
          <w:p w14:paraId="587F7ED2">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从事项目工作年限</w:t>
            </w:r>
          </w:p>
        </w:tc>
        <w:tc>
          <w:tcPr>
            <w:tcW w:w="2160" w:type="dxa"/>
            <w:noWrap w:val="0"/>
            <w:vAlign w:val="center"/>
          </w:tcPr>
          <w:p w14:paraId="641ACCC6">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r>
      <w:tr w14:paraId="2B9C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noWrap w:val="0"/>
            <w:vAlign w:val="center"/>
          </w:tcPr>
          <w:p w14:paraId="06DE8284">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相关证书</w:t>
            </w:r>
          </w:p>
        </w:tc>
        <w:tc>
          <w:tcPr>
            <w:tcW w:w="7404" w:type="dxa"/>
            <w:gridSpan w:val="5"/>
            <w:noWrap w:val="0"/>
            <w:vAlign w:val="center"/>
          </w:tcPr>
          <w:p w14:paraId="6B6CCAD2">
            <w:pPr>
              <w:pageBreakBefore w:val="0"/>
              <w:kinsoku/>
              <w:topLinePunct w:val="0"/>
              <w:bidi w:val="0"/>
              <w:spacing w:line="500" w:lineRule="exact"/>
              <w:jc w:val="both"/>
              <w:rPr>
                <w:rFonts w:hint="default" w:ascii="宋体" w:hAnsi="宋体" w:cs="宋体"/>
                <w:color w:val="auto"/>
                <w:sz w:val="24"/>
                <w:highlight w:val="none"/>
                <w:lang w:val="en-US" w:eastAsia="zh-CN"/>
              </w:rPr>
            </w:pPr>
          </w:p>
        </w:tc>
      </w:tr>
    </w:tbl>
    <w:p w14:paraId="1EB5C0DD">
      <w:pPr>
        <w:pStyle w:val="10"/>
        <w:rPr>
          <w:rFonts w:hint="default"/>
          <w:color w:val="auto"/>
          <w:highlight w:val="none"/>
          <w:lang w:val="en-US" w:eastAsia="zh-CN"/>
        </w:rPr>
      </w:pPr>
      <w:r>
        <w:rPr>
          <w:rFonts w:hint="eastAsia"/>
          <w:color w:val="auto"/>
          <w:highlight w:val="none"/>
          <w:lang w:val="en-US" w:eastAsia="zh-CN"/>
        </w:rPr>
        <w:t>拟配备人员每人填一张简历，后附人员的身份证及评审细则内容中证明材料。</w:t>
      </w:r>
    </w:p>
    <w:p w14:paraId="255357B1">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br w:type="page"/>
      </w:r>
    </w:p>
    <w:p w14:paraId="41D87920">
      <w:pPr>
        <w:pageBreakBefore w:val="0"/>
        <w:wordWrap/>
        <w:overflowPunct/>
        <w:topLinePunct w:val="0"/>
        <w:bidi w:val="0"/>
        <w:spacing w:line="560" w:lineRule="exact"/>
        <w:ind w:left="0" w:leftChars="0" w:right="0" w:rightChars="0"/>
        <w:jc w:val="center"/>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七</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近年</w:t>
      </w:r>
      <w:r>
        <w:rPr>
          <w:rFonts w:hint="eastAsia" w:ascii="宋体" w:hAnsi="宋体" w:cs="宋体"/>
          <w:b w:val="0"/>
          <w:bCs/>
          <w:color w:val="auto"/>
          <w:sz w:val="24"/>
          <w:szCs w:val="24"/>
          <w:highlight w:val="none"/>
          <w:lang w:val="en-US" w:eastAsia="zh-CN"/>
        </w:rPr>
        <w:t>类似</w:t>
      </w:r>
      <w:r>
        <w:rPr>
          <w:rFonts w:hint="eastAsia" w:ascii="宋体" w:hAnsi="宋体" w:eastAsia="宋体" w:cs="宋体"/>
          <w:b w:val="0"/>
          <w:bCs/>
          <w:color w:val="auto"/>
          <w:sz w:val="24"/>
          <w:szCs w:val="24"/>
          <w:highlight w:val="none"/>
        </w:rPr>
        <w:t>项目情况表</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624"/>
        <w:gridCol w:w="990"/>
        <w:gridCol w:w="1148"/>
        <w:gridCol w:w="1187"/>
        <w:gridCol w:w="1198"/>
        <w:gridCol w:w="1217"/>
        <w:gridCol w:w="1194"/>
        <w:gridCol w:w="1113"/>
      </w:tblGrid>
      <w:tr w14:paraId="317ACB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top w:val="single" w:color="auto" w:sz="4" w:space="0"/>
            </w:tcBorders>
            <w:noWrap w:val="0"/>
            <w:vAlign w:val="center"/>
          </w:tcPr>
          <w:p w14:paraId="4C234EF3">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960" w:type="dxa"/>
            <w:noWrap w:val="0"/>
            <w:vAlign w:val="center"/>
          </w:tcPr>
          <w:p w14:paraId="648D608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采购人</w:t>
            </w:r>
          </w:p>
        </w:tc>
        <w:tc>
          <w:tcPr>
            <w:tcW w:w="1113" w:type="dxa"/>
            <w:noWrap w:val="0"/>
            <w:vAlign w:val="center"/>
          </w:tcPr>
          <w:p w14:paraId="5F23038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联系人</w:t>
            </w:r>
          </w:p>
        </w:tc>
        <w:tc>
          <w:tcPr>
            <w:tcW w:w="1151" w:type="dxa"/>
            <w:noWrap w:val="0"/>
            <w:vAlign w:val="center"/>
          </w:tcPr>
          <w:p w14:paraId="20D343C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联系电话</w:t>
            </w:r>
          </w:p>
        </w:tc>
        <w:tc>
          <w:tcPr>
            <w:tcW w:w="1162" w:type="dxa"/>
            <w:noWrap w:val="0"/>
            <w:vAlign w:val="center"/>
          </w:tcPr>
          <w:p w14:paraId="53619E4F">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项目名称</w:t>
            </w:r>
          </w:p>
        </w:tc>
        <w:tc>
          <w:tcPr>
            <w:tcW w:w="1180" w:type="dxa"/>
            <w:noWrap w:val="0"/>
            <w:vAlign w:val="center"/>
          </w:tcPr>
          <w:p w14:paraId="0C7DED2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完成时间</w:t>
            </w:r>
          </w:p>
        </w:tc>
        <w:tc>
          <w:tcPr>
            <w:tcW w:w="1158" w:type="dxa"/>
            <w:noWrap w:val="0"/>
            <w:vAlign w:val="center"/>
          </w:tcPr>
          <w:p w14:paraId="6165C587">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合同金额</w:t>
            </w:r>
          </w:p>
        </w:tc>
        <w:tc>
          <w:tcPr>
            <w:tcW w:w="1079" w:type="dxa"/>
            <w:tcBorders>
              <w:right w:val="single" w:color="auto" w:sz="4" w:space="0"/>
            </w:tcBorders>
            <w:noWrap w:val="0"/>
            <w:vAlign w:val="center"/>
          </w:tcPr>
          <w:p w14:paraId="2665C85F">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用户反馈</w:t>
            </w:r>
          </w:p>
        </w:tc>
      </w:tr>
      <w:tr w14:paraId="72F7AE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noWrap w:val="0"/>
            <w:vAlign w:val="center"/>
          </w:tcPr>
          <w:p w14:paraId="1A4CCB6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noWrap w:val="0"/>
            <w:vAlign w:val="center"/>
          </w:tcPr>
          <w:p w14:paraId="6DB5DCEF">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noWrap w:val="0"/>
            <w:vAlign w:val="center"/>
          </w:tcPr>
          <w:p w14:paraId="12621CF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noWrap w:val="0"/>
            <w:vAlign w:val="center"/>
          </w:tcPr>
          <w:p w14:paraId="1D53F30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noWrap w:val="0"/>
            <w:vAlign w:val="center"/>
          </w:tcPr>
          <w:p w14:paraId="0E988C7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noWrap w:val="0"/>
            <w:vAlign w:val="center"/>
          </w:tcPr>
          <w:p w14:paraId="17D4E12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noWrap w:val="0"/>
            <w:vAlign w:val="center"/>
          </w:tcPr>
          <w:p w14:paraId="064A57B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79" w:type="dxa"/>
            <w:tcBorders>
              <w:right w:val="single" w:color="auto" w:sz="4" w:space="0"/>
            </w:tcBorders>
            <w:noWrap w:val="0"/>
            <w:vAlign w:val="center"/>
          </w:tcPr>
          <w:p w14:paraId="75DBFCA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12BB3D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noWrap w:val="0"/>
            <w:vAlign w:val="center"/>
          </w:tcPr>
          <w:p w14:paraId="7F20CA5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noWrap w:val="0"/>
            <w:vAlign w:val="center"/>
          </w:tcPr>
          <w:p w14:paraId="2B68959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noWrap w:val="0"/>
            <w:vAlign w:val="center"/>
          </w:tcPr>
          <w:p w14:paraId="671AC03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noWrap w:val="0"/>
            <w:vAlign w:val="center"/>
          </w:tcPr>
          <w:p w14:paraId="4107B4ED">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noWrap w:val="0"/>
            <w:vAlign w:val="center"/>
          </w:tcPr>
          <w:p w14:paraId="198D747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noWrap w:val="0"/>
            <w:vAlign w:val="center"/>
          </w:tcPr>
          <w:p w14:paraId="4B4FF54D">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noWrap w:val="0"/>
            <w:vAlign w:val="center"/>
          </w:tcPr>
          <w:p w14:paraId="565DEBF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79" w:type="dxa"/>
            <w:tcBorders>
              <w:right w:val="single" w:color="auto" w:sz="4" w:space="0"/>
            </w:tcBorders>
            <w:noWrap w:val="0"/>
            <w:vAlign w:val="center"/>
          </w:tcPr>
          <w:p w14:paraId="0CA0EDCA">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396BF8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noWrap w:val="0"/>
            <w:vAlign w:val="center"/>
          </w:tcPr>
          <w:p w14:paraId="4E76E6BD">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noWrap w:val="0"/>
            <w:vAlign w:val="center"/>
          </w:tcPr>
          <w:p w14:paraId="7911FAFF">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noWrap w:val="0"/>
            <w:vAlign w:val="center"/>
          </w:tcPr>
          <w:p w14:paraId="761CCE5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noWrap w:val="0"/>
            <w:vAlign w:val="center"/>
          </w:tcPr>
          <w:p w14:paraId="5DB6C1D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noWrap w:val="0"/>
            <w:vAlign w:val="center"/>
          </w:tcPr>
          <w:p w14:paraId="40A7622F">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noWrap w:val="0"/>
            <w:vAlign w:val="center"/>
          </w:tcPr>
          <w:p w14:paraId="3EADAF5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noWrap w:val="0"/>
            <w:vAlign w:val="center"/>
          </w:tcPr>
          <w:p w14:paraId="115AB8C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79" w:type="dxa"/>
            <w:tcBorders>
              <w:right w:val="single" w:color="auto" w:sz="4" w:space="0"/>
            </w:tcBorders>
            <w:noWrap w:val="0"/>
            <w:vAlign w:val="center"/>
          </w:tcPr>
          <w:p w14:paraId="1E7D255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38C739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noWrap w:val="0"/>
            <w:vAlign w:val="center"/>
          </w:tcPr>
          <w:p w14:paraId="5083826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tcBorders>
              <w:right w:val="single" w:color="auto" w:sz="4" w:space="0"/>
            </w:tcBorders>
            <w:noWrap w:val="0"/>
            <w:vAlign w:val="center"/>
          </w:tcPr>
          <w:p w14:paraId="20573FF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tcBorders>
              <w:left w:val="single" w:color="auto" w:sz="4" w:space="0"/>
            </w:tcBorders>
            <w:noWrap w:val="0"/>
            <w:vAlign w:val="center"/>
          </w:tcPr>
          <w:p w14:paraId="3078F9C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tcBorders>
              <w:left w:val="single" w:color="auto" w:sz="4" w:space="0"/>
            </w:tcBorders>
            <w:noWrap w:val="0"/>
            <w:vAlign w:val="center"/>
          </w:tcPr>
          <w:p w14:paraId="109C432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tcBorders>
              <w:left w:val="single" w:color="auto" w:sz="4" w:space="0"/>
            </w:tcBorders>
            <w:noWrap w:val="0"/>
            <w:vAlign w:val="center"/>
          </w:tcPr>
          <w:p w14:paraId="5F44D9ED">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noWrap w:val="0"/>
            <w:vAlign w:val="center"/>
          </w:tcPr>
          <w:p w14:paraId="18F0B9B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noWrap w:val="0"/>
            <w:vAlign w:val="center"/>
          </w:tcPr>
          <w:p w14:paraId="29F23D97">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79" w:type="dxa"/>
            <w:tcBorders>
              <w:right w:val="single" w:color="auto" w:sz="4" w:space="0"/>
            </w:tcBorders>
            <w:noWrap w:val="0"/>
            <w:vAlign w:val="center"/>
          </w:tcPr>
          <w:p w14:paraId="05DBF21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057295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right w:val="single" w:color="auto" w:sz="4" w:space="0"/>
            </w:tcBorders>
            <w:noWrap w:val="0"/>
            <w:vAlign w:val="center"/>
          </w:tcPr>
          <w:p w14:paraId="63294BC4">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960" w:type="dxa"/>
            <w:tcBorders>
              <w:left w:val="single" w:color="auto" w:sz="4" w:space="0"/>
              <w:right w:val="single" w:color="auto" w:sz="4" w:space="0"/>
            </w:tcBorders>
            <w:noWrap w:val="0"/>
            <w:vAlign w:val="center"/>
          </w:tcPr>
          <w:p w14:paraId="41CDEC91">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13" w:type="dxa"/>
            <w:tcBorders>
              <w:left w:val="single" w:color="auto" w:sz="4" w:space="0"/>
              <w:right w:val="single" w:color="auto" w:sz="4" w:space="0"/>
            </w:tcBorders>
            <w:noWrap w:val="0"/>
            <w:vAlign w:val="center"/>
          </w:tcPr>
          <w:p w14:paraId="1AC786FD">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51" w:type="dxa"/>
            <w:tcBorders>
              <w:left w:val="single" w:color="auto" w:sz="4" w:space="0"/>
              <w:right w:val="single" w:color="auto" w:sz="4" w:space="0"/>
            </w:tcBorders>
            <w:noWrap w:val="0"/>
            <w:vAlign w:val="center"/>
          </w:tcPr>
          <w:p w14:paraId="5AD1BB6C">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62" w:type="dxa"/>
            <w:tcBorders>
              <w:left w:val="single" w:color="auto" w:sz="4" w:space="0"/>
              <w:right w:val="single" w:color="auto" w:sz="4" w:space="0"/>
            </w:tcBorders>
            <w:noWrap w:val="0"/>
            <w:vAlign w:val="center"/>
          </w:tcPr>
          <w:p w14:paraId="521F402B">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80" w:type="dxa"/>
            <w:tcBorders>
              <w:left w:val="single" w:color="auto" w:sz="4" w:space="0"/>
              <w:right w:val="single" w:color="auto" w:sz="4" w:space="0"/>
            </w:tcBorders>
            <w:noWrap w:val="0"/>
            <w:vAlign w:val="center"/>
          </w:tcPr>
          <w:p w14:paraId="3BC52488">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58" w:type="dxa"/>
            <w:tcBorders>
              <w:left w:val="single" w:color="auto" w:sz="4" w:space="0"/>
              <w:right w:val="single" w:color="auto" w:sz="4" w:space="0"/>
            </w:tcBorders>
            <w:noWrap w:val="0"/>
            <w:vAlign w:val="center"/>
          </w:tcPr>
          <w:p w14:paraId="659B2EF8">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079" w:type="dxa"/>
            <w:tcBorders>
              <w:left w:val="single" w:color="auto" w:sz="4" w:space="0"/>
              <w:right w:val="single" w:color="auto" w:sz="4" w:space="0"/>
            </w:tcBorders>
            <w:noWrap w:val="0"/>
            <w:vAlign w:val="center"/>
          </w:tcPr>
          <w:p w14:paraId="52799703">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r>
      <w:tr w14:paraId="19E975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noWrap w:val="0"/>
            <w:vAlign w:val="center"/>
          </w:tcPr>
          <w:p w14:paraId="1E70756C">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960" w:type="dxa"/>
            <w:noWrap w:val="0"/>
            <w:vAlign w:val="center"/>
          </w:tcPr>
          <w:p w14:paraId="274A8CB3">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13" w:type="dxa"/>
            <w:noWrap w:val="0"/>
            <w:vAlign w:val="center"/>
          </w:tcPr>
          <w:p w14:paraId="3CBD1E8F">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51" w:type="dxa"/>
            <w:noWrap w:val="0"/>
            <w:vAlign w:val="center"/>
          </w:tcPr>
          <w:p w14:paraId="1E1426E6">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62" w:type="dxa"/>
            <w:noWrap w:val="0"/>
            <w:vAlign w:val="center"/>
          </w:tcPr>
          <w:p w14:paraId="0196FDA6">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80" w:type="dxa"/>
            <w:noWrap w:val="0"/>
            <w:vAlign w:val="center"/>
          </w:tcPr>
          <w:p w14:paraId="25D3C128">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58" w:type="dxa"/>
            <w:tcBorders>
              <w:right w:val="single" w:color="auto" w:sz="4" w:space="0"/>
            </w:tcBorders>
            <w:noWrap w:val="0"/>
            <w:vAlign w:val="center"/>
          </w:tcPr>
          <w:p w14:paraId="118FB816">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069" w:type="dxa"/>
            <w:tcBorders>
              <w:left w:val="single" w:color="auto" w:sz="4" w:space="0"/>
              <w:right w:val="single" w:color="auto" w:sz="4" w:space="0"/>
            </w:tcBorders>
            <w:noWrap w:val="0"/>
            <w:vAlign w:val="center"/>
          </w:tcPr>
          <w:p w14:paraId="5B75B06D">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r>
      <w:tr w14:paraId="74482E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noWrap w:val="0"/>
            <w:vAlign w:val="center"/>
          </w:tcPr>
          <w:p w14:paraId="7561F00A">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noWrap w:val="0"/>
            <w:vAlign w:val="center"/>
          </w:tcPr>
          <w:p w14:paraId="16F9E41D">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noWrap w:val="0"/>
            <w:vAlign w:val="center"/>
          </w:tcPr>
          <w:p w14:paraId="24350442">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noWrap w:val="0"/>
            <w:vAlign w:val="center"/>
          </w:tcPr>
          <w:p w14:paraId="7859D2BA">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noWrap w:val="0"/>
            <w:vAlign w:val="center"/>
          </w:tcPr>
          <w:p w14:paraId="33ADA407">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noWrap w:val="0"/>
            <w:vAlign w:val="center"/>
          </w:tcPr>
          <w:p w14:paraId="1E4D187A">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tcBorders>
              <w:right w:val="single" w:color="auto" w:sz="4" w:space="0"/>
            </w:tcBorders>
            <w:noWrap w:val="0"/>
            <w:vAlign w:val="center"/>
          </w:tcPr>
          <w:p w14:paraId="0393C3C2">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69" w:type="dxa"/>
            <w:tcBorders>
              <w:left w:val="single" w:color="auto" w:sz="4" w:space="0"/>
              <w:right w:val="single" w:color="auto" w:sz="4" w:space="0"/>
            </w:tcBorders>
            <w:noWrap w:val="0"/>
            <w:vAlign w:val="center"/>
          </w:tcPr>
          <w:p w14:paraId="38C32B1F">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618709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noWrap w:val="0"/>
            <w:vAlign w:val="center"/>
          </w:tcPr>
          <w:p w14:paraId="259026EF">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noWrap w:val="0"/>
            <w:vAlign w:val="center"/>
          </w:tcPr>
          <w:p w14:paraId="69B50124">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noWrap w:val="0"/>
            <w:vAlign w:val="center"/>
          </w:tcPr>
          <w:p w14:paraId="7A378B4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noWrap w:val="0"/>
            <w:vAlign w:val="center"/>
          </w:tcPr>
          <w:p w14:paraId="26488B2F">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noWrap w:val="0"/>
            <w:vAlign w:val="center"/>
          </w:tcPr>
          <w:p w14:paraId="1B781B6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noWrap w:val="0"/>
            <w:vAlign w:val="center"/>
          </w:tcPr>
          <w:p w14:paraId="7DDFC85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tcBorders>
              <w:right w:val="single" w:color="auto" w:sz="4" w:space="0"/>
            </w:tcBorders>
            <w:noWrap w:val="0"/>
            <w:vAlign w:val="center"/>
          </w:tcPr>
          <w:p w14:paraId="7A3FA78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69" w:type="dxa"/>
            <w:tcBorders>
              <w:left w:val="single" w:color="auto" w:sz="4" w:space="0"/>
              <w:right w:val="single" w:color="auto" w:sz="4" w:space="0"/>
            </w:tcBorders>
            <w:noWrap w:val="0"/>
            <w:vAlign w:val="center"/>
          </w:tcPr>
          <w:p w14:paraId="64177F62">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69A4E3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606" w:type="dxa"/>
            <w:tcBorders>
              <w:bottom w:val="single" w:color="auto" w:sz="4" w:space="0"/>
            </w:tcBorders>
            <w:noWrap w:val="0"/>
            <w:vAlign w:val="center"/>
          </w:tcPr>
          <w:p w14:paraId="0BEA0B4A">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tcBorders>
              <w:bottom w:val="single" w:color="auto" w:sz="4" w:space="0"/>
            </w:tcBorders>
            <w:noWrap w:val="0"/>
            <w:vAlign w:val="center"/>
          </w:tcPr>
          <w:p w14:paraId="274AE50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tcBorders>
              <w:bottom w:val="single" w:color="auto" w:sz="4" w:space="0"/>
            </w:tcBorders>
            <w:noWrap w:val="0"/>
            <w:vAlign w:val="center"/>
          </w:tcPr>
          <w:p w14:paraId="629469DF">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tcBorders>
              <w:bottom w:val="single" w:color="auto" w:sz="4" w:space="0"/>
            </w:tcBorders>
            <w:noWrap w:val="0"/>
            <w:vAlign w:val="center"/>
          </w:tcPr>
          <w:p w14:paraId="64092EC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tcBorders>
              <w:bottom w:val="single" w:color="auto" w:sz="4" w:space="0"/>
            </w:tcBorders>
            <w:noWrap w:val="0"/>
            <w:vAlign w:val="center"/>
          </w:tcPr>
          <w:p w14:paraId="60EE09B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tcBorders>
              <w:bottom w:val="single" w:color="auto" w:sz="4" w:space="0"/>
            </w:tcBorders>
            <w:noWrap w:val="0"/>
            <w:vAlign w:val="center"/>
          </w:tcPr>
          <w:p w14:paraId="0603185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tcBorders>
              <w:bottom w:val="single" w:color="auto" w:sz="4" w:space="0"/>
              <w:right w:val="single" w:color="auto" w:sz="4" w:space="0"/>
            </w:tcBorders>
            <w:noWrap w:val="0"/>
            <w:vAlign w:val="center"/>
          </w:tcPr>
          <w:p w14:paraId="70BADC4D">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69" w:type="dxa"/>
            <w:tcBorders>
              <w:left w:val="single" w:color="auto" w:sz="4" w:space="0"/>
              <w:bottom w:val="single" w:color="auto" w:sz="4" w:space="0"/>
              <w:right w:val="single" w:color="auto" w:sz="4" w:space="0"/>
            </w:tcBorders>
            <w:noWrap w:val="0"/>
            <w:vAlign w:val="center"/>
          </w:tcPr>
          <w:p w14:paraId="33A9E6C6">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1E8C08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06" w:type="dxa"/>
            <w:tcBorders>
              <w:top w:val="single" w:color="auto" w:sz="4" w:space="0"/>
              <w:bottom w:val="single" w:color="auto" w:sz="4" w:space="0"/>
            </w:tcBorders>
            <w:noWrap w:val="0"/>
            <w:vAlign w:val="center"/>
          </w:tcPr>
          <w:p w14:paraId="1F1BCDF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tcBorders>
              <w:top w:val="single" w:color="auto" w:sz="4" w:space="0"/>
              <w:bottom w:val="single" w:color="auto" w:sz="4" w:space="0"/>
            </w:tcBorders>
            <w:noWrap w:val="0"/>
            <w:vAlign w:val="center"/>
          </w:tcPr>
          <w:p w14:paraId="2D0D41A6">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tcBorders>
              <w:top w:val="single" w:color="auto" w:sz="4" w:space="0"/>
              <w:bottom w:val="single" w:color="auto" w:sz="4" w:space="0"/>
            </w:tcBorders>
            <w:noWrap w:val="0"/>
            <w:vAlign w:val="center"/>
          </w:tcPr>
          <w:p w14:paraId="366CB2BA">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tcBorders>
              <w:top w:val="single" w:color="auto" w:sz="4" w:space="0"/>
              <w:bottom w:val="single" w:color="auto" w:sz="4" w:space="0"/>
            </w:tcBorders>
            <w:noWrap w:val="0"/>
            <w:vAlign w:val="center"/>
          </w:tcPr>
          <w:p w14:paraId="645FF73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tcBorders>
              <w:top w:val="single" w:color="auto" w:sz="4" w:space="0"/>
              <w:bottom w:val="single" w:color="auto" w:sz="4" w:space="0"/>
            </w:tcBorders>
            <w:noWrap w:val="0"/>
            <w:vAlign w:val="center"/>
          </w:tcPr>
          <w:p w14:paraId="28A12517">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tcBorders>
              <w:top w:val="single" w:color="auto" w:sz="4" w:space="0"/>
              <w:bottom w:val="single" w:color="auto" w:sz="4" w:space="0"/>
            </w:tcBorders>
            <w:noWrap w:val="0"/>
            <w:vAlign w:val="center"/>
          </w:tcPr>
          <w:p w14:paraId="441466C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tcBorders>
              <w:top w:val="single" w:color="auto" w:sz="4" w:space="0"/>
              <w:bottom w:val="single" w:color="auto" w:sz="4" w:space="0"/>
              <w:right w:val="single" w:color="auto" w:sz="4" w:space="0"/>
            </w:tcBorders>
            <w:noWrap w:val="0"/>
            <w:vAlign w:val="center"/>
          </w:tcPr>
          <w:p w14:paraId="35A528C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22AFA9BD">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75C2E3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06" w:type="dxa"/>
            <w:tcBorders>
              <w:top w:val="single" w:color="auto" w:sz="4" w:space="0"/>
              <w:bottom w:val="single" w:color="auto" w:sz="4" w:space="0"/>
            </w:tcBorders>
            <w:noWrap w:val="0"/>
            <w:vAlign w:val="center"/>
          </w:tcPr>
          <w:p w14:paraId="2F6FEC4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tcBorders>
              <w:top w:val="single" w:color="auto" w:sz="4" w:space="0"/>
              <w:bottom w:val="single" w:color="auto" w:sz="4" w:space="0"/>
            </w:tcBorders>
            <w:noWrap w:val="0"/>
            <w:vAlign w:val="center"/>
          </w:tcPr>
          <w:p w14:paraId="0376B8B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tcBorders>
              <w:top w:val="single" w:color="auto" w:sz="4" w:space="0"/>
              <w:bottom w:val="single" w:color="auto" w:sz="4" w:space="0"/>
            </w:tcBorders>
            <w:noWrap w:val="0"/>
            <w:vAlign w:val="center"/>
          </w:tcPr>
          <w:p w14:paraId="66BDAF2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tcBorders>
              <w:top w:val="single" w:color="auto" w:sz="4" w:space="0"/>
              <w:bottom w:val="single" w:color="auto" w:sz="4" w:space="0"/>
            </w:tcBorders>
            <w:noWrap w:val="0"/>
            <w:vAlign w:val="center"/>
          </w:tcPr>
          <w:p w14:paraId="2F232E52">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tcBorders>
              <w:top w:val="single" w:color="auto" w:sz="4" w:space="0"/>
              <w:bottom w:val="single" w:color="auto" w:sz="4" w:space="0"/>
            </w:tcBorders>
            <w:noWrap w:val="0"/>
            <w:vAlign w:val="center"/>
          </w:tcPr>
          <w:p w14:paraId="1E1CCC1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tcBorders>
              <w:top w:val="single" w:color="auto" w:sz="4" w:space="0"/>
              <w:bottom w:val="single" w:color="auto" w:sz="4" w:space="0"/>
            </w:tcBorders>
            <w:noWrap w:val="0"/>
            <w:vAlign w:val="center"/>
          </w:tcPr>
          <w:p w14:paraId="48DF8F2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tcBorders>
              <w:top w:val="single" w:color="auto" w:sz="4" w:space="0"/>
              <w:bottom w:val="single" w:color="auto" w:sz="4" w:space="0"/>
              <w:right w:val="single" w:color="auto" w:sz="4" w:space="0"/>
            </w:tcBorders>
            <w:noWrap w:val="0"/>
            <w:vAlign w:val="center"/>
          </w:tcPr>
          <w:p w14:paraId="6434F50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7B4A0DC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0ECDBD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606" w:type="dxa"/>
            <w:tcBorders>
              <w:top w:val="single" w:color="auto" w:sz="4" w:space="0"/>
              <w:bottom w:val="single" w:color="auto" w:sz="4" w:space="0"/>
            </w:tcBorders>
            <w:noWrap w:val="0"/>
            <w:vAlign w:val="center"/>
          </w:tcPr>
          <w:p w14:paraId="7B4BB1D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tcBorders>
              <w:top w:val="single" w:color="auto" w:sz="4" w:space="0"/>
              <w:bottom w:val="single" w:color="auto" w:sz="4" w:space="0"/>
            </w:tcBorders>
            <w:noWrap w:val="0"/>
            <w:vAlign w:val="center"/>
          </w:tcPr>
          <w:p w14:paraId="709373E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tcBorders>
              <w:top w:val="single" w:color="auto" w:sz="4" w:space="0"/>
              <w:bottom w:val="single" w:color="auto" w:sz="4" w:space="0"/>
            </w:tcBorders>
            <w:noWrap w:val="0"/>
            <w:vAlign w:val="center"/>
          </w:tcPr>
          <w:p w14:paraId="042AB62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tcBorders>
              <w:top w:val="single" w:color="auto" w:sz="4" w:space="0"/>
              <w:bottom w:val="single" w:color="auto" w:sz="4" w:space="0"/>
            </w:tcBorders>
            <w:noWrap w:val="0"/>
            <w:vAlign w:val="center"/>
          </w:tcPr>
          <w:p w14:paraId="0C3CF094">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tcBorders>
              <w:top w:val="single" w:color="auto" w:sz="4" w:space="0"/>
              <w:bottom w:val="single" w:color="auto" w:sz="4" w:space="0"/>
            </w:tcBorders>
            <w:noWrap w:val="0"/>
            <w:vAlign w:val="center"/>
          </w:tcPr>
          <w:p w14:paraId="3912C19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tcBorders>
              <w:top w:val="single" w:color="auto" w:sz="4" w:space="0"/>
              <w:bottom w:val="single" w:color="auto" w:sz="4" w:space="0"/>
            </w:tcBorders>
            <w:noWrap w:val="0"/>
            <w:vAlign w:val="center"/>
          </w:tcPr>
          <w:p w14:paraId="3F9AC35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tcBorders>
              <w:top w:val="single" w:color="auto" w:sz="4" w:space="0"/>
              <w:bottom w:val="single" w:color="auto" w:sz="4" w:space="0"/>
              <w:right w:val="single" w:color="auto" w:sz="4" w:space="0"/>
            </w:tcBorders>
            <w:noWrap w:val="0"/>
            <w:vAlign w:val="center"/>
          </w:tcPr>
          <w:p w14:paraId="5916F98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41F331F6">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4DB8D5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606" w:type="dxa"/>
            <w:tcBorders>
              <w:top w:val="single" w:color="auto" w:sz="4" w:space="0"/>
            </w:tcBorders>
            <w:noWrap w:val="0"/>
            <w:vAlign w:val="center"/>
          </w:tcPr>
          <w:p w14:paraId="23211AD4">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tcBorders>
              <w:top w:val="single" w:color="auto" w:sz="4" w:space="0"/>
            </w:tcBorders>
            <w:noWrap w:val="0"/>
            <w:vAlign w:val="center"/>
          </w:tcPr>
          <w:p w14:paraId="41EEA43F">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tcBorders>
              <w:top w:val="single" w:color="auto" w:sz="4" w:space="0"/>
            </w:tcBorders>
            <w:noWrap w:val="0"/>
            <w:vAlign w:val="center"/>
          </w:tcPr>
          <w:p w14:paraId="616C786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tcBorders>
              <w:top w:val="single" w:color="auto" w:sz="4" w:space="0"/>
            </w:tcBorders>
            <w:noWrap w:val="0"/>
            <w:vAlign w:val="center"/>
          </w:tcPr>
          <w:p w14:paraId="6BEC3E0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tcBorders>
              <w:top w:val="single" w:color="auto" w:sz="4" w:space="0"/>
            </w:tcBorders>
            <w:noWrap w:val="0"/>
            <w:vAlign w:val="center"/>
          </w:tcPr>
          <w:p w14:paraId="6EBCDB7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tcBorders>
              <w:top w:val="single" w:color="auto" w:sz="4" w:space="0"/>
            </w:tcBorders>
            <w:noWrap w:val="0"/>
            <w:vAlign w:val="center"/>
          </w:tcPr>
          <w:p w14:paraId="78789B9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tcBorders>
              <w:top w:val="single" w:color="auto" w:sz="4" w:space="0"/>
              <w:right w:val="single" w:color="auto" w:sz="4" w:space="0"/>
            </w:tcBorders>
            <w:noWrap w:val="0"/>
            <w:vAlign w:val="center"/>
          </w:tcPr>
          <w:p w14:paraId="76D01C6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69" w:type="dxa"/>
            <w:tcBorders>
              <w:top w:val="single" w:color="auto" w:sz="4" w:space="0"/>
              <w:left w:val="single" w:color="auto" w:sz="4" w:space="0"/>
              <w:right w:val="single" w:color="auto" w:sz="4" w:space="0"/>
            </w:tcBorders>
            <w:noWrap w:val="0"/>
            <w:vAlign w:val="center"/>
          </w:tcPr>
          <w:p w14:paraId="6835B53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bl>
    <w:p w14:paraId="4256BBDD">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p w14:paraId="5826584B">
      <w:pPr>
        <w:pageBreakBefore w:val="0"/>
        <w:numPr>
          <w:ilvl w:val="0"/>
          <w:numId w:val="8"/>
        </w:numPr>
        <w:wordWrap/>
        <w:overflowPunct/>
        <w:topLinePunct w:val="0"/>
        <w:bidi w:val="0"/>
        <w:spacing w:line="560" w:lineRule="exact"/>
        <w:ind w:left="0" w:leftChars="0" w:right="0" w:right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本表后附：</w:t>
      </w:r>
      <w:r>
        <w:rPr>
          <w:rFonts w:hint="eastAsia" w:ascii="宋体" w:hAnsi="宋体" w:eastAsia="宋体" w:cs="宋体"/>
          <w:color w:val="auto"/>
          <w:sz w:val="24"/>
          <w:szCs w:val="24"/>
          <w:highlight w:val="none"/>
        </w:rPr>
        <w:t>投标人近</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年完成的</w:t>
      </w:r>
      <w:r>
        <w:rPr>
          <w:rFonts w:hint="eastAsia" w:ascii="宋体" w:hAnsi="宋体" w:eastAsia="宋体" w:cs="宋体"/>
          <w:color w:val="auto"/>
          <w:sz w:val="24"/>
          <w:szCs w:val="24"/>
          <w:highlight w:val="none"/>
          <w:lang w:val="en-US" w:eastAsia="zh-CN"/>
        </w:rPr>
        <w:t>类似项目业绩</w:t>
      </w:r>
      <w:r>
        <w:rPr>
          <w:rFonts w:hint="eastAsia" w:ascii="宋体" w:hAnsi="宋体" w:cs="宋体"/>
          <w:color w:val="auto"/>
          <w:sz w:val="24"/>
          <w:szCs w:val="24"/>
          <w:highlight w:val="none"/>
          <w:lang w:val="en-US" w:eastAsia="zh-CN"/>
        </w:rPr>
        <w:t>证明材料，</w:t>
      </w:r>
      <w:r>
        <w:rPr>
          <w:rFonts w:hint="eastAsia" w:ascii="宋体" w:hAnsi="宋体" w:eastAsia="宋体" w:cs="宋体"/>
          <w:color w:val="auto"/>
          <w:sz w:val="24"/>
          <w:szCs w:val="24"/>
          <w:highlight w:val="none"/>
        </w:rPr>
        <w:t>业绩认定日期以合同签订日期为准</w:t>
      </w:r>
      <w:r>
        <w:rPr>
          <w:rFonts w:hint="eastAsia" w:ascii="宋体" w:hAnsi="宋体" w:eastAsia="宋体" w:cs="宋体"/>
          <w:color w:val="auto"/>
          <w:sz w:val="24"/>
          <w:szCs w:val="24"/>
          <w:highlight w:val="none"/>
          <w:lang w:eastAsia="zh-CN"/>
        </w:rPr>
        <w:t>；</w:t>
      </w:r>
    </w:p>
    <w:p w14:paraId="41330A13">
      <w:pPr>
        <w:pageBreakBefore w:val="0"/>
        <w:wordWrap/>
        <w:overflowPunct/>
        <w:topLinePunct w:val="0"/>
        <w:bidi w:val="0"/>
        <w:spacing w:line="560" w:lineRule="exact"/>
        <w:ind w:left="0" w:leftChars="0" w:right="0" w:rightChars="0"/>
        <w:jc w:val="left"/>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投标人须提供</w:t>
      </w:r>
      <w:r>
        <w:rPr>
          <w:rFonts w:hint="eastAsia" w:ascii="宋体" w:hAnsi="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lang w:eastAsia="zh-CN"/>
        </w:rPr>
        <w:t>合同，合同至少包含合同首尾页、签字盖章页、合同金额页、</w:t>
      </w:r>
      <w:r>
        <w:rPr>
          <w:rFonts w:hint="eastAsia" w:ascii="宋体" w:hAnsi="宋体" w:eastAsia="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lang w:eastAsia="zh-CN"/>
        </w:rPr>
        <w:t>信息页。</w:t>
      </w:r>
    </w:p>
    <w:p w14:paraId="7811F19B">
      <w:pPr>
        <w:pStyle w:val="87"/>
        <w:pageBreakBefore w:val="0"/>
        <w:wordWrap/>
        <w:overflowPunct/>
        <w:topLinePunct w:val="0"/>
        <w:bidi w:val="0"/>
        <w:spacing w:line="560" w:lineRule="exact"/>
        <w:ind w:left="0" w:leftChars="0" w:right="0" w:rightChars="0" w:firstLine="0" w:firstLineChars="0"/>
        <w:rPr>
          <w:rFonts w:hint="eastAsia" w:ascii="宋体" w:hAnsi="宋体" w:eastAsia="宋体" w:cs="宋体"/>
          <w:bCs/>
          <w:color w:val="auto"/>
          <w:sz w:val="24"/>
          <w:szCs w:val="24"/>
          <w:highlight w:val="none"/>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具体年份要求：</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月1日</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今</w:t>
      </w:r>
      <w:r>
        <w:rPr>
          <w:rFonts w:hint="eastAsia" w:ascii="宋体" w:hAnsi="宋体" w:eastAsia="宋体" w:cs="宋体"/>
          <w:color w:val="auto"/>
          <w:sz w:val="24"/>
          <w:szCs w:val="24"/>
          <w:highlight w:val="none"/>
        </w:rPr>
        <w:t>。</w:t>
      </w:r>
      <w:r>
        <w:rPr>
          <w:rFonts w:hint="eastAsia" w:ascii="宋体" w:hAnsi="宋体" w:eastAsia="宋体" w:cs="宋体"/>
          <w:b/>
          <w:bCs w:val="0"/>
          <w:color w:val="auto"/>
          <w:sz w:val="24"/>
          <w:szCs w:val="24"/>
          <w:highlight w:val="none"/>
          <w:lang w:eastAsia="zh-CN"/>
        </w:rPr>
        <w:br w:type="page"/>
      </w:r>
    </w:p>
    <w:p w14:paraId="2CDF3E96">
      <w:pPr>
        <w:pStyle w:val="3"/>
        <w:pageBreakBefore w:val="0"/>
        <w:numPr>
          <w:ilvl w:val="0"/>
          <w:numId w:val="0"/>
        </w:numPr>
        <w:wordWrap/>
        <w:overflowPunct/>
        <w:topLinePunct w:val="0"/>
        <w:bidi w:val="0"/>
        <w:spacing w:before="0" w:after="0" w:line="560" w:lineRule="exact"/>
        <w:ind w:left="0" w:leftChars="0" w:right="0" w:rightChars="0"/>
        <w:jc w:val="center"/>
        <w:rPr>
          <w:rFonts w:hint="eastAsia" w:ascii="宋体" w:hAnsi="宋体" w:eastAsia="宋体" w:cs="宋体"/>
          <w:color w:val="auto"/>
          <w:sz w:val="24"/>
          <w:szCs w:val="24"/>
          <w:highlight w:val="none"/>
        </w:rPr>
      </w:pPr>
      <w:bookmarkStart w:id="143" w:name="_Toc217446091"/>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商务、技术需求偏离表</w:t>
      </w:r>
    </w:p>
    <w:p w14:paraId="2D5B67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商务条款偏离表</w:t>
      </w:r>
    </w:p>
    <w:tbl>
      <w:tblPr>
        <w:tblStyle w:val="29"/>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850"/>
        <w:gridCol w:w="1008"/>
        <w:gridCol w:w="1164"/>
      </w:tblGrid>
      <w:tr w14:paraId="1546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shd w:val="clear" w:color="auto" w:fill="FFFFFF"/>
            <w:noWrap w:val="0"/>
            <w:vAlign w:val="center"/>
          </w:tcPr>
          <w:p w14:paraId="12A559C6">
            <w:pPr>
              <w:pageBreakBefore w:val="0"/>
              <w:wordWrap/>
              <w:overflowPunct/>
              <w:topLinePunct w:val="0"/>
              <w:bidi w:val="0"/>
              <w:spacing w:line="24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850" w:type="dxa"/>
            <w:shd w:val="clear" w:color="auto" w:fill="FFFFFF"/>
            <w:noWrap w:val="0"/>
            <w:vAlign w:val="center"/>
          </w:tcPr>
          <w:p w14:paraId="3677AB3D">
            <w:pPr>
              <w:pageBreakBefore w:val="0"/>
              <w:wordWrap/>
              <w:overflowPunct/>
              <w:topLinePunct w:val="0"/>
              <w:bidi w:val="0"/>
              <w:spacing w:line="24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主要商务条款</w:t>
            </w:r>
          </w:p>
        </w:tc>
        <w:tc>
          <w:tcPr>
            <w:tcW w:w="1008" w:type="dxa"/>
            <w:shd w:val="clear" w:color="auto" w:fill="FFFFFF"/>
            <w:noWrap w:val="0"/>
            <w:vAlign w:val="center"/>
          </w:tcPr>
          <w:p w14:paraId="02DC6234">
            <w:pPr>
              <w:pageBreakBefore w:val="0"/>
              <w:wordWrap/>
              <w:overflowPunct/>
              <w:topLinePunct w:val="0"/>
              <w:bidi w:val="0"/>
              <w:spacing w:line="24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w:t>
            </w:r>
          </w:p>
          <w:p w14:paraId="0BFDC439">
            <w:pPr>
              <w:pageBreakBefore w:val="0"/>
              <w:wordWrap/>
              <w:overflowPunct/>
              <w:topLinePunct w:val="0"/>
              <w:bidi w:val="0"/>
              <w:spacing w:line="24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w:t>
            </w:r>
          </w:p>
        </w:tc>
        <w:tc>
          <w:tcPr>
            <w:tcW w:w="1164" w:type="dxa"/>
            <w:shd w:val="clear" w:color="auto" w:fill="FFFFFF"/>
            <w:noWrap w:val="0"/>
            <w:vAlign w:val="center"/>
          </w:tcPr>
          <w:p w14:paraId="27AF912E">
            <w:pPr>
              <w:pageBreakBefore w:val="0"/>
              <w:wordWrap/>
              <w:overflowPunct/>
              <w:topLinePunct w:val="0"/>
              <w:bidi w:val="0"/>
              <w:spacing w:line="24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14:paraId="4882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77619607">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850" w:type="dxa"/>
            <w:noWrap w:val="0"/>
            <w:vAlign w:val="center"/>
          </w:tcPr>
          <w:p w14:paraId="5964FA89">
            <w:pPr>
              <w:pageBreakBefore w:val="0"/>
              <w:wordWrap/>
              <w:overflowPunct/>
              <w:topLinePunct w:val="0"/>
              <w:bidi w:val="0"/>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完全理解并接受对合格投标人、合格的服务要求；</w:t>
            </w:r>
          </w:p>
        </w:tc>
        <w:tc>
          <w:tcPr>
            <w:tcW w:w="1008" w:type="dxa"/>
            <w:noWrap w:val="0"/>
            <w:vAlign w:val="center"/>
          </w:tcPr>
          <w:p w14:paraId="72260E35">
            <w:pPr>
              <w:pStyle w:val="99"/>
              <w:keepNext w:val="0"/>
              <w:pageBreakBefore w:val="0"/>
              <w:wordWrap/>
              <w:overflowPunct/>
              <w:topLinePunct w:val="0"/>
              <w:bidi w:val="0"/>
              <w:adjustRightInd/>
              <w:spacing w:before="0" w:after="0" w:line="560" w:lineRule="exact"/>
              <w:ind w:left="0" w:leftChars="0" w:right="0" w:rightChars="0"/>
              <w:textAlignment w:val="auto"/>
              <w:rPr>
                <w:rFonts w:hint="eastAsia" w:ascii="宋体" w:hAnsi="宋体" w:eastAsia="宋体" w:cs="宋体"/>
                <w:color w:val="auto"/>
                <w:spacing w:val="0"/>
                <w:kern w:val="2"/>
                <w:sz w:val="24"/>
                <w:szCs w:val="24"/>
                <w:highlight w:val="none"/>
              </w:rPr>
            </w:pPr>
          </w:p>
        </w:tc>
        <w:tc>
          <w:tcPr>
            <w:tcW w:w="1164" w:type="dxa"/>
            <w:noWrap w:val="0"/>
            <w:vAlign w:val="center"/>
          </w:tcPr>
          <w:p w14:paraId="26C325D1">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r>
      <w:tr w14:paraId="09E5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1B2AA5F8">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850" w:type="dxa"/>
            <w:noWrap w:val="0"/>
            <w:vAlign w:val="center"/>
          </w:tcPr>
          <w:p w14:paraId="5D124917">
            <w:pPr>
              <w:pageBreakBefore w:val="0"/>
              <w:wordWrap/>
              <w:overflowPunct/>
              <w:topLinePunct w:val="0"/>
              <w:bidi w:val="0"/>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完全理解并接受对投标人的各项须知、规约要求和责任义务；</w:t>
            </w:r>
          </w:p>
        </w:tc>
        <w:tc>
          <w:tcPr>
            <w:tcW w:w="1008" w:type="dxa"/>
            <w:noWrap w:val="0"/>
            <w:vAlign w:val="center"/>
          </w:tcPr>
          <w:p w14:paraId="757F0EDC">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1164" w:type="dxa"/>
            <w:noWrap w:val="0"/>
            <w:vAlign w:val="center"/>
          </w:tcPr>
          <w:p w14:paraId="29B059CD">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r>
      <w:tr w14:paraId="3D9F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69A3A26E">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50" w:type="dxa"/>
            <w:noWrap w:val="0"/>
            <w:vAlign w:val="center"/>
          </w:tcPr>
          <w:p w14:paraId="0B348E6E">
            <w:pPr>
              <w:pageBreakBefore w:val="0"/>
              <w:wordWrap/>
              <w:overflowPunct/>
              <w:topLinePunct w:val="0"/>
              <w:bidi w:val="0"/>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同意接受拟签订的合同文本所列述的各项条款；</w:t>
            </w:r>
          </w:p>
        </w:tc>
        <w:tc>
          <w:tcPr>
            <w:tcW w:w="1008" w:type="dxa"/>
            <w:noWrap w:val="0"/>
            <w:vAlign w:val="center"/>
          </w:tcPr>
          <w:p w14:paraId="78BB6E7B">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1164" w:type="dxa"/>
            <w:noWrap w:val="0"/>
            <w:vAlign w:val="center"/>
          </w:tcPr>
          <w:p w14:paraId="6090EC6B">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r>
      <w:tr w14:paraId="3F75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54B2C20A">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850" w:type="dxa"/>
            <w:noWrap w:val="0"/>
            <w:vAlign w:val="center"/>
          </w:tcPr>
          <w:p w14:paraId="5D6CAA4D">
            <w:pPr>
              <w:pageBreakBefore w:val="0"/>
              <w:wordWrap/>
              <w:overflowPunct/>
              <w:topLinePunct w:val="0"/>
              <w:bidi w:val="0"/>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同意按本项目要求缴付相关款项；</w:t>
            </w:r>
          </w:p>
        </w:tc>
        <w:tc>
          <w:tcPr>
            <w:tcW w:w="1008" w:type="dxa"/>
            <w:noWrap w:val="0"/>
            <w:vAlign w:val="center"/>
          </w:tcPr>
          <w:p w14:paraId="4634FA13">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1164" w:type="dxa"/>
            <w:noWrap w:val="0"/>
            <w:vAlign w:val="center"/>
          </w:tcPr>
          <w:p w14:paraId="1E1A7C91">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r>
      <w:tr w14:paraId="499B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3" w:type="dxa"/>
            <w:noWrap w:val="0"/>
            <w:vAlign w:val="center"/>
          </w:tcPr>
          <w:p w14:paraId="4966A6DC">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5850" w:type="dxa"/>
            <w:noWrap w:val="0"/>
            <w:vAlign w:val="center"/>
          </w:tcPr>
          <w:p w14:paraId="15A1307E">
            <w:pPr>
              <w:pageBreakBefore w:val="0"/>
              <w:wordWrap/>
              <w:overflowPunct/>
              <w:topLinePunct w:val="0"/>
              <w:bidi w:val="0"/>
              <w:spacing w:line="24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eastAsia="宋体" w:cs="宋体"/>
                <w:color w:val="auto"/>
                <w:sz w:val="24"/>
                <w:szCs w:val="24"/>
                <w:highlight w:val="none"/>
                <w:lang w:eastAsia="zh-CN"/>
              </w:rPr>
              <w:t>；</w:t>
            </w:r>
          </w:p>
        </w:tc>
        <w:tc>
          <w:tcPr>
            <w:tcW w:w="1008" w:type="dxa"/>
            <w:noWrap w:val="0"/>
            <w:vAlign w:val="center"/>
          </w:tcPr>
          <w:p w14:paraId="4FA0AE55">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1164" w:type="dxa"/>
            <w:noWrap w:val="0"/>
            <w:vAlign w:val="center"/>
          </w:tcPr>
          <w:p w14:paraId="2B2D11E3">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r>
      <w:tr w14:paraId="51EA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6D3816A8">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5850" w:type="dxa"/>
            <w:noWrap w:val="0"/>
            <w:vAlign w:val="center"/>
          </w:tcPr>
          <w:p w14:paraId="496E0604">
            <w:pPr>
              <w:pageBreakBefore w:val="0"/>
              <w:wordWrap/>
              <w:overflowPunct/>
              <w:topLinePunct w:val="0"/>
              <w:bidi w:val="0"/>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投标内容均涵盖招标要求及一切费用和伴随服务；</w:t>
            </w:r>
          </w:p>
        </w:tc>
        <w:tc>
          <w:tcPr>
            <w:tcW w:w="1008" w:type="dxa"/>
            <w:noWrap w:val="0"/>
            <w:vAlign w:val="center"/>
          </w:tcPr>
          <w:p w14:paraId="231588CF">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1164" w:type="dxa"/>
            <w:noWrap w:val="0"/>
            <w:vAlign w:val="center"/>
          </w:tcPr>
          <w:p w14:paraId="782F76A8">
            <w:pPr>
              <w:pStyle w:val="99"/>
              <w:keepNext w:val="0"/>
              <w:pageBreakBefore w:val="0"/>
              <w:wordWrap/>
              <w:overflowPunct/>
              <w:topLinePunct w:val="0"/>
              <w:bidi w:val="0"/>
              <w:adjustRightInd/>
              <w:spacing w:before="0" w:after="0" w:line="560" w:lineRule="exact"/>
              <w:ind w:left="0" w:leftChars="0" w:right="0" w:rightChars="0"/>
              <w:textAlignment w:val="auto"/>
              <w:rPr>
                <w:rFonts w:hint="eastAsia" w:ascii="宋体" w:hAnsi="宋体" w:eastAsia="宋体" w:cs="宋体"/>
                <w:color w:val="auto"/>
                <w:spacing w:val="0"/>
                <w:kern w:val="2"/>
                <w:sz w:val="24"/>
                <w:szCs w:val="24"/>
                <w:highlight w:val="none"/>
              </w:rPr>
            </w:pPr>
          </w:p>
        </w:tc>
      </w:tr>
      <w:tr w14:paraId="1CBC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6DC4D691">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5850" w:type="dxa"/>
            <w:noWrap w:val="0"/>
            <w:vAlign w:val="center"/>
          </w:tcPr>
          <w:p w14:paraId="724A7629">
            <w:pPr>
              <w:pageBreakBefore w:val="0"/>
              <w:wordWrap/>
              <w:overflowPunct/>
              <w:topLinePunct w:val="0"/>
              <w:bidi w:val="0"/>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同意接受本项目</w:t>
            </w:r>
            <w:r>
              <w:rPr>
                <w:rFonts w:hint="eastAsia" w:ascii="宋体" w:hAnsi="宋体" w:cs="宋体"/>
                <w:color w:val="auto"/>
                <w:sz w:val="24"/>
                <w:szCs w:val="24"/>
                <w:highlight w:val="none"/>
                <w:lang w:val="en-US" w:eastAsia="zh-CN"/>
              </w:rPr>
              <w:t>服务期</w:t>
            </w:r>
            <w:r>
              <w:rPr>
                <w:rFonts w:hint="eastAsia" w:ascii="宋体" w:hAnsi="宋体" w:eastAsia="宋体" w:cs="宋体"/>
                <w:color w:val="auto"/>
                <w:sz w:val="24"/>
                <w:szCs w:val="24"/>
                <w:highlight w:val="none"/>
              </w:rPr>
              <w:t>或相关进度安排要求；</w:t>
            </w:r>
          </w:p>
        </w:tc>
        <w:tc>
          <w:tcPr>
            <w:tcW w:w="1008" w:type="dxa"/>
            <w:noWrap w:val="0"/>
            <w:vAlign w:val="center"/>
          </w:tcPr>
          <w:p w14:paraId="47C9364E">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1164" w:type="dxa"/>
            <w:noWrap w:val="0"/>
            <w:vAlign w:val="center"/>
          </w:tcPr>
          <w:p w14:paraId="638F5234">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r>
      <w:tr w14:paraId="64F6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4DC2220B">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5850" w:type="dxa"/>
            <w:noWrap w:val="0"/>
            <w:vAlign w:val="center"/>
          </w:tcPr>
          <w:p w14:paraId="403CFC7A">
            <w:pPr>
              <w:pageBreakBefore w:val="0"/>
              <w:wordWrap/>
              <w:overflowPunct/>
              <w:topLinePunct w:val="0"/>
              <w:bidi w:val="0"/>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同意接受本项目的验收要求及验收标准；</w:t>
            </w:r>
          </w:p>
        </w:tc>
        <w:tc>
          <w:tcPr>
            <w:tcW w:w="1008" w:type="dxa"/>
            <w:noWrap w:val="0"/>
            <w:vAlign w:val="center"/>
          </w:tcPr>
          <w:p w14:paraId="6A96A8BC">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1164" w:type="dxa"/>
            <w:noWrap w:val="0"/>
            <w:vAlign w:val="center"/>
          </w:tcPr>
          <w:p w14:paraId="49205EC7">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r>
      <w:tr w14:paraId="5144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noWrap w:val="0"/>
            <w:vAlign w:val="center"/>
          </w:tcPr>
          <w:p w14:paraId="0532109D">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5850" w:type="dxa"/>
            <w:noWrap w:val="0"/>
            <w:vAlign w:val="center"/>
          </w:tcPr>
          <w:p w14:paraId="0DD95718">
            <w:pPr>
              <w:pStyle w:val="21"/>
              <w:pageBreakBefore w:val="0"/>
              <w:wordWrap/>
              <w:overflowPunct/>
              <w:topLinePunct w:val="0"/>
              <w:bidi w:val="0"/>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rPr>
              <w:t>同意采购人以任何形式对我方的投标文件内容的真实性和有效性进行审查、验证；</w:t>
            </w:r>
          </w:p>
        </w:tc>
        <w:tc>
          <w:tcPr>
            <w:tcW w:w="1008" w:type="dxa"/>
            <w:noWrap w:val="0"/>
            <w:vAlign w:val="center"/>
          </w:tcPr>
          <w:p w14:paraId="5160C2EE">
            <w:pPr>
              <w:pStyle w:val="100"/>
              <w:pageBreakBefore w:val="0"/>
              <w:numPr>
                <w:ilvl w:val="0"/>
                <w:numId w:val="0"/>
              </w:numPr>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1164" w:type="dxa"/>
            <w:noWrap w:val="0"/>
            <w:vAlign w:val="center"/>
          </w:tcPr>
          <w:p w14:paraId="6FD2E02A">
            <w:pPr>
              <w:pStyle w:val="99"/>
              <w:keepNext w:val="0"/>
              <w:pageBreakBefore w:val="0"/>
              <w:wordWrap/>
              <w:overflowPunct/>
              <w:topLinePunct w:val="0"/>
              <w:bidi w:val="0"/>
              <w:adjustRightInd/>
              <w:spacing w:before="0" w:after="0" w:line="560" w:lineRule="exact"/>
              <w:ind w:left="0" w:leftChars="0" w:right="0" w:rightChars="0"/>
              <w:jc w:val="both"/>
              <w:textAlignment w:val="auto"/>
              <w:rPr>
                <w:rFonts w:hint="eastAsia" w:ascii="宋体" w:hAnsi="宋体" w:eastAsia="宋体" w:cs="宋体"/>
                <w:color w:val="auto"/>
                <w:spacing w:val="0"/>
                <w:kern w:val="2"/>
                <w:sz w:val="24"/>
                <w:szCs w:val="24"/>
                <w:highlight w:val="none"/>
              </w:rPr>
            </w:pPr>
          </w:p>
        </w:tc>
      </w:tr>
      <w:tr w14:paraId="3177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3" w:type="dxa"/>
            <w:noWrap w:val="0"/>
            <w:vAlign w:val="center"/>
          </w:tcPr>
          <w:p w14:paraId="116F4D18">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p>
        </w:tc>
        <w:tc>
          <w:tcPr>
            <w:tcW w:w="5850" w:type="dxa"/>
            <w:noWrap w:val="0"/>
            <w:vAlign w:val="center"/>
          </w:tcPr>
          <w:p w14:paraId="793A9847">
            <w:pPr>
              <w:pStyle w:val="21"/>
              <w:pageBreakBefore w:val="0"/>
              <w:wordWrap/>
              <w:overflowPunct/>
              <w:topLinePunct w:val="0"/>
              <w:bidi w:val="0"/>
              <w:spacing w:line="240" w:lineRule="auto"/>
              <w:ind w:left="0" w:leftChars="0" w:right="0" w:rightChars="0"/>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同意接受本项目付款的各项要求。</w:t>
            </w:r>
          </w:p>
        </w:tc>
        <w:tc>
          <w:tcPr>
            <w:tcW w:w="1008" w:type="dxa"/>
            <w:noWrap w:val="0"/>
            <w:vAlign w:val="center"/>
          </w:tcPr>
          <w:p w14:paraId="2A33CD2A">
            <w:pPr>
              <w:pStyle w:val="100"/>
              <w:pageBreakBefore w:val="0"/>
              <w:numPr>
                <w:ilvl w:val="0"/>
                <w:numId w:val="0"/>
              </w:numPr>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1164" w:type="dxa"/>
            <w:noWrap w:val="0"/>
            <w:vAlign w:val="center"/>
          </w:tcPr>
          <w:p w14:paraId="0BF5F090">
            <w:pPr>
              <w:pStyle w:val="99"/>
              <w:keepNext w:val="0"/>
              <w:pageBreakBefore w:val="0"/>
              <w:wordWrap/>
              <w:overflowPunct/>
              <w:topLinePunct w:val="0"/>
              <w:bidi w:val="0"/>
              <w:adjustRightInd/>
              <w:spacing w:before="0" w:after="0" w:line="560" w:lineRule="exact"/>
              <w:ind w:left="0" w:leftChars="0" w:right="0" w:rightChars="0"/>
              <w:jc w:val="both"/>
              <w:textAlignment w:val="auto"/>
              <w:rPr>
                <w:rFonts w:hint="eastAsia" w:ascii="宋体" w:hAnsi="宋体" w:eastAsia="宋体" w:cs="宋体"/>
                <w:color w:val="auto"/>
                <w:spacing w:val="0"/>
                <w:kern w:val="2"/>
                <w:sz w:val="24"/>
                <w:szCs w:val="24"/>
                <w:highlight w:val="none"/>
              </w:rPr>
            </w:pPr>
          </w:p>
        </w:tc>
      </w:tr>
    </w:tbl>
    <w:p w14:paraId="3D5FF01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2467ABEB">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right="0" w:right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GB"/>
        </w:rPr>
        <w:t>于上述要求，如投标人完全响应，则请在“是否响应”栏内打“√”，对打“×”视为偏离，请在“偏离说明”栏内扼要说明偏离情况；</w:t>
      </w:r>
    </w:p>
    <w:p w14:paraId="65EF6369">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right="0" w:right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投标人应认真填写本响应表，若评标委员会在</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GB"/>
        </w:rPr>
        <w:t>期间，发现有虚假填写本响应表的，则将可能被视为存在两个</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GB"/>
        </w:rPr>
        <w:t>方案，评标委员会将按本招标文件相关规定执行；</w:t>
      </w:r>
    </w:p>
    <w:p w14:paraId="6769867E">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right="0" w:right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本表内容不得擅自修改。</w:t>
      </w:r>
    </w:p>
    <w:p w14:paraId="3721A8A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宋体" w:hAnsi="宋体" w:eastAsia="宋体" w:cs="宋体"/>
          <w:color w:val="auto"/>
          <w:sz w:val="24"/>
          <w:szCs w:val="24"/>
          <w:highlight w:val="none"/>
        </w:rPr>
      </w:pPr>
    </w:p>
    <w:p w14:paraId="4C7C7546">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投标人名称（盖章）：</w:t>
      </w:r>
    </w:p>
    <w:p w14:paraId="75AC52E9">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授权人</w:t>
      </w:r>
      <w:r>
        <w:rPr>
          <w:rFonts w:hint="eastAsia" w:ascii="宋体" w:hAnsi="宋体" w:eastAsia="宋体" w:cs="宋体"/>
          <w:color w:val="auto"/>
          <w:sz w:val="24"/>
          <w:szCs w:val="24"/>
          <w:highlight w:val="none"/>
        </w:rPr>
        <w:t>或被授权人（签字或盖章）</w:t>
      </w:r>
      <w:r>
        <w:rPr>
          <w:rFonts w:hint="eastAsia" w:ascii="宋体" w:hAnsi="宋体" w:eastAsia="宋体" w:cs="宋体"/>
          <w:bCs/>
          <w:color w:val="auto"/>
          <w:sz w:val="24"/>
          <w:szCs w:val="24"/>
          <w:highlight w:val="none"/>
        </w:rPr>
        <w:t>：</w:t>
      </w:r>
    </w:p>
    <w:p w14:paraId="583AEA6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日期： 年 月 日</w:t>
      </w:r>
    </w:p>
    <w:p w14:paraId="583F6742">
      <w:pPr>
        <w:pStyle w:val="1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jc w:val="center"/>
        <w:textAlignment w:val="auto"/>
        <w:outlineLvl w:val="2"/>
        <w:rPr>
          <w:rFonts w:hint="eastAsia" w:ascii="宋体" w:hAnsi="宋体" w:eastAsia="宋体" w:cs="宋体"/>
          <w:b/>
          <w:bCs/>
          <w:color w:val="auto"/>
          <w:sz w:val="24"/>
          <w:szCs w:val="24"/>
          <w:highlight w:val="none"/>
          <w:lang w:eastAsia="zh-CN"/>
        </w:rPr>
      </w:pPr>
    </w:p>
    <w:p w14:paraId="6BFB8F35">
      <w:pPr>
        <w:pStyle w:val="112"/>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line="560" w:lineRule="exact"/>
        <w:ind w:left="0" w:leftChars="0" w:right="0" w:rightChars="0"/>
        <w:jc w:val="center"/>
        <w:textAlignment w:val="auto"/>
        <w:outlineLvl w:val="2"/>
        <w:rPr>
          <w:rFonts w:hint="eastAsia" w:ascii="宋体" w:hAnsi="宋体" w:eastAsia="宋体" w:cs="宋体"/>
          <w:b/>
          <w:bCs/>
          <w:caps w:val="0"/>
          <w:color w:val="auto"/>
          <w:spacing w:val="0"/>
          <w:w w:val="100"/>
          <w:kern w:val="0"/>
          <w:sz w:val="24"/>
          <w:szCs w:val="24"/>
          <w:highlight w:val="none"/>
          <w:lang w:eastAsia="zh-CN"/>
        </w:rPr>
      </w:pPr>
      <w:r>
        <w:rPr>
          <w:rFonts w:hint="eastAsia" w:ascii="宋体" w:hAnsi="宋体" w:eastAsia="宋体" w:cs="宋体"/>
          <w:b/>
          <w:bCs/>
          <w:caps w:val="0"/>
          <w:color w:val="auto"/>
          <w:spacing w:val="0"/>
          <w:w w:val="100"/>
          <w:kern w:val="0"/>
          <w:sz w:val="24"/>
          <w:szCs w:val="24"/>
          <w:highlight w:val="none"/>
          <w:lang w:eastAsia="zh-CN"/>
        </w:rPr>
        <w:t>技术需求偏离表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556"/>
        <w:gridCol w:w="1089"/>
        <w:gridCol w:w="1089"/>
        <w:gridCol w:w="1089"/>
        <w:gridCol w:w="1089"/>
        <w:gridCol w:w="1089"/>
        <w:gridCol w:w="1123"/>
      </w:tblGrid>
      <w:tr w14:paraId="72F9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restart"/>
            <w:noWrap w:val="0"/>
            <w:vAlign w:val="center"/>
          </w:tcPr>
          <w:p w14:paraId="4BCBDFFA">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556" w:type="dxa"/>
            <w:vMerge w:val="restart"/>
            <w:noWrap w:val="0"/>
            <w:vAlign w:val="center"/>
          </w:tcPr>
          <w:p w14:paraId="1FF52545">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招标</w:t>
            </w:r>
            <w:r>
              <w:rPr>
                <w:rFonts w:hint="eastAsia" w:ascii="宋体" w:hAnsi="宋体" w:eastAsia="宋体" w:cs="宋体"/>
                <w:sz w:val="24"/>
                <w:szCs w:val="24"/>
                <w:vertAlign w:val="baseline"/>
                <w:lang w:eastAsia="zh-CN"/>
              </w:rPr>
              <w:t>文件条目号（页码）</w:t>
            </w:r>
          </w:p>
        </w:tc>
        <w:tc>
          <w:tcPr>
            <w:tcW w:w="1089" w:type="dxa"/>
            <w:vMerge w:val="restart"/>
            <w:noWrap w:val="0"/>
            <w:vAlign w:val="center"/>
          </w:tcPr>
          <w:p w14:paraId="1E414A1E">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招标</w:t>
            </w:r>
            <w:r>
              <w:rPr>
                <w:rFonts w:hint="eastAsia" w:ascii="宋体" w:hAnsi="宋体" w:eastAsia="宋体" w:cs="宋体"/>
                <w:sz w:val="24"/>
                <w:szCs w:val="24"/>
                <w:vertAlign w:val="baseline"/>
                <w:lang w:eastAsia="zh-CN"/>
              </w:rPr>
              <w:t>文件要求</w:t>
            </w:r>
          </w:p>
        </w:tc>
        <w:tc>
          <w:tcPr>
            <w:tcW w:w="1089" w:type="dxa"/>
            <w:vMerge w:val="restart"/>
            <w:noWrap w:val="0"/>
            <w:vAlign w:val="center"/>
          </w:tcPr>
          <w:p w14:paraId="6D982835">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响应内容</w:t>
            </w:r>
          </w:p>
        </w:tc>
        <w:tc>
          <w:tcPr>
            <w:tcW w:w="3267" w:type="dxa"/>
            <w:gridSpan w:val="3"/>
            <w:noWrap w:val="0"/>
            <w:vAlign w:val="center"/>
          </w:tcPr>
          <w:p w14:paraId="19768AFB">
            <w:pPr>
              <w:spacing w:line="360" w:lineRule="auto"/>
              <w:ind w:firstLine="480" w:firstLineChars="20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偏离情况（据实填写）</w:t>
            </w:r>
          </w:p>
        </w:tc>
        <w:tc>
          <w:tcPr>
            <w:tcW w:w="1123" w:type="dxa"/>
            <w:vMerge w:val="restart"/>
            <w:noWrap w:val="0"/>
            <w:vAlign w:val="center"/>
          </w:tcPr>
          <w:p w14:paraId="18EDE8D5">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BF8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60" w:type="dxa"/>
            <w:vMerge w:val="continue"/>
            <w:noWrap w:val="0"/>
            <w:vAlign w:val="top"/>
          </w:tcPr>
          <w:p w14:paraId="211086F5">
            <w:pPr>
              <w:spacing w:line="360" w:lineRule="auto"/>
              <w:rPr>
                <w:rFonts w:hint="eastAsia" w:ascii="宋体" w:hAnsi="宋体" w:eastAsia="宋体" w:cs="宋体"/>
                <w:sz w:val="24"/>
                <w:szCs w:val="24"/>
                <w:vertAlign w:val="baseline"/>
              </w:rPr>
            </w:pPr>
          </w:p>
        </w:tc>
        <w:tc>
          <w:tcPr>
            <w:tcW w:w="1556" w:type="dxa"/>
            <w:vMerge w:val="continue"/>
            <w:noWrap w:val="0"/>
            <w:vAlign w:val="top"/>
          </w:tcPr>
          <w:p w14:paraId="7E209EBF">
            <w:pPr>
              <w:spacing w:line="360" w:lineRule="auto"/>
              <w:rPr>
                <w:rFonts w:hint="eastAsia" w:ascii="宋体" w:hAnsi="宋体" w:eastAsia="宋体" w:cs="宋体"/>
                <w:sz w:val="24"/>
                <w:szCs w:val="24"/>
                <w:vertAlign w:val="baseline"/>
              </w:rPr>
            </w:pPr>
          </w:p>
        </w:tc>
        <w:tc>
          <w:tcPr>
            <w:tcW w:w="1089" w:type="dxa"/>
            <w:vMerge w:val="continue"/>
            <w:noWrap w:val="0"/>
            <w:vAlign w:val="top"/>
          </w:tcPr>
          <w:p w14:paraId="587C718B">
            <w:pPr>
              <w:spacing w:line="360" w:lineRule="auto"/>
              <w:rPr>
                <w:rFonts w:hint="eastAsia" w:ascii="宋体" w:hAnsi="宋体" w:eastAsia="宋体" w:cs="宋体"/>
                <w:sz w:val="24"/>
                <w:szCs w:val="24"/>
                <w:vertAlign w:val="baseline"/>
              </w:rPr>
            </w:pPr>
          </w:p>
        </w:tc>
        <w:tc>
          <w:tcPr>
            <w:tcW w:w="1089" w:type="dxa"/>
            <w:vMerge w:val="continue"/>
            <w:noWrap w:val="0"/>
            <w:vAlign w:val="top"/>
          </w:tcPr>
          <w:p w14:paraId="01E56FB2">
            <w:pPr>
              <w:spacing w:line="360" w:lineRule="auto"/>
              <w:rPr>
                <w:rFonts w:hint="eastAsia" w:ascii="宋体" w:hAnsi="宋体" w:eastAsia="宋体" w:cs="宋体"/>
                <w:sz w:val="24"/>
                <w:szCs w:val="24"/>
                <w:vertAlign w:val="baseline"/>
              </w:rPr>
            </w:pPr>
          </w:p>
        </w:tc>
        <w:tc>
          <w:tcPr>
            <w:tcW w:w="1089" w:type="dxa"/>
            <w:noWrap w:val="0"/>
            <w:vAlign w:val="top"/>
          </w:tcPr>
          <w:p w14:paraId="2CCDEA0F">
            <w:pPr>
              <w:spacing w:line="360" w:lineRule="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正偏离</w:t>
            </w:r>
          </w:p>
        </w:tc>
        <w:tc>
          <w:tcPr>
            <w:tcW w:w="1089" w:type="dxa"/>
            <w:noWrap w:val="0"/>
            <w:vAlign w:val="top"/>
          </w:tcPr>
          <w:p w14:paraId="60FEAF42">
            <w:pPr>
              <w:spacing w:line="360" w:lineRule="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无偏离</w:t>
            </w:r>
          </w:p>
        </w:tc>
        <w:tc>
          <w:tcPr>
            <w:tcW w:w="1089" w:type="dxa"/>
            <w:noWrap w:val="0"/>
            <w:vAlign w:val="top"/>
          </w:tcPr>
          <w:p w14:paraId="604BFEC0">
            <w:pPr>
              <w:spacing w:line="360" w:lineRule="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负偏离</w:t>
            </w:r>
          </w:p>
        </w:tc>
        <w:tc>
          <w:tcPr>
            <w:tcW w:w="1123" w:type="dxa"/>
            <w:vMerge w:val="continue"/>
            <w:noWrap w:val="0"/>
            <w:vAlign w:val="top"/>
          </w:tcPr>
          <w:p w14:paraId="1527DDFE">
            <w:pPr>
              <w:spacing w:line="360" w:lineRule="auto"/>
              <w:rPr>
                <w:rFonts w:hint="eastAsia" w:ascii="宋体" w:hAnsi="宋体" w:eastAsia="宋体" w:cs="宋体"/>
                <w:sz w:val="24"/>
                <w:szCs w:val="24"/>
                <w:vertAlign w:val="baseline"/>
              </w:rPr>
            </w:pPr>
          </w:p>
        </w:tc>
      </w:tr>
      <w:tr w14:paraId="5EF0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60" w:type="dxa"/>
            <w:noWrap w:val="0"/>
            <w:vAlign w:val="top"/>
          </w:tcPr>
          <w:p w14:paraId="7BE59002">
            <w:pPr>
              <w:spacing w:line="360" w:lineRule="auto"/>
              <w:rPr>
                <w:rFonts w:hint="eastAsia" w:ascii="宋体" w:hAnsi="宋体" w:eastAsia="宋体" w:cs="宋体"/>
                <w:sz w:val="24"/>
                <w:szCs w:val="24"/>
                <w:vertAlign w:val="baseline"/>
              </w:rPr>
            </w:pPr>
          </w:p>
        </w:tc>
        <w:tc>
          <w:tcPr>
            <w:tcW w:w="1556" w:type="dxa"/>
            <w:noWrap w:val="0"/>
            <w:vAlign w:val="top"/>
          </w:tcPr>
          <w:p w14:paraId="092F3545">
            <w:pPr>
              <w:spacing w:line="360" w:lineRule="auto"/>
              <w:rPr>
                <w:rFonts w:hint="eastAsia" w:ascii="宋体" w:hAnsi="宋体" w:eastAsia="宋体" w:cs="宋体"/>
                <w:sz w:val="24"/>
                <w:szCs w:val="24"/>
                <w:vertAlign w:val="baseline"/>
              </w:rPr>
            </w:pPr>
          </w:p>
        </w:tc>
        <w:tc>
          <w:tcPr>
            <w:tcW w:w="1089" w:type="dxa"/>
            <w:noWrap w:val="0"/>
            <w:vAlign w:val="top"/>
          </w:tcPr>
          <w:p w14:paraId="6D86133D">
            <w:pPr>
              <w:spacing w:line="360" w:lineRule="auto"/>
              <w:rPr>
                <w:rFonts w:hint="eastAsia" w:ascii="宋体" w:hAnsi="宋体" w:eastAsia="宋体" w:cs="宋体"/>
                <w:sz w:val="24"/>
                <w:szCs w:val="24"/>
                <w:vertAlign w:val="baseline"/>
              </w:rPr>
            </w:pPr>
          </w:p>
        </w:tc>
        <w:tc>
          <w:tcPr>
            <w:tcW w:w="1089" w:type="dxa"/>
            <w:noWrap w:val="0"/>
            <w:vAlign w:val="top"/>
          </w:tcPr>
          <w:p w14:paraId="02D945E4">
            <w:pPr>
              <w:spacing w:line="360" w:lineRule="auto"/>
              <w:rPr>
                <w:rFonts w:hint="eastAsia" w:ascii="宋体" w:hAnsi="宋体" w:eastAsia="宋体" w:cs="宋体"/>
                <w:sz w:val="24"/>
                <w:szCs w:val="24"/>
                <w:vertAlign w:val="baseline"/>
              </w:rPr>
            </w:pPr>
          </w:p>
        </w:tc>
        <w:tc>
          <w:tcPr>
            <w:tcW w:w="1089" w:type="dxa"/>
            <w:noWrap w:val="0"/>
            <w:vAlign w:val="top"/>
          </w:tcPr>
          <w:p w14:paraId="03D54E01">
            <w:pPr>
              <w:spacing w:line="360" w:lineRule="auto"/>
              <w:rPr>
                <w:rFonts w:hint="eastAsia" w:ascii="宋体" w:hAnsi="宋体" w:eastAsia="宋体" w:cs="宋体"/>
                <w:sz w:val="24"/>
                <w:szCs w:val="24"/>
                <w:vertAlign w:val="baseline"/>
              </w:rPr>
            </w:pPr>
          </w:p>
        </w:tc>
        <w:tc>
          <w:tcPr>
            <w:tcW w:w="1089" w:type="dxa"/>
            <w:noWrap w:val="0"/>
            <w:vAlign w:val="top"/>
          </w:tcPr>
          <w:p w14:paraId="7DCEAF47">
            <w:pPr>
              <w:spacing w:line="360" w:lineRule="auto"/>
              <w:rPr>
                <w:rFonts w:hint="eastAsia" w:ascii="宋体" w:hAnsi="宋体" w:eastAsia="宋体" w:cs="宋体"/>
                <w:sz w:val="24"/>
                <w:szCs w:val="24"/>
                <w:vertAlign w:val="baseline"/>
              </w:rPr>
            </w:pPr>
          </w:p>
        </w:tc>
        <w:tc>
          <w:tcPr>
            <w:tcW w:w="1089" w:type="dxa"/>
            <w:noWrap w:val="0"/>
            <w:vAlign w:val="top"/>
          </w:tcPr>
          <w:p w14:paraId="57795849">
            <w:pPr>
              <w:spacing w:line="360" w:lineRule="auto"/>
              <w:rPr>
                <w:rFonts w:hint="eastAsia" w:ascii="宋体" w:hAnsi="宋体" w:eastAsia="宋体" w:cs="宋体"/>
                <w:sz w:val="24"/>
                <w:szCs w:val="24"/>
                <w:vertAlign w:val="baseline"/>
              </w:rPr>
            </w:pPr>
          </w:p>
        </w:tc>
        <w:tc>
          <w:tcPr>
            <w:tcW w:w="1123" w:type="dxa"/>
            <w:noWrap w:val="0"/>
            <w:vAlign w:val="top"/>
          </w:tcPr>
          <w:p w14:paraId="07F24C6D">
            <w:pPr>
              <w:spacing w:line="360" w:lineRule="auto"/>
              <w:rPr>
                <w:rFonts w:hint="eastAsia" w:ascii="宋体" w:hAnsi="宋体" w:eastAsia="宋体" w:cs="宋体"/>
                <w:sz w:val="24"/>
                <w:szCs w:val="24"/>
                <w:vertAlign w:val="baseline"/>
              </w:rPr>
            </w:pPr>
          </w:p>
        </w:tc>
      </w:tr>
      <w:tr w14:paraId="7DE9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60" w:type="dxa"/>
            <w:noWrap w:val="0"/>
            <w:vAlign w:val="top"/>
          </w:tcPr>
          <w:p w14:paraId="05BFBF04">
            <w:pPr>
              <w:spacing w:line="360" w:lineRule="auto"/>
              <w:rPr>
                <w:rFonts w:hint="eastAsia" w:ascii="宋体" w:hAnsi="宋体" w:eastAsia="宋体" w:cs="宋体"/>
                <w:sz w:val="24"/>
                <w:szCs w:val="24"/>
                <w:vertAlign w:val="baseline"/>
              </w:rPr>
            </w:pPr>
          </w:p>
        </w:tc>
        <w:tc>
          <w:tcPr>
            <w:tcW w:w="1556" w:type="dxa"/>
            <w:noWrap w:val="0"/>
            <w:vAlign w:val="top"/>
          </w:tcPr>
          <w:p w14:paraId="412787DA">
            <w:pPr>
              <w:spacing w:line="360" w:lineRule="auto"/>
              <w:rPr>
                <w:rFonts w:hint="eastAsia" w:ascii="宋体" w:hAnsi="宋体" w:eastAsia="宋体" w:cs="宋体"/>
                <w:sz w:val="24"/>
                <w:szCs w:val="24"/>
                <w:vertAlign w:val="baseline"/>
              </w:rPr>
            </w:pPr>
          </w:p>
        </w:tc>
        <w:tc>
          <w:tcPr>
            <w:tcW w:w="1089" w:type="dxa"/>
            <w:noWrap w:val="0"/>
            <w:vAlign w:val="top"/>
          </w:tcPr>
          <w:p w14:paraId="1380FBF2">
            <w:pPr>
              <w:spacing w:line="360" w:lineRule="auto"/>
              <w:rPr>
                <w:rFonts w:hint="eastAsia" w:ascii="宋体" w:hAnsi="宋体" w:eastAsia="宋体" w:cs="宋体"/>
                <w:sz w:val="24"/>
                <w:szCs w:val="24"/>
                <w:vertAlign w:val="baseline"/>
              </w:rPr>
            </w:pPr>
          </w:p>
        </w:tc>
        <w:tc>
          <w:tcPr>
            <w:tcW w:w="1089" w:type="dxa"/>
            <w:noWrap w:val="0"/>
            <w:vAlign w:val="top"/>
          </w:tcPr>
          <w:p w14:paraId="6A1CCFB3">
            <w:pPr>
              <w:spacing w:line="360" w:lineRule="auto"/>
              <w:rPr>
                <w:rFonts w:hint="eastAsia" w:ascii="宋体" w:hAnsi="宋体" w:eastAsia="宋体" w:cs="宋体"/>
                <w:sz w:val="24"/>
                <w:szCs w:val="24"/>
                <w:vertAlign w:val="baseline"/>
              </w:rPr>
            </w:pPr>
          </w:p>
        </w:tc>
        <w:tc>
          <w:tcPr>
            <w:tcW w:w="1089" w:type="dxa"/>
            <w:noWrap w:val="0"/>
            <w:vAlign w:val="top"/>
          </w:tcPr>
          <w:p w14:paraId="7501DFB0">
            <w:pPr>
              <w:spacing w:line="360" w:lineRule="auto"/>
              <w:rPr>
                <w:rFonts w:hint="eastAsia" w:ascii="宋体" w:hAnsi="宋体" w:eastAsia="宋体" w:cs="宋体"/>
                <w:sz w:val="24"/>
                <w:szCs w:val="24"/>
                <w:vertAlign w:val="baseline"/>
              </w:rPr>
            </w:pPr>
          </w:p>
        </w:tc>
        <w:tc>
          <w:tcPr>
            <w:tcW w:w="1089" w:type="dxa"/>
            <w:noWrap w:val="0"/>
            <w:vAlign w:val="top"/>
          </w:tcPr>
          <w:p w14:paraId="225F148C">
            <w:pPr>
              <w:spacing w:line="360" w:lineRule="auto"/>
              <w:rPr>
                <w:rFonts w:hint="eastAsia" w:ascii="宋体" w:hAnsi="宋体" w:eastAsia="宋体" w:cs="宋体"/>
                <w:sz w:val="24"/>
                <w:szCs w:val="24"/>
                <w:vertAlign w:val="baseline"/>
              </w:rPr>
            </w:pPr>
          </w:p>
        </w:tc>
        <w:tc>
          <w:tcPr>
            <w:tcW w:w="1089" w:type="dxa"/>
            <w:noWrap w:val="0"/>
            <w:vAlign w:val="top"/>
          </w:tcPr>
          <w:p w14:paraId="628EB276">
            <w:pPr>
              <w:spacing w:line="360" w:lineRule="auto"/>
              <w:rPr>
                <w:rFonts w:hint="eastAsia" w:ascii="宋体" w:hAnsi="宋体" w:eastAsia="宋体" w:cs="宋体"/>
                <w:sz w:val="24"/>
                <w:szCs w:val="24"/>
                <w:vertAlign w:val="baseline"/>
              </w:rPr>
            </w:pPr>
          </w:p>
        </w:tc>
        <w:tc>
          <w:tcPr>
            <w:tcW w:w="1123" w:type="dxa"/>
            <w:noWrap w:val="0"/>
            <w:vAlign w:val="top"/>
          </w:tcPr>
          <w:p w14:paraId="4D93F8BF">
            <w:pPr>
              <w:spacing w:line="360" w:lineRule="auto"/>
              <w:rPr>
                <w:rFonts w:hint="eastAsia" w:ascii="宋体" w:hAnsi="宋体" w:eastAsia="宋体" w:cs="宋体"/>
                <w:sz w:val="24"/>
                <w:szCs w:val="24"/>
                <w:vertAlign w:val="baseline"/>
              </w:rPr>
            </w:pPr>
          </w:p>
        </w:tc>
      </w:tr>
      <w:tr w14:paraId="6617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60" w:type="dxa"/>
            <w:noWrap w:val="0"/>
            <w:vAlign w:val="top"/>
          </w:tcPr>
          <w:p w14:paraId="5E20D704">
            <w:pPr>
              <w:spacing w:line="360" w:lineRule="auto"/>
              <w:rPr>
                <w:rFonts w:hint="eastAsia" w:ascii="宋体" w:hAnsi="宋体" w:eastAsia="宋体" w:cs="宋体"/>
                <w:sz w:val="24"/>
                <w:szCs w:val="24"/>
                <w:vertAlign w:val="baseline"/>
              </w:rPr>
            </w:pPr>
          </w:p>
        </w:tc>
        <w:tc>
          <w:tcPr>
            <w:tcW w:w="1556" w:type="dxa"/>
            <w:noWrap w:val="0"/>
            <w:vAlign w:val="top"/>
          </w:tcPr>
          <w:p w14:paraId="01C8DD59">
            <w:pPr>
              <w:spacing w:line="360" w:lineRule="auto"/>
              <w:rPr>
                <w:rFonts w:hint="eastAsia" w:ascii="宋体" w:hAnsi="宋体" w:eastAsia="宋体" w:cs="宋体"/>
                <w:sz w:val="24"/>
                <w:szCs w:val="24"/>
                <w:vertAlign w:val="baseline"/>
              </w:rPr>
            </w:pPr>
          </w:p>
        </w:tc>
        <w:tc>
          <w:tcPr>
            <w:tcW w:w="1089" w:type="dxa"/>
            <w:noWrap w:val="0"/>
            <w:vAlign w:val="top"/>
          </w:tcPr>
          <w:p w14:paraId="4DF7D95F">
            <w:pPr>
              <w:spacing w:line="360" w:lineRule="auto"/>
              <w:rPr>
                <w:rFonts w:hint="eastAsia" w:ascii="宋体" w:hAnsi="宋体" w:eastAsia="宋体" w:cs="宋体"/>
                <w:sz w:val="24"/>
                <w:szCs w:val="24"/>
                <w:vertAlign w:val="baseline"/>
              </w:rPr>
            </w:pPr>
          </w:p>
        </w:tc>
        <w:tc>
          <w:tcPr>
            <w:tcW w:w="1089" w:type="dxa"/>
            <w:noWrap w:val="0"/>
            <w:vAlign w:val="top"/>
          </w:tcPr>
          <w:p w14:paraId="52EC5E74">
            <w:pPr>
              <w:spacing w:line="360" w:lineRule="auto"/>
              <w:rPr>
                <w:rFonts w:hint="eastAsia" w:ascii="宋体" w:hAnsi="宋体" w:eastAsia="宋体" w:cs="宋体"/>
                <w:sz w:val="24"/>
                <w:szCs w:val="24"/>
                <w:vertAlign w:val="baseline"/>
              </w:rPr>
            </w:pPr>
          </w:p>
        </w:tc>
        <w:tc>
          <w:tcPr>
            <w:tcW w:w="1089" w:type="dxa"/>
            <w:noWrap w:val="0"/>
            <w:vAlign w:val="top"/>
          </w:tcPr>
          <w:p w14:paraId="181A6DA7">
            <w:pPr>
              <w:spacing w:line="360" w:lineRule="auto"/>
              <w:rPr>
                <w:rFonts w:hint="eastAsia" w:ascii="宋体" w:hAnsi="宋体" w:eastAsia="宋体" w:cs="宋体"/>
                <w:sz w:val="24"/>
                <w:szCs w:val="24"/>
                <w:vertAlign w:val="baseline"/>
              </w:rPr>
            </w:pPr>
          </w:p>
        </w:tc>
        <w:tc>
          <w:tcPr>
            <w:tcW w:w="1089" w:type="dxa"/>
            <w:noWrap w:val="0"/>
            <w:vAlign w:val="top"/>
          </w:tcPr>
          <w:p w14:paraId="7F66D92C">
            <w:pPr>
              <w:spacing w:line="360" w:lineRule="auto"/>
              <w:rPr>
                <w:rFonts w:hint="eastAsia" w:ascii="宋体" w:hAnsi="宋体" w:eastAsia="宋体" w:cs="宋体"/>
                <w:sz w:val="24"/>
                <w:szCs w:val="24"/>
                <w:vertAlign w:val="baseline"/>
              </w:rPr>
            </w:pPr>
          </w:p>
        </w:tc>
        <w:tc>
          <w:tcPr>
            <w:tcW w:w="1089" w:type="dxa"/>
            <w:noWrap w:val="0"/>
            <w:vAlign w:val="top"/>
          </w:tcPr>
          <w:p w14:paraId="52E10F91">
            <w:pPr>
              <w:spacing w:line="360" w:lineRule="auto"/>
              <w:rPr>
                <w:rFonts w:hint="eastAsia" w:ascii="宋体" w:hAnsi="宋体" w:eastAsia="宋体" w:cs="宋体"/>
                <w:sz w:val="24"/>
                <w:szCs w:val="24"/>
                <w:vertAlign w:val="baseline"/>
              </w:rPr>
            </w:pPr>
          </w:p>
        </w:tc>
        <w:tc>
          <w:tcPr>
            <w:tcW w:w="1123" w:type="dxa"/>
            <w:noWrap w:val="0"/>
            <w:vAlign w:val="top"/>
          </w:tcPr>
          <w:p w14:paraId="43DFFEE8">
            <w:pPr>
              <w:spacing w:line="360" w:lineRule="auto"/>
              <w:rPr>
                <w:rFonts w:hint="eastAsia" w:ascii="宋体" w:hAnsi="宋体" w:eastAsia="宋体" w:cs="宋体"/>
                <w:sz w:val="24"/>
                <w:szCs w:val="24"/>
                <w:vertAlign w:val="baseline"/>
              </w:rPr>
            </w:pPr>
          </w:p>
        </w:tc>
      </w:tr>
      <w:tr w14:paraId="09F5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60" w:type="dxa"/>
            <w:noWrap w:val="0"/>
            <w:vAlign w:val="top"/>
          </w:tcPr>
          <w:p w14:paraId="15C4D6BA">
            <w:pPr>
              <w:spacing w:line="360" w:lineRule="auto"/>
              <w:rPr>
                <w:rFonts w:hint="eastAsia" w:ascii="宋体" w:hAnsi="宋体" w:eastAsia="宋体" w:cs="宋体"/>
                <w:sz w:val="24"/>
                <w:szCs w:val="24"/>
                <w:vertAlign w:val="baseline"/>
              </w:rPr>
            </w:pPr>
          </w:p>
        </w:tc>
        <w:tc>
          <w:tcPr>
            <w:tcW w:w="1556" w:type="dxa"/>
            <w:noWrap w:val="0"/>
            <w:vAlign w:val="top"/>
          </w:tcPr>
          <w:p w14:paraId="1C811008">
            <w:pPr>
              <w:spacing w:line="360" w:lineRule="auto"/>
              <w:rPr>
                <w:rFonts w:hint="eastAsia" w:ascii="宋体" w:hAnsi="宋体" w:eastAsia="宋体" w:cs="宋体"/>
                <w:sz w:val="24"/>
                <w:szCs w:val="24"/>
                <w:vertAlign w:val="baseline"/>
              </w:rPr>
            </w:pPr>
          </w:p>
        </w:tc>
        <w:tc>
          <w:tcPr>
            <w:tcW w:w="1089" w:type="dxa"/>
            <w:noWrap w:val="0"/>
            <w:vAlign w:val="top"/>
          </w:tcPr>
          <w:p w14:paraId="4C7BC5B6">
            <w:pPr>
              <w:spacing w:line="360" w:lineRule="auto"/>
              <w:rPr>
                <w:rFonts w:hint="eastAsia" w:ascii="宋体" w:hAnsi="宋体" w:eastAsia="宋体" w:cs="宋体"/>
                <w:sz w:val="24"/>
                <w:szCs w:val="24"/>
                <w:vertAlign w:val="baseline"/>
              </w:rPr>
            </w:pPr>
          </w:p>
        </w:tc>
        <w:tc>
          <w:tcPr>
            <w:tcW w:w="1089" w:type="dxa"/>
            <w:noWrap w:val="0"/>
            <w:vAlign w:val="top"/>
          </w:tcPr>
          <w:p w14:paraId="53AECF1D">
            <w:pPr>
              <w:spacing w:line="360" w:lineRule="auto"/>
              <w:rPr>
                <w:rFonts w:hint="eastAsia" w:ascii="宋体" w:hAnsi="宋体" w:eastAsia="宋体" w:cs="宋体"/>
                <w:sz w:val="24"/>
                <w:szCs w:val="24"/>
                <w:vertAlign w:val="baseline"/>
              </w:rPr>
            </w:pPr>
          </w:p>
        </w:tc>
        <w:tc>
          <w:tcPr>
            <w:tcW w:w="1089" w:type="dxa"/>
            <w:noWrap w:val="0"/>
            <w:vAlign w:val="top"/>
          </w:tcPr>
          <w:p w14:paraId="3284BD42">
            <w:pPr>
              <w:spacing w:line="360" w:lineRule="auto"/>
              <w:rPr>
                <w:rFonts w:hint="eastAsia" w:ascii="宋体" w:hAnsi="宋体" w:eastAsia="宋体" w:cs="宋体"/>
                <w:sz w:val="24"/>
                <w:szCs w:val="24"/>
                <w:vertAlign w:val="baseline"/>
              </w:rPr>
            </w:pPr>
          </w:p>
        </w:tc>
        <w:tc>
          <w:tcPr>
            <w:tcW w:w="1089" w:type="dxa"/>
            <w:noWrap w:val="0"/>
            <w:vAlign w:val="top"/>
          </w:tcPr>
          <w:p w14:paraId="14B17456">
            <w:pPr>
              <w:spacing w:line="360" w:lineRule="auto"/>
              <w:rPr>
                <w:rFonts w:hint="eastAsia" w:ascii="宋体" w:hAnsi="宋体" w:eastAsia="宋体" w:cs="宋体"/>
                <w:sz w:val="24"/>
                <w:szCs w:val="24"/>
                <w:vertAlign w:val="baseline"/>
              </w:rPr>
            </w:pPr>
          </w:p>
        </w:tc>
        <w:tc>
          <w:tcPr>
            <w:tcW w:w="1089" w:type="dxa"/>
            <w:noWrap w:val="0"/>
            <w:vAlign w:val="top"/>
          </w:tcPr>
          <w:p w14:paraId="75028FF6">
            <w:pPr>
              <w:spacing w:line="360" w:lineRule="auto"/>
              <w:rPr>
                <w:rFonts w:hint="eastAsia" w:ascii="宋体" w:hAnsi="宋体" w:eastAsia="宋体" w:cs="宋体"/>
                <w:sz w:val="24"/>
                <w:szCs w:val="24"/>
                <w:vertAlign w:val="baseline"/>
              </w:rPr>
            </w:pPr>
          </w:p>
        </w:tc>
        <w:tc>
          <w:tcPr>
            <w:tcW w:w="1123" w:type="dxa"/>
            <w:noWrap w:val="0"/>
            <w:vAlign w:val="top"/>
          </w:tcPr>
          <w:p w14:paraId="65E9F205">
            <w:pPr>
              <w:spacing w:line="360" w:lineRule="auto"/>
              <w:rPr>
                <w:rFonts w:hint="eastAsia" w:ascii="宋体" w:hAnsi="宋体" w:eastAsia="宋体" w:cs="宋体"/>
                <w:sz w:val="24"/>
                <w:szCs w:val="24"/>
                <w:vertAlign w:val="baseline"/>
              </w:rPr>
            </w:pPr>
          </w:p>
        </w:tc>
      </w:tr>
      <w:tr w14:paraId="06CE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60" w:type="dxa"/>
            <w:noWrap w:val="0"/>
            <w:vAlign w:val="top"/>
          </w:tcPr>
          <w:p w14:paraId="1B34045C">
            <w:pPr>
              <w:spacing w:line="360" w:lineRule="auto"/>
              <w:rPr>
                <w:rFonts w:hint="eastAsia" w:ascii="宋体" w:hAnsi="宋体" w:eastAsia="宋体" w:cs="宋体"/>
                <w:sz w:val="24"/>
                <w:szCs w:val="24"/>
                <w:vertAlign w:val="baseline"/>
              </w:rPr>
            </w:pPr>
          </w:p>
        </w:tc>
        <w:tc>
          <w:tcPr>
            <w:tcW w:w="1556" w:type="dxa"/>
            <w:noWrap w:val="0"/>
            <w:vAlign w:val="top"/>
          </w:tcPr>
          <w:p w14:paraId="095F2888">
            <w:pPr>
              <w:spacing w:line="360" w:lineRule="auto"/>
              <w:rPr>
                <w:rFonts w:hint="eastAsia" w:ascii="宋体" w:hAnsi="宋体" w:eastAsia="宋体" w:cs="宋体"/>
                <w:sz w:val="24"/>
                <w:szCs w:val="24"/>
                <w:vertAlign w:val="baseline"/>
              </w:rPr>
            </w:pPr>
          </w:p>
        </w:tc>
        <w:tc>
          <w:tcPr>
            <w:tcW w:w="1089" w:type="dxa"/>
            <w:noWrap w:val="0"/>
            <w:vAlign w:val="top"/>
          </w:tcPr>
          <w:p w14:paraId="05102B1F">
            <w:pPr>
              <w:spacing w:line="360" w:lineRule="auto"/>
              <w:rPr>
                <w:rFonts w:hint="eastAsia" w:ascii="宋体" w:hAnsi="宋体" w:eastAsia="宋体" w:cs="宋体"/>
                <w:sz w:val="24"/>
                <w:szCs w:val="24"/>
                <w:vertAlign w:val="baseline"/>
              </w:rPr>
            </w:pPr>
          </w:p>
        </w:tc>
        <w:tc>
          <w:tcPr>
            <w:tcW w:w="1089" w:type="dxa"/>
            <w:noWrap w:val="0"/>
            <w:vAlign w:val="top"/>
          </w:tcPr>
          <w:p w14:paraId="67FF61CB">
            <w:pPr>
              <w:spacing w:line="360" w:lineRule="auto"/>
              <w:rPr>
                <w:rFonts w:hint="eastAsia" w:ascii="宋体" w:hAnsi="宋体" w:eastAsia="宋体" w:cs="宋体"/>
                <w:sz w:val="24"/>
                <w:szCs w:val="24"/>
                <w:vertAlign w:val="baseline"/>
              </w:rPr>
            </w:pPr>
          </w:p>
        </w:tc>
        <w:tc>
          <w:tcPr>
            <w:tcW w:w="1089" w:type="dxa"/>
            <w:noWrap w:val="0"/>
            <w:vAlign w:val="top"/>
          </w:tcPr>
          <w:p w14:paraId="380277FB">
            <w:pPr>
              <w:spacing w:line="360" w:lineRule="auto"/>
              <w:rPr>
                <w:rFonts w:hint="eastAsia" w:ascii="宋体" w:hAnsi="宋体" w:eastAsia="宋体" w:cs="宋体"/>
                <w:sz w:val="24"/>
                <w:szCs w:val="24"/>
                <w:vertAlign w:val="baseline"/>
              </w:rPr>
            </w:pPr>
          </w:p>
        </w:tc>
        <w:tc>
          <w:tcPr>
            <w:tcW w:w="1089" w:type="dxa"/>
            <w:noWrap w:val="0"/>
            <w:vAlign w:val="top"/>
          </w:tcPr>
          <w:p w14:paraId="073A4B63">
            <w:pPr>
              <w:spacing w:line="360" w:lineRule="auto"/>
              <w:rPr>
                <w:rFonts w:hint="eastAsia" w:ascii="宋体" w:hAnsi="宋体" w:eastAsia="宋体" w:cs="宋体"/>
                <w:sz w:val="24"/>
                <w:szCs w:val="24"/>
                <w:vertAlign w:val="baseline"/>
              </w:rPr>
            </w:pPr>
          </w:p>
        </w:tc>
        <w:tc>
          <w:tcPr>
            <w:tcW w:w="1089" w:type="dxa"/>
            <w:noWrap w:val="0"/>
            <w:vAlign w:val="top"/>
          </w:tcPr>
          <w:p w14:paraId="336EA3B2">
            <w:pPr>
              <w:spacing w:line="360" w:lineRule="auto"/>
              <w:rPr>
                <w:rFonts w:hint="eastAsia" w:ascii="宋体" w:hAnsi="宋体" w:eastAsia="宋体" w:cs="宋体"/>
                <w:sz w:val="24"/>
                <w:szCs w:val="24"/>
                <w:vertAlign w:val="baseline"/>
              </w:rPr>
            </w:pPr>
          </w:p>
        </w:tc>
        <w:tc>
          <w:tcPr>
            <w:tcW w:w="1123" w:type="dxa"/>
            <w:noWrap w:val="0"/>
            <w:vAlign w:val="top"/>
          </w:tcPr>
          <w:p w14:paraId="11A92702">
            <w:pPr>
              <w:spacing w:line="360" w:lineRule="auto"/>
              <w:rPr>
                <w:rFonts w:hint="eastAsia" w:ascii="宋体" w:hAnsi="宋体" w:eastAsia="宋体" w:cs="宋体"/>
                <w:sz w:val="24"/>
                <w:szCs w:val="24"/>
                <w:vertAlign w:val="baseline"/>
              </w:rPr>
            </w:pPr>
          </w:p>
        </w:tc>
      </w:tr>
    </w:tbl>
    <w:p w14:paraId="1E4BE70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55CE2E65">
      <w:pPr>
        <w:pageBreakBefore w:val="0"/>
        <w:wordWrap/>
        <w:overflowPunct/>
        <w:topLinePunct w:val="0"/>
        <w:bidi w:val="0"/>
        <w:spacing w:line="560" w:lineRule="exact"/>
        <w:ind w:left="0" w:leftChars="0" w:right="0" w:rightChars="0"/>
        <w:rPr>
          <w:rFonts w:hint="eastAsia" w:ascii="宋体" w:hAnsi="宋体" w:eastAsia="宋体" w:cs="宋体"/>
          <w:b w:val="0"/>
          <w:bCs/>
          <w:color w:val="auto"/>
          <w:kern w:val="2"/>
          <w:sz w:val="24"/>
          <w:szCs w:val="24"/>
          <w:lang w:val="en-US" w:eastAsia="zh-CN" w:bidi="ar-SA"/>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应对照</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eastAsia="zh-CN"/>
        </w:rPr>
        <w:t>项目采购需求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中技术参数</w:t>
      </w:r>
      <w:r>
        <w:rPr>
          <w:rFonts w:hint="eastAsia" w:ascii="宋体" w:hAnsi="宋体" w:eastAsia="宋体" w:cs="宋体"/>
          <w:color w:val="auto"/>
          <w:sz w:val="24"/>
          <w:szCs w:val="24"/>
          <w:highlight w:val="none"/>
        </w:rPr>
        <w:t>逐项填写，</w:t>
      </w:r>
      <w:r>
        <w:rPr>
          <w:rFonts w:hint="eastAsia" w:ascii="宋体" w:hAnsi="宋体" w:eastAsia="宋体" w:cs="宋体"/>
          <w:color w:val="auto"/>
          <w:sz w:val="24"/>
          <w:szCs w:val="24"/>
          <w:highlight w:val="none"/>
          <w:lang w:val="en-US" w:eastAsia="zh-CN"/>
        </w:rPr>
        <w:t>在“技术需求偏离表”中的“</w:t>
      </w:r>
      <w:r>
        <w:rPr>
          <w:rFonts w:hint="eastAsia" w:ascii="宋体" w:hAnsi="宋体" w:eastAsia="宋体" w:cs="宋体"/>
          <w:color w:val="auto"/>
          <w:sz w:val="24"/>
          <w:szCs w:val="24"/>
          <w:highlight w:val="none"/>
        </w:rPr>
        <w:t>偏离</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注明“正偏离”或</w:t>
      </w:r>
      <w:r>
        <w:rPr>
          <w:rFonts w:hint="eastAsia" w:ascii="宋体" w:hAnsi="宋体" w:cs="宋体"/>
          <w:color w:val="auto"/>
          <w:sz w:val="24"/>
          <w:szCs w:val="24"/>
          <w:highlight w:val="none"/>
          <w:lang w:val="en-US" w:eastAsia="zh-CN"/>
        </w:rPr>
        <w:t>“负偏离”或</w:t>
      </w:r>
      <w:r>
        <w:rPr>
          <w:rFonts w:hint="eastAsia" w:ascii="宋体" w:hAnsi="宋体" w:eastAsia="宋体" w:cs="宋体"/>
          <w:color w:val="auto"/>
          <w:sz w:val="24"/>
          <w:szCs w:val="24"/>
          <w:highlight w:val="none"/>
          <w:lang w:val="en-US" w:eastAsia="zh-CN"/>
        </w:rPr>
        <w:t>“无偏离”，</w:t>
      </w:r>
      <w:r>
        <w:rPr>
          <w:rFonts w:hint="eastAsia" w:ascii="宋体" w:hAnsi="宋体" w:eastAsia="宋体" w:cs="宋体"/>
          <w:color w:val="auto"/>
          <w:sz w:val="24"/>
          <w:szCs w:val="24"/>
          <w:highlight w:val="none"/>
        </w:rPr>
        <w:t>不得虚假响应</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GB"/>
        </w:rPr>
        <w:t>投标人</w:t>
      </w:r>
      <w:r>
        <w:rPr>
          <w:rFonts w:hint="eastAsia" w:ascii="宋体" w:hAnsi="宋体" w:eastAsia="宋体" w:cs="宋体"/>
          <w:b w:val="0"/>
          <w:bCs/>
          <w:color w:val="auto"/>
          <w:kern w:val="2"/>
          <w:sz w:val="24"/>
          <w:szCs w:val="24"/>
          <w:lang w:val="en-US" w:eastAsia="zh-CN" w:bidi="ar-SA"/>
        </w:rPr>
        <w:t>对于偏离情况请如实列出，否则根据情况承担相应后果。</w:t>
      </w:r>
    </w:p>
    <w:p w14:paraId="0A9405DE">
      <w:pPr>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（2）签</w:t>
      </w:r>
      <w:r>
        <w:rPr>
          <w:rFonts w:hint="eastAsia" w:ascii="宋体" w:hAnsi="宋体" w:eastAsia="宋体" w:cs="宋体"/>
          <w:b w:val="0"/>
          <w:bCs/>
          <w:color w:val="auto"/>
          <w:kern w:val="2"/>
          <w:sz w:val="24"/>
          <w:szCs w:val="24"/>
          <w:lang w:val="en-US" w:eastAsia="zh-CN" w:bidi="ar-SA"/>
        </w:rPr>
        <w:t>订合同时，</w:t>
      </w:r>
      <w:r>
        <w:rPr>
          <w:rFonts w:hint="eastAsia" w:ascii="宋体" w:hAnsi="宋体" w:eastAsia="宋体" w:cs="宋体"/>
          <w:kern w:val="2"/>
          <w:sz w:val="24"/>
          <w:szCs w:val="24"/>
          <w:lang w:val="en-US" w:eastAsia="zh-CN" w:bidi="ar-SA"/>
        </w:rPr>
        <w:t>对于</w:t>
      </w:r>
      <w:r>
        <w:rPr>
          <w:rFonts w:hint="eastAsia" w:ascii="宋体" w:hAnsi="宋体" w:eastAsia="宋体" w:cs="宋体"/>
          <w:color w:val="auto"/>
          <w:sz w:val="24"/>
          <w:szCs w:val="24"/>
          <w:highlight w:val="none"/>
          <w:lang w:val="en-GB"/>
        </w:rPr>
        <w:t>招标</w:t>
      </w:r>
      <w:r>
        <w:rPr>
          <w:rFonts w:hint="eastAsia" w:ascii="宋体" w:hAnsi="宋体" w:eastAsia="宋体" w:cs="宋体"/>
          <w:kern w:val="2"/>
          <w:sz w:val="24"/>
          <w:szCs w:val="24"/>
          <w:lang w:val="en-US" w:eastAsia="zh-CN" w:bidi="ar-SA"/>
        </w:rPr>
        <w:t>文件中的所有技术条款，除在本表中已列明的所有偏离外，均视作完全响应和满足</w:t>
      </w:r>
      <w:r>
        <w:rPr>
          <w:rFonts w:hint="eastAsia" w:ascii="宋体" w:hAnsi="宋体" w:eastAsia="宋体" w:cs="宋体"/>
          <w:color w:val="auto"/>
          <w:sz w:val="24"/>
          <w:szCs w:val="24"/>
          <w:highlight w:val="none"/>
          <w:lang w:val="en-GB"/>
        </w:rPr>
        <w:t>招标</w:t>
      </w:r>
      <w:r>
        <w:rPr>
          <w:rFonts w:hint="eastAsia" w:ascii="宋体" w:hAnsi="宋体" w:eastAsia="宋体" w:cs="宋体"/>
          <w:kern w:val="2"/>
          <w:sz w:val="24"/>
          <w:szCs w:val="24"/>
          <w:lang w:val="en-US" w:eastAsia="zh-CN" w:bidi="ar-SA"/>
        </w:rPr>
        <w:t>文件中的要求。</w:t>
      </w:r>
    </w:p>
    <w:p w14:paraId="26380AB0">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投标人名称（盖章）：</w:t>
      </w:r>
    </w:p>
    <w:p w14:paraId="0DA51B9B">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授权人</w:t>
      </w:r>
      <w:r>
        <w:rPr>
          <w:rFonts w:hint="eastAsia" w:ascii="宋体" w:hAnsi="宋体" w:eastAsia="宋体" w:cs="宋体"/>
          <w:color w:val="auto"/>
          <w:sz w:val="24"/>
          <w:szCs w:val="24"/>
          <w:highlight w:val="none"/>
        </w:rPr>
        <w:t>或被授权人（签字或盖章）</w:t>
      </w:r>
      <w:r>
        <w:rPr>
          <w:rFonts w:hint="eastAsia" w:ascii="宋体" w:hAnsi="宋体" w:eastAsia="宋体" w:cs="宋体"/>
          <w:bCs/>
          <w:color w:val="auto"/>
          <w:sz w:val="24"/>
          <w:szCs w:val="24"/>
          <w:highlight w:val="none"/>
        </w:rPr>
        <w:t>：</w:t>
      </w:r>
    </w:p>
    <w:p w14:paraId="09F63C8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日期： 年 月 日</w:t>
      </w:r>
    </w:p>
    <w:p w14:paraId="18F5D263">
      <w:pPr>
        <w:pStyle w:val="1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jc w:val="center"/>
        <w:textAlignment w:val="auto"/>
        <w:outlineLvl w:val="2"/>
        <w:rPr>
          <w:rFonts w:hint="eastAsia" w:ascii="宋体" w:hAnsi="宋体" w:eastAsia="宋体" w:cs="宋体"/>
          <w:b/>
          <w:bCs/>
          <w:caps w:val="0"/>
          <w:color w:val="auto"/>
          <w:spacing w:val="0"/>
          <w:w w:val="100"/>
          <w:kern w:val="0"/>
          <w:sz w:val="24"/>
          <w:szCs w:val="24"/>
          <w:highlight w:val="none"/>
          <w:lang w:eastAsia="zh-CN"/>
        </w:rPr>
      </w:pPr>
    </w:p>
    <w:p w14:paraId="56C1BC46">
      <w:pPr>
        <w:pStyle w:val="1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jc w:val="center"/>
        <w:textAlignment w:val="auto"/>
        <w:outlineLvl w:val="2"/>
        <w:rPr>
          <w:rFonts w:hint="eastAsia" w:ascii="宋体" w:hAnsi="宋体" w:eastAsia="宋体" w:cs="宋体"/>
          <w:b/>
          <w:bCs/>
          <w:caps w:val="0"/>
          <w:color w:val="auto"/>
          <w:spacing w:val="0"/>
          <w:w w:val="100"/>
          <w:kern w:val="0"/>
          <w:sz w:val="24"/>
          <w:szCs w:val="24"/>
          <w:highlight w:val="none"/>
          <w:lang w:eastAsia="zh-CN"/>
        </w:rPr>
      </w:pPr>
    </w:p>
    <w:p w14:paraId="4991787E">
      <w:pPr>
        <w:pStyle w:val="1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jc w:val="center"/>
        <w:textAlignment w:val="auto"/>
        <w:outlineLvl w:val="2"/>
        <w:rPr>
          <w:rFonts w:hint="eastAsia" w:ascii="宋体" w:hAnsi="宋体" w:eastAsia="宋体" w:cs="宋体"/>
          <w:b/>
          <w:bCs/>
          <w:caps w:val="0"/>
          <w:color w:val="auto"/>
          <w:spacing w:val="0"/>
          <w:w w:val="100"/>
          <w:kern w:val="0"/>
          <w:sz w:val="24"/>
          <w:szCs w:val="24"/>
          <w:highlight w:val="none"/>
          <w:lang w:eastAsia="zh-CN"/>
        </w:rPr>
      </w:pPr>
    </w:p>
    <w:bookmarkEnd w:id="143"/>
    <w:p w14:paraId="4138F319">
      <w:pPr>
        <w:pageBreakBefore w:val="0"/>
        <w:wordWrap/>
        <w:overflowPunct/>
        <w:topLinePunct w:val="0"/>
        <w:bidi w:val="0"/>
        <w:spacing w:line="560" w:lineRule="exact"/>
        <w:ind w:left="0" w:leftChars="0" w:right="0" w:rightChars="0"/>
        <w:jc w:val="center"/>
        <w:rPr>
          <w:rFonts w:hint="eastAsia" w:ascii="宋体" w:hAnsi="宋体" w:eastAsia="宋体" w:cs="宋体"/>
          <w:b/>
          <w:bCs/>
          <w:color w:val="auto"/>
          <w:kern w:val="0"/>
          <w:sz w:val="24"/>
          <w:szCs w:val="24"/>
          <w:highlight w:val="none"/>
          <w:lang w:eastAsia="zh-CN"/>
        </w:rPr>
      </w:pPr>
      <w:bookmarkStart w:id="144" w:name="_Toc13020"/>
      <w:bookmarkStart w:id="145" w:name="_Toc9179"/>
      <w:r>
        <w:rPr>
          <w:rFonts w:hint="eastAsia" w:ascii="宋体" w:hAnsi="宋体" w:cs="宋体"/>
          <w:b/>
          <w:bCs/>
          <w:color w:val="auto"/>
          <w:kern w:val="0"/>
          <w:sz w:val="24"/>
          <w:szCs w:val="24"/>
          <w:highlight w:val="none"/>
          <w:lang w:val="en-US" w:eastAsia="zh-CN"/>
        </w:rPr>
        <w:t>九</w:t>
      </w:r>
      <w:r>
        <w:rPr>
          <w:rFonts w:hint="eastAsia" w:ascii="宋体" w:hAnsi="宋体" w:eastAsia="宋体" w:cs="宋体"/>
          <w:b/>
          <w:bCs/>
          <w:color w:val="auto"/>
          <w:kern w:val="0"/>
          <w:sz w:val="24"/>
          <w:szCs w:val="24"/>
          <w:highlight w:val="none"/>
          <w:lang w:eastAsia="zh-CN"/>
        </w:rPr>
        <w:t>、服务承诺及技术方案</w:t>
      </w:r>
    </w:p>
    <w:bookmarkEnd w:id="144"/>
    <w:bookmarkEnd w:id="145"/>
    <w:p w14:paraId="63F0A3BB">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2424D3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投标人应根据本招标文件要求和项目的具体情况，自行编制</w:t>
      </w:r>
      <w:r>
        <w:rPr>
          <w:rFonts w:hint="eastAsia" w:ascii="宋体" w:hAnsi="宋体" w:eastAsia="宋体" w:cs="宋体"/>
          <w:color w:val="auto"/>
          <w:sz w:val="24"/>
          <w:szCs w:val="24"/>
          <w:highlight w:val="none"/>
          <w:lang w:eastAsia="zh-CN"/>
        </w:rPr>
        <w:t>技术方案</w:t>
      </w:r>
      <w:r>
        <w:rPr>
          <w:rFonts w:hint="eastAsia" w:ascii="宋体" w:hAnsi="宋体" w:eastAsia="宋体" w:cs="宋体"/>
          <w:color w:val="auto"/>
          <w:sz w:val="24"/>
          <w:szCs w:val="24"/>
          <w:highlight w:val="none"/>
        </w:rPr>
        <w:t>，格式自拟，但应主要包括以下内容：</w:t>
      </w:r>
    </w:p>
    <w:bookmarkEnd w:id="140"/>
    <w:p w14:paraId="62F1FF3C">
      <w:pPr>
        <w:pageBreakBefore w:val="0"/>
        <w:wordWrap/>
        <w:overflowPunct/>
        <w:topLinePunct w:val="0"/>
        <w:bidi w:val="0"/>
        <w:spacing w:line="560" w:lineRule="exact"/>
        <w:ind w:left="0" w:leftChars="0" w:right="0" w:rightChars="0"/>
        <w:rPr>
          <w:rFonts w:hint="eastAsia" w:ascii="宋体" w:hAnsi="宋体" w:eastAsia="宋体" w:cs="宋体"/>
          <w:b/>
          <w:bCs/>
          <w:color w:val="auto"/>
          <w:kern w:val="0"/>
          <w:sz w:val="24"/>
          <w:szCs w:val="24"/>
          <w:highlight w:val="none"/>
          <w:lang w:val="en-US" w:eastAsia="zh-CN"/>
        </w:rPr>
      </w:pPr>
      <w:bookmarkStart w:id="146" w:name="_Toc31271_WPSOffice_Level1"/>
      <w:r>
        <w:rPr>
          <w:rFonts w:hint="eastAsia" w:ascii="宋体" w:hAnsi="宋体" w:eastAsia="宋体" w:cs="宋体"/>
          <w:b/>
          <w:bCs/>
          <w:color w:val="auto"/>
          <w:kern w:val="0"/>
          <w:sz w:val="24"/>
          <w:szCs w:val="24"/>
          <w:highlight w:val="none"/>
          <w:lang w:val="en-US" w:eastAsia="zh-CN"/>
        </w:rPr>
        <w:t xml:space="preserve"> </w:t>
      </w:r>
    </w:p>
    <w:p w14:paraId="28C71805">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（1）整体服务方案； </w:t>
      </w:r>
    </w:p>
    <w:p w14:paraId="679DCE45">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（2）各项管理制度；</w:t>
      </w:r>
    </w:p>
    <w:p w14:paraId="1CAF277F">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（3）应急预案； </w:t>
      </w:r>
    </w:p>
    <w:p w14:paraId="28A016B8">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（4）工作场所； </w:t>
      </w:r>
    </w:p>
    <w:p w14:paraId="4DB5740A">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（5）运输车辆； </w:t>
      </w:r>
    </w:p>
    <w:p w14:paraId="4D018972">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（6）洗涤工厂硬件设施质量； </w:t>
      </w:r>
    </w:p>
    <w:p w14:paraId="447DF0E7">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（7）洗涤生产能力； </w:t>
      </w:r>
    </w:p>
    <w:p w14:paraId="0AE1FFF9">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（8）安全保障； </w:t>
      </w:r>
    </w:p>
    <w:p w14:paraId="5BC6E673">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（9）拟投入本项目的人员及配置； </w:t>
      </w:r>
    </w:p>
    <w:p w14:paraId="5C2D11CF">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（10）售后服务方案；</w:t>
      </w:r>
    </w:p>
    <w:p w14:paraId="5A0FFC05">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（11）其他。</w:t>
      </w:r>
    </w:p>
    <w:p w14:paraId="772A1EA5">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br w:type="page"/>
      </w:r>
    </w:p>
    <w:p w14:paraId="6255476C">
      <w:pPr>
        <w:pStyle w:val="13"/>
        <w:pageBreakBefore w:val="0"/>
        <w:wordWrap/>
        <w:overflowPunct/>
        <w:topLinePunct w:val="0"/>
        <w:bidi w:val="0"/>
        <w:spacing w:line="560" w:lineRule="exact"/>
        <w:ind w:left="0" w:leftChars="0" w:right="0" w:rightChars="0" w:firstLine="482" w:firstLineChars="200"/>
        <w:jc w:val="center"/>
        <w:outlineLvl w:val="1"/>
        <w:rPr>
          <w:rFonts w:hint="eastAsia" w:ascii="宋体" w:hAnsi="宋体" w:eastAsia="宋体" w:cs="宋体"/>
          <w:b/>
          <w:bCs/>
          <w:color w:val="auto"/>
          <w:kern w:val="0"/>
          <w:sz w:val="24"/>
          <w:szCs w:val="24"/>
          <w:highlight w:val="none"/>
        </w:rPr>
      </w:pPr>
      <w:r>
        <w:rPr>
          <w:rFonts w:hint="eastAsia" w:hAnsi="宋体" w:cs="宋体"/>
          <w:b/>
          <w:bCs/>
          <w:color w:val="auto"/>
          <w:kern w:val="0"/>
          <w:sz w:val="24"/>
          <w:szCs w:val="24"/>
          <w:highlight w:val="none"/>
          <w:lang w:val="en-US" w:eastAsia="zh-CN"/>
        </w:rPr>
        <w:t>十</w:t>
      </w:r>
      <w:r>
        <w:rPr>
          <w:rFonts w:hint="eastAsia" w:ascii="宋体" w:hAnsi="宋体" w:eastAsia="宋体" w:cs="宋体"/>
          <w:b/>
          <w:bCs/>
          <w:color w:val="auto"/>
          <w:kern w:val="0"/>
          <w:sz w:val="24"/>
          <w:szCs w:val="24"/>
          <w:highlight w:val="none"/>
        </w:rPr>
        <w:t>、政府采购政策</w:t>
      </w:r>
    </w:p>
    <w:p w14:paraId="048C16CD">
      <w:pPr>
        <w:pStyle w:val="13"/>
        <w:pageBreakBefore w:val="0"/>
        <w:wordWrap/>
        <w:overflowPunct/>
        <w:topLinePunct w:val="0"/>
        <w:bidi w:val="0"/>
        <w:spacing w:line="560" w:lineRule="exact"/>
        <w:ind w:left="0" w:leftChars="0" w:right="0" w:rightChars="0" w:firstLine="482" w:firstLineChars="200"/>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0"/>
          <w:sz w:val="24"/>
          <w:szCs w:val="24"/>
          <w:highlight w:val="none"/>
        </w:rPr>
        <w:t>（一）</w:t>
      </w:r>
      <w:r>
        <w:rPr>
          <w:rFonts w:hint="eastAsia" w:ascii="宋体" w:hAnsi="宋体" w:eastAsia="宋体" w:cs="宋体"/>
          <w:b/>
          <w:bCs/>
          <w:color w:val="auto"/>
          <w:sz w:val="24"/>
          <w:szCs w:val="24"/>
          <w:highlight w:val="none"/>
        </w:rPr>
        <w:t>中小企业声明函</w:t>
      </w:r>
    </w:p>
    <w:p w14:paraId="6DC0B577">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rPr>
          <w:rFonts w:hint="eastAsia" w:ascii="宋体" w:hAnsi="宋体" w:eastAsia="宋体" w:cs="宋体"/>
          <w:b w:val="0"/>
          <w:bCs/>
          <w:color w:val="auto"/>
          <w:kern w:val="2"/>
          <w:sz w:val="24"/>
          <w:szCs w:val="24"/>
          <w:highlight w:val="none"/>
          <w:lang w:val="en-US" w:eastAsia="zh-CN" w:bidi="ar-SA"/>
        </w:rPr>
      </w:pPr>
    </w:p>
    <w:p w14:paraId="0ED64E3A">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b w:val="0"/>
          <w:bCs/>
          <w:color w:val="auto"/>
          <w:kern w:val="2"/>
          <w:sz w:val="24"/>
          <w:szCs w:val="24"/>
          <w:highlight w:val="none"/>
          <w:u w:val="single"/>
          <w:lang w:val="en-US" w:eastAsia="zh-CN" w:bidi="ar-SA"/>
        </w:rPr>
        <w:t>（单位名称）</w:t>
      </w:r>
      <w:r>
        <w:rPr>
          <w:rFonts w:hint="eastAsia" w:ascii="宋体" w:hAnsi="宋体" w:eastAsia="宋体" w:cs="宋体"/>
          <w:b w:val="0"/>
          <w:bCs/>
          <w:color w:val="auto"/>
          <w:kern w:val="2"/>
          <w:sz w:val="24"/>
          <w:szCs w:val="24"/>
          <w:highlight w:val="none"/>
          <w:lang w:val="en-US" w:eastAsia="zh-CN" w:bidi="ar-SA"/>
        </w:rPr>
        <w:t>的</w:t>
      </w:r>
      <w:r>
        <w:rPr>
          <w:rFonts w:hint="eastAsia" w:ascii="宋体" w:hAnsi="宋体" w:eastAsia="宋体" w:cs="宋体"/>
          <w:b w:val="0"/>
          <w:bCs/>
          <w:color w:val="auto"/>
          <w:kern w:val="2"/>
          <w:sz w:val="24"/>
          <w:szCs w:val="24"/>
          <w:highlight w:val="none"/>
          <w:u w:val="single"/>
          <w:lang w:val="en-US" w:eastAsia="zh-CN" w:bidi="ar-SA"/>
        </w:rPr>
        <w:t>（项目名称）</w:t>
      </w:r>
      <w:r>
        <w:rPr>
          <w:rFonts w:hint="eastAsia" w:ascii="宋体" w:hAnsi="宋体" w:eastAsia="宋体" w:cs="宋体"/>
          <w:b w:val="0"/>
          <w:bCs/>
          <w:color w:val="auto"/>
          <w:kern w:val="2"/>
          <w:sz w:val="24"/>
          <w:szCs w:val="24"/>
          <w:highlight w:val="none"/>
          <w:lang w:val="en-US" w:eastAsia="zh-CN" w:bidi="ar-SA"/>
        </w:rPr>
        <w:t>采购活动，工程的施工单位全部为符合政策要求的中小企业（或者：服务 全部由符合政策要求的中小企业承接）。相关企业（含联合体中的中小企业、签订分包意向协议的中小企业）的具体情况如下：</w:t>
      </w:r>
    </w:p>
    <w:p w14:paraId="64E52AB9">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600" w:leftChars="0" w:right="420" w:rightChars="200" w:firstLine="420" w:firstLineChars="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u w:val="single"/>
          <w:lang w:val="en-US" w:eastAsia="zh-CN" w:bidi="ar-SA"/>
        </w:rPr>
        <w:t xml:space="preserve">（标的名称） </w:t>
      </w:r>
      <w:r>
        <w:rPr>
          <w:rFonts w:hint="eastAsia" w:ascii="宋体" w:hAnsi="宋体" w:eastAsia="宋体" w:cs="宋体"/>
          <w:b w:val="0"/>
          <w:bCs/>
          <w:color w:val="auto"/>
          <w:kern w:val="2"/>
          <w:sz w:val="24"/>
          <w:szCs w:val="24"/>
          <w:highlight w:val="none"/>
          <w:lang w:val="en-US" w:eastAsia="zh-CN" w:bidi="ar-SA"/>
        </w:rPr>
        <w:t>，属于</w:t>
      </w:r>
      <w:r>
        <w:rPr>
          <w:rFonts w:hint="eastAsia" w:ascii="宋体" w:hAnsi="宋体" w:eastAsia="宋体" w:cs="宋体"/>
          <w:b w:val="0"/>
          <w:bCs/>
          <w:color w:val="auto"/>
          <w:kern w:val="2"/>
          <w:sz w:val="24"/>
          <w:szCs w:val="24"/>
          <w:highlight w:val="none"/>
          <w:u w:val="single"/>
          <w:lang w:val="en-US" w:eastAsia="zh-CN" w:bidi="ar-SA"/>
        </w:rPr>
        <w:t>（采购文件中明确的所属行业）</w:t>
      </w:r>
      <w:r>
        <w:rPr>
          <w:rFonts w:hint="eastAsia" w:ascii="宋体" w:hAnsi="宋体" w:eastAsia="宋体" w:cs="宋体"/>
          <w:b w:val="0"/>
          <w:bCs/>
          <w:color w:val="auto"/>
          <w:kern w:val="2"/>
          <w:sz w:val="24"/>
          <w:szCs w:val="24"/>
          <w:highlight w:val="none"/>
          <w:lang w:val="en-US" w:eastAsia="zh-CN" w:bidi="ar-SA"/>
        </w:rPr>
        <w:t>； 承建（承接）企业为</w:t>
      </w:r>
      <w:r>
        <w:rPr>
          <w:rFonts w:hint="eastAsia" w:ascii="宋体" w:hAnsi="宋体" w:eastAsia="宋体" w:cs="宋体"/>
          <w:b w:val="0"/>
          <w:bCs/>
          <w:color w:val="auto"/>
          <w:kern w:val="2"/>
          <w:sz w:val="24"/>
          <w:szCs w:val="24"/>
          <w:highlight w:val="none"/>
          <w:u w:val="single"/>
          <w:lang w:val="en-US" w:eastAsia="zh-CN" w:bidi="ar-SA"/>
        </w:rPr>
        <w:t>（企业名称）</w:t>
      </w:r>
      <w:r>
        <w:rPr>
          <w:rFonts w:hint="eastAsia" w:ascii="宋体" w:hAnsi="宋体" w:eastAsia="宋体" w:cs="宋体"/>
          <w:b w:val="0"/>
          <w:bCs/>
          <w:color w:val="auto"/>
          <w:kern w:val="2"/>
          <w:sz w:val="24"/>
          <w:szCs w:val="24"/>
          <w:highlight w:val="none"/>
          <w:lang w:val="en-US" w:eastAsia="zh-CN" w:bidi="ar-SA"/>
        </w:rPr>
        <w:t>，从业人员</w:t>
      </w:r>
      <w:r>
        <w:rPr>
          <w:rFonts w:hint="eastAsia" w:ascii="宋体" w:hAnsi="宋体" w:eastAsia="宋体" w:cs="宋体"/>
          <w:b w:val="0"/>
          <w:bCs/>
          <w:color w:val="auto"/>
          <w:kern w:val="2"/>
          <w:sz w:val="24"/>
          <w:szCs w:val="24"/>
          <w:highlight w:val="none"/>
          <w:u w:val="single"/>
          <w:lang w:val="en-US" w:eastAsia="zh-CN" w:bidi="ar-SA"/>
        </w:rPr>
        <w:t xml:space="preserve">     </w:t>
      </w:r>
      <w:r>
        <w:rPr>
          <w:rFonts w:hint="eastAsia" w:ascii="宋体" w:hAnsi="宋体" w:eastAsia="宋体" w:cs="宋体"/>
          <w:b w:val="0"/>
          <w:bCs/>
          <w:color w:val="auto"/>
          <w:kern w:val="2"/>
          <w:sz w:val="24"/>
          <w:szCs w:val="24"/>
          <w:highlight w:val="none"/>
          <w:lang w:val="en-US" w:eastAsia="zh-CN" w:bidi="ar-SA"/>
        </w:rPr>
        <w:t>人，营业收入为</w:t>
      </w:r>
      <w:r>
        <w:rPr>
          <w:rFonts w:hint="eastAsia" w:ascii="宋体" w:hAnsi="宋体" w:eastAsia="宋体" w:cs="宋体"/>
          <w:b w:val="0"/>
          <w:bCs/>
          <w:color w:val="auto"/>
          <w:kern w:val="2"/>
          <w:sz w:val="24"/>
          <w:szCs w:val="24"/>
          <w:highlight w:val="none"/>
          <w:u w:val="single"/>
          <w:lang w:val="en-US" w:eastAsia="zh-CN" w:bidi="ar-SA"/>
        </w:rPr>
        <w:t xml:space="preserve">     </w:t>
      </w:r>
      <w:r>
        <w:rPr>
          <w:rFonts w:hint="eastAsia" w:ascii="宋体" w:hAnsi="宋体" w:eastAsia="宋体" w:cs="宋体"/>
          <w:b w:val="0"/>
          <w:bCs/>
          <w:color w:val="auto"/>
          <w:kern w:val="2"/>
          <w:sz w:val="24"/>
          <w:szCs w:val="24"/>
          <w:highlight w:val="none"/>
          <w:lang w:val="en-US" w:eastAsia="zh-CN" w:bidi="ar-SA"/>
        </w:rPr>
        <w:t>万元，资产总额为</w:t>
      </w:r>
      <w:r>
        <w:rPr>
          <w:rFonts w:hint="eastAsia" w:ascii="宋体" w:hAnsi="宋体" w:eastAsia="宋体" w:cs="宋体"/>
          <w:b w:val="0"/>
          <w:bCs/>
          <w:color w:val="auto"/>
          <w:kern w:val="2"/>
          <w:sz w:val="24"/>
          <w:szCs w:val="24"/>
          <w:highlight w:val="none"/>
          <w:u w:val="single"/>
          <w:lang w:val="en-US" w:eastAsia="zh-CN" w:bidi="ar-SA"/>
        </w:rPr>
        <w:t xml:space="preserve">     </w:t>
      </w:r>
      <w:r>
        <w:rPr>
          <w:rFonts w:hint="eastAsia" w:ascii="宋体" w:hAnsi="宋体" w:eastAsia="宋体" w:cs="宋体"/>
          <w:b w:val="0"/>
          <w:bCs/>
          <w:color w:val="auto"/>
          <w:kern w:val="2"/>
          <w:sz w:val="24"/>
          <w:szCs w:val="24"/>
          <w:highlight w:val="none"/>
          <w:lang w:val="en-US" w:eastAsia="zh-CN" w:bidi="ar-SA"/>
        </w:rPr>
        <w:t>万元，属于（</w:t>
      </w:r>
      <w:r>
        <w:rPr>
          <w:rFonts w:hint="eastAsia" w:ascii="宋体" w:hAnsi="宋体" w:eastAsia="宋体" w:cs="宋体"/>
          <w:b w:val="0"/>
          <w:bCs/>
          <w:color w:val="auto"/>
          <w:kern w:val="2"/>
          <w:sz w:val="24"/>
          <w:szCs w:val="24"/>
          <w:highlight w:val="none"/>
          <w:u w:val="single"/>
          <w:lang w:val="en-US" w:eastAsia="zh-CN" w:bidi="ar-SA"/>
        </w:rPr>
        <w:t>中型企业、 小型企业、微型企业</w:t>
      </w:r>
      <w:r>
        <w:rPr>
          <w:rFonts w:hint="eastAsia" w:ascii="宋体" w:hAnsi="宋体" w:eastAsia="宋体" w:cs="宋体"/>
          <w:b w:val="0"/>
          <w:bCs/>
          <w:color w:val="auto"/>
          <w:kern w:val="2"/>
          <w:sz w:val="24"/>
          <w:szCs w:val="24"/>
          <w:highlight w:val="none"/>
          <w:lang w:val="en-US" w:eastAsia="zh-CN" w:bidi="ar-SA"/>
        </w:rPr>
        <w:t>）；</w:t>
      </w:r>
    </w:p>
    <w:p w14:paraId="554BFA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0" w:leftChars="0" w:right="420" w:rightChars="200" w:firstLine="42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 2.</w:t>
      </w:r>
      <w:r>
        <w:rPr>
          <w:rFonts w:hint="eastAsia" w:ascii="宋体" w:hAnsi="宋体" w:eastAsia="宋体" w:cs="宋体"/>
          <w:b w:val="0"/>
          <w:bCs/>
          <w:color w:val="auto"/>
          <w:kern w:val="2"/>
          <w:sz w:val="24"/>
          <w:szCs w:val="24"/>
          <w:highlight w:val="none"/>
          <w:u w:val="single"/>
          <w:lang w:val="en-US" w:eastAsia="zh-CN" w:bidi="ar-SA"/>
        </w:rPr>
        <w:t xml:space="preserve"> （标的名称） </w:t>
      </w:r>
      <w:r>
        <w:rPr>
          <w:rFonts w:hint="eastAsia" w:ascii="宋体" w:hAnsi="宋体" w:eastAsia="宋体" w:cs="宋体"/>
          <w:b w:val="0"/>
          <w:bCs/>
          <w:color w:val="auto"/>
          <w:kern w:val="2"/>
          <w:sz w:val="24"/>
          <w:szCs w:val="24"/>
          <w:highlight w:val="none"/>
          <w:lang w:val="en-US" w:eastAsia="zh-CN" w:bidi="ar-SA"/>
        </w:rPr>
        <w:t>，属于</w:t>
      </w:r>
      <w:r>
        <w:rPr>
          <w:rFonts w:hint="eastAsia" w:ascii="宋体" w:hAnsi="宋体" w:eastAsia="宋体" w:cs="宋体"/>
          <w:b w:val="0"/>
          <w:bCs/>
          <w:color w:val="auto"/>
          <w:kern w:val="2"/>
          <w:sz w:val="24"/>
          <w:szCs w:val="24"/>
          <w:highlight w:val="none"/>
          <w:u w:val="single"/>
          <w:lang w:val="en-US" w:eastAsia="zh-CN" w:bidi="ar-SA"/>
        </w:rPr>
        <w:t>（采购文件中明确的所属行业）</w:t>
      </w:r>
      <w:r>
        <w:rPr>
          <w:rFonts w:hint="eastAsia" w:ascii="宋体" w:hAnsi="宋体" w:eastAsia="宋体" w:cs="宋体"/>
          <w:b w:val="0"/>
          <w:bCs/>
          <w:color w:val="auto"/>
          <w:kern w:val="2"/>
          <w:sz w:val="24"/>
          <w:szCs w:val="24"/>
          <w:highlight w:val="none"/>
          <w:lang w:val="en-US" w:eastAsia="zh-CN" w:bidi="ar-SA"/>
        </w:rPr>
        <w:t>； 承建（承接）企业为</w:t>
      </w:r>
      <w:r>
        <w:rPr>
          <w:rFonts w:hint="eastAsia" w:ascii="宋体" w:hAnsi="宋体" w:eastAsia="宋体" w:cs="宋体"/>
          <w:b w:val="0"/>
          <w:bCs/>
          <w:color w:val="auto"/>
          <w:kern w:val="2"/>
          <w:sz w:val="24"/>
          <w:szCs w:val="24"/>
          <w:highlight w:val="none"/>
          <w:u w:val="single"/>
          <w:lang w:val="en-US" w:eastAsia="zh-CN" w:bidi="ar-SA"/>
        </w:rPr>
        <w:t>（企业名称）</w:t>
      </w:r>
      <w:r>
        <w:rPr>
          <w:rFonts w:hint="eastAsia" w:ascii="宋体" w:hAnsi="宋体" w:eastAsia="宋体" w:cs="宋体"/>
          <w:b w:val="0"/>
          <w:bCs/>
          <w:color w:val="auto"/>
          <w:kern w:val="2"/>
          <w:sz w:val="24"/>
          <w:szCs w:val="24"/>
          <w:highlight w:val="none"/>
          <w:lang w:val="en-US" w:eastAsia="zh-CN" w:bidi="ar-SA"/>
        </w:rPr>
        <w:t>，从业人员</w:t>
      </w:r>
      <w:r>
        <w:rPr>
          <w:rFonts w:hint="eastAsia" w:ascii="宋体" w:hAnsi="宋体" w:eastAsia="宋体" w:cs="宋体"/>
          <w:b w:val="0"/>
          <w:bCs/>
          <w:color w:val="auto"/>
          <w:kern w:val="2"/>
          <w:sz w:val="24"/>
          <w:szCs w:val="24"/>
          <w:highlight w:val="none"/>
          <w:u w:val="single"/>
          <w:lang w:val="en-US" w:eastAsia="zh-CN" w:bidi="ar-SA"/>
        </w:rPr>
        <w:t xml:space="preserve">     </w:t>
      </w:r>
      <w:r>
        <w:rPr>
          <w:rFonts w:hint="eastAsia" w:ascii="宋体" w:hAnsi="宋体" w:eastAsia="宋体" w:cs="宋体"/>
          <w:b w:val="0"/>
          <w:bCs/>
          <w:color w:val="auto"/>
          <w:kern w:val="2"/>
          <w:sz w:val="24"/>
          <w:szCs w:val="24"/>
          <w:highlight w:val="none"/>
          <w:lang w:val="en-US" w:eastAsia="zh-CN" w:bidi="ar-SA"/>
        </w:rPr>
        <w:t>人，营业 收入为</w:t>
      </w:r>
      <w:r>
        <w:rPr>
          <w:rFonts w:hint="eastAsia" w:ascii="宋体" w:hAnsi="宋体" w:eastAsia="宋体" w:cs="宋体"/>
          <w:b w:val="0"/>
          <w:bCs/>
          <w:color w:val="auto"/>
          <w:kern w:val="2"/>
          <w:sz w:val="24"/>
          <w:szCs w:val="24"/>
          <w:highlight w:val="none"/>
          <w:u w:val="single"/>
          <w:lang w:val="en-US" w:eastAsia="zh-CN" w:bidi="ar-SA"/>
        </w:rPr>
        <w:t xml:space="preserve">     </w:t>
      </w:r>
      <w:r>
        <w:rPr>
          <w:rFonts w:hint="eastAsia" w:ascii="宋体" w:hAnsi="宋体" w:eastAsia="宋体" w:cs="宋体"/>
          <w:b w:val="0"/>
          <w:bCs/>
          <w:color w:val="auto"/>
          <w:kern w:val="2"/>
          <w:sz w:val="24"/>
          <w:szCs w:val="24"/>
          <w:highlight w:val="none"/>
          <w:lang w:val="en-US" w:eastAsia="zh-CN" w:bidi="ar-SA"/>
        </w:rPr>
        <w:t>万元，资产总额为</w:t>
      </w:r>
      <w:r>
        <w:rPr>
          <w:rFonts w:hint="eastAsia" w:ascii="宋体" w:hAnsi="宋体" w:eastAsia="宋体" w:cs="宋体"/>
          <w:b w:val="0"/>
          <w:bCs/>
          <w:color w:val="auto"/>
          <w:kern w:val="2"/>
          <w:sz w:val="24"/>
          <w:szCs w:val="24"/>
          <w:highlight w:val="none"/>
          <w:u w:val="single"/>
          <w:lang w:val="en-US" w:eastAsia="zh-CN" w:bidi="ar-SA"/>
        </w:rPr>
        <w:t xml:space="preserve">     </w:t>
      </w:r>
      <w:r>
        <w:rPr>
          <w:rFonts w:hint="eastAsia" w:ascii="宋体" w:hAnsi="宋体" w:eastAsia="宋体" w:cs="宋体"/>
          <w:b w:val="0"/>
          <w:bCs/>
          <w:color w:val="auto"/>
          <w:kern w:val="2"/>
          <w:sz w:val="24"/>
          <w:szCs w:val="24"/>
          <w:highlight w:val="none"/>
          <w:lang w:val="en-US" w:eastAsia="zh-CN" w:bidi="ar-SA"/>
        </w:rPr>
        <w:t>万元，属于</w:t>
      </w:r>
      <w:r>
        <w:rPr>
          <w:rFonts w:hint="eastAsia" w:ascii="宋体" w:hAnsi="宋体" w:eastAsia="宋体" w:cs="宋体"/>
          <w:b w:val="0"/>
          <w:bCs/>
          <w:color w:val="auto"/>
          <w:kern w:val="2"/>
          <w:sz w:val="24"/>
          <w:szCs w:val="24"/>
          <w:highlight w:val="none"/>
          <w:u w:val="single"/>
          <w:lang w:val="en-US" w:eastAsia="zh-CN" w:bidi="ar-SA"/>
        </w:rPr>
        <w:t>（中型企业、 小型企业、微型企业）</w:t>
      </w:r>
      <w:r>
        <w:rPr>
          <w:rFonts w:hint="eastAsia" w:ascii="宋体" w:hAnsi="宋体" w:eastAsia="宋体" w:cs="宋体"/>
          <w:b w:val="0"/>
          <w:bCs/>
          <w:color w:val="auto"/>
          <w:kern w:val="2"/>
          <w:sz w:val="24"/>
          <w:szCs w:val="24"/>
          <w:highlight w:val="none"/>
          <w:lang w:val="en-US" w:eastAsia="zh-CN" w:bidi="ar-SA"/>
        </w:rPr>
        <w:t>；</w:t>
      </w:r>
    </w:p>
    <w:p w14:paraId="48B4C5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0" w:leftChars="0" w:right="420" w:rightChars="200" w:firstLine="42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 ……</w:t>
      </w:r>
    </w:p>
    <w:p w14:paraId="1EA7FB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0" w:leftChars="0" w:right="420" w:rightChars="200" w:firstLine="42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6E2A646A">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rPr>
          <w:rFonts w:hint="eastAsia" w:ascii="宋体" w:hAnsi="宋体" w:eastAsia="宋体" w:cs="宋体"/>
          <w:b w:val="0"/>
          <w:bCs/>
          <w:kern w:val="2"/>
          <w:sz w:val="24"/>
          <w:szCs w:val="24"/>
          <w:highlight w:val="none"/>
          <w:lang w:val="en-US" w:eastAsia="zh-CN" w:bidi="ar-SA"/>
        </w:rPr>
      </w:pPr>
    </w:p>
    <w:p w14:paraId="111F872E">
      <w:pPr>
        <w:keepNext w:val="0"/>
        <w:keepLines w:val="0"/>
        <w:pageBreakBefore w:val="0"/>
        <w:widowControl w:val="0"/>
        <w:kinsoku/>
        <w:wordWrap/>
        <w:overflowPunct/>
        <w:topLinePunct w:val="0"/>
        <w:autoSpaceDE/>
        <w:autoSpaceDN/>
        <w:bidi w:val="0"/>
        <w:adjustRightInd/>
        <w:snapToGrid/>
        <w:spacing w:line="360" w:lineRule="auto"/>
        <w:ind w:right="420" w:rightChars="200" w:firstLine="4320" w:firstLineChars="180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 xml:space="preserve">企业名称（盖章）： </w:t>
      </w:r>
    </w:p>
    <w:p w14:paraId="00E6E67E">
      <w:pPr>
        <w:spacing w:line="360" w:lineRule="auto"/>
        <w:ind w:firstLine="480"/>
        <w:jc w:val="center"/>
        <w:rPr>
          <w:rFonts w:hint="eastAsia" w:ascii="宋体" w:hAnsi="宋体" w:eastAsia="宋体" w:cs="宋体"/>
          <w:sz w:val="24"/>
          <w:szCs w:val="24"/>
        </w:rPr>
      </w:pPr>
      <w:r>
        <w:rPr>
          <w:rFonts w:hint="eastAsia" w:ascii="宋体" w:hAnsi="宋体" w:eastAsia="宋体" w:cs="宋体"/>
          <w:b w:val="0"/>
          <w:bCs/>
          <w:kern w:val="2"/>
          <w:sz w:val="24"/>
          <w:szCs w:val="24"/>
          <w:highlight w:val="none"/>
          <w:lang w:val="en-US" w:eastAsia="zh-CN" w:bidi="ar-SA"/>
        </w:rPr>
        <w:t xml:space="preserve">  </w:t>
      </w:r>
      <w:r>
        <w:rPr>
          <w:rFonts w:hint="eastAsia" w:ascii="宋体" w:hAnsi="宋体" w:cs="宋体"/>
          <w:b w:val="0"/>
          <w:bCs/>
          <w:kern w:val="2"/>
          <w:sz w:val="24"/>
          <w:szCs w:val="24"/>
          <w:highlight w:val="none"/>
          <w:lang w:val="en-US" w:eastAsia="zh-CN" w:bidi="ar-SA"/>
        </w:rPr>
        <w:t xml:space="preserve">  </w:t>
      </w:r>
      <w:r>
        <w:rPr>
          <w:rFonts w:hint="eastAsia" w:ascii="宋体" w:hAnsi="宋体" w:eastAsia="宋体" w:cs="宋体"/>
          <w:b w:val="0"/>
          <w:bCs/>
          <w:kern w:val="2"/>
          <w:sz w:val="24"/>
          <w:szCs w:val="24"/>
          <w:highlight w:val="none"/>
          <w:lang w:val="en-US" w:eastAsia="zh-CN" w:bidi="ar-SA"/>
        </w:rPr>
        <w:t>日 期：</w:t>
      </w:r>
    </w:p>
    <w:p w14:paraId="2E6437ED">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0D9E441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3A2D334">
      <w:pPr>
        <w:pStyle w:val="10"/>
        <w:jc w:val="center"/>
        <w:rPr>
          <w:rFonts w:hint="eastAsia"/>
          <w:b/>
          <w:bCs/>
          <w:color w:val="auto"/>
          <w:sz w:val="28"/>
          <w:szCs w:val="36"/>
          <w:highlight w:val="none"/>
          <w:lang w:val="en-US" w:eastAsia="zh-CN"/>
        </w:rPr>
      </w:pPr>
      <w:r>
        <w:rPr>
          <w:rFonts w:hint="eastAsia"/>
          <w:b/>
          <w:bCs/>
          <w:color w:val="auto"/>
          <w:sz w:val="28"/>
          <w:szCs w:val="36"/>
          <w:highlight w:val="none"/>
          <w:lang w:val="en-US" w:eastAsia="zh-CN"/>
        </w:rPr>
        <w:t>特别说明</w:t>
      </w:r>
    </w:p>
    <w:p w14:paraId="3E2D4136">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（1）以上《中小企业声明函》只须填写所投产品的制造商</w:t>
      </w:r>
      <w:r>
        <w:rPr>
          <w:rFonts w:hint="eastAsia" w:hAnsi="宋体" w:cs="宋体"/>
          <w:color w:val="auto"/>
          <w:sz w:val="24"/>
          <w:szCs w:val="24"/>
          <w:highlight w:val="none"/>
          <w:lang w:val="en-US" w:eastAsia="zh-CN"/>
        </w:rPr>
        <w:t>名称及相关信息</w:t>
      </w:r>
      <w:r>
        <w:rPr>
          <w:rFonts w:hint="eastAsia" w:ascii="宋体" w:hAnsi="宋体" w:eastAsia="宋体" w:cs="宋体"/>
          <w:color w:val="auto"/>
          <w:sz w:val="24"/>
          <w:szCs w:val="24"/>
          <w:highlight w:val="none"/>
          <w:lang w:val="en-US" w:eastAsia="zh-CN"/>
        </w:rPr>
        <w:t>。</w:t>
      </w:r>
    </w:p>
    <w:p w14:paraId="6EEE5AB4">
      <w:pPr>
        <w:pStyle w:val="13"/>
        <w:pageBreakBefore w:val="0"/>
        <w:wordWrap/>
        <w:overflowPunct/>
        <w:topLinePunct w:val="0"/>
        <w:bidi w:val="0"/>
        <w:spacing w:line="560" w:lineRule="exact"/>
        <w:ind w:left="0" w:leftChars="0" w:right="0" w:righ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w:t>
      </w:r>
      <w:r>
        <w:rPr>
          <w:rFonts w:hint="eastAsia" w:hAnsi="宋体" w:cs="宋体"/>
          <w:color w:val="auto"/>
          <w:sz w:val="24"/>
          <w:szCs w:val="24"/>
          <w:highlight w:val="none"/>
          <w:lang w:val="en-US" w:eastAsia="zh-CN"/>
        </w:rPr>
        <w:t>为</w:t>
      </w:r>
      <w:r>
        <w:rPr>
          <w:rFonts w:hint="eastAsia" w:ascii="宋体" w:hAnsi="宋体" w:eastAsia="宋体" w:cs="宋体"/>
          <w:color w:val="auto"/>
          <w:sz w:val="24"/>
          <w:szCs w:val="24"/>
          <w:highlight w:val="none"/>
          <w:lang w:val="en-US" w:eastAsia="zh-CN"/>
        </w:rPr>
        <w:t>工业行业</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划型标准为：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投标人须明确所投产品制造商的从业人员、</w:t>
      </w:r>
      <w:r>
        <w:rPr>
          <w:rFonts w:hint="eastAsia" w:ascii="宋体" w:hAnsi="宋体" w:eastAsia="宋体" w:cs="宋体"/>
          <w:color w:val="auto"/>
          <w:sz w:val="24"/>
          <w:szCs w:val="24"/>
          <w:highlight w:val="none"/>
        </w:rPr>
        <w:t>营业收入、资产总额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属于中型企业</w:t>
      </w:r>
      <w:r>
        <w:rPr>
          <w:rFonts w:hint="eastAsia"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小型企业</w:t>
      </w:r>
      <w:r>
        <w:rPr>
          <w:rFonts w:hint="eastAsia"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微型企业</w:t>
      </w:r>
      <w:r>
        <w:rPr>
          <w:rFonts w:hint="eastAsia" w:hAnsi="宋体" w:cs="宋体"/>
          <w:color w:val="auto"/>
          <w:sz w:val="24"/>
          <w:szCs w:val="24"/>
          <w:highlight w:val="none"/>
          <w:lang w:val="en-US" w:eastAsia="zh-CN"/>
        </w:rPr>
        <w:t>（只能填一项）</w:t>
      </w:r>
      <w:r>
        <w:rPr>
          <w:rFonts w:hint="eastAsia" w:ascii="宋体" w:hAnsi="宋体" w:eastAsia="宋体" w:cs="宋体"/>
          <w:color w:val="auto"/>
          <w:sz w:val="24"/>
          <w:szCs w:val="24"/>
          <w:highlight w:val="none"/>
          <w:lang w:val="en-US" w:eastAsia="zh-CN"/>
        </w:rPr>
        <w:t>，未明确的，《中小企业声明函》按无效处理。</w:t>
      </w:r>
    </w:p>
    <w:p w14:paraId="55835981">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（3）本项目含多个标的，须逐一明确每个标的制造商的中小微企业情况。所有标的均由小微企业制造的，方可享受10%的价格扣除优惠。若有一个标的为非小微企业制造，不可享受价格扣除优惠政策</w:t>
      </w:r>
      <w:r>
        <w:rPr>
          <w:rFonts w:hint="eastAsia" w:hAnsi="宋体" w:cs="宋体"/>
          <w:color w:val="auto"/>
          <w:sz w:val="24"/>
          <w:szCs w:val="24"/>
          <w:highlight w:val="none"/>
          <w:lang w:val="en-US" w:eastAsia="zh-CN"/>
        </w:rPr>
        <w:t>，中型企业不享受价格扣除优惠政策</w:t>
      </w:r>
      <w:r>
        <w:rPr>
          <w:rFonts w:hint="eastAsia" w:ascii="宋体" w:hAnsi="宋体" w:eastAsia="宋体" w:cs="宋体"/>
          <w:color w:val="auto"/>
          <w:sz w:val="24"/>
          <w:szCs w:val="24"/>
          <w:highlight w:val="none"/>
          <w:lang w:val="en-US" w:eastAsia="zh-CN"/>
        </w:rPr>
        <w:t>。</w:t>
      </w:r>
    </w:p>
    <w:p w14:paraId="5B940684">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（4）相关中小企业政策，详见本招标文件附件1、附件2及附件3。</w:t>
      </w:r>
    </w:p>
    <w:p w14:paraId="7B89D40C">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（5）不符合中小企业相关优惠政策的，可不填写本《中小企业声明函》。</w:t>
      </w:r>
    </w:p>
    <w:p w14:paraId="7BEFA80F">
      <w:pPr>
        <w:pStyle w:val="13"/>
        <w:pageBreakBefore w:val="0"/>
        <w:wordWrap/>
        <w:overflowPunct/>
        <w:topLinePunct w:val="0"/>
        <w:bidi w:val="0"/>
        <w:spacing w:line="560" w:lineRule="exact"/>
        <w:ind w:right="0" w:rightChars="0" w:firstLine="480" w:firstLineChars="200"/>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《中小企业声明函》</w:t>
      </w:r>
      <w:r>
        <w:rPr>
          <w:rFonts w:hint="eastAsia" w:hAnsi="宋体" w:cs="宋体"/>
          <w:color w:val="auto"/>
          <w:sz w:val="24"/>
          <w:szCs w:val="24"/>
          <w:highlight w:val="none"/>
          <w:lang w:val="en-US" w:eastAsia="zh-CN"/>
        </w:rPr>
        <w:t>的“</w:t>
      </w:r>
      <w:r>
        <w:rPr>
          <w:rFonts w:hint="eastAsia" w:ascii="宋体" w:hAnsi="宋体" w:eastAsia="宋体" w:cs="宋体"/>
          <w:color w:val="auto"/>
          <w:sz w:val="24"/>
          <w:szCs w:val="24"/>
          <w:highlight w:val="none"/>
        </w:rPr>
        <w:t>企业名称（盖章）</w:t>
      </w:r>
      <w:r>
        <w:rPr>
          <w:rFonts w:hint="eastAsia" w:hAnsi="宋体" w:cs="宋体"/>
          <w:color w:val="auto"/>
          <w:sz w:val="24"/>
          <w:szCs w:val="24"/>
          <w:highlight w:val="none"/>
          <w:lang w:eastAsia="zh-CN"/>
        </w:rPr>
        <w:t>”为投标人名称及盖章，</w:t>
      </w:r>
      <w:r>
        <w:rPr>
          <w:rFonts w:hint="eastAsia" w:hAnsi="宋体" w:cs="宋体"/>
          <w:color w:val="auto"/>
          <w:sz w:val="24"/>
          <w:szCs w:val="24"/>
          <w:highlight w:val="none"/>
          <w:lang w:val="en-US" w:eastAsia="zh-CN"/>
        </w:rPr>
        <w:t>非制造商名称及盖章。</w:t>
      </w:r>
    </w:p>
    <w:p w14:paraId="5B8D5020">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14:paraId="0BD4055C">
      <w:pPr>
        <w:pStyle w:val="13"/>
        <w:pageBreakBefore w:val="0"/>
        <w:wordWrap/>
        <w:overflowPunct/>
        <w:topLinePunct w:val="0"/>
        <w:bidi w:val="0"/>
        <w:spacing w:line="560" w:lineRule="exact"/>
        <w:ind w:left="0" w:leftChars="0" w:right="0" w:rightChars="0" w:firstLine="482" w:firstLineChars="200"/>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中小企业声明函</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示例</w:t>
      </w:r>
      <w:r>
        <w:rPr>
          <w:rFonts w:hint="eastAsia" w:hAnsi="宋体" w:cs="宋体"/>
          <w:b/>
          <w:bCs/>
          <w:color w:val="auto"/>
          <w:sz w:val="24"/>
          <w:szCs w:val="24"/>
          <w:highlight w:val="none"/>
          <w:lang w:eastAsia="zh-CN"/>
        </w:rPr>
        <w:t>）</w:t>
      </w:r>
    </w:p>
    <w:p w14:paraId="371B5A23">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乌鲁木齐友爱医院</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乌鲁木齐友爱医院洗涤服务采购项目</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val="en-US" w:eastAsia="zh-CN"/>
        </w:rPr>
        <w:t>采购活动，服务全部由符合政策要求的中小企业承接）。相关企业（含联合体中的中小企业、签订分包意向协议的中小企业）的具体情况如下：</w:t>
      </w:r>
    </w:p>
    <w:p w14:paraId="1492C8CD">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lang w:val="en-US" w:eastAsia="zh-CN"/>
        </w:rPr>
        <w:t>；承建（承接）企业为</w:t>
      </w:r>
      <w:r>
        <w:rPr>
          <w:rFonts w:hint="eastAsia" w:ascii="宋体" w:hAnsi="宋体" w:eastAsia="宋体" w:cs="宋体"/>
          <w:color w:val="auto"/>
          <w:sz w:val="24"/>
          <w:szCs w:val="24"/>
          <w:highlight w:val="none"/>
          <w:u w:val="single"/>
          <w:lang w:val="en-US" w:eastAsia="zh-CN"/>
        </w:rPr>
        <w:t>（企业名称）</w:t>
      </w:r>
      <w:r>
        <w:rPr>
          <w:rFonts w:hint="eastAsia" w:ascii="宋体" w:hAnsi="宋体" w:eastAsia="宋体" w:cs="宋体"/>
          <w:color w:val="auto"/>
          <w:sz w:val="24"/>
          <w:szCs w:val="24"/>
          <w:highlight w:val="none"/>
          <w:lang w:val="en-US" w:eastAsia="zh-CN"/>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万元，属于（</w:t>
      </w:r>
      <w:r>
        <w:rPr>
          <w:rFonts w:hint="eastAsia" w:ascii="宋体" w:hAnsi="宋体" w:eastAsia="宋体" w:cs="宋体"/>
          <w:color w:val="auto"/>
          <w:sz w:val="24"/>
          <w:szCs w:val="24"/>
          <w:highlight w:val="none"/>
          <w:u w:val="single"/>
          <w:lang w:val="en-US" w:eastAsia="zh-CN"/>
        </w:rPr>
        <w:t>中型企业、小型企业、微型企业</w:t>
      </w:r>
      <w:r>
        <w:rPr>
          <w:rFonts w:hint="eastAsia" w:ascii="宋体" w:hAnsi="宋体" w:eastAsia="宋体" w:cs="宋体"/>
          <w:color w:val="auto"/>
          <w:sz w:val="24"/>
          <w:szCs w:val="24"/>
          <w:highlight w:val="none"/>
          <w:lang w:val="en-US" w:eastAsia="zh-CN"/>
        </w:rPr>
        <w:t>）；</w:t>
      </w:r>
    </w:p>
    <w:p w14:paraId="500C7BC6">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 </w:t>
      </w:r>
      <w:r>
        <w:rPr>
          <w:rFonts w:hint="eastAsia" w:ascii="宋体" w:hAnsi="宋体" w:eastAsia="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lang w:val="en-US" w:eastAsia="zh-CN"/>
        </w:rPr>
        <w:t>，属于（采购文件中明确的所属行业）；承建（承接）企业为</w:t>
      </w:r>
      <w:r>
        <w:rPr>
          <w:rFonts w:hint="eastAsia" w:ascii="宋体" w:hAnsi="宋体" w:eastAsia="宋体" w:cs="宋体"/>
          <w:color w:val="auto"/>
          <w:sz w:val="24"/>
          <w:szCs w:val="24"/>
          <w:highlight w:val="none"/>
          <w:u w:val="single"/>
          <w:lang w:val="en-US" w:eastAsia="zh-CN"/>
        </w:rPr>
        <w:t>（企业名称）</w:t>
      </w:r>
      <w:r>
        <w:rPr>
          <w:rFonts w:hint="eastAsia" w:ascii="宋体" w:hAnsi="宋体" w:eastAsia="宋体" w:cs="宋体"/>
          <w:color w:val="auto"/>
          <w:sz w:val="24"/>
          <w:szCs w:val="24"/>
          <w:highlight w:val="none"/>
          <w:lang w:val="en-US" w:eastAsia="zh-CN"/>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人，营业 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万元，属于</w:t>
      </w:r>
      <w:r>
        <w:rPr>
          <w:rFonts w:hint="eastAsia" w:ascii="宋体" w:hAnsi="宋体" w:eastAsia="宋体" w:cs="宋体"/>
          <w:color w:val="auto"/>
          <w:sz w:val="24"/>
          <w:szCs w:val="24"/>
          <w:highlight w:val="none"/>
          <w:u w:val="single"/>
          <w:lang w:val="en-US" w:eastAsia="zh-CN"/>
        </w:rPr>
        <w:t>（中型企业、小型企业、微型企业）</w:t>
      </w:r>
      <w:r>
        <w:rPr>
          <w:rFonts w:hint="eastAsia" w:ascii="宋体" w:hAnsi="宋体" w:eastAsia="宋体" w:cs="宋体"/>
          <w:color w:val="auto"/>
          <w:sz w:val="24"/>
          <w:szCs w:val="24"/>
          <w:highlight w:val="none"/>
          <w:lang w:val="en-US" w:eastAsia="zh-CN"/>
        </w:rPr>
        <w:t>；</w:t>
      </w:r>
    </w:p>
    <w:p w14:paraId="74A2F458">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429A0E86">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179639D7">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p>
    <w:p w14:paraId="59F4CC2E">
      <w:pPr>
        <w:pStyle w:val="13"/>
        <w:pageBreakBefore w:val="0"/>
        <w:wordWrap/>
        <w:overflowPunct/>
        <w:topLinePunct w:val="0"/>
        <w:bidi w:val="0"/>
        <w:spacing w:line="560" w:lineRule="exact"/>
        <w:ind w:left="0" w:leftChars="0" w:right="0" w:rightChars="0" w:firstLine="480" w:firstLineChars="200"/>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企业名称（盖章）： </w:t>
      </w:r>
    </w:p>
    <w:p w14:paraId="50150B87">
      <w:pPr>
        <w:pStyle w:val="13"/>
        <w:pageBreakBefore w:val="0"/>
        <w:wordWrap/>
        <w:overflowPunct/>
        <w:topLinePunct w:val="0"/>
        <w:bidi w:val="0"/>
        <w:spacing w:line="560" w:lineRule="exact"/>
        <w:ind w:left="0" w:leftChars="0" w:right="0" w:rightChars="0"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 期：</w:t>
      </w:r>
    </w:p>
    <w:p w14:paraId="0C5AC7A6">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17F9E879">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45379FF9">
      <w:pPr>
        <w:pageBreakBefore w:val="0"/>
        <w:wordWrap/>
        <w:overflowPunct/>
        <w:topLinePunct w:val="0"/>
        <w:bidi w:val="0"/>
        <w:spacing w:line="560" w:lineRule="exact"/>
        <w:ind w:left="0" w:leftChars="0" w:right="0" w:rightChars="0"/>
        <w:jc w:val="center"/>
        <w:outlineLvl w:val="1"/>
        <w:rPr>
          <w:rFonts w:hint="eastAsia" w:ascii="宋体" w:hAnsi="宋体" w:eastAsia="宋体" w:cs="宋体"/>
          <w:b/>
          <w:color w:val="auto"/>
          <w:spacing w:val="6"/>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color w:val="auto"/>
          <w:spacing w:val="6"/>
          <w:sz w:val="24"/>
          <w:szCs w:val="24"/>
          <w:highlight w:val="none"/>
        </w:rPr>
        <w:t>残疾人福利性单位声明函</w:t>
      </w:r>
      <w:r>
        <w:rPr>
          <w:rFonts w:hint="eastAsia" w:ascii="宋体" w:hAnsi="宋体" w:eastAsia="宋体" w:cs="宋体"/>
          <w:b/>
          <w:color w:val="auto"/>
          <w:sz w:val="24"/>
          <w:szCs w:val="24"/>
          <w:highlight w:val="none"/>
        </w:rPr>
        <w:t>（如有）</w:t>
      </w:r>
    </w:p>
    <w:p w14:paraId="5686BEC7">
      <w:pPr>
        <w:pageBreakBefore w:val="0"/>
        <w:wordWrap/>
        <w:overflowPunct/>
        <w:topLinePunct w:val="0"/>
        <w:bidi w:val="0"/>
        <w:spacing w:line="560" w:lineRule="exact"/>
        <w:ind w:left="0" w:leftChars="0" w:right="0" w:rightChars="0"/>
        <w:rPr>
          <w:rFonts w:hint="eastAsia" w:ascii="宋体" w:hAnsi="宋体" w:eastAsia="宋体" w:cs="宋体"/>
          <w:b/>
          <w:color w:val="auto"/>
          <w:spacing w:val="6"/>
          <w:sz w:val="24"/>
          <w:szCs w:val="24"/>
          <w:highlight w:val="none"/>
        </w:rPr>
      </w:pPr>
    </w:p>
    <w:p w14:paraId="276F3F92">
      <w:pPr>
        <w:pageBreakBefore w:val="0"/>
        <w:wordWrap/>
        <w:overflowPunct/>
        <w:topLinePunct w:val="0"/>
        <w:bidi w:val="0"/>
        <w:spacing w:line="560" w:lineRule="exact"/>
        <w:ind w:left="0" w:leftChars="0" w:right="0" w:rightChars="0"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项目投标活动提供本单位制造的货物（由本单位承担工程/提供服务），或者提供其他残疾人福利性单位制造的货物（不包括使用非残疾人福利性单位注册商标的货物）。</w:t>
      </w:r>
    </w:p>
    <w:p w14:paraId="0F160943">
      <w:pPr>
        <w:pageBreakBefore w:val="0"/>
        <w:wordWrap/>
        <w:overflowPunct/>
        <w:topLinePunct w:val="0"/>
        <w:bidi w:val="0"/>
        <w:spacing w:line="560" w:lineRule="exact"/>
        <w:ind w:left="0" w:leftChars="0" w:right="0" w:rightChars="0"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08CBBCD5">
      <w:pPr>
        <w:pageBreakBefore w:val="0"/>
        <w:wordWrap/>
        <w:overflowPunct/>
        <w:topLinePunct w:val="0"/>
        <w:bidi w:val="0"/>
        <w:spacing w:line="560" w:lineRule="exact"/>
        <w:ind w:left="0" w:leftChars="0" w:right="0" w:rightChars="0" w:firstLine="504" w:firstLineChars="200"/>
        <w:rPr>
          <w:rFonts w:hint="eastAsia" w:ascii="宋体" w:hAnsi="宋体" w:eastAsia="宋体" w:cs="宋体"/>
          <w:color w:val="auto"/>
          <w:spacing w:val="6"/>
          <w:sz w:val="24"/>
          <w:szCs w:val="24"/>
          <w:highlight w:val="none"/>
        </w:rPr>
      </w:pPr>
    </w:p>
    <w:p w14:paraId="7EEF9B95">
      <w:pPr>
        <w:pageBreakBefore w:val="0"/>
        <w:wordWrap/>
        <w:overflowPunct/>
        <w:topLinePunct w:val="0"/>
        <w:bidi w:val="0"/>
        <w:spacing w:line="560" w:lineRule="exact"/>
        <w:ind w:left="0" w:leftChars="0" w:right="0" w:rightChars="0" w:firstLine="504" w:firstLineChars="200"/>
        <w:rPr>
          <w:rFonts w:hint="eastAsia" w:ascii="宋体" w:hAnsi="宋体" w:eastAsia="宋体" w:cs="宋体"/>
          <w:color w:val="auto"/>
          <w:spacing w:val="6"/>
          <w:sz w:val="24"/>
          <w:szCs w:val="24"/>
          <w:highlight w:val="none"/>
        </w:rPr>
      </w:pPr>
    </w:p>
    <w:p w14:paraId="1DD615CC">
      <w:pPr>
        <w:pageBreakBefore w:val="0"/>
        <w:tabs>
          <w:tab w:val="left" w:pos="4860"/>
        </w:tabs>
        <w:wordWrap/>
        <w:overflowPunct/>
        <w:topLinePunct w:val="0"/>
        <w:bidi w:val="0"/>
        <w:spacing w:line="560" w:lineRule="exact"/>
        <w:ind w:left="0" w:leftChars="0" w:right="0" w:rightChars="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单位名称（盖章）：</w:t>
      </w:r>
    </w:p>
    <w:p w14:paraId="4F6945CA">
      <w:pPr>
        <w:pageBreakBefore w:val="0"/>
        <w:tabs>
          <w:tab w:val="left" w:pos="4860"/>
        </w:tabs>
        <w:wordWrap/>
        <w:overflowPunct/>
        <w:topLinePunct w:val="0"/>
        <w:bidi w:val="0"/>
        <w:spacing w:line="560" w:lineRule="exact"/>
        <w:ind w:left="0" w:leftChars="0" w:right="0" w:rightChars="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14:paraId="6EAC7437">
      <w:pPr>
        <w:pageBreakBefore w:val="0"/>
        <w:widowControl/>
        <w:wordWrap/>
        <w:overflowPunct/>
        <w:topLinePunct w:val="0"/>
        <w:bidi w:val="0"/>
        <w:adjustRightInd w:val="0"/>
        <w:snapToGrid w:val="0"/>
        <w:spacing w:line="560" w:lineRule="exact"/>
        <w:ind w:left="0" w:leftChars="0" w:right="0" w:rightChars="0"/>
        <w:rPr>
          <w:rFonts w:hint="eastAsia" w:ascii="宋体" w:hAnsi="宋体" w:eastAsia="宋体" w:cs="宋体"/>
          <w:color w:val="auto"/>
          <w:sz w:val="24"/>
          <w:szCs w:val="24"/>
          <w:highlight w:val="none"/>
        </w:rPr>
      </w:pPr>
    </w:p>
    <w:p w14:paraId="546949D0">
      <w:pPr>
        <w:pageBreakBefore w:val="0"/>
        <w:wordWrap/>
        <w:overflowPunct/>
        <w:topLinePunct w:val="0"/>
        <w:bidi w:val="0"/>
        <w:spacing w:line="560" w:lineRule="exact"/>
        <w:ind w:left="0" w:leftChars="0" w:right="0" w:rightChars="0"/>
        <w:jc w:val="left"/>
        <w:rPr>
          <w:rFonts w:hint="eastAsia" w:ascii="宋体" w:hAnsi="宋体" w:eastAsia="宋体" w:cs="宋体"/>
          <w:bCs/>
          <w:color w:val="auto"/>
          <w:sz w:val="24"/>
          <w:szCs w:val="24"/>
          <w:highlight w:val="none"/>
        </w:rPr>
      </w:pPr>
    </w:p>
    <w:p w14:paraId="679A167A">
      <w:pPr>
        <w:pageBreakBefore w:val="0"/>
        <w:widowControl/>
        <w:wordWrap/>
        <w:overflowPunct/>
        <w:topLinePunct w:val="0"/>
        <w:bidi w:val="0"/>
        <w:spacing w:line="560" w:lineRule="exact"/>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备注：须提供证明材料（能反映出企业残疾人的占比等情况的材料及残疾人证等）。</w:t>
      </w:r>
    </w:p>
    <w:p w14:paraId="5CAF75EB">
      <w:pPr>
        <w:pageBreakBefore w:val="0"/>
        <w:wordWrap/>
        <w:overflowPunct/>
        <w:topLinePunct w:val="0"/>
        <w:bidi w:val="0"/>
        <w:spacing w:line="560" w:lineRule="exact"/>
        <w:ind w:left="0" w:leftChars="0" w:right="0" w:rightChars="0"/>
        <w:jc w:val="center"/>
        <w:rPr>
          <w:rFonts w:hint="eastAsia" w:ascii="宋体" w:hAnsi="宋体" w:eastAsia="宋体" w:cs="宋体"/>
          <w:b/>
          <w:bCs/>
          <w:color w:val="auto"/>
          <w:sz w:val="24"/>
          <w:szCs w:val="24"/>
          <w:highlight w:val="none"/>
        </w:rPr>
      </w:pPr>
    </w:p>
    <w:p w14:paraId="11C4C1C1">
      <w:pPr>
        <w:pageBreakBefore w:val="0"/>
        <w:wordWrap/>
        <w:overflowPunct/>
        <w:topLinePunct w:val="0"/>
        <w:bidi w:val="0"/>
        <w:spacing w:line="560" w:lineRule="exact"/>
        <w:ind w:left="0" w:leftChars="0" w:right="0" w:rightChars="0"/>
        <w:jc w:val="center"/>
        <w:rPr>
          <w:rFonts w:hint="eastAsia" w:ascii="宋体" w:hAnsi="宋体" w:eastAsia="宋体" w:cs="宋体"/>
          <w:b/>
          <w:bCs/>
          <w:color w:val="auto"/>
          <w:sz w:val="24"/>
          <w:szCs w:val="24"/>
          <w:highlight w:val="none"/>
        </w:rPr>
      </w:pPr>
    </w:p>
    <w:p w14:paraId="78980804">
      <w:pPr>
        <w:pageBreakBefore w:val="0"/>
        <w:widowControl/>
        <w:wordWrap/>
        <w:overflowPunct/>
        <w:topLinePunct w:val="0"/>
        <w:bidi w:val="0"/>
        <w:spacing w:line="560" w:lineRule="exact"/>
        <w:ind w:left="0" w:leftChars="0" w:right="0" w:rightChars="0"/>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（三）监狱企业证明文件（如有）</w:t>
      </w:r>
    </w:p>
    <w:p w14:paraId="288AB931">
      <w:pPr>
        <w:pageBreakBefore w:val="0"/>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p>
    <w:p w14:paraId="1F1C23B2">
      <w:pPr>
        <w:pageBreakBefore w:val="0"/>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0BB6A17">
      <w:pPr>
        <w:pStyle w:val="13"/>
        <w:pageBreakBefore w:val="0"/>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2.证明材料加盖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55A9C3CF">
      <w:pPr>
        <w:pStyle w:val="28"/>
        <w:pageBreakBefore w:val="0"/>
        <w:wordWrap/>
        <w:overflowPunct/>
        <w:topLinePunct w:val="0"/>
        <w:bidi w:val="0"/>
        <w:spacing w:line="560" w:lineRule="exact"/>
        <w:ind w:left="0" w:leftChars="0" w:right="0" w:rightChars="0" w:firstLine="482" w:firstLineChars="200"/>
        <w:jc w:val="center"/>
        <w:rPr>
          <w:rFonts w:hint="eastAsia" w:ascii="宋体" w:hAnsi="宋体" w:eastAsia="宋体" w:cs="宋体"/>
          <w:b/>
          <w:bCs/>
          <w:color w:val="auto"/>
          <w:kern w:val="0"/>
          <w:sz w:val="24"/>
          <w:szCs w:val="24"/>
          <w:highlight w:val="none"/>
        </w:rPr>
      </w:pPr>
    </w:p>
    <w:p w14:paraId="46AFC2B7">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br w:type="page"/>
      </w:r>
      <w:r>
        <w:rPr>
          <w:rFonts w:hint="eastAsia" w:ascii="宋体" w:hAnsi="宋体" w:eastAsia="宋体" w:cs="宋体"/>
          <w:b/>
          <w:bCs/>
          <w:color w:val="auto"/>
          <w:kern w:val="0"/>
          <w:sz w:val="24"/>
          <w:szCs w:val="24"/>
          <w:highlight w:val="none"/>
          <w:lang w:val="en-US" w:eastAsia="zh-CN"/>
        </w:rPr>
        <w:t>十</w:t>
      </w:r>
      <w:r>
        <w:rPr>
          <w:rFonts w:hint="eastAsia" w:hAnsi="宋体" w:cs="宋体"/>
          <w:b/>
          <w:bCs/>
          <w:color w:val="auto"/>
          <w:kern w:val="0"/>
          <w:sz w:val="24"/>
          <w:szCs w:val="24"/>
          <w:highlight w:val="none"/>
          <w:lang w:val="en-US" w:eastAsia="zh-CN"/>
        </w:rPr>
        <w:t>一</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eastAsia="zh-CN"/>
        </w:rPr>
        <w:t>投标人认为需要提供的资料</w:t>
      </w:r>
    </w:p>
    <w:p w14:paraId="55D94A1C">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投标保证金缴纳凭证</w:t>
      </w:r>
    </w:p>
    <w:p w14:paraId="6E713388">
      <w:pPr>
        <w:pStyle w:val="13"/>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bl>
      <w:tblPr>
        <w:tblStyle w:val="2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84"/>
      </w:tblGrid>
      <w:tr w14:paraId="39152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8522" w:type="dxa"/>
            <w:tcBorders>
              <w:top w:val="single" w:color="auto" w:sz="4" w:space="0"/>
              <w:bottom w:val="single" w:color="auto" w:sz="4" w:space="0"/>
            </w:tcBorders>
            <w:noWrap w:val="0"/>
            <w:vAlign w:val="center"/>
          </w:tcPr>
          <w:p w14:paraId="36DC6BAD">
            <w:pPr>
              <w:pStyle w:val="13"/>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投标保证金缴纳凭证</w:t>
            </w:r>
          </w:p>
        </w:tc>
      </w:tr>
    </w:tbl>
    <w:p w14:paraId="76454097">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p>
    <w:p w14:paraId="650E52EC">
      <w:pPr>
        <w:pStyle w:val="13"/>
        <w:pageBreakBefore w:val="0"/>
        <w:wordWrap/>
        <w:overflowPunct/>
        <w:topLinePunct w:val="0"/>
        <w:bidi w:val="0"/>
        <w:spacing w:line="560" w:lineRule="exact"/>
        <w:ind w:left="0" w:leftChars="0" w:right="0" w:rightChars="0"/>
        <w:jc w:val="center"/>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（二）其他</w:t>
      </w:r>
    </w:p>
    <w:p w14:paraId="74897FCB">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应当仔细核对</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中有关</w:t>
      </w:r>
      <w:r>
        <w:rPr>
          <w:rFonts w:hint="eastAsia" w:ascii="宋体" w:hAnsi="宋体" w:eastAsia="宋体" w:cs="宋体"/>
          <w:b/>
          <w:bCs/>
          <w:color w:val="auto"/>
          <w:sz w:val="24"/>
          <w:szCs w:val="24"/>
          <w:highlight w:val="none"/>
        </w:rPr>
        <w:t>“响应无效”、“拒收”</w:t>
      </w:r>
      <w:r>
        <w:rPr>
          <w:rFonts w:hint="eastAsia" w:ascii="宋体" w:hAnsi="宋体" w:eastAsia="宋体" w:cs="宋体"/>
          <w:color w:val="auto"/>
          <w:sz w:val="24"/>
          <w:szCs w:val="24"/>
          <w:highlight w:val="none"/>
        </w:rPr>
        <w:t>和评审标准等条款内容，提供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认为应当附加</w:t>
      </w:r>
      <w:r>
        <w:rPr>
          <w:rFonts w:hint="eastAsia" w:ascii="宋体" w:hAnsi="宋体" w:cs="宋体"/>
          <w:color w:val="auto"/>
          <w:sz w:val="24"/>
          <w:szCs w:val="24"/>
          <w:highlight w:val="none"/>
          <w:lang w:eastAsia="zh-CN"/>
        </w:rPr>
        <w:t>的其他内容</w:t>
      </w:r>
      <w:r>
        <w:rPr>
          <w:rFonts w:hint="eastAsia" w:ascii="宋体" w:hAnsi="宋体" w:eastAsia="宋体" w:cs="宋体"/>
          <w:color w:val="auto"/>
          <w:sz w:val="24"/>
          <w:szCs w:val="24"/>
          <w:highlight w:val="none"/>
        </w:rPr>
        <w:t>，以充分证明其</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响应符合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要求，并为评审提供充分依据。</w:t>
      </w:r>
    </w:p>
    <w:p w14:paraId="55575BAB">
      <w:pPr>
        <w:pageBreakBefore w:val="0"/>
        <w:wordWrap/>
        <w:overflowPunct/>
        <w:topLinePunct w:val="0"/>
        <w:bidi w:val="0"/>
        <w:spacing w:line="560" w:lineRule="exact"/>
        <w:ind w:left="0" w:leftChars="0" w:right="0" w:rightChars="0" w:firstLine="482" w:firstLineChars="200"/>
        <w:jc w:val="center"/>
        <w:rPr>
          <w:rFonts w:hint="eastAsia" w:ascii="宋体" w:hAnsi="宋体" w:eastAsia="宋体" w:cs="宋体"/>
          <w:b/>
          <w:bCs/>
          <w:color w:val="auto"/>
          <w:sz w:val="24"/>
          <w:szCs w:val="24"/>
          <w:highlight w:val="none"/>
        </w:rPr>
      </w:pPr>
    </w:p>
    <w:p w14:paraId="7F86CB3A">
      <w:pPr>
        <w:pageBreakBefore w:val="0"/>
        <w:widowControl/>
        <w:shd w:val="clear" w:color="auto" w:fill="FFFFFF"/>
        <w:wordWrap/>
        <w:overflowPunct/>
        <w:topLinePunct w:val="0"/>
        <w:bidi w:val="0"/>
        <w:spacing w:line="560" w:lineRule="exact"/>
        <w:ind w:left="0" w:leftChars="0" w:right="0" w:rightChars="0"/>
        <w:jc w:val="left"/>
        <w:rPr>
          <w:rFonts w:hint="eastAsia" w:ascii="宋体" w:hAnsi="宋体" w:eastAsia="宋体" w:cs="宋体"/>
          <w:color w:val="auto"/>
          <w:kern w:val="0"/>
          <w:sz w:val="24"/>
          <w:szCs w:val="24"/>
          <w:highlight w:val="none"/>
        </w:rPr>
      </w:pPr>
    </w:p>
    <w:p w14:paraId="0053D147">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1724733A">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6039448C">
      <w:pPr>
        <w:pStyle w:val="88"/>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jc w:val="center"/>
        <w:textAlignment w:val="auto"/>
        <w:outlineLvl w:val="0"/>
        <w:rPr>
          <w:rFonts w:hint="eastAsia" w:ascii="宋体" w:hAnsi="宋体" w:eastAsia="宋体" w:cs="宋体"/>
          <w:b/>
          <w:color w:val="auto"/>
          <w:sz w:val="24"/>
          <w:szCs w:val="24"/>
          <w:highlight w:val="none"/>
          <w:lang w:eastAsia="zh-CN"/>
        </w:rPr>
        <w:sectPr>
          <w:headerReference r:id="rId5" w:type="default"/>
          <w:footerReference r:id="rId6" w:type="default"/>
          <w:pgSz w:w="11906" w:h="16839"/>
          <w:pgMar w:top="1431" w:right="1553" w:bottom="1376" w:left="1785" w:header="0" w:footer="1212" w:gutter="0"/>
          <w:pgNumType w:fmt="decimal"/>
          <w:cols w:space="720" w:num="1"/>
        </w:sectPr>
      </w:pPr>
    </w:p>
    <w:p w14:paraId="18817534">
      <w:pPr>
        <w:pStyle w:val="88"/>
        <w:keepNext w:val="0"/>
        <w:keepLines w:val="0"/>
        <w:pageBreakBefore w:val="0"/>
        <w:widowControl/>
        <w:numPr>
          <w:ilvl w:val="0"/>
          <w:numId w:val="12"/>
        </w:numPr>
        <w:kinsoku/>
        <w:wordWrap/>
        <w:overflowPunct/>
        <w:topLinePunct w:val="0"/>
        <w:autoSpaceDE/>
        <w:autoSpaceDN/>
        <w:bidi w:val="0"/>
        <w:adjustRightInd/>
        <w:snapToGrid/>
        <w:spacing w:after="0" w:line="560" w:lineRule="exact"/>
        <w:ind w:leftChars="0" w:right="0" w:rightChars="0"/>
        <w:jc w:val="center"/>
        <w:textAlignment w:val="auto"/>
        <w:outlineLvl w:val="0"/>
        <w:rPr>
          <w:rFonts w:hint="eastAsia" w:ascii="宋体" w:hAnsi="宋体" w:eastAsia="宋体" w:cs="宋体"/>
          <w:b/>
          <w:bCs/>
          <w:color w:val="auto"/>
          <w:kern w:val="2"/>
          <w:sz w:val="24"/>
          <w:szCs w:val="24"/>
          <w:highlight w:val="none"/>
          <w:lang w:eastAsia="zh-CN"/>
        </w:rPr>
      </w:pPr>
      <w:bookmarkStart w:id="147" w:name="_Toc11726"/>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kern w:val="2"/>
          <w:sz w:val="24"/>
          <w:szCs w:val="24"/>
          <w:highlight w:val="none"/>
          <w:lang w:eastAsia="zh-CN"/>
        </w:rPr>
        <w:t xml:space="preserve"> 项目采购需求</w:t>
      </w:r>
      <w:bookmarkEnd w:id="147"/>
    </w:p>
    <w:p w14:paraId="0E1D704C">
      <w:pPr>
        <w:pStyle w:val="88"/>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482" w:leftChars="0" w:right="0" w:rightChars="0"/>
        <w:jc w:val="both"/>
        <w:textAlignment w:val="auto"/>
        <w:outlineLvl w:val="9"/>
        <w:rPr>
          <w:rFonts w:hint="eastAsia" w:ascii="宋体" w:hAnsi="宋体" w:eastAsia="宋体" w:cs="宋体"/>
          <w:sz w:val="24"/>
          <w:szCs w:val="24"/>
        </w:rPr>
      </w:pPr>
    </w:p>
    <w:p w14:paraId="51B9DB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一、项目概况</w:t>
      </w:r>
    </w:p>
    <w:p w14:paraId="115568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乌鲁木齐友爱医院因受场地限制，无法设置洗衣房，现向社会采购医疗洗涤服务。</w:t>
      </w:r>
    </w:p>
    <w:p w14:paraId="6CBA70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二、资质要求</w:t>
      </w:r>
    </w:p>
    <w:p w14:paraId="3BB2F5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1、投标单位资质要求：投标人应具备合格有效的《城镇污水排入排水管网许可证》。</w:t>
      </w:r>
    </w:p>
    <w:p w14:paraId="0AF676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2、具体承包范围及工作内容</w:t>
      </w:r>
    </w:p>
    <w:p w14:paraId="424C43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全院范围内医用织物的（含床单、被套、枕套、工作服、手术衣、手术辅料、窗帘等物品）的清洗消毒工作，确保为临床提供合格的医用织物。服务内容包含医用织物的院内外收集、转运、接收、保管、分发等工作。</w:t>
      </w:r>
    </w:p>
    <w:p w14:paraId="1844DC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（2）医院提供衣物储存房间一间。</w:t>
      </w:r>
    </w:p>
    <w:p w14:paraId="63B6B8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（3）需配置2名常驻医院工作人员，洗涤服务时间需按照医院作息时间。</w:t>
      </w:r>
    </w:p>
    <w:p w14:paraId="7A4F4C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（4）医用织物清洗消毒的场所、过程和质量符合卫生部门及WS/T508-2016《医用织物洗涤消毒技术规范》要求。</w:t>
      </w:r>
    </w:p>
    <w:p w14:paraId="50A709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（5）保证医用织物的洗涤质量和数量。对破损的、缺失扣子的织物及时缝补，因洗涤服务公司责任丢失的需对医院进行赔偿。对洗涤后的针棉织品进行二次烫熨，保证洗涤后的针棉织物平整、挺廓。</w:t>
      </w:r>
    </w:p>
    <w:p w14:paraId="73A1D6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三、报价范围：</w:t>
      </w:r>
    </w:p>
    <w:p w14:paraId="1259D1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1、按照医用织物的服务的单价进行报价。</w:t>
      </w:r>
    </w:p>
    <w:p w14:paraId="09E0EF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2、含2人常驻工作人工费用。全年预计费用在80万元左右。</w:t>
      </w:r>
    </w:p>
    <w:p w14:paraId="3F2818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四、承包期： 1年 </w:t>
      </w:r>
    </w:p>
    <w:p w14:paraId="52615D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五、付款方式：合同签订后按照每月的洗涤量进行结算。</w:t>
      </w:r>
    </w:p>
    <w:p w14:paraId="66CE0503">
      <w:pPr>
        <w:rPr>
          <w:rFonts w:hint="eastAsia" w:ascii="宋体" w:hAnsi="宋体" w:cs="宋体"/>
          <w:b/>
          <w:bCs/>
          <w:sz w:val="24"/>
          <w:szCs w:val="24"/>
          <w:lang w:val="en-US" w:eastAsia="zh-CN"/>
        </w:rPr>
      </w:pPr>
      <w:r>
        <w:rPr>
          <w:rFonts w:hint="eastAsia" w:ascii="宋体" w:hAnsi="宋体" w:cs="宋体"/>
          <w:b/>
          <w:bCs/>
          <w:sz w:val="24"/>
          <w:szCs w:val="24"/>
          <w:lang w:val="en-US" w:eastAsia="zh-CN"/>
        </w:rPr>
        <w:br w:type="page"/>
      </w:r>
    </w:p>
    <w:p w14:paraId="7988282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eastAsia" w:ascii="宋体" w:hAnsi="宋体" w:cs="宋体"/>
          <w:b/>
          <w:bCs/>
          <w:sz w:val="24"/>
          <w:szCs w:val="24"/>
          <w:lang w:val="en-US" w:eastAsia="zh-CN"/>
        </w:rPr>
        <w:t>报价须知：各产品需按照以下清单内容报价(单价)，不得缺漏项且不得超过以下各产品最高投标限价(单价)，如不满足，则视为重大偏离。</w:t>
      </w:r>
    </w:p>
    <w:bookmarkEnd w:id="146"/>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2998"/>
      </w:tblGrid>
      <w:tr w14:paraId="4B3A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935" w:type="dxa"/>
            <w:noWrap w:val="0"/>
            <w:vAlign w:val="center"/>
          </w:tcPr>
          <w:p w14:paraId="179CF512">
            <w:pPr>
              <w:spacing w:line="400" w:lineRule="atLeast"/>
              <w:jc w:val="center"/>
              <w:rPr>
                <w:rFonts w:hint="eastAsia" w:ascii="宋体" w:hAnsi="宋体" w:eastAsia="宋体" w:cs="宋体"/>
                <w:b/>
                <w:bCs/>
                <w:color w:val="auto"/>
                <w:spacing w:val="5"/>
                <w:sz w:val="24"/>
                <w:szCs w:val="24"/>
                <w:vertAlign w:val="baseline"/>
                <w:lang w:val="en-US" w:eastAsia="zh-CN"/>
              </w:rPr>
            </w:pPr>
            <w:bookmarkStart w:id="148" w:name="_Toc3313"/>
            <w:bookmarkStart w:id="149" w:name="_Toc17884_WPSOffice_Level1"/>
            <w:r>
              <w:rPr>
                <w:rFonts w:hint="eastAsia" w:ascii="宋体" w:hAnsi="宋体" w:eastAsia="宋体" w:cs="宋体"/>
                <w:b/>
                <w:bCs/>
                <w:color w:val="auto"/>
                <w:spacing w:val="5"/>
                <w:sz w:val="24"/>
                <w:szCs w:val="24"/>
                <w:vertAlign w:val="baseline"/>
                <w:lang w:val="en-US" w:eastAsia="zh-CN"/>
              </w:rPr>
              <w:t>品名</w:t>
            </w:r>
          </w:p>
        </w:tc>
        <w:tc>
          <w:tcPr>
            <w:tcW w:w="2998" w:type="dxa"/>
            <w:noWrap w:val="0"/>
            <w:vAlign w:val="center"/>
          </w:tcPr>
          <w:p w14:paraId="231EEE4F">
            <w:pPr>
              <w:spacing w:line="400" w:lineRule="atLeast"/>
              <w:jc w:val="center"/>
              <w:rPr>
                <w:rFonts w:hint="eastAsia" w:ascii="宋体" w:hAnsi="宋体" w:eastAsia="宋体" w:cs="宋体"/>
                <w:b/>
                <w:bCs/>
                <w:color w:val="auto"/>
                <w:spacing w:val="5"/>
                <w:sz w:val="24"/>
                <w:szCs w:val="24"/>
                <w:vertAlign w:val="baseline"/>
                <w:lang w:val="en-US" w:eastAsia="zh-CN"/>
              </w:rPr>
            </w:pPr>
            <w:r>
              <w:rPr>
                <w:rFonts w:hint="eastAsia" w:ascii="宋体" w:hAnsi="宋体" w:eastAsia="宋体" w:cs="宋体"/>
                <w:b/>
                <w:bCs/>
                <w:color w:val="auto"/>
                <w:spacing w:val="5"/>
                <w:sz w:val="24"/>
                <w:szCs w:val="24"/>
                <w:vertAlign w:val="baseline"/>
                <w:lang w:val="en-US" w:eastAsia="zh-CN"/>
              </w:rPr>
              <w:t>最高投标限价/单价（元）</w:t>
            </w:r>
          </w:p>
        </w:tc>
      </w:tr>
      <w:tr w14:paraId="6CBE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549D783B">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宝宝服</w:t>
            </w:r>
          </w:p>
        </w:tc>
        <w:tc>
          <w:tcPr>
            <w:tcW w:w="2998" w:type="dxa"/>
            <w:noWrap w:val="0"/>
            <w:vAlign w:val="center"/>
          </w:tcPr>
          <w:p w14:paraId="34F8860E">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3</w:t>
            </w:r>
          </w:p>
        </w:tc>
      </w:tr>
      <w:tr w14:paraId="6A8A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4366A1A0">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被套</w:t>
            </w:r>
          </w:p>
        </w:tc>
        <w:tc>
          <w:tcPr>
            <w:tcW w:w="2998" w:type="dxa"/>
            <w:noWrap w:val="0"/>
            <w:vAlign w:val="center"/>
          </w:tcPr>
          <w:p w14:paraId="5C3CC508">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5</w:t>
            </w:r>
          </w:p>
        </w:tc>
      </w:tr>
      <w:tr w14:paraId="15A4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255CB583">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病员衣裤</w:t>
            </w:r>
          </w:p>
        </w:tc>
        <w:tc>
          <w:tcPr>
            <w:tcW w:w="2998" w:type="dxa"/>
            <w:noWrap w:val="0"/>
            <w:vAlign w:val="center"/>
          </w:tcPr>
          <w:p w14:paraId="79A5CFCF">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8</w:t>
            </w:r>
          </w:p>
        </w:tc>
      </w:tr>
      <w:tr w14:paraId="4C72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706C331D">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布袋</w:t>
            </w:r>
          </w:p>
        </w:tc>
        <w:tc>
          <w:tcPr>
            <w:tcW w:w="2998" w:type="dxa"/>
            <w:noWrap w:val="0"/>
            <w:vAlign w:val="center"/>
          </w:tcPr>
          <w:p w14:paraId="7D9F57E1">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3.9</w:t>
            </w:r>
          </w:p>
        </w:tc>
      </w:tr>
      <w:tr w14:paraId="3F56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427EB4F9">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产单</w:t>
            </w:r>
          </w:p>
        </w:tc>
        <w:tc>
          <w:tcPr>
            <w:tcW w:w="2998" w:type="dxa"/>
            <w:noWrap w:val="0"/>
            <w:vAlign w:val="center"/>
          </w:tcPr>
          <w:p w14:paraId="7D8C5DA3">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5</w:t>
            </w:r>
          </w:p>
        </w:tc>
      </w:tr>
      <w:tr w14:paraId="3ADE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006CC900">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窗户帘</w:t>
            </w:r>
          </w:p>
        </w:tc>
        <w:tc>
          <w:tcPr>
            <w:tcW w:w="2998" w:type="dxa"/>
            <w:noWrap w:val="0"/>
            <w:vAlign w:val="center"/>
          </w:tcPr>
          <w:p w14:paraId="44829915">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10</w:t>
            </w:r>
          </w:p>
        </w:tc>
      </w:tr>
      <w:tr w14:paraId="52B6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13114137">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床罩</w:t>
            </w:r>
          </w:p>
        </w:tc>
        <w:tc>
          <w:tcPr>
            <w:tcW w:w="2998" w:type="dxa"/>
            <w:noWrap w:val="0"/>
            <w:vAlign w:val="center"/>
          </w:tcPr>
          <w:p w14:paraId="2E924362">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7</w:t>
            </w:r>
          </w:p>
        </w:tc>
      </w:tr>
      <w:tr w14:paraId="1CD4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0E5D2B40">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大单</w:t>
            </w:r>
          </w:p>
        </w:tc>
        <w:tc>
          <w:tcPr>
            <w:tcW w:w="2998" w:type="dxa"/>
            <w:noWrap w:val="0"/>
            <w:vAlign w:val="center"/>
          </w:tcPr>
          <w:p w14:paraId="0DC9C917">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4.5</w:t>
            </w:r>
          </w:p>
        </w:tc>
      </w:tr>
      <w:tr w14:paraId="685E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5B545D8E">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大洞巾</w:t>
            </w:r>
          </w:p>
        </w:tc>
        <w:tc>
          <w:tcPr>
            <w:tcW w:w="2998" w:type="dxa"/>
            <w:noWrap w:val="0"/>
            <w:vAlign w:val="center"/>
          </w:tcPr>
          <w:p w14:paraId="465A3ADB">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5</w:t>
            </w:r>
          </w:p>
        </w:tc>
      </w:tr>
      <w:tr w14:paraId="2C07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7181267D">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单包布</w:t>
            </w:r>
          </w:p>
        </w:tc>
        <w:tc>
          <w:tcPr>
            <w:tcW w:w="2998" w:type="dxa"/>
            <w:noWrap w:val="0"/>
            <w:vAlign w:val="center"/>
          </w:tcPr>
          <w:p w14:paraId="28A414A8">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3.5</w:t>
            </w:r>
          </w:p>
        </w:tc>
      </w:tr>
      <w:tr w14:paraId="2019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5E42B75D">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工作裤</w:t>
            </w:r>
          </w:p>
        </w:tc>
        <w:tc>
          <w:tcPr>
            <w:tcW w:w="2998" w:type="dxa"/>
            <w:noWrap w:val="0"/>
            <w:vAlign w:val="center"/>
          </w:tcPr>
          <w:p w14:paraId="29F8D652">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5.5</w:t>
            </w:r>
          </w:p>
        </w:tc>
      </w:tr>
      <w:tr w14:paraId="2D3A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297F50CE">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工作衣</w:t>
            </w:r>
          </w:p>
        </w:tc>
        <w:tc>
          <w:tcPr>
            <w:tcW w:w="2998" w:type="dxa"/>
            <w:noWrap w:val="0"/>
            <w:vAlign w:val="center"/>
          </w:tcPr>
          <w:p w14:paraId="51E788F8">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6</w:t>
            </w:r>
          </w:p>
        </w:tc>
      </w:tr>
      <w:tr w14:paraId="568E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2611637D">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沙发套</w:t>
            </w:r>
          </w:p>
        </w:tc>
        <w:tc>
          <w:tcPr>
            <w:tcW w:w="2998" w:type="dxa"/>
            <w:noWrap w:val="0"/>
            <w:vAlign w:val="center"/>
          </w:tcPr>
          <w:p w14:paraId="6B24858B">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6</w:t>
            </w:r>
          </w:p>
        </w:tc>
      </w:tr>
      <w:tr w14:paraId="2C10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0CB8ACD7">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手术衣</w:t>
            </w:r>
          </w:p>
        </w:tc>
        <w:tc>
          <w:tcPr>
            <w:tcW w:w="2998" w:type="dxa"/>
            <w:noWrap w:val="0"/>
            <w:vAlign w:val="center"/>
          </w:tcPr>
          <w:p w14:paraId="21C12591">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5.9</w:t>
            </w:r>
          </w:p>
        </w:tc>
      </w:tr>
      <w:tr w14:paraId="3B86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6B6BE2CF">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双包布</w:t>
            </w:r>
          </w:p>
        </w:tc>
        <w:tc>
          <w:tcPr>
            <w:tcW w:w="2998" w:type="dxa"/>
            <w:noWrap w:val="0"/>
            <w:vAlign w:val="center"/>
          </w:tcPr>
          <w:p w14:paraId="43B6E244">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5</w:t>
            </w:r>
          </w:p>
        </w:tc>
      </w:tr>
      <w:tr w14:paraId="08F0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589572E9">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腿套</w:t>
            </w:r>
          </w:p>
        </w:tc>
        <w:tc>
          <w:tcPr>
            <w:tcW w:w="2998" w:type="dxa"/>
            <w:noWrap w:val="0"/>
            <w:vAlign w:val="center"/>
          </w:tcPr>
          <w:p w14:paraId="6B116B41">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2.6</w:t>
            </w:r>
          </w:p>
        </w:tc>
      </w:tr>
      <w:tr w14:paraId="6989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6ABE334E">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洗手裤</w:t>
            </w:r>
          </w:p>
        </w:tc>
        <w:tc>
          <w:tcPr>
            <w:tcW w:w="2998" w:type="dxa"/>
            <w:noWrap w:val="0"/>
            <w:vAlign w:val="center"/>
          </w:tcPr>
          <w:p w14:paraId="0B017432">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4.5</w:t>
            </w:r>
          </w:p>
        </w:tc>
      </w:tr>
      <w:tr w14:paraId="0CAE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672E38CC">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洗手衣</w:t>
            </w:r>
          </w:p>
        </w:tc>
        <w:tc>
          <w:tcPr>
            <w:tcW w:w="2998" w:type="dxa"/>
            <w:noWrap w:val="0"/>
            <w:vAlign w:val="center"/>
          </w:tcPr>
          <w:p w14:paraId="61032B5B">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4.5</w:t>
            </w:r>
          </w:p>
        </w:tc>
      </w:tr>
      <w:tr w14:paraId="0D45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579F97D9">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小洞巾</w:t>
            </w:r>
          </w:p>
        </w:tc>
        <w:tc>
          <w:tcPr>
            <w:tcW w:w="2998" w:type="dxa"/>
            <w:noWrap w:val="0"/>
            <w:vAlign w:val="center"/>
          </w:tcPr>
          <w:p w14:paraId="1D6C5898">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2.6</w:t>
            </w:r>
          </w:p>
        </w:tc>
      </w:tr>
      <w:tr w14:paraId="136F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08B17EEF">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椅套</w:t>
            </w:r>
          </w:p>
        </w:tc>
        <w:tc>
          <w:tcPr>
            <w:tcW w:w="2998" w:type="dxa"/>
            <w:noWrap w:val="0"/>
            <w:vAlign w:val="center"/>
          </w:tcPr>
          <w:p w14:paraId="469DEFEA">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3.9</w:t>
            </w:r>
          </w:p>
        </w:tc>
      </w:tr>
      <w:tr w14:paraId="23B2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6DB64166">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浴巾</w:t>
            </w:r>
          </w:p>
        </w:tc>
        <w:tc>
          <w:tcPr>
            <w:tcW w:w="2998" w:type="dxa"/>
            <w:noWrap w:val="0"/>
            <w:vAlign w:val="center"/>
          </w:tcPr>
          <w:p w14:paraId="26F52E36">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7</w:t>
            </w:r>
          </w:p>
        </w:tc>
      </w:tr>
      <w:tr w14:paraId="5BC0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754D0BF4">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枕套</w:t>
            </w:r>
          </w:p>
        </w:tc>
        <w:tc>
          <w:tcPr>
            <w:tcW w:w="2998" w:type="dxa"/>
            <w:noWrap w:val="0"/>
            <w:vAlign w:val="center"/>
          </w:tcPr>
          <w:p w14:paraId="4D19B007">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2.6</w:t>
            </w:r>
          </w:p>
        </w:tc>
      </w:tr>
      <w:tr w14:paraId="31A6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7D6BD406">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治疗巾</w:t>
            </w:r>
          </w:p>
        </w:tc>
        <w:tc>
          <w:tcPr>
            <w:tcW w:w="2998" w:type="dxa"/>
            <w:noWrap w:val="0"/>
            <w:vAlign w:val="center"/>
          </w:tcPr>
          <w:p w14:paraId="7A47D619">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3.9</w:t>
            </w:r>
          </w:p>
        </w:tc>
      </w:tr>
      <w:tr w14:paraId="48FB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094BD456">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中单</w:t>
            </w:r>
          </w:p>
        </w:tc>
        <w:tc>
          <w:tcPr>
            <w:tcW w:w="2998" w:type="dxa"/>
            <w:noWrap w:val="0"/>
            <w:vAlign w:val="center"/>
          </w:tcPr>
          <w:p w14:paraId="38BF7EE0">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5.5</w:t>
            </w:r>
          </w:p>
        </w:tc>
      </w:tr>
      <w:tr w14:paraId="16B5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7309A85C">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毛巾被</w:t>
            </w:r>
          </w:p>
        </w:tc>
        <w:tc>
          <w:tcPr>
            <w:tcW w:w="2998" w:type="dxa"/>
            <w:noWrap w:val="0"/>
            <w:vAlign w:val="center"/>
          </w:tcPr>
          <w:p w14:paraId="5D71CC83">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7</w:t>
            </w:r>
          </w:p>
        </w:tc>
      </w:tr>
      <w:tr w14:paraId="3A07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722D0029">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小包布</w:t>
            </w:r>
          </w:p>
        </w:tc>
        <w:tc>
          <w:tcPr>
            <w:tcW w:w="2998" w:type="dxa"/>
            <w:noWrap w:val="0"/>
            <w:vAlign w:val="center"/>
          </w:tcPr>
          <w:p w14:paraId="2B6AF8EA">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3.5</w:t>
            </w:r>
          </w:p>
        </w:tc>
      </w:tr>
      <w:tr w14:paraId="2F20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7C9C3A45">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门帘</w:t>
            </w:r>
          </w:p>
        </w:tc>
        <w:tc>
          <w:tcPr>
            <w:tcW w:w="2998" w:type="dxa"/>
            <w:noWrap w:val="0"/>
            <w:vAlign w:val="center"/>
          </w:tcPr>
          <w:p w14:paraId="570D0D41">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14</w:t>
            </w:r>
          </w:p>
        </w:tc>
      </w:tr>
      <w:tr w14:paraId="062D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0"/>
            <w:vAlign w:val="center"/>
          </w:tcPr>
          <w:p w14:paraId="0CB0AF22">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隔帘</w:t>
            </w:r>
          </w:p>
        </w:tc>
        <w:tc>
          <w:tcPr>
            <w:tcW w:w="2998" w:type="dxa"/>
            <w:noWrap w:val="0"/>
            <w:vAlign w:val="center"/>
          </w:tcPr>
          <w:p w14:paraId="6BCA6B22">
            <w:pPr>
              <w:spacing w:line="400" w:lineRule="atLeast"/>
              <w:jc w:val="center"/>
              <w:rPr>
                <w:rFonts w:hint="eastAsia"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14</w:t>
            </w:r>
          </w:p>
        </w:tc>
      </w:tr>
    </w:tbl>
    <w:p w14:paraId="3A7DBDD9">
      <w:pPr>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br w:type="page"/>
      </w:r>
    </w:p>
    <w:p w14:paraId="64EAF4AD">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outlineLvl w:val="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第五章  评标办法</w:t>
      </w:r>
      <w:bookmarkEnd w:id="148"/>
      <w:bookmarkEnd w:id="149"/>
      <w:bookmarkStart w:id="150" w:name="_Hlt101846155"/>
      <w:bookmarkEnd w:id="150"/>
      <w:bookmarkStart w:id="151" w:name="_Toc208849007"/>
      <w:bookmarkStart w:id="152" w:name="_Toc183582280"/>
      <w:bookmarkStart w:id="153" w:name="_Toc217446097"/>
      <w:bookmarkStart w:id="154" w:name="_Toc183682415"/>
    </w:p>
    <w:p w14:paraId="2C8E78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总则</w:t>
      </w:r>
      <w:bookmarkEnd w:id="151"/>
      <w:bookmarkEnd w:id="152"/>
      <w:bookmarkEnd w:id="153"/>
      <w:bookmarkEnd w:id="154"/>
    </w:p>
    <w:p w14:paraId="623580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根据《中华人民共和国政府采购法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中华人民共和国政府采购法实施条例》和《政府采购货物和服务招标投标管理办法》（财政部第87号令）等法律法规、规章和相关规定，结合招标项目特点制定本评标办法。</w:t>
      </w:r>
    </w:p>
    <w:p w14:paraId="2348BD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bCs/>
          <w:color w:val="auto"/>
          <w:sz w:val="24"/>
          <w:szCs w:val="24"/>
          <w:highlight w:val="none"/>
        </w:rPr>
        <w:t>评标工作由采购人负责组织，具体评标工作由采购人依法组建的评标委员会负责。评标委员会由采购人代表和有关技术、经济等方面的专家组成。</w:t>
      </w:r>
    </w:p>
    <w:p w14:paraId="338460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评标工作应遵循公平、公正、科学及择优的原则。</w:t>
      </w:r>
    </w:p>
    <w:p w14:paraId="48568C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评标委员会按照招标文件规定的评标方法和标准进行评标，并独立履行下列职责：</w:t>
      </w:r>
    </w:p>
    <w:p w14:paraId="354AEA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（1）审查投标文件是否符合招标文件要求，并作出评价；</w:t>
      </w:r>
    </w:p>
    <w:p w14:paraId="6039FCE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对投标文件有关事项作出解释或者澄清；</w:t>
      </w:r>
    </w:p>
    <w:p w14:paraId="310F2B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（3）推荐中标候选投标人名单，或者受采购人委托按照事先确定的办法直接确定中标投标人；</w:t>
      </w:r>
    </w:p>
    <w:p w14:paraId="20E182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（4）向采购人或者有关部门报告非法干预评标工作的行为。</w:t>
      </w:r>
      <w:bookmarkStart w:id="155" w:name="_Toc217446098"/>
    </w:p>
    <w:p w14:paraId="33DB43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评标过程严格保密。投标人对评标委员会的评标过程或合同授予决定施加影响的任何行为都可能导致其投标被拒绝。</w:t>
      </w:r>
    </w:p>
    <w:p w14:paraId="1F169F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1.6评标委员会决定投标文件的响应性应依据投标文件本身的内容，而不寻求外部的证据。</w:t>
      </w:r>
    </w:p>
    <w:p w14:paraId="4882CE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1.7评标委员会发现招标文件表述不明确或需要说明的事项，可提请采购人书面解释说明。发现招标文件违反法律、法规、规章和相关规定的，可以拒绝评标，并向采购人书面说明情况。</w:t>
      </w:r>
    </w:p>
    <w:p w14:paraId="3CDCDC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评标方法</w:t>
      </w:r>
    </w:p>
    <w:p w14:paraId="05D8296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本项目评标方法为：综合评分法。</w:t>
      </w:r>
    </w:p>
    <w:p w14:paraId="314861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评标程序</w:t>
      </w:r>
      <w:bookmarkEnd w:id="155"/>
    </w:p>
    <w:p w14:paraId="490DFFB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bookmarkStart w:id="156" w:name="_Toc217446099"/>
      <w:r>
        <w:rPr>
          <w:rFonts w:hint="eastAsia" w:ascii="宋体" w:hAnsi="宋体" w:eastAsia="宋体" w:cs="宋体"/>
          <w:color w:val="auto"/>
          <w:sz w:val="24"/>
          <w:szCs w:val="24"/>
          <w:highlight w:val="none"/>
        </w:rPr>
        <w:t>3.1资格审查</w:t>
      </w:r>
    </w:p>
    <w:p w14:paraId="42D20799">
      <w:pPr>
        <w:keepNext/>
        <w:keepLines/>
        <w:pageBreakBefore w:val="0"/>
        <w:wordWrap/>
        <w:overflowPunct/>
        <w:topLinePunct w:val="0"/>
        <w:bidi w:val="0"/>
        <w:spacing w:line="560" w:lineRule="exact"/>
        <w:ind w:left="0" w:leftChars="0" w:right="0" w:rightChars="0"/>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资格审查表</w:t>
      </w:r>
    </w:p>
    <w:tbl>
      <w:tblPr>
        <w:tblStyle w:val="29"/>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
        <w:gridCol w:w="3480"/>
        <w:gridCol w:w="4541"/>
      </w:tblGrid>
      <w:tr w14:paraId="7724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836" w:type="dxa"/>
            <w:vMerge w:val="restart"/>
            <w:noWrap w:val="0"/>
            <w:vAlign w:val="center"/>
          </w:tcPr>
          <w:p w14:paraId="485CAB04">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76" w:type="dxa"/>
            <w:vMerge w:val="restart"/>
            <w:noWrap w:val="0"/>
            <w:vAlign w:val="center"/>
          </w:tcPr>
          <w:p w14:paraId="575069C1">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审查</w:t>
            </w:r>
            <w:r>
              <w:rPr>
                <w:rFonts w:hint="eastAsia" w:ascii="宋体" w:hAnsi="宋体" w:cs="宋体"/>
                <w:color w:val="auto"/>
                <w:sz w:val="24"/>
                <w:szCs w:val="24"/>
                <w:highlight w:val="none"/>
                <w:lang w:val="en-US" w:eastAsia="zh-CN"/>
              </w:rPr>
              <w:t>因素</w:t>
            </w:r>
          </w:p>
        </w:tc>
        <w:tc>
          <w:tcPr>
            <w:tcW w:w="4537" w:type="dxa"/>
            <w:vMerge w:val="restart"/>
            <w:noWrap w:val="0"/>
            <w:vAlign w:val="center"/>
          </w:tcPr>
          <w:p w14:paraId="5C5E97F5">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审查标准</w:t>
            </w:r>
          </w:p>
        </w:tc>
      </w:tr>
      <w:tr w14:paraId="6181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836" w:type="dxa"/>
            <w:vMerge w:val="continue"/>
            <w:noWrap w:val="0"/>
            <w:vAlign w:val="center"/>
          </w:tcPr>
          <w:p w14:paraId="51B03BBE">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rPr>
            </w:pPr>
          </w:p>
        </w:tc>
        <w:tc>
          <w:tcPr>
            <w:tcW w:w="3476" w:type="dxa"/>
            <w:vMerge w:val="continue"/>
            <w:noWrap w:val="0"/>
            <w:vAlign w:val="center"/>
          </w:tcPr>
          <w:p w14:paraId="54E79D7C">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rPr>
            </w:pPr>
          </w:p>
        </w:tc>
        <w:tc>
          <w:tcPr>
            <w:tcW w:w="4537" w:type="dxa"/>
            <w:vMerge w:val="continue"/>
            <w:noWrap w:val="0"/>
            <w:vAlign w:val="center"/>
          </w:tcPr>
          <w:p w14:paraId="5888105C">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default" w:ascii="宋体" w:hAnsi="宋体" w:eastAsia="宋体" w:cs="宋体"/>
                <w:color w:val="auto"/>
                <w:sz w:val="24"/>
                <w:szCs w:val="24"/>
                <w:highlight w:val="none"/>
                <w:lang w:val="en-US" w:eastAsia="zh-CN"/>
              </w:rPr>
            </w:pPr>
          </w:p>
        </w:tc>
      </w:tr>
      <w:tr w14:paraId="0458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36" w:type="dxa"/>
            <w:noWrap w:val="0"/>
            <w:vAlign w:val="center"/>
          </w:tcPr>
          <w:p w14:paraId="47F9EBC7">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76" w:type="dxa"/>
            <w:noWrap w:val="0"/>
            <w:vAlign w:val="center"/>
          </w:tcPr>
          <w:p w14:paraId="377F4B77">
            <w:pPr>
              <w:pStyle w:val="92"/>
              <w:keepNext w:val="0"/>
              <w:keepLines w:val="0"/>
              <w:pageBreakBefore w:val="0"/>
              <w:kinsoku/>
              <w:wordWrap/>
              <w:overflowPunct/>
              <w:topLinePunct w:val="0"/>
              <w:autoSpaceDE/>
              <w:autoSpaceDN/>
              <w:bidi w:val="0"/>
              <w:adjustRightInd/>
              <w:snapToGrid/>
              <w:spacing w:line="240" w:lineRule="auto"/>
              <w:ind w:left="0" w:leftChars="0" w:right="0" w:rightChars="0"/>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具有独立承担民事责任的能力；</w:t>
            </w:r>
          </w:p>
        </w:tc>
        <w:tc>
          <w:tcPr>
            <w:tcW w:w="4537" w:type="dxa"/>
            <w:noWrap w:val="0"/>
            <w:vAlign w:val="center"/>
          </w:tcPr>
          <w:p w14:paraId="3CA602FC">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投标人为企业（包括合伙企业）的，应提供有效的“营业执照”；</w:t>
            </w:r>
          </w:p>
          <w:p w14:paraId="79E2A2B1">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投标人为事业单位的，应提供有效的“事业单位法人证书”；</w:t>
            </w:r>
          </w:p>
          <w:p w14:paraId="7F835132">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投标人是非企业机构的，应提供有效的“执业许可证”、“登记证书”等证明文件；</w:t>
            </w:r>
          </w:p>
          <w:p w14:paraId="0BBAD5D1">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投标人是个体工商户的，应提供有效的“个体工商户营业执照”；</w:t>
            </w:r>
          </w:p>
          <w:p w14:paraId="6A6CFFA6">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投标人是自然人的，应提供有效的自然人身份证明。</w:t>
            </w:r>
          </w:p>
          <w:p w14:paraId="62D47275">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r>
              <w:rPr>
                <w:rFonts w:hint="eastAsia" w:ascii="宋体" w:hAnsi="宋体" w:eastAsia="宋体" w:cs="宋体"/>
                <w:color w:val="auto"/>
                <w:sz w:val="24"/>
                <w:szCs w:val="24"/>
                <w:highlight w:val="none"/>
                <w:lang w:eastAsia="zh-CN"/>
              </w:rPr>
              <w:t>。</w:t>
            </w:r>
          </w:p>
        </w:tc>
      </w:tr>
      <w:tr w14:paraId="40DE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6" w:type="dxa"/>
            <w:noWrap w:val="0"/>
            <w:vAlign w:val="center"/>
          </w:tcPr>
          <w:p w14:paraId="4221DF13">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76" w:type="dxa"/>
            <w:noWrap w:val="0"/>
            <w:vAlign w:val="center"/>
          </w:tcPr>
          <w:p w14:paraId="6A45524A">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tc>
        <w:tc>
          <w:tcPr>
            <w:tcW w:w="4537" w:type="dxa"/>
            <w:noWrap w:val="0"/>
            <w:vAlign w:val="center"/>
          </w:tcPr>
          <w:p w14:paraId="5336CB25">
            <w:pPr>
              <w:pStyle w:val="92"/>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①以</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截止时间点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未列入“信用中国”&lt;www.creditchina.gov.cn&gt;网站的“失信被执行人”和“重大税收违法失信主体”及“中国政府采购网”&lt;www.ccgp.gov.cn&gt;网站的“政府采购严重违法失信行为记录名单”，</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截止时间后，由</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代理公司统一登陆网站查询上传</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信誉情况，并以保存的网页查询截图为准；</w:t>
            </w:r>
          </w:p>
          <w:p w14:paraId="2D3A8ACB">
            <w:pPr>
              <w:pStyle w:val="24"/>
              <w:pageBreakBefore w:val="0"/>
              <w:kinsoku/>
              <w:wordWrap/>
              <w:overflowPunct/>
              <w:topLinePunct w:val="0"/>
              <w:autoSpaceDE/>
              <w:autoSpaceDN/>
              <w:bidi w:val="0"/>
              <w:spacing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②近6个月内任意</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个月银行资信证明或</w:t>
            </w:r>
            <w:r>
              <w:rPr>
                <w:rFonts w:hint="eastAsia" w:ascii="宋体" w:hAnsi="宋体" w:eastAsia="宋体" w:cs="宋体"/>
                <w:color w:val="auto"/>
                <w:sz w:val="24"/>
                <w:szCs w:val="24"/>
                <w:highlight w:val="none"/>
                <w:lang w:val="en-US" w:eastAsia="zh-CN"/>
              </w:rPr>
              <w:t>上一年度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2023年度</w:t>
            </w:r>
            <w:r>
              <w:rPr>
                <w:rFonts w:hint="eastAsia" w:ascii="宋体" w:hAnsi="宋体" w:eastAsia="宋体" w:cs="宋体"/>
                <w:color w:val="auto"/>
                <w:sz w:val="24"/>
                <w:szCs w:val="24"/>
                <w:highlight w:val="none"/>
              </w:rPr>
              <w:t>）经审计的财务报告（提供任一项即可，自然人无需提供）。</w:t>
            </w:r>
          </w:p>
          <w:p w14:paraId="415EDDE9">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新成立企业仅需提供近6个月内任意</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个月银行资信证明即可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新成立企业是指：营业执照申领时间至</w:t>
            </w:r>
            <w:r>
              <w:rPr>
                <w:rFonts w:hint="eastAsia" w:ascii="宋体" w:hAnsi="宋体" w:eastAsia="宋体" w:cs="宋体"/>
                <w:color w:val="auto"/>
                <w:sz w:val="24"/>
                <w:szCs w:val="24"/>
                <w:highlight w:val="none"/>
                <w:lang w:val="en-US" w:eastAsia="zh-CN"/>
              </w:rPr>
              <w:t>投标截止时间</w:t>
            </w:r>
            <w:r>
              <w:rPr>
                <w:rFonts w:hint="eastAsia" w:ascii="宋体" w:hAnsi="宋体" w:eastAsia="宋体" w:cs="宋体"/>
                <w:color w:val="auto"/>
                <w:sz w:val="24"/>
                <w:szCs w:val="24"/>
                <w:highlight w:val="none"/>
              </w:rPr>
              <w:t>未满一年的企业。</w:t>
            </w:r>
          </w:p>
        </w:tc>
      </w:tr>
      <w:tr w14:paraId="0AF2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6" w:type="dxa"/>
            <w:noWrap w:val="0"/>
            <w:vAlign w:val="center"/>
          </w:tcPr>
          <w:p w14:paraId="08545D6F">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476" w:type="dxa"/>
            <w:noWrap w:val="0"/>
            <w:vAlign w:val="center"/>
          </w:tcPr>
          <w:p w14:paraId="52737770">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tc>
        <w:tc>
          <w:tcPr>
            <w:tcW w:w="4537" w:type="dxa"/>
            <w:noWrap w:val="0"/>
            <w:vAlign w:val="center"/>
          </w:tcPr>
          <w:p w14:paraId="1F45E8B7">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须提供：①相关设备设施购置发票或单据或承诺函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提供任一项即可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4D07B703">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pacing w:val="-2"/>
                <w:sz w:val="24"/>
                <w:szCs w:val="24"/>
                <w:highlight w:val="none"/>
              </w:rPr>
              <w:t>提供具有履行合同所必需的专业技术能力相关证明材料或</w:t>
            </w:r>
            <w:r>
              <w:rPr>
                <w:rFonts w:hint="eastAsia" w:ascii="宋体" w:hAnsi="宋体" w:eastAsia="宋体" w:cs="宋体"/>
                <w:color w:val="auto"/>
                <w:sz w:val="24"/>
                <w:szCs w:val="24"/>
                <w:highlight w:val="none"/>
              </w:rPr>
              <w:t>承诺函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提供任一项即可</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p>
        </w:tc>
      </w:tr>
      <w:tr w14:paraId="5840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6" w:type="dxa"/>
            <w:noWrap w:val="0"/>
            <w:vAlign w:val="center"/>
          </w:tcPr>
          <w:p w14:paraId="5F95AA61">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476" w:type="dxa"/>
            <w:noWrap w:val="0"/>
            <w:vAlign w:val="center"/>
          </w:tcPr>
          <w:p w14:paraId="2EA65561">
            <w:pPr>
              <w:pStyle w:val="10"/>
              <w:keepNext w:val="0"/>
              <w:keepLines w:val="0"/>
              <w:pageBreakBefore w:val="0"/>
              <w:widowControl/>
              <w:kinsoku/>
              <w:wordWrap/>
              <w:overflowPunct/>
              <w:topLinePunct w:val="0"/>
              <w:autoSpaceDE/>
              <w:autoSpaceDN/>
              <w:bidi w:val="0"/>
              <w:adjustRightInd/>
              <w:snapToGrid/>
              <w:spacing w:after="0"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4537" w:type="dxa"/>
            <w:noWrap w:val="0"/>
            <w:vAlign w:val="center"/>
          </w:tcPr>
          <w:p w14:paraId="1E6EC6B6">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须提供：①近</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个月内任意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个月已依法缴纳税收的凭据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自然人无需提供</w:t>
            </w:r>
            <w:r>
              <w:rPr>
                <w:rFonts w:hint="eastAsia" w:ascii="宋体" w:hAnsi="宋体" w:eastAsia="宋体" w:cs="宋体"/>
                <w:color w:val="auto"/>
                <w:sz w:val="24"/>
                <w:szCs w:val="24"/>
                <w:highlight w:val="none"/>
              </w:rPr>
              <w:t>；②近</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个月内任意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个月已依法缴纳社会保险的凭据（依法免税</w:t>
            </w:r>
            <w:r>
              <w:rPr>
                <w:rFonts w:hint="eastAsia" w:ascii="宋体" w:hAnsi="宋体" w:eastAsia="宋体" w:cs="宋体"/>
                <w:color w:val="auto"/>
                <w:sz w:val="24"/>
                <w:szCs w:val="24"/>
                <w:highlight w:val="none"/>
                <w:lang w:eastAsia="zh-CN"/>
              </w:rPr>
              <w:t>的投标人</w:t>
            </w:r>
            <w:r>
              <w:rPr>
                <w:rFonts w:hint="eastAsia" w:ascii="宋体" w:hAnsi="宋体" w:eastAsia="宋体" w:cs="宋体"/>
                <w:color w:val="auto"/>
                <w:sz w:val="24"/>
                <w:szCs w:val="24"/>
                <w:highlight w:val="none"/>
              </w:rPr>
              <w:t>，应提供相应证明文件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自然人无需提供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14:paraId="7CAF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6" w:type="dxa"/>
            <w:noWrap w:val="0"/>
            <w:vAlign w:val="center"/>
          </w:tcPr>
          <w:p w14:paraId="250AC9CB">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476" w:type="dxa"/>
            <w:noWrap w:val="0"/>
            <w:vAlign w:val="center"/>
          </w:tcPr>
          <w:p w14:paraId="4398823B">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参加政府采购活动前三年内，在经营活动中没有重大违法记录；</w:t>
            </w:r>
          </w:p>
        </w:tc>
        <w:tc>
          <w:tcPr>
            <w:tcW w:w="4537" w:type="dxa"/>
            <w:noWrap w:val="0"/>
            <w:vAlign w:val="center"/>
          </w:tcPr>
          <w:p w14:paraId="4017CB96">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承诺函（</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自行承诺并承担后果，声明不实的，按《政府采购法》及相关法律法规中提供虚假材料的有关规定处理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tc>
      </w:tr>
      <w:tr w14:paraId="7FE3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836" w:type="dxa"/>
            <w:noWrap w:val="0"/>
            <w:vAlign w:val="center"/>
          </w:tcPr>
          <w:p w14:paraId="6D7BC8F3">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476" w:type="dxa"/>
            <w:noWrap w:val="0"/>
            <w:vAlign w:val="center"/>
          </w:tcPr>
          <w:p w14:paraId="1149FF72">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法律、行政法规规定的其他条件；</w:t>
            </w:r>
          </w:p>
        </w:tc>
        <w:tc>
          <w:tcPr>
            <w:tcW w:w="4537" w:type="dxa"/>
            <w:noWrap w:val="0"/>
            <w:vAlign w:val="center"/>
          </w:tcPr>
          <w:p w14:paraId="351DEF3B">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须提供：承诺函（投标人自行承诺并承担后果，声明函不实的，按《政府采购法》及相关法律法规中提供虚假材料的有关规定处理）。 </w:t>
            </w:r>
          </w:p>
        </w:tc>
      </w:tr>
      <w:tr w14:paraId="0D23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836" w:type="dxa"/>
            <w:noWrap w:val="0"/>
            <w:vAlign w:val="center"/>
          </w:tcPr>
          <w:p w14:paraId="05C6ABB7">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3476" w:type="dxa"/>
            <w:noWrap w:val="0"/>
            <w:vAlign w:val="center"/>
          </w:tcPr>
          <w:p w14:paraId="6AA0C89B">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，不得参加同一合同项下的政府采购活动。</w:t>
            </w:r>
          </w:p>
        </w:tc>
        <w:tc>
          <w:tcPr>
            <w:tcW w:w="4537" w:type="dxa"/>
            <w:noWrap w:val="0"/>
            <w:vAlign w:val="center"/>
          </w:tcPr>
          <w:p w14:paraId="2755670F">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承诺函（</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自行承诺并承担后果，声明函不实的，按《政府采购法》及相关法律法规中提供虚假材料的有关规定处理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tc>
      </w:tr>
      <w:tr w14:paraId="1653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836" w:type="dxa"/>
            <w:noWrap w:val="0"/>
            <w:vAlign w:val="center"/>
          </w:tcPr>
          <w:p w14:paraId="67CD2776">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3476" w:type="dxa"/>
            <w:noWrap w:val="0"/>
            <w:vAlign w:val="center"/>
          </w:tcPr>
          <w:p w14:paraId="7A4CC617">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投标人应具备合格有效的《城镇污水排入排水管网许可证》</w:t>
            </w:r>
          </w:p>
        </w:tc>
        <w:tc>
          <w:tcPr>
            <w:tcW w:w="4537" w:type="dxa"/>
            <w:noWrap w:val="0"/>
            <w:vAlign w:val="center"/>
          </w:tcPr>
          <w:p w14:paraId="229D7BE8">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须提供合格有效的相关证明材料。</w:t>
            </w:r>
          </w:p>
        </w:tc>
      </w:tr>
      <w:tr w14:paraId="216B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836" w:type="dxa"/>
            <w:noWrap w:val="0"/>
            <w:vAlign w:val="center"/>
          </w:tcPr>
          <w:p w14:paraId="31D63F68">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3476" w:type="dxa"/>
            <w:noWrap w:val="0"/>
            <w:vAlign w:val="center"/>
          </w:tcPr>
          <w:p w14:paraId="35642F26">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ascii="宋体" w:hAnsi="宋体" w:eastAsia="宋体" w:cs="宋体"/>
                <w:color w:val="auto"/>
                <w:sz w:val="24"/>
                <w:szCs w:val="24"/>
                <w:highlight w:val="none"/>
              </w:rPr>
            </w:pPr>
            <w:r>
              <w:rPr>
                <w:rFonts w:hint="eastAsia" w:ascii="宋体" w:hAnsi="宋体" w:cs="宋体"/>
                <w:sz w:val="24"/>
                <w:highlight w:val="none"/>
                <w:lang w:val="en-US" w:eastAsia="zh-CN"/>
              </w:rPr>
              <w:t>采购政策</w:t>
            </w:r>
          </w:p>
        </w:tc>
        <w:tc>
          <w:tcPr>
            <w:tcW w:w="4537" w:type="dxa"/>
            <w:noWrap w:val="0"/>
            <w:vAlign w:val="center"/>
          </w:tcPr>
          <w:p w14:paraId="05B349E6">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须提供中小企业声明函</w:t>
            </w:r>
          </w:p>
          <w:p w14:paraId="0218505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请根据要求单独上传《中小企业声明函》。格式以采购文件要求为准。（供应商商须为小微企业）</w:t>
            </w:r>
          </w:p>
        </w:tc>
      </w:tr>
      <w:tr w14:paraId="5E09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849" w:type="dxa"/>
            <w:gridSpan w:val="3"/>
            <w:noWrap w:val="0"/>
            <w:vAlign w:val="center"/>
          </w:tcPr>
          <w:p w14:paraId="0DD86085">
            <w:pPr>
              <w:pStyle w:val="92"/>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shd w:val="clear" w:color="auto" w:fill="FFFFFF"/>
              </w:rPr>
              <w:t>如果资格性审查有一项未通过上述审查标准，</w:t>
            </w:r>
            <w:r>
              <w:rPr>
                <w:rFonts w:hint="eastAsia" w:ascii="宋体" w:hAnsi="宋体" w:eastAsia="宋体" w:cs="宋体"/>
                <w:color w:val="auto"/>
                <w:sz w:val="21"/>
                <w:szCs w:val="21"/>
                <w:highlight w:val="none"/>
                <w:shd w:val="clear" w:color="auto" w:fill="FFFFFF"/>
                <w:lang w:eastAsia="zh-CN"/>
              </w:rPr>
              <w:t>评审委员会</w:t>
            </w:r>
            <w:r>
              <w:rPr>
                <w:rFonts w:hint="eastAsia" w:ascii="宋体" w:hAnsi="宋体" w:eastAsia="宋体" w:cs="宋体"/>
                <w:color w:val="auto"/>
                <w:sz w:val="21"/>
                <w:szCs w:val="21"/>
                <w:highlight w:val="none"/>
                <w:shd w:val="clear" w:color="auto" w:fill="FFFFFF"/>
              </w:rPr>
              <w:t>将认定整个投标文件不响应招标文件而予以无效处理，并且不允许</w:t>
            </w:r>
            <w:r>
              <w:rPr>
                <w:rFonts w:hint="eastAsia" w:ascii="宋体" w:hAnsi="宋体" w:eastAsia="宋体" w:cs="宋体"/>
                <w:color w:val="auto"/>
                <w:sz w:val="21"/>
                <w:szCs w:val="21"/>
                <w:highlight w:val="none"/>
                <w:shd w:val="clear" w:color="auto" w:fill="FFFFFF"/>
                <w:lang w:eastAsia="zh-CN"/>
              </w:rPr>
              <w:t>投标供应商</w:t>
            </w:r>
            <w:r>
              <w:rPr>
                <w:rFonts w:hint="eastAsia" w:ascii="宋体" w:hAnsi="宋体" w:eastAsia="宋体" w:cs="宋体"/>
                <w:color w:val="auto"/>
                <w:sz w:val="21"/>
                <w:szCs w:val="21"/>
                <w:highlight w:val="none"/>
                <w:shd w:val="clear" w:color="auto" w:fill="FFFFFF"/>
              </w:rPr>
              <w:t>通过修改或撤销其不符合要求的差异或保留，使之成为具有响应性的投标。</w:t>
            </w:r>
          </w:p>
        </w:tc>
      </w:tr>
    </w:tbl>
    <w:p w14:paraId="64F21C69">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p>
    <w:p w14:paraId="3C5E6596">
      <w:pPr>
        <w:pageBreakBefore w:val="0"/>
        <w:wordWrap/>
        <w:overflowPunct/>
        <w:topLinePunct w:val="0"/>
        <w:bidi w:val="0"/>
        <w:spacing w:line="560" w:lineRule="exact"/>
        <w:ind w:left="0" w:leftChars="0" w:right="0" w:rightChars="0" w:firstLine="480" w:firstLineChars="200"/>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3.2符合性审查。依据招标文件的规定，从投标文件的有效性、完整性和对招标文件的响应程度进行审查，以确定是否对招标文件的实质性要求作出响应。</w:t>
      </w:r>
    </w:p>
    <w:p w14:paraId="3FDFC47D">
      <w:pPr>
        <w:pageBreakBefore w:val="0"/>
        <w:wordWrap/>
        <w:overflowPunct/>
        <w:topLinePunct w:val="0"/>
        <w:bidi w:val="0"/>
        <w:spacing w:line="560" w:lineRule="exact"/>
        <w:ind w:left="0" w:leftChars="0" w:right="0" w:rightChars="0"/>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符合性审查表</w:t>
      </w:r>
    </w:p>
    <w:tbl>
      <w:tblPr>
        <w:tblStyle w:val="29"/>
        <w:tblW w:w="47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7910"/>
      </w:tblGrid>
      <w:tr w14:paraId="505A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606" w:type="dxa"/>
            <w:vMerge w:val="restart"/>
            <w:noWrap w:val="0"/>
            <w:vAlign w:val="center"/>
          </w:tcPr>
          <w:p w14:paraId="0007B9C1">
            <w:pPr>
              <w:pStyle w:val="92"/>
              <w:pageBreakBefore w:val="0"/>
              <w:kinsoku/>
              <w:wordWrap/>
              <w:overflowPunct/>
              <w:topLinePunct w:val="0"/>
              <w:bidi w:val="0"/>
              <w:adjustRightInd/>
              <w:snapToGrid/>
              <w:spacing w:line="56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333" w:type="dxa"/>
            <w:vMerge w:val="restart"/>
            <w:noWrap w:val="0"/>
            <w:vAlign w:val="center"/>
          </w:tcPr>
          <w:p w14:paraId="492FCF3C">
            <w:pPr>
              <w:pStyle w:val="92"/>
              <w:pageBreakBefore w:val="0"/>
              <w:kinsoku/>
              <w:wordWrap/>
              <w:overflowPunct/>
              <w:topLinePunct w:val="0"/>
              <w:bidi w:val="0"/>
              <w:adjustRightInd/>
              <w:snapToGrid/>
              <w:spacing w:line="56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   查   标   准</w:t>
            </w:r>
          </w:p>
        </w:tc>
      </w:tr>
      <w:tr w14:paraId="4E5F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606" w:type="dxa"/>
            <w:vMerge w:val="continue"/>
            <w:noWrap w:val="0"/>
            <w:vAlign w:val="center"/>
          </w:tcPr>
          <w:p w14:paraId="56C83781">
            <w:pPr>
              <w:pStyle w:val="92"/>
              <w:pageBreakBefore w:val="0"/>
              <w:kinsoku/>
              <w:wordWrap/>
              <w:overflowPunct/>
              <w:topLinePunct w:val="0"/>
              <w:bidi w:val="0"/>
              <w:adjustRightInd/>
              <w:snapToGrid/>
              <w:spacing w:line="560" w:lineRule="exact"/>
              <w:ind w:left="0" w:leftChars="0" w:right="0" w:rightChars="0"/>
              <w:jc w:val="center"/>
              <w:textAlignment w:val="center"/>
              <w:rPr>
                <w:rFonts w:hint="eastAsia" w:ascii="宋体" w:hAnsi="宋体" w:eastAsia="宋体" w:cs="宋体"/>
                <w:color w:val="auto"/>
                <w:sz w:val="24"/>
                <w:szCs w:val="24"/>
                <w:highlight w:val="none"/>
              </w:rPr>
            </w:pPr>
          </w:p>
        </w:tc>
        <w:tc>
          <w:tcPr>
            <w:tcW w:w="7333" w:type="dxa"/>
            <w:vMerge w:val="continue"/>
            <w:noWrap w:val="0"/>
            <w:vAlign w:val="center"/>
          </w:tcPr>
          <w:p w14:paraId="17BEDBE9">
            <w:pPr>
              <w:pStyle w:val="92"/>
              <w:pageBreakBefore w:val="0"/>
              <w:kinsoku/>
              <w:wordWrap/>
              <w:overflowPunct/>
              <w:topLinePunct w:val="0"/>
              <w:bidi w:val="0"/>
              <w:adjustRightInd/>
              <w:snapToGrid/>
              <w:spacing w:line="560" w:lineRule="exact"/>
              <w:ind w:left="0" w:leftChars="0" w:right="0" w:rightChars="0"/>
              <w:jc w:val="center"/>
              <w:textAlignment w:val="center"/>
              <w:rPr>
                <w:rFonts w:hint="eastAsia" w:ascii="宋体" w:hAnsi="宋体" w:eastAsia="宋体" w:cs="宋体"/>
                <w:color w:val="auto"/>
                <w:sz w:val="24"/>
                <w:szCs w:val="24"/>
                <w:highlight w:val="none"/>
              </w:rPr>
            </w:pPr>
          </w:p>
        </w:tc>
      </w:tr>
      <w:tr w14:paraId="266F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06" w:type="dxa"/>
            <w:noWrap w:val="0"/>
            <w:vAlign w:val="center"/>
          </w:tcPr>
          <w:p w14:paraId="12F58D04">
            <w:pPr>
              <w:pStyle w:val="92"/>
              <w:pageBreakBefore w:val="0"/>
              <w:kinsoku/>
              <w:wordWrap/>
              <w:overflowPunct/>
              <w:topLinePunct w:val="0"/>
              <w:bidi w:val="0"/>
              <w:adjustRightInd/>
              <w:snapToGrid/>
              <w:spacing w:line="560" w:lineRule="exact"/>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7333" w:type="dxa"/>
            <w:noWrap w:val="0"/>
            <w:vAlign w:val="center"/>
          </w:tcPr>
          <w:p w14:paraId="28EF970D">
            <w:pPr>
              <w:pStyle w:val="92"/>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宋体" w:hAnsi="宋体" w:eastAsia="宋体" w:cs="宋体"/>
                <w:color w:val="auto"/>
                <w:sz w:val="24"/>
                <w:szCs w:val="24"/>
                <w:highlight w:val="none"/>
                <w:lang w:eastAsia="zh-CN"/>
              </w:rPr>
            </w:pPr>
            <w:r>
              <w:rPr>
                <w:rFonts w:hint="eastAsia" w:ascii="宋体" w:hAnsi="宋体" w:cs="宋体"/>
                <w:color w:val="auto"/>
                <w:highlight w:val="none"/>
              </w:rPr>
              <w:t>按照招标文件规定的格式要求编制投标文件，实质性响应招标文件内容</w:t>
            </w:r>
            <w:r>
              <w:rPr>
                <w:rFonts w:hint="eastAsia" w:ascii="宋体" w:hAnsi="宋体" w:eastAsia="宋体" w:cs="宋体"/>
                <w:color w:val="auto"/>
                <w:sz w:val="24"/>
                <w:szCs w:val="24"/>
                <w:highlight w:val="none"/>
                <w:lang w:eastAsia="zh-CN"/>
              </w:rPr>
              <w:t>；</w:t>
            </w:r>
          </w:p>
        </w:tc>
      </w:tr>
      <w:tr w14:paraId="23C1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06" w:type="dxa"/>
            <w:noWrap w:val="0"/>
            <w:vAlign w:val="center"/>
          </w:tcPr>
          <w:p w14:paraId="342BAE88">
            <w:pPr>
              <w:pStyle w:val="92"/>
              <w:pageBreakBefore w:val="0"/>
              <w:kinsoku/>
              <w:wordWrap/>
              <w:overflowPunct/>
              <w:topLinePunct w:val="0"/>
              <w:bidi w:val="0"/>
              <w:adjustRightInd/>
              <w:snapToGrid/>
              <w:spacing w:line="560" w:lineRule="exact"/>
              <w:ind w:left="0" w:leftChars="0" w:right="0" w:right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333" w:type="dxa"/>
            <w:noWrap w:val="0"/>
            <w:vAlign w:val="center"/>
          </w:tcPr>
          <w:p w14:paraId="55587C1C">
            <w:pPr>
              <w:pStyle w:val="92"/>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要求签署、盖章；</w:t>
            </w:r>
          </w:p>
        </w:tc>
      </w:tr>
      <w:tr w14:paraId="3CCD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06" w:type="dxa"/>
            <w:noWrap w:val="0"/>
            <w:vAlign w:val="center"/>
          </w:tcPr>
          <w:p w14:paraId="1B3E7C8B">
            <w:pPr>
              <w:pStyle w:val="92"/>
              <w:pageBreakBefore w:val="0"/>
              <w:kinsoku/>
              <w:wordWrap/>
              <w:overflowPunct/>
              <w:topLinePunct w:val="0"/>
              <w:bidi w:val="0"/>
              <w:adjustRightInd/>
              <w:snapToGrid/>
              <w:spacing w:line="560" w:lineRule="exact"/>
              <w:ind w:left="0" w:leftChars="0" w:right="0" w:right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333" w:type="dxa"/>
            <w:noWrap w:val="0"/>
            <w:vAlign w:val="center"/>
          </w:tcPr>
          <w:p w14:paraId="7558171D">
            <w:pPr>
              <w:pStyle w:val="92"/>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的规定提交</w:t>
            </w:r>
            <w:r>
              <w:rPr>
                <w:rFonts w:hint="eastAsia" w:ascii="宋体" w:hAnsi="宋体" w:eastAsia="宋体" w:cs="宋体"/>
                <w:color w:val="auto"/>
                <w:sz w:val="24"/>
                <w:szCs w:val="24"/>
                <w:highlight w:val="none"/>
                <w:lang w:val="en-US" w:eastAsia="zh-CN"/>
              </w:rPr>
              <w:t>投标保证金</w:t>
            </w:r>
            <w:r>
              <w:rPr>
                <w:rFonts w:hint="eastAsia" w:ascii="宋体" w:hAnsi="宋体" w:eastAsia="宋体" w:cs="宋体"/>
                <w:color w:val="auto"/>
                <w:sz w:val="24"/>
                <w:szCs w:val="24"/>
                <w:highlight w:val="none"/>
              </w:rPr>
              <w:t>；</w:t>
            </w:r>
          </w:p>
        </w:tc>
      </w:tr>
      <w:tr w14:paraId="5E76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atLeast"/>
          <w:jc w:val="center"/>
        </w:trPr>
        <w:tc>
          <w:tcPr>
            <w:tcW w:w="606" w:type="dxa"/>
            <w:noWrap w:val="0"/>
            <w:vAlign w:val="center"/>
          </w:tcPr>
          <w:p w14:paraId="7C63C164">
            <w:pPr>
              <w:pStyle w:val="92"/>
              <w:pageBreakBefore w:val="0"/>
              <w:kinsoku/>
              <w:wordWrap/>
              <w:overflowPunct/>
              <w:topLinePunct w:val="0"/>
              <w:bidi w:val="0"/>
              <w:adjustRightInd/>
              <w:snapToGrid/>
              <w:spacing w:line="560" w:lineRule="exact"/>
              <w:ind w:left="0" w:leftChars="0" w:right="0" w:right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7333" w:type="dxa"/>
            <w:noWrap w:val="0"/>
            <w:vAlign w:val="center"/>
          </w:tcPr>
          <w:p w14:paraId="4037282E">
            <w:pPr>
              <w:pStyle w:val="92"/>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rPr>
              <w:t>超过</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中规定的最高限价</w:t>
            </w:r>
            <w:r>
              <w:rPr>
                <w:rFonts w:hint="eastAsia" w:ascii="宋体" w:hAnsi="宋体" w:eastAsia="宋体" w:cs="宋体"/>
                <w:sz w:val="24"/>
                <w:szCs w:val="32"/>
              </w:rPr>
              <w:t>（包括投标总报价及分项投标报价）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zh-CN"/>
              </w:rPr>
              <w:t>任何有选择的报价或有附加条件的报价，视为无效报价</w:t>
            </w:r>
            <w:r>
              <w:rPr>
                <w:rFonts w:hint="eastAsia" w:ascii="宋体" w:hAnsi="宋体" w:eastAsia="宋体" w:cs="宋体"/>
                <w:color w:val="auto"/>
                <w:sz w:val="24"/>
                <w:szCs w:val="24"/>
                <w:highlight w:val="none"/>
              </w:rPr>
              <w:t>；</w:t>
            </w:r>
          </w:p>
        </w:tc>
      </w:tr>
      <w:tr w14:paraId="1E68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06" w:type="dxa"/>
            <w:noWrap w:val="0"/>
            <w:vAlign w:val="center"/>
          </w:tcPr>
          <w:p w14:paraId="1A0649C2">
            <w:pPr>
              <w:pStyle w:val="92"/>
              <w:pageBreakBefore w:val="0"/>
              <w:kinsoku/>
              <w:wordWrap/>
              <w:overflowPunct/>
              <w:topLinePunct w:val="0"/>
              <w:bidi w:val="0"/>
              <w:adjustRightInd/>
              <w:snapToGrid/>
              <w:spacing w:line="560" w:lineRule="exact"/>
              <w:ind w:left="0" w:leftChars="0" w:right="0" w:right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333" w:type="dxa"/>
            <w:noWrap w:val="0"/>
            <w:vAlign w:val="center"/>
          </w:tcPr>
          <w:p w14:paraId="7768A273">
            <w:pPr>
              <w:pStyle w:val="92"/>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服务期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投标有效期、</w:t>
            </w:r>
            <w:r>
              <w:rPr>
                <w:rFonts w:hint="eastAsia" w:ascii="宋体" w:hAnsi="宋体" w:eastAsia="宋体" w:cs="宋体"/>
                <w:b w:val="0"/>
                <w:bCs/>
                <w:color w:val="auto"/>
                <w:sz w:val="24"/>
                <w:szCs w:val="24"/>
                <w:highlight w:val="none"/>
                <w:u w:val="none"/>
                <w:lang w:val="en-US" w:eastAsia="zh-CN"/>
              </w:rPr>
              <w:t>质量标准</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p>
        </w:tc>
      </w:tr>
      <w:tr w14:paraId="76C5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06" w:type="dxa"/>
            <w:noWrap w:val="0"/>
            <w:vAlign w:val="center"/>
          </w:tcPr>
          <w:p w14:paraId="2C9533F5">
            <w:pPr>
              <w:pStyle w:val="92"/>
              <w:pageBreakBefore w:val="0"/>
              <w:kinsoku/>
              <w:wordWrap/>
              <w:overflowPunct/>
              <w:topLinePunct w:val="0"/>
              <w:bidi w:val="0"/>
              <w:adjustRightInd/>
              <w:snapToGrid/>
              <w:spacing w:line="560" w:lineRule="exact"/>
              <w:ind w:left="0" w:leftChars="0" w:right="0" w:right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333" w:type="dxa"/>
            <w:noWrap w:val="0"/>
            <w:vAlign w:val="center"/>
          </w:tcPr>
          <w:p w14:paraId="75F84D1B">
            <w:pPr>
              <w:pStyle w:val="92"/>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lang w:val="en-US" w:eastAsia="zh-CN"/>
              </w:rPr>
              <w:t>不存在</w:t>
            </w:r>
            <w:r>
              <w:rPr>
                <w:rFonts w:hint="eastAsia" w:ascii="宋体" w:hAnsi="宋体" w:eastAsia="宋体" w:cs="宋体"/>
                <w:color w:val="auto"/>
                <w:sz w:val="24"/>
                <w:szCs w:val="24"/>
                <w:highlight w:val="none"/>
                <w:lang w:eastAsia="zh-CN"/>
              </w:rPr>
              <w:t>采购人不能接受的附加条件</w:t>
            </w:r>
            <w:r>
              <w:rPr>
                <w:rFonts w:hint="eastAsia" w:ascii="宋体" w:hAnsi="宋体" w:eastAsia="宋体" w:cs="宋体"/>
                <w:color w:val="auto"/>
                <w:sz w:val="24"/>
                <w:szCs w:val="24"/>
                <w:highlight w:val="none"/>
              </w:rPr>
              <w:t>。</w:t>
            </w:r>
          </w:p>
        </w:tc>
      </w:tr>
      <w:tr w14:paraId="0D40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exact"/>
          <w:jc w:val="center"/>
        </w:trPr>
        <w:tc>
          <w:tcPr>
            <w:tcW w:w="7939" w:type="dxa"/>
            <w:gridSpan w:val="2"/>
            <w:noWrap w:val="0"/>
            <w:vAlign w:val="center"/>
          </w:tcPr>
          <w:p w14:paraId="0FE1AD1D">
            <w:pPr>
              <w:pStyle w:val="92"/>
              <w:pageBreakBefore w:val="0"/>
              <w:kinsoku/>
              <w:wordWrap/>
              <w:overflowPunct/>
              <w:topLinePunct w:val="0"/>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：如果</w:t>
            </w:r>
            <w:r>
              <w:rPr>
                <w:rFonts w:hint="eastAsia" w:ascii="宋体" w:hAnsi="宋体" w:eastAsia="宋体" w:cs="宋体"/>
                <w:color w:val="auto"/>
                <w:sz w:val="21"/>
                <w:szCs w:val="21"/>
                <w:highlight w:val="none"/>
                <w:lang w:val="en-US" w:eastAsia="zh-CN"/>
              </w:rPr>
              <w:t>符合性审查</w:t>
            </w:r>
            <w:r>
              <w:rPr>
                <w:rFonts w:hint="eastAsia" w:ascii="宋体" w:hAnsi="宋体" w:eastAsia="宋体" w:cs="宋体"/>
                <w:color w:val="auto"/>
                <w:sz w:val="21"/>
                <w:szCs w:val="21"/>
                <w:highlight w:val="none"/>
              </w:rPr>
              <w:t>中有一项未通过上述审查标准，</w:t>
            </w:r>
            <w:r>
              <w:rPr>
                <w:rFonts w:hint="eastAsia" w:ascii="宋体" w:hAnsi="宋体" w:cs="宋体"/>
                <w:color w:val="auto"/>
                <w:sz w:val="21"/>
                <w:szCs w:val="21"/>
                <w:highlight w:val="none"/>
                <w:lang w:eastAsia="zh-CN"/>
              </w:rPr>
              <w:t>评审委员会</w:t>
            </w:r>
            <w:r>
              <w:rPr>
                <w:rFonts w:hint="eastAsia" w:ascii="宋体" w:hAnsi="宋体" w:eastAsia="宋体" w:cs="宋体"/>
                <w:color w:val="auto"/>
                <w:sz w:val="21"/>
                <w:szCs w:val="21"/>
                <w:highlight w:val="none"/>
              </w:rPr>
              <w:t>将认定整个投标文件不响应招标文件而予以无效处理，并且不允许</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通过修改或撤销其不符合要求的差异或保留，使之成为具有响应性的投标</w:t>
            </w:r>
            <w:r>
              <w:rPr>
                <w:rFonts w:hint="eastAsia" w:ascii="宋体" w:hAnsi="宋体" w:eastAsia="宋体" w:cs="宋体"/>
                <w:color w:val="auto"/>
                <w:sz w:val="21"/>
                <w:szCs w:val="21"/>
                <w:highlight w:val="none"/>
                <w:lang w:eastAsia="zh-CN"/>
              </w:rPr>
              <w:t>。</w:t>
            </w:r>
          </w:p>
        </w:tc>
      </w:tr>
    </w:tbl>
    <w:p w14:paraId="71835955">
      <w:pPr>
        <w:pStyle w:val="11"/>
        <w:pageBreakBefore w:val="0"/>
        <w:tabs>
          <w:tab w:val="left" w:pos="60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3.2.1在投标文件符合性审查过程中，如果出现评标委员会成员意见不一致的情况，按照少数服从多数的原则确定，但不得违背政府采购基本原则和招标文件规定。</w:t>
      </w:r>
    </w:p>
    <w:p w14:paraId="1345ADF0">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澄清有关问题。对投标文件中含义不明确、同类问题表述不一致或者有明显文字和计算错误的内容，评标委员会可以书面形式（应当由评标委员会签字）要求投标人作出必要的澄清、说明或者补正。投标人的澄清、说明或者补正应当采用书面形式，由其授权人或者被授权人签字，并不得超出投标文件的范围或者改变投标文件的实质性内容。</w:t>
      </w:r>
      <w:bookmarkStart w:id="157" w:name="_Toc183682422"/>
      <w:bookmarkStart w:id="158" w:name="_Toc183582287"/>
      <w:bookmarkStart w:id="159" w:name="_Toc217446104"/>
    </w:p>
    <w:bookmarkEnd w:id="157"/>
    <w:bookmarkEnd w:id="158"/>
    <w:bookmarkEnd w:id="159"/>
    <w:p w14:paraId="5F70D439">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3.4比较与评价。按招标文件中规定的评标方法和标准，对符合性审查合格的投标文件进行综合比较与评价。</w:t>
      </w:r>
    </w:p>
    <w:p w14:paraId="3F3AEA99">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3.5推荐中标候选人名单。中标候选人数量应当根据招标文件确定，但必须按顺序排列中标候选人。</w:t>
      </w:r>
    </w:p>
    <w:p w14:paraId="34CC49D9">
      <w:pPr>
        <w:pStyle w:val="87"/>
        <w:pageBreakBefore w:val="0"/>
        <w:wordWrap/>
        <w:overflowPunct/>
        <w:topLinePunct w:val="0"/>
        <w:bidi w:val="0"/>
        <w:spacing w:line="560" w:lineRule="exact"/>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3.5.1评标委员会根据综合评分情况，按照评标得分由高到低顺序推荐3名中标候选人，并编写评标报告。得分相同的，按投标报价由低到高顺序排列。得分且投标报价相同的</w:t>
      </w:r>
      <w:r>
        <w:rPr>
          <w:rFonts w:hint="eastAsia" w:ascii="宋体" w:hAnsi="宋体" w:eastAsia="宋体" w:cs="宋体"/>
          <w:color w:val="auto"/>
          <w:sz w:val="24"/>
          <w:szCs w:val="24"/>
          <w:highlight w:val="none"/>
          <w:shd w:val="clear" w:color="auto" w:fill="FAFAFA"/>
        </w:rPr>
        <w:t>，按照技术指标优劣顺序推荐</w:t>
      </w:r>
      <w:r>
        <w:rPr>
          <w:rFonts w:hint="eastAsia" w:ascii="宋体" w:hAnsi="宋体" w:eastAsia="宋体" w:cs="宋体"/>
          <w:color w:val="auto"/>
          <w:sz w:val="24"/>
          <w:szCs w:val="24"/>
          <w:highlight w:val="none"/>
        </w:rPr>
        <w:t>。</w:t>
      </w:r>
    </w:p>
    <w:p w14:paraId="2113E86B">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3.6编写评标报告。评标报告是评标委员会根据评标委员成员签字的原始评标记录和评标结果编写的报告，其主要内容包括：</w:t>
      </w:r>
    </w:p>
    <w:p w14:paraId="7FE93DE4">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（1）项目概况、开标日期和地点；</w:t>
      </w:r>
    </w:p>
    <w:p w14:paraId="052B27AE">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（2）参与竞争的的投标人名单和评标委员会成员名单；</w:t>
      </w:r>
    </w:p>
    <w:p w14:paraId="31DBD9E4">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（3）评审因素和评分标准；</w:t>
      </w:r>
    </w:p>
    <w:p w14:paraId="65B10A7B">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（4）开标记录和评标情况及说明，包括投标无效投标人名单及原因；</w:t>
      </w:r>
    </w:p>
    <w:p w14:paraId="22BE3AA7">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（5）评标结果和中标候选人排序。</w:t>
      </w:r>
    </w:p>
    <w:p w14:paraId="04DA4FA3">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bookmarkStart w:id="160" w:name="_Toc217446103"/>
      <w:r>
        <w:rPr>
          <w:rFonts w:hint="eastAsia" w:ascii="宋体" w:hAnsi="宋体" w:eastAsia="宋体" w:cs="宋体"/>
          <w:color w:val="auto"/>
          <w:sz w:val="24"/>
          <w:szCs w:val="24"/>
          <w:highlight w:val="none"/>
        </w:rPr>
        <w:t>4. 评标细则及标准</w:t>
      </w:r>
      <w:bookmarkEnd w:id="160"/>
    </w:p>
    <w:p w14:paraId="2546680A">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评标委员会只对通过符合性审查的投标文件，根据招标文件的要求采用相同的评标程序、评分办法及标准进行评价和比较。</w:t>
      </w:r>
    </w:p>
    <w:p w14:paraId="69344AF8">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本次综合评分的因素是：商务、价格、技术服务、业绩、对招标文件的响应程度以及投标文件规范性等。</w:t>
      </w:r>
    </w:p>
    <w:p w14:paraId="0B3D1E41">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除价格因素外，评标委员会成员应依据投标文件规定的评审因素和评分标准进行比较打分。</w:t>
      </w:r>
    </w:p>
    <w:p w14:paraId="030B2548">
      <w:pPr>
        <w:pStyle w:val="11"/>
        <w:pageBreakBefore w:val="0"/>
        <w:tabs>
          <w:tab w:val="left" w:pos="60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评标细则及标准的制定以科学合理、降低评标委员会自由裁量权为原则。</w:t>
      </w:r>
    </w:p>
    <w:p w14:paraId="2BD1914C">
      <w:pPr>
        <w:pStyle w:val="11"/>
        <w:pageBreakBefore w:val="0"/>
        <w:tabs>
          <w:tab w:val="left" w:pos="60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评标委员会将按照下述评分标准对通过符合性审查的投标文件进行详细评标，投标人评标得分等于所有评委评分的算术平均值，结果保留两位小数。</w:t>
      </w:r>
    </w:p>
    <w:p w14:paraId="331D82AF">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评审因素权重表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2123"/>
        <w:gridCol w:w="2411"/>
        <w:gridCol w:w="2902"/>
      </w:tblGrid>
      <w:tr w14:paraId="3CA3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42" w:type="pct"/>
            <w:tcBorders>
              <w:top w:val="single" w:color="auto" w:sz="4" w:space="0"/>
              <w:left w:val="single" w:color="auto" w:sz="4" w:space="0"/>
              <w:bottom w:val="single" w:color="auto" w:sz="4" w:space="0"/>
              <w:right w:val="single" w:color="auto" w:sz="4" w:space="0"/>
            </w:tcBorders>
            <w:noWrap w:val="0"/>
            <w:vAlign w:val="center"/>
          </w:tcPr>
          <w:p w14:paraId="5A923816">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序号</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6395482B">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1</w:t>
            </w:r>
          </w:p>
        </w:tc>
        <w:tc>
          <w:tcPr>
            <w:tcW w:w="1315" w:type="pct"/>
            <w:tcBorders>
              <w:top w:val="single" w:color="auto" w:sz="4" w:space="0"/>
              <w:left w:val="single" w:color="auto" w:sz="4" w:space="0"/>
              <w:bottom w:val="single" w:color="auto" w:sz="4" w:space="0"/>
              <w:right w:val="single" w:color="auto" w:sz="4" w:space="0"/>
            </w:tcBorders>
            <w:noWrap w:val="0"/>
            <w:vAlign w:val="center"/>
          </w:tcPr>
          <w:p w14:paraId="044108AD">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2</w:t>
            </w:r>
          </w:p>
        </w:tc>
        <w:tc>
          <w:tcPr>
            <w:tcW w:w="1583" w:type="pct"/>
            <w:tcBorders>
              <w:top w:val="single" w:color="auto" w:sz="4" w:space="0"/>
              <w:left w:val="single" w:color="auto" w:sz="4" w:space="0"/>
              <w:bottom w:val="single" w:color="auto" w:sz="4" w:space="0"/>
              <w:right w:val="single" w:color="auto" w:sz="4" w:space="0"/>
            </w:tcBorders>
            <w:noWrap w:val="0"/>
            <w:vAlign w:val="center"/>
          </w:tcPr>
          <w:p w14:paraId="3513A5A7">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3</w:t>
            </w:r>
          </w:p>
        </w:tc>
      </w:tr>
      <w:tr w14:paraId="4993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42" w:type="pct"/>
            <w:tcBorders>
              <w:top w:val="single" w:color="auto" w:sz="4" w:space="0"/>
              <w:left w:val="single" w:color="auto" w:sz="4" w:space="0"/>
              <w:bottom w:val="single" w:color="auto" w:sz="4" w:space="0"/>
              <w:right w:val="single" w:color="auto" w:sz="4" w:space="0"/>
            </w:tcBorders>
            <w:noWrap w:val="0"/>
            <w:vAlign w:val="center"/>
          </w:tcPr>
          <w:p w14:paraId="16BDC793">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评审因素</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439B89FB">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投标报价</w:t>
            </w:r>
          </w:p>
        </w:tc>
        <w:tc>
          <w:tcPr>
            <w:tcW w:w="1315" w:type="pct"/>
            <w:tcBorders>
              <w:top w:val="single" w:color="auto" w:sz="4" w:space="0"/>
              <w:left w:val="single" w:color="auto" w:sz="4" w:space="0"/>
              <w:bottom w:val="single" w:color="auto" w:sz="4" w:space="0"/>
              <w:right w:val="single" w:color="auto" w:sz="4" w:space="0"/>
            </w:tcBorders>
            <w:noWrap w:val="0"/>
            <w:vAlign w:val="center"/>
          </w:tcPr>
          <w:p w14:paraId="2137063A">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技术、商务部分</w:t>
            </w:r>
          </w:p>
        </w:tc>
        <w:tc>
          <w:tcPr>
            <w:tcW w:w="1583" w:type="pct"/>
            <w:tcBorders>
              <w:top w:val="single" w:color="auto" w:sz="4" w:space="0"/>
              <w:left w:val="single" w:color="auto" w:sz="4" w:space="0"/>
              <w:bottom w:val="single" w:color="auto" w:sz="4" w:space="0"/>
              <w:right w:val="single" w:color="auto" w:sz="4" w:space="0"/>
            </w:tcBorders>
            <w:noWrap w:val="0"/>
            <w:vAlign w:val="center"/>
          </w:tcPr>
          <w:p w14:paraId="6CD7E037">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合计</w:t>
            </w:r>
          </w:p>
        </w:tc>
      </w:tr>
      <w:tr w14:paraId="4BC8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42" w:type="pct"/>
            <w:tcBorders>
              <w:top w:val="single" w:color="auto" w:sz="4" w:space="0"/>
              <w:left w:val="single" w:color="auto" w:sz="4" w:space="0"/>
              <w:bottom w:val="single" w:color="auto" w:sz="4" w:space="0"/>
              <w:right w:val="single" w:color="auto" w:sz="4" w:space="0"/>
            </w:tcBorders>
            <w:noWrap w:val="0"/>
            <w:vAlign w:val="center"/>
          </w:tcPr>
          <w:p w14:paraId="247C568A">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权重</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316FA31E">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cs="宋体"/>
                <w:color w:val="auto"/>
                <w:spacing w:val="6"/>
                <w:kern w:val="0"/>
                <w:sz w:val="24"/>
                <w:szCs w:val="24"/>
                <w:highlight w:val="none"/>
                <w:lang w:val="en-US" w:eastAsia="zh-CN"/>
              </w:rPr>
              <w:t>20</w:t>
            </w:r>
            <w:r>
              <w:rPr>
                <w:rFonts w:hint="eastAsia" w:ascii="宋体" w:hAnsi="宋体" w:eastAsia="宋体" w:cs="宋体"/>
                <w:color w:val="auto"/>
                <w:spacing w:val="6"/>
                <w:kern w:val="0"/>
                <w:sz w:val="24"/>
                <w:szCs w:val="24"/>
                <w:highlight w:val="none"/>
              </w:rPr>
              <w:t>%</w:t>
            </w:r>
          </w:p>
        </w:tc>
        <w:tc>
          <w:tcPr>
            <w:tcW w:w="1315" w:type="pct"/>
            <w:tcBorders>
              <w:top w:val="single" w:color="auto" w:sz="4" w:space="0"/>
              <w:left w:val="single" w:color="auto" w:sz="4" w:space="0"/>
              <w:bottom w:val="single" w:color="auto" w:sz="4" w:space="0"/>
              <w:right w:val="single" w:color="auto" w:sz="4" w:space="0"/>
            </w:tcBorders>
            <w:noWrap w:val="0"/>
            <w:vAlign w:val="center"/>
          </w:tcPr>
          <w:p w14:paraId="64B4F1D1">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cs="宋体"/>
                <w:color w:val="auto"/>
                <w:spacing w:val="6"/>
                <w:kern w:val="0"/>
                <w:sz w:val="24"/>
                <w:szCs w:val="24"/>
                <w:highlight w:val="none"/>
                <w:lang w:val="en-US" w:eastAsia="zh-CN"/>
              </w:rPr>
              <w:t>80</w:t>
            </w:r>
            <w:r>
              <w:rPr>
                <w:rFonts w:hint="eastAsia" w:ascii="宋体" w:hAnsi="宋体" w:eastAsia="宋体" w:cs="宋体"/>
                <w:color w:val="auto"/>
                <w:spacing w:val="6"/>
                <w:kern w:val="0"/>
                <w:sz w:val="24"/>
                <w:szCs w:val="24"/>
                <w:highlight w:val="none"/>
              </w:rPr>
              <w:t>%</w:t>
            </w:r>
          </w:p>
        </w:tc>
        <w:tc>
          <w:tcPr>
            <w:tcW w:w="1583" w:type="pct"/>
            <w:tcBorders>
              <w:top w:val="single" w:color="auto" w:sz="4" w:space="0"/>
              <w:left w:val="single" w:color="auto" w:sz="4" w:space="0"/>
              <w:bottom w:val="single" w:color="auto" w:sz="4" w:space="0"/>
              <w:right w:val="single" w:color="auto" w:sz="4" w:space="0"/>
            </w:tcBorders>
            <w:noWrap w:val="0"/>
            <w:vAlign w:val="center"/>
          </w:tcPr>
          <w:p w14:paraId="5EF921AC">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100%</w:t>
            </w:r>
          </w:p>
        </w:tc>
      </w:tr>
    </w:tbl>
    <w:p w14:paraId="259A8470">
      <w:pPr>
        <w:pageBreakBefore w:val="0"/>
        <w:wordWrap/>
        <w:overflowPunct/>
        <w:topLinePunct w:val="0"/>
        <w:bidi w:val="0"/>
        <w:spacing w:line="560" w:lineRule="exact"/>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6641B315">
      <w:pPr>
        <w:pStyle w:val="11"/>
        <w:keepNext w:val="0"/>
        <w:keepLines w:val="0"/>
        <w:pageBreakBefore w:val="0"/>
        <w:widowControl w:val="0"/>
        <w:tabs>
          <w:tab w:val="left" w:pos="600"/>
        </w:tabs>
        <w:kinsoku/>
        <w:wordWrap/>
        <w:overflowPunct/>
        <w:topLinePunct w:val="0"/>
        <w:bidi w:val="0"/>
        <w:snapToGrid/>
        <w:spacing w:line="560" w:lineRule="exact"/>
        <w:ind w:left="0" w:leftChars="0" w:right="0" w:rightChars="0" w:firstLine="0"/>
        <w:jc w:val="center"/>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商务、技术部分评审标准（</w:t>
      </w:r>
      <w:r>
        <w:rPr>
          <w:rFonts w:hint="eastAsia" w:ascii="宋体" w:hAnsi="宋体" w:cs="宋体"/>
          <w:b/>
          <w:bCs/>
          <w:color w:val="auto"/>
          <w:sz w:val="24"/>
          <w:szCs w:val="24"/>
          <w:highlight w:val="none"/>
          <w:lang w:val="en-US" w:eastAsia="zh-CN"/>
        </w:rPr>
        <w:t>80</w:t>
      </w:r>
      <w:r>
        <w:rPr>
          <w:rFonts w:hint="eastAsia" w:ascii="宋体" w:hAnsi="宋体" w:eastAsia="宋体" w:cs="宋体"/>
          <w:b/>
          <w:bCs/>
          <w:color w:val="auto"/>
          <w:sz w:val="24"/>
          <w:szCs w:val="24"/>
          <w:highlight w:val="none"/>
        </w:rPr>
        <w:t>分）</w:t>
      </w:r>
    </w:p>
    <w:p w14:paraId="24B9EBCA">
      <w:pPr>
        <w:pStyle w:val="12"/>
        <w:rPr>
          <w:rFonts w:hint="eastAsia" w:ascii="宋体" w:hAnsi="宋体" w:eastAsia="宋体" w:cs="宋体"/>
          <w:b/>
          <w:bCs/>
          <w:color w:val="auto"/>
          <w:sz w:val="24"/>
          <w:szCs w:val="24"/>
          <w:highlight w:val="none"/>
        </w:rPr>
      </w:pPr>
    </w:p>
    <w:tbl>
      <w:tblPr>
        <w:tblStyle w:val="29"/>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95"/>
        <w:gridCol w:w="6553"/>
        <w:gridCol w:w="910"/>
      </w:tblGrid>
      <w:tr w14:paraId="03F2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05" w:type="dxa"/>
            <w:noWrap w:val="0"/>
            <w:vAlign w:val="center"/>
          </w:tcPr>
          <w:p w14:paraId="17B22200">
            <w:pPr>
              <w:spacing w:line="360" w:lineRule="auto"/>
              <w:jc w:val="center"/>
              <w:rPr>
                <w:rFonts w:hint="eastAsia" w:ascii="宋体" w:hAnsi="宋体" w:cs="宋体"/>
                <w:b/>
                <w:sz w:val="24"/>
                <w:szCs w:val="24"/>
                <w:highlight w:val="none"/>
              </w:rPr>
            </w:pPr>
            <w:r>
              <w:rPr>
                <w:rFonts w:hint="eastAsia" w:ascii="宋体" w:hAnsi="宋体" w:cs="宋体"/>
                <w:b/>
                <w:kern w:val="0"/>
                <w:sz w:val="24"/>
                <w:szCs w:val="24"/>
                <w:highlight w:val="none"/>
              </w:rPr>
              <w:t xml:space="preserve">序号 </w:t>
            </w:r>
          </w:p>
        </w:tc>
        <w:tc>
          <w:tcPr>
            <w:tcW w:w="7948" w:type="dxa"/>
            <w:gridSpan w:val="2"/>
            <w:noWrap w:val="0"/>
            <w:vAlign w:val="center"/>
          </w:tcPr>
          <w:p w14:paraId="0A971BC7">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评审因素及标准</w:t>
            </w:r>
          </w:p>
        </w:tc>
        <w:tc>
          <w:tcPr>
            <w:tcW w:w="910" w:type="dxa"/>
            <w:noWrap w:val="0"/>
            <w:vAlign w:val="center"/>
          </w:tcPr>
          <w:p w14:paraId="545887BB">
            <w:pPr>
              <w:spacing w:line="360" w:lineRule="auto"/>
              <w:jc w:val="center"/>
              <w:rPr>
                <w:rFonts w:hint="eastAsia" w:ascii="宋体" w:hAnsi="宋体" w:cs="宋体"/>
                <w:b/>
                <w:sz w:val="24"/>
                <w:szCs w:val="24"/>
                <w:highlight w:val="none"/>
              </w:rPr>
            </w:pPr>
            <w:r>
              <w:rPr>
                <w:rFonts w:hint="eastAsia" w:ascii="宋体" w:hAnsi="宋体" w:cs="宋体"/>
                <w:b/>
                <w:kern w:val="0"/>
                <w:sz w:val="24"/>
                <w:szCs w:val="24"/>
                <w:highlight w:val="none"/>
              </w:rPr>
              <w:t>分值</w:t>
            </w:r>
          </w:p>
        </w:tc>
      </w:tr>
      <w:tr w14:paraId="48CF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5" w:type="dxa"/>
            <w:noWrap w:val="0"/>
            <w:vAlign w:val="center"/>
          </w:tcPr>
          <w:p w14:paraId="6460E063">
            <w:pPr>
              <w:autoSpaceDE w:val="0"/>
              <w:autoSpaceDN w:val="0"/>
              <w:adjustRightInd w:val="0"/>
              <w:spacing w:line="360" w:lineRule="auto"/>
              <w:jc w:val="center"/>
              <w:rPr>
                <w:rFonts w:hint="eastAsia" w:ascii="宋体" w:hAnsi="宋体" w:cs="宋体"/>
                <w:bCs/>
                <w:kern w:val="0"/>
                <w:sz w:val="24"/>
                <w:szCs w:val="24"/>
                <w:highlight w:val="none"/>
              </w:rPr>
            </w:pPr>
            <w:r>
              <w:rPr>
                <w:rFonts w:hint="eastAsia" w:ascii="宋体" w:hAnsi="宋体" w:cs="宋体"/>
                <w:bCs/>
                <w:kern w:val="0"/>
                <w:sz w:val="24"/>
                <w:szCs w:val="24"/>
                <w:highlight w:val="none"/>
              </w:rPr>
              <w:t>1</w:t>
            </w:r>
          </w:p>
        </w:tc>
        <w:tc>
          <w:tcPr>
            <w:tcW w:w="1395" w:type="dxa"/>
            <w:noWrap w:val="0"/>
            <w:vAlign w:val="center"/>
          </w:tcPr>
          <w:p w14:paraId="6C402449">
            <w:pPr>
              <w:autoSpaceDE w:val="0"/>
              <w:autoSpaceDN w:val="0"/>
              <w:adjustRightInd w:val="0"/>
              <w:spacing w:line="360" w:lineRule="auto"/>
              <w:jc w:val="center"/>
              <w:rPr>
                <w:rFonts w:hint="eastAsia" w:ascii="宋体" w:hAnsi="宋体" w:cs="宋体"/>
                <w:bCs/>
                <w:kern w:val="0"/>
                <w:sz w:val="24"/>
                <w:szCs w:val="24"/>
                <w:highlight w:val="none"/>
              </w:rPr>
            </w:pPr>
            <w:r>
              <w:rPr>
                <w:rFonts w:hint="eastAsia" w:ascii="宋体" w:hAnsi="宋体" w:cs="宋体"/>
                <w:bCs/>
                <w:kern w:val="0"/>
                <w:sz w:val="24"/>
                <w:szCs w:val="24"/>
                <w:highlight w:val="none"/>
              </w:rPr>
              <w:t>类似业绩</w:t>
            </w:r>
          </w:p>
        </w:tc>
        <w:tc>
          <w:tcPr>
            <w:tcW w:w="6553" w:type="dxa"/>
            <w:noWrap w:val="0"/>
            <w:vAlign w:val="center"/>
          </w:tcPr>
          <w:p w14:paraId="3B58F5B8">
            <w:pPr>
              <w:autoSpaceDE w:val="0"/>
              <w:autoSpaceDN w:val="0"/>
              <w:adjustRightInd w:val="0"/>
              <w:spacing w:line="360" w:lineRule="auto"/>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投标人须提供自2021年12月1日至今同类（本项目服务内容）项目（本项目服务内容）业绩</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须</w:t>
            </w:r>
            <w:r>
              <w:rPr>
                <w:rFonts w:hint="eastAsia" w:ascii="宋体" w:hAnsi="宋体" w:cs="宋体"/>
                <w:kern w:val="0"/>
                <w:sz w:val="24"/>
                <w:szCs w:val="24"/>
                <w:highlight w:val="none"/>
              </w:rPr>
              <w:t>提供</w:t>
            </w:r>
            <w:r>
              <w:rPr>
                <w:rFonts w:hint="eastAsia" w:ascii="宋体" w:hAnsi="宋体" w:cs="宋体"/>
                <w:kern w:val="0"/>
                <w:sz w:val="24"/>
                <w:szCs w:val="24"/>
                <w:highlight w:val="none"/>
                <w:lang w:val="en-US" w:eastAsia="zh-CN"/>
              </w:rPr>
              <w:t>中标通知书、服务</w:t>
            </w:r>
            <w:r>
              <w:rPr>
                <w:rFonts w:hint="eastAsia" w:ascii="宋体" w:hAnsi="宋体" w:cs="宋体"/>
                <w:kern w:val="0"/>
                <w:sz w:val="24"/>
                <w:szCs w:val="24"/>
                <w:highlight w:val="none"/>
              </w:rPr>
              <w:t>合同和对应合同不少于30%的银行进账单复印件。每份</w:t>
            </w:r>
            <w:r>
              <w:rPr>
                <w:rFonts w:hint="eastAsia" w:ascii="宋体" w:hAnsi="宋体" w:cs="宋体"/>
                <w:kern w:val="0"/>
                <w:sz w:val="24"/>
                <w:szCs w:val="24"/>
                <w:highlight w:val="none"/>
                <w:lang w:val="en-US" w:eastAsia="zh-CN"/>
              </w:rPr>
              <w:t>业绩</w:t>
            </w:r>
            <w:r>
              <w:rPr>
                <w:rFonts w:hint="eastAsia" w:ascii="宋体" w:hAnsi="宋体" w:cs="宋体"/>
                <w:kern w:val="0"/>
                <w:sz w:val="24"/>
                <w:szCs w:val="24"/>
                <w:highlight w:val="none"/>
              </w:rPr>
              <w:t>合同后附对应的银行进账单复印件，未按要求提供、混放、未盖章或盖章不清晰、总金额或数量不清晰、时间和种类不符合要求的合同无效。</w:t>
            </w:r>
            <w:r>
              <w:rPr>
                <w:rFonts w:hint="eastAsia" w:ascii="宋体" w:hAnsi="宋体" w:cs="宋体"/>
                <w:kern w:val="0"/>
                <w:sz w:val="24"/>
                <w:szCs w:val="24"/>
                <w:highlight w:val="none"/>
                <w:lang w:val="en-US" w:eastAsia="zh-CN"/>
              </w:rPr>
              <w:t>所提供业绩</w:t>
            </w:r>
            <w:r>
              <w:rPr>
                <w:rFonts w:hint="eastAsia" w:ascii="宋体" w:hAnsi="宋体" w:cs="宋体"/>
                <w:kern w:val="0"/>
                <w:sz w:val="24"/>
                <w:szCs w:val="24"/>
                <w:highlight w:val="none"/>
              </w:rPr>
              <w:t>合同包括但不限于</w:t>
            </w:r>
            <w:r>
              <w:rPr>
                <w:rFonts w:hint="eastAsia" w:ascii="宋体" w:hAnsi="宋体" w:cs="宋体"/>
                <w:kern w:val="0"/>
                <w:sz w:val="24"/>
                <w:szCs w:val="24"/>
                <w:highlight w:val="none"/>
                <w:lang w:val="en-US" w:eastAsia="zh-CN"/>
              </w:rPr>
              <w:t>以下内容</w:t>
            </w:r>
            <w:r>
              <w:rPr>
                <w:rFonts w:hint="eastAsia" w:ascii="宋体" w:hAnsi="宋体" w:cs="宋体"/>
                <w:kern w:val="0"/>
                <w:sz w:val="24"/>
                <w:szCs w:val="24"/>
                <w:highlight w:val="none"/>
              </w:rPr>
              <w:t>：合同首尾页、签字盖章页、合同金额页、</w:t>
            </w:r>
            <w:r>
              <w:rPr>
                <w:rFonts w:hint="eastAsia" w:ascii="宋体" w:hAnsi="宋体" w:cs="宋体"/>
                <w:kern w:val="0"/>
                <w:sz w:val="24"/>
                <w:szCs w:val="24"/>
                <w:highlight w:val="none"/>
                <w:lang w:val="en-US" w:eastAsia="zh-CN"/>
              </w:rPr>
              <w:t>服务</w:t>
            </w:r>
            <w:r>
              <w:rPr>
                <w:rFonts w:hint="eastAsia" w:ascii="宋体" w:hAnsi="宋体" w:cs="宋体"/>
                <w:kern w:val="0"/>
                <w:sz w:val="24"/>
                <w:szCs w:val="24"/>
                <w:highlight w:val="none"/>
              </w:rPr>
              <w:t>信息页）。</w:t>
            </w:r>
            <w:r>
              <w:rPr>
                <w:rFonts w:hint="eastAsia" w:ascii="宋体" w:hAnsi="宋体" w:cs="宋体"/>
                <w:kern w:val="0"/>
                <w:sz w:val="24"/>
                <w:szCs w:val="24"/>
                <w:highlight w:val="none"/>
                <w:lang w:val="en-US" w:eastAsia="zh-CN"/>
              </w:rPr>
              <w:t>每提供一份有效业绩得2分，最多得10分。</w:t>
            </w:r>
          </w:p>
          <w:p w14:paraId="46B8EE18">
            <w:pPr>
              <w:autoSpaceDE w:val="0"/>
              <w:autoSpaceDN w:val="0"/>
              <w:adjustRightInd w:val="0"/>
              <w:spacing w:line="36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注：</w:t>
            </w:r>
            <w:r>
              <w:rPr>
                <w:rFonts w:hint="eastAsia" w:ascii="宋体" w:hAnsi="宋体" w:cs="宋体"/>
                <w:kern w:val="0"/>
                <w:sz w:val="24"/>
                <w:szCs w:val="24"/>
                <w:highlight w:val="none"/>
              </w:rPr>
              <w:t>未提供业绩证明材</w:t>
            </w:r>
            <w:r>
              <w:rPr>
                <w:rFonts w:hint="eastAsia" w:ascii="宋体" w:hAnsi="宋体" w:cs="宋体"/>
                <w:kern w:val="0"/>
                <w:sz w:val="24"/>
                <w:szCs w:val="24"/>
                <w:highlight w:val="none"/>
                <w:lang w:val="en-US" w:eastAsia="zh-CN"/>
              </w:rPr>
              <w:t>料</w:t>
            </w:r>
            <w:r>
              <w:rPr>
                <w:rFonts w:hint="eastAsia" w:ascii="宋体" w:hAnsi="宋体" w:cs="宋体"/>
                <w:kern w:val="0"/>
                <w:sz w:val="24"/>
                <w:szCs w:val="24"/>
                <w:highlight w:val="none"/>
              </w:rPr>
              <w:t>或内容模糊不清的，其业绩不予认定</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同一招标人不同年份的业绩不重复计分</w:t>
            </w:r>
            <w:r>
              <w:rPr>
                <w:rFonts w:hint="eastAsia" w:ascii="宋体" w:hAnsi="宋体" w:cs="宋体"/>
                <w:kern w:val="0"/>
                <w:sz w:val="24"/>
                <w:szCs w:val="24"/>
                <w:highlight w:val="none"/>
              </w:rPr>
              <w:t xml:space="preserve">。 </w:t>
            </w:r>
          </w:p>
        </w:tc>
        <w:tc>
          <w:tcPr>
            <w:tcW w:w="910" w:type="dxa"/>
            <w:noWrap w:val="0"/>
            <w:vAlign w:val="center"/>
          </w:tcPr>
          <w:p w14:paraId="486F5582">
            <w:pPr>
              <w:spacing w:line="360" w:lineRule="auto"/>
              <w:jc w:val="center"/>
              <w:rPr>
                <w:rFonts w:hint="eastAsia"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分</w:t>
            </w:r>
          </w:p>
        </w:tc>
      </w:tr>
      <w:tr w14:paraId="5355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5" w:type="dxa"/>
            <w:noWrap w:val="0"/>
            <w:vAlign w:val="center"/>
          </w:tcPr>
          <w:p w14:paraId="135E47B0">
            <w:pPr>
              <w:autoSpaceDE w:val="0"/>
              <w:autoSpaceDN w:val="0"/>
              <w:adjustRightInd w:val="0"/>
              <w:spacing w:line="360" w:lineRule="auto"/>
              <w:jc w:val="center"/>
              <w:rPr>
                <w:rFonts w:hint="eastAsia"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2</w:t>
            </w:r>
          </w:p>
        </w:tc>
        <w:tc>
          <w:tcPr>
            <w:tcW w:w="1395" w:type="dxa"/>
            <w:noWrap w:val="0"/>
            <w:vAlign w:val="center"/>
          </w:tcPr>
          <w:p w14:paraId="1F6C0607">
            <w:pPr>
              <w:autoSpaceDE w:val="0"/>
              <w:autoSpaceDN w:val="0"/>
              <w:adjustRightInd w:val="0"/>
              <w:spacing w:line="360" w:lineRule="auto"/>
              <w:jc w:val="center"/>
              <w:rPr>
                <w:rFonts w:hint="eastAsia" w:ascii="宋体" w:hAnsi="宋体" w:cs="宋体"/>
                <w:bCs/>
                <w:kern w:val="0"/>
                <w:sz w:val="24"/>
                <w:szCs w:val="24"/>
                <w:highlight w:val="none"/>
              </w:rPr>
            </w:pPr>
            <w:r>
              <w:rPr>
                <w:rFonts w:hint="eastAsia" w:ascii="宋体" w:hAnsi="宋体" w:cs="宋体"/>
                <w:bCs/>
                <w:kern w:val="0"/>
                <w:sz w:val="24"/>
                <w:szCs w:val="24"/>
                <w:highlight w:val="none"/>
                <w:lang w:val="en-US" w:eastAsia="zh-CN"/>
              </w:rPr>
              <w:t>客户评价</w:t>
            </w:r>
          </w:p>
        </w:tc>
        <w:tc>
          <w:tcPr>
            <w:tcW w:w="6553" w:type="dxa"/>
            <w:noWrap w:val="0"/>
            <w:vAlign w:val="center"/>
          </w:tcPr>
          <w:p w14:paraId="0538BE2E">
            <w:pPr>
              <w:autoSpaceDE w:val="0"/>
              <w:autoSpaceDN w:val="0"/>
              <w:adjustRightInd w:val="0"/>
              <w:spacing w:line="360" w:lineRule="auto"/>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近三年（2021年12月1日至投标截止时间）承接的医院洗涤服务项目提供用户出具的客户评价，且须为正面评价（优秀、优良、良好、满意或类似满意的评价），得1分，最高得5分。</w:t>
            </w:r>
          </w:p>
          <w:p w14:paraId="24F588C8">
            <w:pPr>
              <w:autoSpaceDE w:val="0"/>
              <w:autoSpaceDN w:val="0"/>
              <w:adjustRightInd w:val="0"/>
              <w:spacing w:line="360" w:lineRule="auto"/>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注：须提供由客户盖章确认的证明材料；同一招标人不同年份的客户评价不重复计分。</w:t>
            </w:r>
          </w:p>
        </w:tc>
        <w:tc>
          <w:tcPr>
            <w:tcW w:w="910" w:type="dxa"/>
            <w:noWrap w:val="0"/>
            <w:vAlign w:val="center"/>
          </w:tcPr>
          <w:p w14:paraId="6E63EF3F">
            <w:pPr>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5分</w:t>
            </w:r>
          </w:p>
        </w:tc>
      </w:tr>
      <w:tr w14:paraId="2E2C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5" w:type="dxa"/>
            <w:noWrap w:val="0"/>
            <w:vAlign w:val="center"/>
          </w:tcPr>
          <w:p w14:paraId="7350464F">
            <w:pPr>
              <w:autoSpaceDE w:val="0"/>
              <w:autoSpaceDN w:val="0"/>
              <w:adjustRightInd w:val="0"/>
              <w:spacing w:line="360" w:lineRule="auto"/>
              <w:jc w:val="center"/>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3</w:t>
            </w:r>
          </w:p>
        </w:tc>
        <w:tc>
          <w:tcPr>
            <w:tcW w:w="1395" w:type="dxa"/>
            <w:noWrap w:val="0"/>
            <w:vAlign w:val="center"/>
          </w:tcPr>
          <w:p w14:paraId="5E050D59">
            <w:pPr>
              <w:autoSpaceDE w:val="0"/>
              <w:autoSpaceDN w:val="0"/>
              <w:adjustRightInd w:val="0"/>
              <w:spacing w:line="360" w:lineRule="auto"/>
              <w:jc w:val="center"/>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整体服务方案</w:t>
            </w:r>
          </w:p>
        </w:tc>
        <w:tc>
          <w:tcPr>
            <w:tcW w:w="6553" w:type="dxa"/>
            <w:noWrap w:val="0"/>
            <w:vAlign w:val="center"/>
          </w:tcPr>
          <w:p w14:paraId="1A8C4560">
            <w:pPr>
              <w:autoSpaceDE w:val="0"/>
              <w:autoSpaceDN w:val="0"/>
              <w:adjustRightInd w:val="0"/>
              <w:spacing w:line="360" w:lineRule="auto"/>
              <w:jc w:val="left"/>
              <w:rPr>
                <w:rFonts w:hint="eastAsia" w:ascii="宋体" w:hAnsi="宋体" w:cs="宋体"/>
                <w:kern w:val="0"/>
                <w:sz w:val="24"/>
                <w:szCs w:val="24"/>
                <w:highlight w:val="none"/>
                <w:lang w:eastAsia="zh-CN"/>
              </w:rPr>
            </w:pPr>
            <w:r>
              <w:rPr>
                <w:rFonts w:hint="eastAsia" w:ascii="宋体" w:hAnsi="宋体" w:cs="宋体"/>
                <w:kern w:val="0"/>
                <w:sz w:val="24"/>
                <w:szCs w:val="24"/>
                <w:highlight w:val="none"/>
              </w:rPr>
              <w:t>根据采购需求制定项目的整体的服务方案，方案内容包括但不限于</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①</w:t>
            </w:r>
            <w:r>
              <w:rPr>
                <w:rFonts w:hint="eastAsia" w:ascii="宋体" w:hAnsi="宋体" w:cs="宋体"/>
                <w:kern w:val="0"/>
                <w:sz w:val="24"/>
                <w:szCs w:val="24"/>
                <w:highlight w:val="none"/>
              </w:rPr>
              <w:t>清洁物品和污染物品运输方案</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②</w:t>
            </w:r>
            <w:r>
              <w:rPr>
                <w:rFonts w:hint="eastAsia" w:ascii="宋体" w:hAnsi="宋体" w:cs="宋体"/>
                <w:kern w:val="0"/>
                <w:sz w:val="24"/>
                <w:szCs w:val="24"/>
                <w:highlight w:val="none"/>
              </w:rPr>
              <w:t>物品包装方案</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③</w:t>
            </w:r>
            <w:r>
              <w:rPr>
                <w:rFonts w:hint="eastAsia" w:ascii="宋体" w:hAnsi="宋体" w:cs="宋体"/>
                <w:kern w:val="0"/>
                <w:sz w:val="24"/>
                <w:szCs w:val="24"/>
                <w:highlight w:val="none"/>
              </w:rPr>
              <w:t>各部门洗涤物品接收和发放方案</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④</w:t>
            </w:r>
            <w:r>
              <w:rPr>
                <w:rFonts w:hint="eastAsia" w:ascii="宋体" w:hAnsi="宋体" w:cs="宋体"/>
                <w:kern w:val="0"/>
                <w:sz w:val="24"/>
                <w:szCs w:val="24"/>
                <w:highlight w:val="none"/>
              </w:rPr>
              <w:t>洗涤操作流程</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⑤</w:t>
            </w:r>
            <w:r>
              <w:rPr>
                <w:rFonts w:hint="eastAsia" w:ascii="宋体" w:hAnsi="宋体" w:cs="宋体"/>
                <w:kern w:val="0"/>
                <w:sz w:val="24"/>
                <w:szCs w:val="24"/>
                <w:highlight w:val="none"/>
              </w:rPr>
              <w:t>消毒流程</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⑥</w:t>
            </w:r>
            <w:r>
              <w:rPr>
                <w:rFonts w:hint="eastAsia" w:ascii="宋体" w:hAnsi="宋体" w:cs="宋体"/>
                <w:kern w:val="0"/>
                <w:sz w:val="24"/>
                <w:szCs w:val="24"/>
                <w:highlight w:val="none"/>
              </w:rPr>
              <w:t>各部门接收和发放人员安排</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⑦</w:t>
            </w:r>
            <w:r>
              <w:rPr>
                <w:rFonts w:hint="eastAsia" w:ascii="宋体" w:hAnsi="宋体" w:cs="宋体"/>
                <w:kern w:val="0"/>
                <w:sz w:val="24"/>
                <w:szCs w:val="24"/>
                <w:highlight w:val="none"/>
              </w:rPr>
              <w:t xml:space="preserve"> 运输车辆安排</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⑧</w:t>
            </w:r>
            <w:r>
              <w:rPr>
                <w:rFonts w:hint="eastAsia" w:ascii="宋体" w:hAnsi="宋体" w:cs="宋体"/>
                <w:kern w:val="0"/>
                <w:sz w:val="24"/>
                <w:szCs w:val="24"/>
                <w:highlight w:val="none"/>
              </w:rPr>
              <w:t>行驶线路安排</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⑨</w:t>
            </w:r>
            <w:r>
              <w:rPr>
                <w:rFonts w:hint="eastAsia" w:ascii="宋体" w:hAnsi="宋体" w:cs="宋体"/>
                <w:kern w:val="0"/>
                <w:sz w:val="24"/>
                <w:szCs w:val="24"/>
                <w:highlight w:val="none"/>
              </w:rPr>
              <w:t>接收和发放洗涤物品时间安排</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⑩</w:t>
            </w:r>
            <w:r>
              <w:rPr>
                <w:rFonts w:hint="eastAsia" w:ascii="宋体" w:hAnsi="宋体" w:cs="宋体"/>
                <w:kern w:val="0"/>
                <w:sz w:val="24"/>
                <w:szCs w:val="24"/>
                <w:highlight w:val="none"/>
              </w:rPr>
              <w:t>洗涤物品管理措施等服务方案</w:t>
            </w:r>
            <w:r>
              <w:rPr>
                <w:rFonts w:hint="eastAsia" w:ascii="宋体" w:hAnsi="宋体" w:cs="宋体"/>
                <w:kern w:val="0"/>
                <w:sz w:val="24"/>
                <w:szCs w:val="24"/>
                <w:highlight w:val="none"/>
                <w:lang w:eastAsia="zh-CN"/>
              </w:rPr>
              <w:t>。</w:t>
            </w:r>
          </w:p>
          <w:p w14:paraId="28359DAF">
            <w:pPr>
              <w:autoSpaceDE w:val="0"/>
              <w:autoSpaceDN w:val="0"/>
              <w:adjustRightInd w:val="0"/>
              <w:spacing w:line="360" w:lineRule="auto"/>
              <w:jc w:val="left"/>
              <w:rPr>
                <w:rFonts w:hint="eastAsia" w:ascii="宋体" w:hAnsi="宋体" w:cs="宋体"/>
                <w:kern w:val="0"/>
                <w:sz w:val="24"/>
                <w:szCs w:val="24"/>
                <w:highlight w:val="none"/>
                <w:lang w:val="en-US" w:eastAsia="zh-CN"/>
              </w:rPr>
            </w:pPr>
            <w:r>
              <w:rPr>
                <w:rFonts w:hint="eastAsia"/>
                <w:color w:val="auto"/>
                <w:sz w:val="24"/>
                <w:szCs w:val="24"/>
                <w:highlight w:val="none"/>
                <w:lang w:val="en-US" w:eastAsia="zh-CN"/>
              </w:rPr>
              <w:t>所有要素齐全且完全满足</w:t>
            </w:r>
            <w:r>
              <w:rPr>
                <w:rFonts w:hint="eastAsia" w:ascii="宋体" w:hAnsi="宋体" w:eastAsia="宋体" w:cs="宋体"/>
                <w:color w:val="auto"/>
                <w:sz w:val="24"/>
                <w:szCs w:val="24"/>
                <w:highlight w:val="none"/>
                <w:lang w:val="en-US" w:eastAsia="zh-CN"/>
              </w:rPr>
              <w:t>项目要求得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分；每缺一个要素扣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分，每个要素里每有一处内容缺陷扣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分，扣完为止，未提供不得分。</w:t>
            </w:r>
            <w:r>
              <w:rPr>
                <w:rFonts w:hint="eastAsia" w:ascii="宋体" w:hAnsi="宋体" w:eastAsia="宋体" w:cs="宋体"/>
                <w:color w:val="auto"/>
                <w:spacing w:val="0"/>
                <w:position w:val="0"/>
                <w:sz w:val="24"/>
                <w:szCs w:val="24"/>
                <w:highlight w:val="none"/>
                <w:lang w:eastAsia="zh-CN"/>
              </w:rPr>
              <w:t>（缺陷是指：与本项目采购标的无关、内容前后不一致、前后逻辑错误、涉及的相关规范及标准错误、地点区域错误、内容缺失不清晰、可行性低、只有简单描述无实质性内容）</w:t>
            </w:r>
          </w:p>
        </w:tc>
        <w:tc>
          <w:tcPr>
            <w:tcW w:w="910" w:type="dxa"/>
            <w:noWrap w:val="0"/>
            <w:vAlign w:val="center"/>
          </w:tcPr>
          <w:p w14:paraId="114846AD">
            <w:pPr>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10分</w:t>
            </w:r>
          </w:p>
        </w:tc>
      </w:tr>
      <w:tr w14:paraId="4652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5" w:type="dxa"/>
            <w:noWrap w:val="0"/>
            <w:vAlign w:val="center"/>
          </w:tcPr>
          <w:p w14:paraId="2B6E81F7">
            <w:pPr>
              <w:autoSpaceDE w:val="0"/>
              <w:autoSpaceDN w:val="0"/>
              <w:adjustRightInd w:val="0"/>
              <w:spacing w:line="360" w:lineRule="auto"/>
              <w:jc w:val="center"/>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4</w:t>
            </w:r>
          </w:p>
        </w:tc>
        <w:tc>
          <w:tcPr>
            <w:tcW w:w="1395" w:type="dxa"/>
            <w:noWrap w:val="0"/>
            <w:vAlign w:val="center"/>
          </w:tcPr>
          <w:p w14:paraId="21885865">
            <w:pPr>
              <w:autoSpaceDE w:val="0"/>
              <w:autoSpaceDN w:val="0"/>
              <w:adjustRightInd w:val="0"/>
              <w:spacing w:line="360" w:lineRule="auto"/>
              <w:jc w:val="center"/>
              <w:rPr>
                <w:rFonts w:hint="eastAsia" w:ascii="宋体" w:hAnsi="宋体" w:cs="宋体"/>
                <w:bCs/>
                <w:kern w:val="0"/>
                <w:sz w:val="24"/>
                <w:szCs w:val="24"/>
                <w:highlight w:val="none"/>
                <w:lang w:val="en-US" w:eastAsia="zh-CN"/>
              </w:rPr>
            </w:pPr>
            <w:r>
              <w:rPr>
                <w:rFonts w:hint="eastAsia" w:ascii="宋体" w:hAnsi="宋体" w:eastAsia="宋体" w:cs="宋体"/>
                <w:b w:val="0"/>
                <w:color w:val="auto"/>
                <w:sz w:val="24"/>
                <w:szCs w:val="24"/>
                <w:highlight w:val="none"/>
              </w:rPr>
              <w:t>管理制度</w:t>
            </w:r>
          </w:p>
        </w:tc>
        <w:tc>
          <w:tcPr>
            <w:tcW w:w="6553" w:type="dxa"/>
            <w:noWrap w:val="0"/>
            <w:vAlign w:val="center"/>
          </w:tcPr>
          <w:p w14:paraId="352E7401">
            <w:pPr>
              <w:autoSpaceDE w:val="0"/>
              <w:autoSpaceDN w:val="0"/>
              <w:adjustRightInd w:val="0"/>
              <w:spacing w:line="36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 xml:space="preserve">投标人根据采购需求提供详细的内部管理制度，制度内容包括但不限于： </w:t>
            </w:r>
          </w:p>
          <w:p w14:paraId="40E461C3">
            <w:pPr>
              <w:autoSpaceDE w:val="0"/>
              <w:autoSpaceDN w:val="0"/>
              <w:adjustRightInd w:val="0"/>
              <w:spacing w:line="360" w:lineRule="auto"/>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①人员管理制度（包含：仪容仪表及言行规范、人员安全管理、人员培训管理、考核管理等）；</w:t>
            </w:r>
          </w:p>
          <w:p w14:paraId="56FE3928">
            <w:pPr>
              <w:autoSpaceDE w:val="0"/>
              <w:autoSpaceDN w:val="0"/>
              <w:adjustRightInd w:val="0"/>
              <w:spacing w:line="360" w:lineRule="auto"/>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②物资管理制度（包含：洗涤设备操作间保养制度、洗涤剂使用操作管理制度）；</w:t>
            </w:r>
          </w:p>
          <w:p w14:paraId="03C666F3">
            <w:pPr>
              <w:autoSpaceDE w:val="0"/>
              <w:autoSpaceDN w:val="0"/>
              <w:adjustRightInd w:val="0"/>
              <w:spacing w:line="360" w:lineRule="auto"/>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③安全管理制度（包括：安全操作规程、工作人员作业安全规范、安全检查制度）；</w:t>
            </w:r>
          </w:p>
          <w:p w14:paraId="67A2CD5E">
            <w:pPr>
              <w:autoSpaceDE w:val="0"/>
              <w:autoSpaceDN w:val="0"/>
              <w:adjustRightInd w:val="0"/>
              <w:spacing w:line="360" w:lineRule="auto"/>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④环境卫生检查制度（包含环境消毒及清洁织物卫生检查制度）等。</w:t>
            </w:r>
          </w:p>
          <w:p w14:paraId="10C4143F">
            <w:pPr>
              <w:autoSpaceDE w:val="0"/>
              <w:autoSpaceDN w:val="0"/>
              <w:adjustRightInd w:val="0"/>
              <w:spacing w:line="360" w:lineRule="auto"/>
              <w:jc w:val="left"/>
              <w:rPr>
                <w:rFonts w:hint="eastAsia" w:ascii="宋体" w:hAnsi="宋体" w:cs="宋体"/>
                <w:kern w:val="0"/>
                <w:sz w:val="24"/>
                <w:szCs w:val="24"/>
                <w:highlight w:val="none"/>
              </w:rPr>
            </w:pPr>
            <w:r>
              <w:rPr>
                <w:rFonts w:hint="eastAsia"/>
                <w:color w:val="auto"/>
                <w:sz w:val="24"/>
                <w:szCs w:val="24"/>
                <w:highlight w:val="none"/>
                <w:lang w:val="en-US" w:eastAsia="zh-CN"/>
              </w:rPr>
              <w:t>所有要素齐全且完全满足</w:t>
            </w:r>
            <w:r>
              <w:rPr>
                <w:rFonts w:hint="eastAsia" w:ascii="宋体" w:hAnsi="宋体" w:eastAsia="宋体" w:cs="宋体"/>
                <w:color w:val="auto"/>
                <w:sz w:val="24"/>
                <w:szCs w:val="24"/>
                <w:highlight w:val="none"/>
                <w:lang w:val="en-US" w:eastAsia="zh-CN"/>
              </w:rPr>
              <w:t>项目要求得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分；每缺一个要素扣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分，每个要素里每有一处内容缺陷扣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分，扣完为止，未提供不得分。</w:t>
            </w:r>
            <w:r>
              <w:rPr>
                <w:rFonts w:hint="eastAsia" w:ascii="宋体" w:hAnsi="宋体" w:eastAsia="宋体" w:cs="宋体"/>
                <w:color w:val="auto"/>
                <w:spacing w:val="0"/>
                <w:position w:val="0"/>
                <w:sz w:val="24"/>
                <w:szCs w:val="24"/>
                <w:highlight w:val="none"/>
                <w:lang w:eastAsia="zh-CN"/>
              </w:rPr>
              <w:t>（缺陷是指：与本项目采购标的无关、内容前后不一致、前后逻辑错误、涉及的相关规范及标准错误、地点区域错误、内容缺失不清晰、可行性低、只有简单描述无实质性内容）</w:t>
            </w:r>
          </w:p>
        </w:tc>
        <w:tc>
          <w:tcPr>
            <w:tcW w:w="910" w:type="dxa"/>
            <w:noWrap w:val="0"/>
            <w:vAlign w:val="center"/>
          </w:tcPr>
          <w:p w14:paraId="0C0DC4C2">
            <w:pPr>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8分</w:t>
            </w:r>
          </w:p>
        </w:tc>
      </w:tr>
      <w:tr w14:paraId="435C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5" w:type="dxa"/>
            <w:noWrap w:val="0"/>
            <w:vAlign w:val="center"/>
          </w:tcPr>
          <w:p w14:paraId="0EC46AC5">
            <w:pPr>
              <w:autoSpaceDE w:val="0"/>
              <w:autoSpaceDN w:val="0"/>
              <w:adjustRightInd w:val="0"/>
              <w:spacing w:line="360" w:lineRule="auto"/>
              <w:jc w:val="center"/>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5</w:t>
            </w:r>
          </w:p>
        </w:tc>
        <w:tc>
          <w:tcPr>
            <w:tcW w:w="1395" w:type="dxa"/>
            <w:noWrap w:val="0"/>
            <w:vAlign w:val="center"/>
          </w:tcPr>
          <w:p w14:paraId="56C58165">
            <w:pPr>
              <w:autoSpaceDE w:val="0"/>
              <w:autoSpaceDN w:val="0"/>
              <w:adjustRightInd w:val="0"/>
              <w:spacing w:line="360" w:lineRule="auto"/>
              <w:jc w:val="center"/>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应急预案</w:t>
            </w:r>
          </w:p>
        </w:tc>
        <w:tc>
          <w:tcPr>
            <w:tcW w:w="6553" w:type="dxa"/>
            <w:noWrap w:val="0"/>
            <w:vAlign w:val="center"/>
          </w:tcPr>
          <w:p w14:paraId="60BE722C">
            <w:pPr>
              <w:autoSpaceDE w:val="0"/>
              <w:autoSpaceDN w:val="0"/>
              <w:adjustRightInd w:val="0"/>
              <w:spacing w:line="360" w:lineRule="auto"/>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根据供应商提供的突发事件应急预案进行综合评价(包含但不限于：①停水、停电、停气；②机器故障、人员意外伤害；③火灾、突发事件；④极端天气、运输车辆故障等；⑤特殊感染织物洗涤。</w:t>
            </w:r>
          </w:p>
          <w:p w14:paraId="12601F68">
            <w:pPr>
              <w:autoSpaceDE w:val="0"/>
              <w:autoSpaceDN w:val="0"/>
              <w:adjustRightInd w:val="0"/>
              <w:spacing w:line="360" w:lineRule="auto"/>
              <w:jc w:val="left"/>
              <w:rPr>
                <w:rFonts w:hint="eastAsia" w:ascii="宋体" w:hAnsi="宋体" w:cs="宋体"/>
                <w:kern w:val="0"/>
                <w:sz w:val="24"/>
                <w:szCs w:val="24"/>
                <w:highlight w:val="none"/>
                <w:lang w:val="en-US" w:eastAsia="zh-CN"/>
              </w:rPr>
            </w:pPr>
            <w:r>
              <w:rPr>
                <w:rFonts w:hint="eastAsia"/>
                <w:color w:val="auto"/>
                <w:sz w:val="24"/>
                <w:szCs w:val="24"/>
                <w:highlight w:val="none"/>
                <w:lang w:val="en-US" w:eastAsia="zh-CN"/>
              </w:rPr>
              <w:t>所有要素齐全且完全满足</w:t>
            </w:r>
            <w:r>
              <w:rPr>
                <w:rFonts w:hint="eastAsia" w:ascii="宋体" w:hAnsi="宋体" w:eastAsia="宋体" w:cs="宋体"/>
                <w:color w:val="auto"/>
                <w:sz w:val="24"/>
                <w:szCs w:val="24"/>
                <w:highlight w:val="none"/>
                <w:lang w:val="en-US" w:eastAsia="zh-CN"/>
              </w:rPr>
              <w:t>项目要求得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分；每缺一个要素扣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分，每个要素里每有一处内容缺陷扣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分，扣完为止，未提供不得分。</w:t>
            </w:r>
            <w:r>
              <w:rPr>
                <w:rFonts w:hint="eastAsia" w:ascii="宋体" w:hAnsi="宋体" w:eastAsia="宋体" w:cs="宋体"/>
                <w:color w:val="auto"/>
                <w:spacing w:val="0"/>
                <w:position w:val="0"/>
                <w:sz w:val="24"/>
                <w:szCs w:val="24"/>
                <w:highlight w:val="none"/>
                <w:lang w:eastAsia="zh-CN"/>
              </w:rPr>
              <w:t>（缺陷是指：与本项目采购标的无关、内容前后不一致、前后逻辑错误、涉及的相关规范及标准错误、地点区域错误、内容缺失不清晰、可行性低、只有简单描述无实质性内容）</w:t>
            </w:r>
          </w:p>
        </w:tc>
        <w:tc>
          <w:tcPr>
            <w:tcW w:w="910" w:type="dxa"/>
            <w:noWrap w:val="0"/>
            <w:vAlign w:val="center"/>
          </w:tcPr>
          <w:p w14:paraId="0BD74802">
            <w:pPr>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10分</w:t>
            </w:r>
          </w:p>
        </w:tc>
      </w:tr>
      <w:tr w14:paraId="1BF5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5" w:type="dxa"/>
            <w:noWrap w:val="0"/>
            <w:vAlign w:val="center"/>
          </w:tcPr>
          <w:p w14:paraId="3308A1F1">
            <w:pPr>
              <w:autoSpaceDE w:val="0"/>
              <w:autoSpaceDN w:val="0"/>
              <w:adjustRightInd w:val="0"/>
              <w:spacing w:line="360" w:lineRule="auto"/>
              <w:jc w:val="center"/>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6</w:t>
            </w:r>
          </w:p>
        </w:tc>
        <w:tc>
          <w:tcPr>
            <w:tcW w:w="1395" w:type="dxa"/>
            <w:noWrap w:val="0"/>
            <w:vAlign w:val="center"/>
          </w:tcPr>
          <w:p w14:paraId="2912C945">
            <w:pPr>
              <w:autoSpaceDE w:val="0"/>
              <w:autoSpaceDN w:val="0"/>
              <w:adjustRightInd w:val="0"/>
              <w:spacing w:line="360" w:lineRule="auto"/>
              <w:jc w:val="center"/>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工作场所</w:t>
            </w:r>
          </w:p>
        </w:tc>
        <w:tc>
          <w:tcPr>
            <w:tcW w:w="6553" w:type="dxa"/>
            <w:noWrap w:val="0"/>
            <w:vAlign w:val="center"/>
          </w:tcPr>
          <w:p w14:paraId="37252ADC">
            <w:pPr>
              <w:autoSpaceDE w:val="0"/>
              <w:autoSpaceDN w:val="0"/>
              <w:adjustRightInd w:val="0"/>
              <w:spacing w:line="360" w:lineRule="auto"/>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洗涤场所面积2000㎡及以上得 4分；洗涤场所面积1000-2000㎡（含）的，得3分；洗涤场所面积500㎡-1000㎡（含）的，得2分；洗涤场所面积在500㎡以下的得1分。</w:t>
            </w:r>
          </w:p>
          <w:p w14:paraId="4496D8CE">
            <w:pPr>
              <w:autoSpaceDE w:val="0"/>
              <w:autoSpaceDN w:val="0"/>
              <w:adjustRightInd w:val="0"/>
              <w:spacing w:line="360" w:lineRule="auto"/>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（依据投标人提供的证明文件显示面积，如场所租赁证明或房屋产权证明，无法提供证明材料或证明材料无法辨识面积的，不得分。）</w:t>
            </w:r>
          </w:p>
        </w:tc>
        <w:tc>
          <w:tcPr>
            <w:tcW w:w="910" w:type="dxa"/>
            <w:noWrap w:val="0"/>
            <w:vAlign w:val="center"/>
          </w:tcPr>
          <w:p w14:paraId="3683CC06">
            <w:pPr>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4分</w:t>
            </w:r>
          </w:p>
        </w:tc>
      </w:tr>
      <w:tr w14:paraId="11E7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5" w:type="dxa"/>
            <w:noWrap w:val="0"/>
            <w:vAlign w:val="center"/>
          </w:tcPr>
          <w:p w14:paraId="6231E85A">
            <w:pPr>
              <w:autoSpaceDE w:val="0"/>
              <w:autoSpaceDN w:val="0"/>
              <w:adjustRightInd w:val="0"/>
              <w:spacing w:line="360" w:lineRule="auto"/>
              <w:jc w:val="center"/>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7</w:t>
            </w:r>
          </w:p>
        </w:tc>
        <w:tc>
          <w:tcPr>
            <w:tcW w:w="1395" w:type="dxa"/>
            <w:noWrap w:val="0"/>
            <w:vAlign w:val="center"/>
          </w:tcPr>
          <w:p w14:paraId="583B7B9E">
            <w:pPr>
              <w:autoSpaceDE w:val="0"/>
              <w:autoSpaceDN w:val="0"/>
              <w:adjustRightInd w:val="0"/>
              <w:spacing w:line="360" w:lineRule="auto"/>
              <w:jc w:val="center"/>
              <w:rPr>
                <w:rFonts w:hint="eastAsia" w:ascii="宋体" w:hAnsi="宋体" w:cs="宋体"/>
                <w:bCs/>
                <w:kern w:val="0"/>
                <w:sz w:val="24"/>
                <w:szCs w:val="24"/>
                <w:highlight w:val="none"/>
                <w:lang w:val="en-US" w:eastAsia="zh-CN"/>
              </w:rPr>
            </w:pPr>
            <w:r>
              <w:rPr>
                <w:rFonts w:hint="eastAsia" w:ascii="宋体" w:hAnsi="宋体" w:eastAsia="宋体" w:cs="宋体"/>
                <w:b w:val="0"/>
                <w:color w:val="auto"/>
                <w:sz w:val="24"/>
                <w:szCs w:val="24"/>
                <w:highlight w:val="none"/>
                <w:lang w:val="en-US" w:eastAsia="zh-CN"/>
              </w:rPr>
              <w:t>运输车辆</w:t>
            </w:r>
          </w:p>
        </w:tc>
        <w:tc>
          <w:tcPr>
            <w:tcW w:w="6553" w:type="dxa"/>
            <w:noWrap w:val="0"/>
            <w:vAlign w:val="center"/>
          </w:tcPr>
          <w:p w14:paraId="09A52922">
            <w:pPr>
              <w:autoSpaceDE w:val="0"/>
              <w:autoSpaceDN w:val="0"/>
              <w:adjustRightInd w:val="0"/>
              <w:spacing w:line="360" w:lineRule="auto"/>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 xml:space="preserve">投标人至少有3辆车辆（车辆均为自有车辆），法人所有的国家标准货运车辆且在交管部门备案，有车辆通行证、各类手续齐全的，得3分，每增加1辆车辆加1分，最多加2分，满分5 分；少于3辆或租赁车辆不得分。 </w:t>
            </w:r>
          </w:p>
          <w:p w14:paraId="16AA4D3D">
            <w:pPr>
              <w:autoSpaceDE w:val="0"/>
              <w:autoSpaceDN w:val="0"/>
              <w:adjustRightInd w:val="0"/>
              <w:spacing w:line="360" w:lineRule="auto"/>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注：货车、面包车等，需提供有效的机动车行驶证复印件、车辆图片，未提供者不得分。</w:t>
            </w:r>
          </w:p>
        </w:tc>
        <w:tc>
          <w:tcPr>
            <w:tcW w:w="910" w:type="dxa"/>
            <w:noWrap w:val="0"/>
            <w:vAlign w:val="center"/>
          </w:tcPr>
          <w:p w14:paraId="50653E29">
            <w:pPr>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5分</w:t>
            </w:r>
          </w:p>
        </w:tc>
      </w:tr>
      <w:tr w14:paraId="1A74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5" w:type="dxa"/>
            <w:noWrap w:val="0"/>
            <w:vAlign w:val="center"/>
          </w:tcPr>
          <w:p w14:paraId="75304720">
            <w:pPr>
              <w:autoSpaceDE w:val="0"/>
              <w:autoSpaceDN w:val="0"/>
              <w:adjustRightInd w:val="0"/>
              <w:spacing w:line="360" w:lineRule="auto"/>
              <w:jc w:val="center"/>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8</w:t>
            </w:r>
          </w:p>
        </w:tc>
        <w:tc>
          <w:tcPr>
            <w:tcW w:w="1395" w:type="dxa"/>
            <w:noWrap w:val="0"/>
            <w:vAlign w:val="center"/>
          </w:tcPr>
          <w:p w14:paraId="7E57EC26">
            <w:pPr>
              <w:autoSpaceDE w:val="0"/>
              <w:autoSpaceDN w:val="0"/>
              <w:adjustRightInd w:val="0"/>
              <w:spacing w:line="360" w:lineRule="auto"/>
              <w:jc w:val="center"/>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洗涤工厂硬件设施质量</w:t>
            </w:r>
          </w:p>
        </w:tc>
        <w:tc>
          <w:tcPr>
            <w:tcW w:w="6553" w:type="dxa"/>
            <w:noWrap w:val="0"/>
            <w:vAlign w:val="center"/>
          </w:tcPr>
          <w:p w14:paraId="605C5E75">
            <w:pPr>
              <w:numPr>
                <w:ilvl w:val="0"/>
                <w:numId w:val="13"/>
              </w:numPr>
              <w:autoSpaceDE w:val="0"/>
              <w:autoSpaceDN w:val="0"/>
              <w:adjustRightInd w:val="0"/>
              <w:spacing w:line="360" w:lineRule="auto"/>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洗涤工厂布局完全符合 WS/T508标准，①设有完全独立的办公区域和工作区域；②工作流程应由污到洁，完全不交叉、不逆行，具有工作人员、医用织物接收与发放的专用通道；③清洁区与污染区之间完全隔离屏障；④区域及功能用房标识明确通风良好；⑤采用卫生隔离式洗涤设备；所有要素齐全且完全满足项目要求得5分；每缺一个要素扣1分，每个要素里每有一处内容缺陷扣0.5分，扣完为止，未提供不得分。（缺陷是指：与本项目采购标的无关、内容前后不一致、前后逻辑错误、涉及的相关规范及标准错误、地点区域错误、内容缺失不清晰、可行性低、只有简单描述无实质性内容）</w:t>
            </w:r>
          </w:p>
          <w:p w14:paraId="7955FE1D">
            <w:pPr>
              <w:numPr>
                <w:ilvl w:val="0"/>
                <w:numId w:val="13"/>
              </w:numPr>
              <w:autoSpaceDE w:val="0"/>
              <w:autoSpaceDN w:val="0"/>
              <w:adjustRightInd w:val="0"/>
              <w:spacing w:line="360" w:lineRule="auto"/>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配套有专门的软水处理设施得3分，不提供相应配套设施不得分。</w:t>
            </w:r>
          </w:p>
          <w:p w14:paraId="1DF48E90">
            <w:pPr>
              <w:numPr>
                <w:ilvl w:val="0"/>
                <w:numId w:val="0"/>
              </w:numPr>
              <w:autoSpaceDE w:val="0"/>
              <w:autoSpaceDN w:val="0"/>
              <w:adjustRightInd w:val="0"/>
              <w:spacing w:line="360" w:lineRule="auto"/>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投标人需提供上述布局平面图或实景图片，内容应清晰可辨，未提供或提供资料不满足要求，则本项不得分。</w:t>
            </w:r>
          </w:p>
        </w:tc>
        <w:tc>
          <w:tcPr>
            <w:tcW w:w="910" w:type="dxa"/>
            <w:noWrap w:val="0"/>
            <w:vAlign w:val="center"/>
          </w:tcPr>
          <w:p w14:paraId="1902DAA4">
            <w:pPr>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8分</w:t>
            </w:r>
          </w:p>
        </w:tc>
      </w:tr>
      <w:tr w14:paraId="7271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5" w:type="dxa"/>
            <w:vMerge w:val="restart"/>
            <w:noWrap w:val="0"/>
            <w:vAlign w:val="center"/>
          </w:tcPr>
          <w:p w14:paraId="5CFC94EA">
            <w:pPr>
              <w:autoSpaceDE w:val="0"/>
              <w:autoSpaceDN w:val="0"/>
              <w:adjustRightInd w:val="0"/>
              <w:spacing w:line="360" w:lineRule="auto"/>
              <w:jc w:val="center"/>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9</w:t>
            </w:r>
          </w:p>
        </w:tc>
        <w:tc>
          <w:tcPr>
            <w:tcW w:w="1395" w:type="dxa"/>
            <w:vMerge w:val="restart"/>
            <w:noWrap w:val="0"/>
            <w:vAlign w:val="center"/>
          </w:tcPr>
          <w:p w14:paraId="253261C1">
            <w:pPr>
              <w:autoSpaceDE w:val="0"/>
              <w:autoSpaceDN w:val="0"/>
              <w:adjustRightInd w:val="0"/>
              <w:spacing w:line="360" w:lineRule="auto"/>
              <w:jc w:val="center"/>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洗涤生产能力</w:t>
            </w:r>
          </w:p>
        </w:tc>
        <w:tc>
          <w:tcPr>
            <w:tcW w:w="6553" w:type="dxa"/>
            <w:noWrap w:val="0"/>
            <w:vAlign w:val="center"/>
          </w:tcPr>
          <w:p w14:paraId="54360291">
            <w:pPr>
              <w:numPr>
                <w:ilvl w:val="0"/>
                <w:numId w:val="0"/>
              </w:numPr>
              <w:autoSpaceDE w:val="0"/>
              <w:autoSpaceDN w:val="0"/>
              <w:adjustRightInd w:val="0"/>
              <w:spacing w:line="360" w:lineRule="auto"/>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根据投标人拟投入本项目的洗涤设备情况进行评审：</w:t>
            </w:r>
          </w:p>
          <w:p w14:paraId="703D40CD">
            <w:pPr>
              <w:numPr>
                <w:ilvl w:val="0"/>
                <w:numId w:val="0"/>
              </w:numPr>
              <w:autoSpaceDE w:val="0"/>
              <w:autoSpaceDN w:val="0"/>
              <w:adjustRightInd w:val="0"/>
              <w:spacing w:line="360" w:lineRule="auto"/>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r>
              <w:rPr>
                <w:rFonts w:hint="default" w:ascii="宋体" w:hAnsi="宋体" w:eastAsia="宋体" w:cs="宋体"/>
                <w:kern w:val="0"/>
                <w:sz w:val="24"/>
                <w:szCs w:val="24"/>
                <w:highlight w:val="none"/>
                <w:lang w:val="en-US" w:eastAsia="zh-CN"/>
              </w:rPr>
              <w:t xml:space="preserve">投标人每配置一套连续洗涤机组洗衣笼自动化设备的，得1.5分，本项最高得3分； </w:t>
            </w:r>
          </w:p>
          <w:p w14:paraId="5E57ED42">
            <w:pPr>
              <w:numPr>
                <w:ilvl w:val="0"/>
                <w:numId w:val="0"/>
              </w:numPr>
              <w:autoSpaceDE w:val="0"/>
              <w:autoSpaceDN w:val="0"/>
              <w:adjustRightInd w:val="0"/>
              <w:spacing w:line="360" w:lineRule="auto"/>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r>
              <w:rPr>
                <w:rFonts w:hint="default" w:ascii="宋体" w:hAnsi="宋体" w:eastAsia="宋体" w:cs="宋体"/>
                <w:kern w:val="0"/>
                <w:sz w:val="24"/>
                <w:szCs w:val="24"/>
                <w:highlight w:val="none"/>
                <w:lang w:val="en-US" w:eastAsia="zh-CN"/>
              </w:rPr>
              <w:t xml:space="preserve">投标人每配置有一台卫生隔离洗脱设备的，得0.5分，本项最高得3分； </w:t>
            </w:r>
          </w:p>
          <w:p w14:paraId="53431ECD">
            <w:pPr>
              <w:numPr>
                <w:ilvl w:val="0"/>
                <w:numId w:val="0"/>
              </w:numPr>
              <w:autoSpaceDE w:val="0"/>
              <w:autoSpaceDN w:val="0"/>
              <w:adjustRightInd w:val="0"/>
              <w:spacing w:line="360" w:lineRule="auto"/>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r>
              <w:rPr>
                <w:rFonts w:hint="default" w:ascii="宋体" w:hAnsi="宋体" w:eastAsia="宋体" w:cs="宋体"/>
                <w:kern w:val="0"/>
                <w:sz w:val="24"/>
                <w:szCs w:val="24"/>
                <w:highlight w:val="none"/>
                <w:lang w:val="en-US" w:eastAsia="zh-CN"/>
              </w:rPr>
              <w:t xml:space="preserve">投标人每配置有一台烘干设备的，得0.3分，本项最高得3分； </w:t>
            </w:r>
          </w:p>
          <w:p w14:paraId="1AEB193F">
            <w:pPr>
              <w:numPr>
                <w:ilvl w:val="0"/>
                <w:numId w:val="0"/>
              </w:numPr>
              <w:autoSpaceDE w:val="0"/>
              <w:autoSpaceDN w:val="0"/>
              <w:adjustRightInd w:val="0"/>
              <w:spacing w:line="360" w:lineRule="auto"/>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r>
              <w:rPr>
                <w:rFonts w:hint="default" w:ascii="宋体" w:hAnsi="宋体" w:eastAsia="宋体" w:cs="宋体"/>
                <w:kern w:val="0"/>
                <w:sz w:val="24"/>
                <w:szCs w:val="24"/>
                <w:highlight w:val="none"/>
                <w:lang w:val="en-US" w:eastAsia="zh-CN"/>
              </w:rPr>
              <w:t>投标人每配置有一台后整理自动折叠烫平机的，得</w:t>
            </w:r>
            <w:r>
              <w:rPr>
                <w:rFonts w:hint="eastAsia" w:ascii="宋体" w:hAnsi="宋体" w:eastAsia="宋体" w:cs="宋体"/>
                <w:kern w:val="0"/>
                <w:sz w:val="24"/>
                <w:szCs w:val="24"/>
                <w:highlight w:val="none"/>
                <w:lang w:val="en-US" w:eastAsia="zh-CN"/>
              </w:rPr>
              <w:t>0.5</w:t>
            </w:r>
            <w:r>
              <w:rPr>
                <w:rFonts w:hint="default" w:ascii="宋体" w:hAnsi="宋体" w:eastAsia="宋体" w:cs="宋体"/>
                <w:kern w:val="0"/>
                <w:sz w:val="24"/>
                <w:szCs w:val="24"/>
                <w:highlight w:val="none"/>
                <w:lang w:val="en-US" w:eastAsia="zh-CN"/>
              </w:rPr>
              <w:t>分，本项最高得</w:t>
            </w:r>
            <w:r>
              <w:rPr>
                <w:rFonts w:hint="eastAsia" w:ascii="宋体" w:hAnsi="宋体" w:eastAsia="宋体" w:cs="宋体"/>
                <w:kern w:val="0"/>
                <w:sz w:val="24"/>
                <w:szCs w:val="24"/>
                <w:highlight w:val="none"/>
                <w:lang w:val="en-US" w:eastAsia="zh-CN"/>
              </w:rPr>
              <w:t>1</w:t>
            </w:r>
            <w:r>
              <w:rPr>
                <w:rFonts w:hint="default" w:ascii="宋体" w:hAnsi="宋体" w:eastAsia="宋体" w:cs="宋体"/>
                <w:kern w:val="0"/>
                <w:sz w:val="24"/>
                <w:szCs w:val="24"/>
                <w:highlight w:val="none"/>
                <w:lang w:val="en-US" w:eastAsia="zh-CN"/>
              </w:rPr>
              <w:t>分。</w:t>
            </w:r>
          </w:p>
          <w:p w14:paraId="14E30958">
            <w:pPr>
              <w:numPr>
                <w:ilvl w:val="0"/>
                <w:numId w:val="0"/>
              </w:numPr>
              <w:autoSpaceDE w:val="0"/>
              <w:autoSpaceDN w:val="0"/>
              <w:adjustRightInd w:val="0"/>
              <w:spacing w:line="360" w:lineRule="auto"/>
              <w:jc w:val="left"/>
              <w:rPr>
                <w:rFonts w:hint="eastAsia" w:ascii="宋体" w:hAnsi="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需提供购置合同复印件、购置发票</w:t>
            </w:r>
            <w:r>
              <w:rPr>
                <w:rFonts w:hint="eastAsia" w:ascii="宋体" w:hAnsi="宋体" w:eastAsia="宋体" w:cs="宋体"/>
                <w:kern w:val="0"/>
                <w:sz w:val="24"/>
                <w:szCs w:val="24"/>
                <w:highlight w:val="none"/>
                <w:lang w:val="en-US" w:eastAsia="zh-CN"/>
              </w:rPr>
              <w:t>等，未完整提供不得分。</w:t>
            </w:r>
          </w:p>
        </w:tc>
        <w:tc>
          <w:tcPr>
            <w:tcW w:w="910" w:type="dxa"/>
            <w:noWrap w:val="0"/>
            <w:vAlign w:val="center"/>
          </w:tcPr>
          <w:p w14:paraId="3BE6C2BA">
            <w:pPr>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10分</w:t>
            </w:r>
          </w:p>
        </w:tc>
      </w:tr>
      <w:tr w14:paraId="6055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5" w:type="dxa"/>
            <w:vMerge w:val="continue"/>
            <w:noWrap w:val="0"/>
            <w:vAlign w:val="center"/>
          </w:tcPr>
          <w:p w14:paraId="18EF0795">
            <w:pPr>
              <w:autoSpaceDE w:val="0"/>
              <w:autoSpaceDN w:val="0"/>
              <w:adjustRightInd w:val="0"/>
              <w:spacing w:line="360" w:lineRule="auto"/>
              <w:jc w:val="center"/>
              <w:rPr>
                <w:rFonts w:hint="eastAsia" w:ascii="宋体" w:hAnsi="宋体" w:cs="宋体"/>
                <w:bCs/>
                <w:kern w:val="0"/>
                <w:sz w:val="24"/>
                <w:szCs w:val="24"/>
                <w:highlight w:val="none"/>
                <w:lang w:val="en-US" w:eastAsia="zh-CN"/>
              </w:rPr>
            </w:pPr>
          </w:p>
        </w:tc>
        <w:tc>
          <w:tcPr>
            <w:tcW w:w="1395" w:type="dxa"/>
            <w:vMerge w:val="continue"/>
            <w:noWrap w:val="0"/>
            <w:vAlign w:val="center"/>
          </w:tcPr>
          <w:p w14:paraId="35DF7067">
            <w:pPr>
              <w:autoSpaceDE w:val="0"/>
              <w:autoSpaceDN w:val="0"/>
              <w:adjustRightInd w:val="0"/>
              <w:spacing w:line="360" w:lineRule="auto"/>
              <w:jc w:val="center"/>
              <w:rPr>
                <w:rFonts w:hint="eastAsia" w:ascii="宋体" w:hAnsi="宋体" w:cs="宋体"/>
                <w:bCs/>
                <w:kern w:val="0"/>
                <w:sz w:val="24"/>
                <w:szCs w:val="24"/>
                <w:highlight w:val="none"/>
                <w:lang w:val="en-US" w:eastAsia="zh-CN"/>
              </w:rPr>
            </w:pPr>
          </w:p>
        </w:tc>
        <w:tc>
          <w:tcPr>
            <w:tcW w:w="6553" w:type="dxa"/>
            <w:noWrap w:val="0"/>
            <w:vAlign w:val="center"/>
          </w:tcPr>
          <w:p w14:paraId="7876BF91">
            <w:pPr>
              <w:numPr>
                <w:ilvl w:val="0"/>
                <w:numId w:val="0"/>
              </w:numPr>
              <w:autoSpaceDE w:val="0"/>
              <w:autoSpaceDN w:val="0"/>
              <w:adjustRightInd w:val="0"/>
              <w:spacing w:line="360" w:lineRule="auto"/>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提供连续2年的环保部门或第三方出具的废水排放环境检测合格报告，得2分。(需提供相关检测报告的复印件，未提供不得分。)</w:t>
            </w:r>
          </w:p>
        </w:tc>
        <w:tc>
          <w:tcPr>
            <w:tcW w:w="910" w:type="dxa"/>
            <w:noWrap w:val="0"/>
            <w:vAlign w:val="center"/>
          </w:tcPr>
          <w:p w14:paraId="2D5FCF70">
            <w:pPr>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2分</w:t>
            </w:r>
          </w:p>
        </w:tc>
      </w:tr>
      <w:tr w14:paraId="0C69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5" w:type="dxa"/>
            <w:noWrap w:val="0"/>
            <w:vAlign w:val="center"/>
          </w:tcPr>
          <w:p w14:paraId="13EBDEEE">
            <w:pPr>
              <w:autoSpaceDE w:val="0"/>
              <w:autoSpaceDN w:val="0"/>
              <w:adjustRightInd w:val="0"/>
              <w:spacing w:line="360" w:lineRule="auto"/>
              <w:jc w:val="center"/>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10</w:t>
            </w:r>
          </w:p>
        </w:tc>
        <w:tc>
          <w:tcPr>
            <w:tcW w:w="1395" w:type="dxa"/>
            <w:noWrap w:val="0"/>
            <w:vAlign w:val="center"/>
          </w:tcPr>
          <w:p w14:paraId="304348E3">
            <w:pPr>
              <w:autoSpaceDE w:val="0"/>
              <w:autoSpaceDN w:val="0"/>
              <w:adjustRightInd w:val="0"/>
              <w:spacing w:line="360" w:lineRule="auto"/>
              <w:jc w:val="center"/>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安全保障</w:t>
            </w:r>
          </w:p>
        </w:tc>
        <w:tc>
          <w:tcPr>
            <w:tcW w:w="6553" w:type="dxa"/>
            <w:noWrap w:val="0"/>
            <w:vAlign w:val="center"/>
          </w:tcPr>
          <w:p w14:paraId="2E899BF6">
            <w:pPr>
              <w:numPr>
                <w:ilvl w:val="0"/>
                <w:numId w:val="0"/>
              </w:numPr>
              <w:autoSpaceDE w:val="0"/>
              <w:autoSpaceDN w:val="0"/>
              <w:adjustRightInd w:val="0"/>
              <w:spacing w:line="360" w:lineRule="auto"/>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（1）拥有稳定的水、电、蒸汽等能源供应系统及独立的污水处理设施的，得1分；需提供实物图片佐证，内容应清晰可辨，未提供或提供资料不满足要求，则本项不得分。</w:t>
            </w:r>
          </w:p>
          <w:p w14:paraId="40BBFB28">
            <w:pPr>
              <w:numPr>
                <w:ilvl w:val="0"/>
                <w:numId w:val="0"/>
              </w:numPr>
              <w:autoSpaceDE w:val="0"/>
              <w:autoSpaceDN w:val="0"/>
              <w:adjustRightInd w:val="0"/>
              <w:spacing w:line="360" w:lineRule="auto"/>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 xml:space="preserve">（2）能够提供洗涤剂的检测报告以证明其安全性的，得1分； </w:t>
            </w:r>
          </w:p>
          <w:p w14:paraId="3A4826F0">
            <w:pPr>
              <w:numPr>
                <w:ilvl w:val="0"/>
                <w:numId w:val="0"/>
              </w:numPr>
              <w:autoSpaceDE w:val="0"/>
              <w:autoSpaceDN w:val="0"/>
              <w:adjustRightInd w:val="0"/>
              <w:spacing w:line="360" w:lineRule="auto"/>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（3）投标人提供2021年</w:t>
            </w:r>
            <w:r>
              <w:rPr>
                <w:rFonts w:hint="eastAsia" w:ascii="宋体" w:hAnsi="宋体" w:eastAsia="宋体" w:cs="宋体"/>
                <w:kern w:val="0"/>
                <w:sz w:val="24"/>
                <w:szCs w:val="24"/>
                <w:highlight w:val="none"/>
                <w:lang w:val="en-US" w:eastAsia="zh-CN"/>
              </w:rPr>
              <w:t>12</w:t>
            </w:r>
            <w:r>
              <w:rPr>
                <w:rFonts w:hint="default" w:ascii="宋体" w:hAnsi="宋体" w:eastAsia="宋体" w:cs="宋体"/>
                <w:kern w:val="0"/>
                <w:sz w:val="24"/>
                <w:szCs w:val="24"/>
                <w:highlight w:val="none"/>
                <w:lang w:val="en-US" w:eastAsia="zh-CN"/>
              </w:rPr>
              <w:t xml:space="preserve">月1日至投标截止日前洁净被服送达业主单位后由有资质的第三方检测机构出具的合格的被服微生物菌落检测报告，每提供1份得1分，最高得4分。 </w:t>
            </w:r>
          </w:p>
          <w:p w14:paraId="60BF33CA">
            <w:pPr>
              <w:numPr>
                <w:ilvl w:val="0"/>
                <w:numId w:val="0"/>
              </w:numPr>
              <w:autoSpaceDE w:val="0"/>
              <w:autoSpaceDN w:val="0"/>
              <w:adjustRightInd w:val="0"/>
              <w:spacing w:line="360" w:lineRule="auto"/>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备注：须提供由有资质的第三方检测机构出具的带CMA标识的委托（送检）单位名称为投标人。每年度提供一份。不提供或提供不全不得分。</w:t>
            </w:r>
          </w:p>
        </w:tc>
        <w:tc>
          <w:tcPr>
            <w:tcW w:w="910" w:type="dxa"/>
            <w:noWrap w:val="0"/>
            <w:vAlign w:val="center"/>
          </w:tcPr>
          <w:p w14:paraId="0731C269">
            <w:pPr>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6分</w:t>
            </w:r>
          </w:p>
        </w:tc>
      </w:tr>
      <w:tr w14:paraId="5426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5" w:type="dxa"/>
            <w:noWrap w:val="0"/>
            <w:vAlign w:val="center"/>
          </w:tcPr>
          <w:p w14:paraId="3036B2AF">
            <w:pPr>
              <w:autoSpaceDE w:val="0"/>
              <w:autoSpaceDN w:val="0"/>
              <w:adjustRightInd w:val="0"/>
              <w:spacing w:line="360" w:lineRule="auto"/>
              <w:jc w:val="center"/>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11</w:t>
            </w:r>
          </w:p>
        </w:tc>
        <w:tc>
          <w:tcPr>
            <w:tcW w:w="1395" w:type="dxa"/>
            <w:noWrap w:val="0"/>
            <w:vAlign w:val="center"/>
          </w:tcPr>
          <w:p w14:paraId="0277AE28">
            <w:pPr>
              <w:autoSpaceDE w:val="0"/>
              <w:autoSpaceDN w:val="0"/>
              <w:adjustRightInd w:val="0"/>
              <w:spacing w:line="360" w:lineRule="auto"/>
              <w:jc w:val="center"/>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拟投入本项目的人员及配置</w:t>
            </w:r>
          </w:p>
        </w:tc>
        <w:tc>
          <w:tcPr>
            <w:tcW w:w="6553" w:type="dxa"/>
            <w:noWrap w:val="0"/>
            <w:vAlign w:val="center"/>
          </w:tcPr>
          <w:p w14:paraId="163C777B">
            <w:pPr>
              <w:numPr>
                <w:ilvl w:val="0"/>
                <w:numId w:val="0"/>
              </w:numPr>
              <w:autoSpaceDE w:val="0"/>
              <w:autoSpaceDN w:val="0"/>
              <w:adjustRightInd w:val="0"/>
              <w:spacing w:line="360" w:lineRule="auto"/>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 xml:space="preserve">投标人需配置至少2名常驻医院工作人员，满足得2分，未提供或不足2人不得分。 </w:t>
            </w:r>
          </w:p>
          <w:p w14:paraId="4C6DC717">
            <w:pPr>
              <w:numPr>
                <w:ilvl w:val="0"/>
                <w:numId w:val="0"/>
              </w:numPr>
              <w:autoSpaceDE w:val="0"/>
              <w:autoSpaceDN w:val="0"/>
              <w:adjustRightInd w:val="0"/>
              <w:spacing w:line="360" w:lineRule="auto"/>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注：需提供常驻医院工作人员简历信息表，包含但不限于姓名、年龄、从业年限等，证明材料需提供包含但不限于身份证、健康证、社保缴纳证明材料、从业证书或资格证书（如有）。</w:t>
            </w:r>
          </w:p>
        </w:tc>
        <w:tc>
          <w:tcPr>
            <w:tcW w:w="910" w:type="dxa"/>
            <w:noWrap w:val="0"/>
            <w:vAlign w:val="center"/>
          </w:tcPr>
          <w:p w14:paraId="09CF3E28">
            <w:pPr>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2分</w:t>
            </w:r>
          </w:p>
        </w:tc>
      </w:tr>
    </w:tbl>
    <w:p w14:paraId="6FC22C10">
      <w:pPr>
        <w:rPr>
          <w:rFonts w:hint="eastAsia" w:ascii="宋体" w:hAnsi="宋体" w:eastAsia="宋体" w:cs="宋体"/>
          <w:b/>
          <w:bCs/>
          <w:color w:val="auto"/>
          <w:sz w:val="24"/>
          <w:szCs w:val="24"/>
          <w:highlight w:val="none"/>
        </w:rPr>
      </w:pPr>
    </w:p>
    <w:p w14:paraId="1FABBFEE">
      <w:pPr>
        <w:rPr>
          <w:rFonts w:hint="eastAsia" w:ascii="宋体" w:hAnsi="宋体" w:eastAsia="宋体" w:cs="宋体"/>
          <w:b/>
          <w:bCs/>
          <w:color w:val="auto"/>
          <w:sz w:val="24"/>
          <w:szCs w:val="24"/>
          <w:highlight w:val="none"/>
        </w:rPr>
      </w:pPr>
    </w:p>
    <w:p w14:paraId="1B078F11">
      <w:pPr>
        <w:rPr>
          <w:rFonts w:hint="eastAsia" w:ascii="宋体" w:hAnsi="宋体" w:eastAsia="宋体" w:cs="宋体"/>
          <w:b/>
          <w:bCs/>
          <w:color w:val="auto"/>
          <w:sz w:val="24"/>
          <w:szCs w:val="24"/>
          <w:highlight w:val="none"/>
        </w:rPr>
      </w:pPr>
    </w:p>
    <w:p w14:paraId="0414FA93">
      <w:pPr>
        <w:rPr>
          <w:rFonts w:hint="eastAsia" w:ascii="宋体" w:hAnsi="宋体" w:eastAsia="宋体" w:cs="宋体"/>
          <w:b/>
          <w:bCs/>
          <w:color w:val="auto"/>
          <w:sz w:val="24"/>
          <w:szCs w:val="24"/>
          <w:highlight w:val="none"/>
        </w:rPr>
      </w:pPr>
    </w:p>
    <w:p w14:paraId="67524DE1">
      <w:pPr>
        <w:pageBreakBefore w:val="0"/>
        <w:wordWrap/>
        <w:overflowPunct/>
        <w:topLinePunct w:val="0"/>
        <w:bidi w:val="0"/>
        <w:spacing w:line="560" w:lineRule="exact"/>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4D8BFF36">
      <w:pPr>
        <w:pageBreakBefore w:val="0"/>
        <w:wordWrap/>
        <w:overflowPunct/>
        <w:topLinePunct w:val="0"/>
        <w:bidi w:val="0"/>
        <w:spacing w:line="560" w:lineRule="exact"/>
        <w:ind w:left="0" w:leftChars="0" w:right="0" w:rightChars="0"/>
        <w:jc w:val="center"/>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报价部分评</w:t>
      </w:r>
      <w:r>
        <w:rPr>
          <w:rFonts w:hint="eastAsia" w:ascii="宋体" w:hAnsi="宋体" w:eastAsia="宋体" w:cs="宋体"/>
          <w:b/>
          <w:bCs/>
          <w:color w:val="auto"/>
          <w:sz w:val="24"/>
          <w:szCs w:val="24"/>
          <w:highlight w:val="none"/>
          <w:lang w:val="zh-CN"/>
        </w:rPr>
        <w:t>审</w:t>
      </w:r>
      <w:r>
        <w:rPr>
          <w:rFonts w:hint="eastAsia" w:ascii="宋体" w:hAnsi="宋体" w:eastAsia="宋体" w:cs="宋体"/>
          <w:b/>
          <w:bCs/>
          <w:color w:val="auto"/>
          <w:sz w:val="24"/>
          <w:szCs w:val="24"/>
          <w:highlight w:val="none"/>
        </w:rPr>
        <w:t>标准（</w:t>
      </w:r>
      <w:r>
        <w:rPr>
          <w:rFonts w:hint="eastAsia" w:ascii="宋体" w:hAnsi="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429"/>
        <w:gridCol w:w="6518"/>
      </w:tblGrid>
      <w:tr w14:paraId="3481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5" w:type="dxa"/>
            <w:noWrap w:val="0"/>
            <w:vAlign w:val="center"/>
          </w:tcPr>
          <w:p w14:paraId="22447782">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1429" w:type="dxa"/>
            <w:noWrap w:val="0"/>
            <w:vAlign w:val="center"/>
          </w:tcPr>
          <w:p w14:paraId="650D258C">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评标项目</w:t>
            </w:r>
          </w:p>
        </w:tc>
        <w:tc>
          <w:tcPr>
            <w:tcW w:w="6518" w:type="dxa"/>
            <w:noWrap w:val="0"/>
            <w:vAlign w:val="center"/>
          </w:tcPr>
          <w:p w14:paraId="51902DC0">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评分标准</w:t>
            </w:r>
          </w:p>
        </w:tc>
      </w:tr>
      <w:tr w14:paraId="3DB7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75" w:type="dxa"/>
            <w:noWrap w:val="0"/>
            <w:vAlign w:val="center"/>
          </w:tcPr>
          <w:p w14:paraId="1115538B">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w:t>
            </w:r>
          </w:p>
        </w:tc>
        <w:tc>
          <w:tcPr>
            <w:tcW w:w="1429" w:type="dxa"/>
            <w:noWrap w:val="0"/>
            <w:vAlign w:val="center"/>
          </w:tcPr>
          <w:p w14:paraId="574C9542">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w:t>
            </w:r>
          </w:p>
        </w:tc>
        <w:tc>
          <w:tcPr>
            <w:tcW w:w="6518" w:type="dxa"/>
            <w:noWrap w:val="0"/>
            <w:vAlign w:val="center"/>
          </w:tcPr>
          <w:p w14:paraId="6612A11A">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满足</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val="zh-CN"/>
              </w:rPr>
              <w:t>文件要求且</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报价最低的</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的价格为</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zh-CN"/>
              </w:rPr>
              <w:t>基准价，其价格分为满分，项目评标过程中，不得去掉</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报价中的最高报价和最低报价。</w:t>
            </w:r>
          </w:p>
          <w:p w14:paraId="4C7402E8">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auto"/>
                <w:lang w:val="zh-CN"/>
              </w:rPr>
              <w:t>投标报价得分=（评标基准价/投标报价）×</w:t>
            </w:r>
            <w:r>
              <w:rPr>
                <w:rFonts w:hint="eastAsia" w:ascii="宋体" w:hAnsi="宋体" w:cs="宋体"/>
                <w:color w:val="auto"/>
                <w:sz w:val="24"/>
                <w:szCs w:val="24"/>
                <w:highlight w:val="none"/>
                <w:shd w:val="clear" w:color="auto" w:fill="auto"/>
                <w:lang w:val="en-US" w:eastAsia="zh-CN"/>
              </w:rPr>
              <w:t>20</w:t>
            </w:r>
          </w:p>
        </w:tc>
      </w:tr>
      <w:tr w14:paraId="25B0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5" w:type="dxa"/>
            <w:vMerge w:val="restart"/>
            <w:noWrap w:val="0"/>
            <w:vAlign w:val="center"/>
          </w:tcPr>
          <w:p w14:paraId="7DCB27B5">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政府采购政策</w:t>
            </w:r>
            <w:r>
              <w:rPr>
                <w:rFonts w:hint="eastAsia" w:ascii="宋体" w:hAnsi="宋体" w:eastAsia="宋体" w:cs="宋体"/>
                <w:color w:val="auto"/>
                <w:sz w:val="24"/>
                <w:szCs w:val="24"/>
                <w:highlight w:val="none"/>
                <w:lang w:val="en-US" w:eastAsia="zh-CN"/>
              </w:rPr>
              <w:t>说明</w:t>
            </w:r>
          </w:p>
        </w:tc>
        <w:tc>
          <w:tcPr>
            <w:tcW w:w="1429" w:type="dxa"/>
            <w:vMerge w:val="restart"/>
            <w:noWrap w:val="0"/>
            <w:vAlign w:val="center"/>
          </w:tcPr>
          <w:p w14:paraId="3270F731">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w:t>
            </w:r>
          </w:p>
        </w:tc>
        <w:tc>
          <w:tcPr>
            <w:tcW w:w="6518" w:type="dxa"/>
            <w:noWrap w:val="0"/>
            <w:vAlign w:val="center"/>
          </w:tcPr>
          <w:p w14:paraId="594667A7">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根据工信部等部委发布的《关于印发中小企业划型标准规定的通知》（工信部联企业</w:t>
            </w:r>
            <w:r>
              <w:rPr>
                <w:rFonts w:hint="eastAsia" w:ascii="宋体" w:hAnsi="宋体" w:eastAsia="宋体" w:cs="宋体"/>
                <w:bCs/>
                <w:color w:val="auto"/>
                <w:sz w:val="24"/>
                <w:szCs w:val="24"/>
                <w:highlight w:val="none"/>
              </w:rPr>
              <w:t>〔2011〕300</w:t>
            </w:r>
            <w:r>
              <w:rPr>
                <w:rFonts w:hint="eastAsia" w:ascii="宋体" w:hAnsi="宋体" w:eastAsia="宋体" w:cs="宋体"/>
                <w:color w:val="auto"/>
                <w:sz w:val="24"/>
                <w:szCs w:val="24"/>
                <w:highlight w:val="none"/>
              </w:rPr>
              <w:t>号），按照本次</w:t>
            </w:r>
            <w:r>
              <w:rPr>
                <w:rFonts w:hint="eastAsia" w:ascii="宋体" w:hAnsi="宋体" w:eastAsia="宋体" w:cs="宋体"/>
                <w:color w:val="auto"/>
                <w:sz w:val="24"/>
                <w:szCs w:val="24"/>
                <w:highlight w:val="none"/>
                <w:lang w:val="en-US" w:eastAsia="zh-CN"/>
              </w:rPr>
              <w:t>政府采购</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的所属行业的划型标准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招标文件载明的行业）</w:t>
            </w:r>
            <w:r>
              <w:rPr>
                <w:rFonts w:hint="eastAsia" w:ascii="宋体" w:hAnsi="宋体" w:eastAsia="宋体" w:cs="宋体"/>
                <w:color w:val="auto"/>
                <w:sz w:val="24"/>
                <w:szCs w:val="24"/>
                <w:highlight w:val="none"/>
              </w:rPr>
              <w:t>，符合条件的中小企业须提供</w:t>
            </w:r>
            <w:r>
              <w:rPr>
                <w:rFonts w:hint="eastAsia" w:ascii="宋体" w:hAnsi="宋体" w:eastAsia="宋体" w:cs="宋体"/>
                <w:color w:val="auto"/>
                <w:sz w:val="24"/>
                <w:szCs w:val="24"/>
                <w:highlight w:val="none"/>
                <w:lang w:val="en-US" w:eastAsia="zh-CN"/>
              </w:rPr>
              <w:t>招标文件提供格式的</w:t>
            </w:r>
            <w:r>
              <w:rPr>
                <w:rFonts w:hint="eastAsia" w:ascii="宋体" w:hAnsi="宋体" w:eastAsia="宋体" w:cs="宋体"/>
                <w:color w:val="auto"/>
                <w:sz w:val="24"/>
                <w:szCs w:val="24"/>
                <w:highlight w:val="none"/>
              </w:rPr>
              <w:t>《中小企业声明函》。投标人应当对其出具的《中小企业声明函》真实性负责，投标人出具的《中小企业声明函》内容不实的，属于提供虚假材料谋取中标，依照《中华人民共和国政府采购法》等国家有关规定追究相应责任。</w:t>
            </w:r>
          </w:p>
        </w:tc>
      </w:tr>
      <w:tr w14:paraId="4329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75" w:type="dxa"/>
            <w:vMerge w:val="continue"/>
            <w:noWrap w:val="0"/>
            <w:vAlign w:val="center"/>
          </w:tcPr>
          <w:p w14:paraId="1BE1CCE0">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1429" w:type="dxa"/>
            <w:vMerge w:val="continue"/>
            <w:noWrap w:val="0"/>
            <w:vAlign w:val="center"/>
          </w:tcPr>
          <w:p w14:paraId="5F3EA0FB">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6518" w:type="dxa"/>
            <w:noWrap w:val="0"/>
            <w:vAlign w:val="center"/>
          </w:tcPr>
          <w:p w14:paraId="351DDF09">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w:t>
            </w:r>
            <w:r>
              <w:rPr>
                <w:rFonts w:hint="eastAsia" w:ascii="宋体" w:hAnsi="宋体" w:eastAsia="宋体" w:cs="宋体"/>
                <w:b/>
                <w:bCs/>
                <w:color w:val="auto"/>
                <w:sz w:val="24"/>
                <w:szCs w:val="24"/>
                <w:highlight w:val="none"/>
              </w:rPr>
              <w:t>对满足价格扣除条件且在</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中提交了《中小企业声明函</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或</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残疾人福利性单位声明函》或省级以上监狱管理局、戒毒管理局（含新疆生产建设兵团）出具的属于监狱企业的证明文件的</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，执行价格评审优惠的扶持政策</w:t>
            </w:r>
            <w:r>
              <w:rPr>
                <w:rFonts w:hint="eastAsia" w:ascii="宋体" w:hAnsi="宋体" w:cs="宋体"/>
                <w:b/>
                <w:bCs/>
                <w:color w:val="auto"/>
                <w:sz w:val="24"/>
                <w:szCs w:val="24"/>
                <w:highlight w:val="none"/>
                <w:lang w:eastAsia="zh-CN"/>
              </w:rPr>
              <w:t>。</w:t>
            </w:r>
          </w:p>
        </w:tc>
      </w:tr>
      <w:tr w14:paraId="2E92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75" w:type="dxa"/>
            <w:vMerge w:val="continue"/>
            <w:noWrap w:val="0"/>
            <w:vAlign w:val="center"/>
          </w:tcPr>
          <w:p w14:paraId="23FA7F7B">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1429" w:type="dxa"/>
            <w:noWrap w:val="0"/>
            <w:vAlign w:val="center"/>
          </w:tcPr>
          <w:p w14:paraId="57038AD1">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w:t>
            </w:r>
          </w:p>
        </w:tc>
        <w:tc>
          <w:tcPr>
            <w:tcW w:w="6518" w:type="dxa"/>
            <w:noWrap w:val="0"/>
            <w:vAlign w:val="center"/>
          </w:tcPr>
          <w:p w14:paraId="3AE4527F">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根据财库〔2014〕68号《财政部司法部关于政府采购支持监狱企业发展有关问题的通知》，能够</w:t>
            </w:r>
            <w:r>
              <w:rPr>
                <w:rFonts w:hint="eastAsia" w:ascii="宋体" w:hAnsi="宋体" w:eastAsia="宋体" w:cs="宋体"/>
                <w:color w:val="auto"/>
                <w:sz w:val="24"/>
                <w:szCs w:val="24"/>
                <w:highlight w:val="none"/>
              </w:rPr>
              <w:t>提供由省级以上监狱管理局、戒毒管理局（含新疆生产建设兵团）出具的“属于监狱企业的证明文件”的监狱企业，</w:t>
            </w:r>
            <w:r>
              <w:rPr>
                <w:rFonts w:hint="eastAsia" w:ascii="宋体" w:hAnsi="宋体" w:eastAsia="宋体" w:cs="宋体"/>
                <w:bCs/>
                <w:color w:val="auto"/>
                <w:sz w:val="24"/>
                <w:szCs w:val="24"/>
                <w:highlight w:val="none"/>
              </w:rPr>
              <w:t>视同</w:t>
            </w:r>
            <w:r>
              <w:rPr>
                <w:rFonts w:hint="eastAsia" w:ascii="宋体" w:hAnsi="宋体" w:eastAsia="宋体" w:cs="宋体"/>
                <w:color w:val="auto"/>
                <w:sz w:val="24"/>
                <w:szCs w:val="24"/>
                <w:highlight w:val="none"/>
              </w:rPr>
              <w:t>中小企业</w:t>
            </w:r>
            <w:r>
              <w:rPr>
                <w:rFonts w:hint="eastAsia" w:ascii="宋体" w:hAnsi="宋体" w:eastAsia="宋体" w:cs="宋体"/>
                <w:color w:val="auto"/>
                <w:sz w:val="24"/>
                <w:szCs w:val="24"/>
                <w:highlight w:val="none"/>
                <w:lang w:eastAsia="zh-CN"/>
              </w:rPr>
              <w:t>。</w:t>
            </w:r>
          </w:p>
        </w:tc>
      </w:tr>
      <w:tr w14:paraId="19B9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75" w:type="dxa"/>
            <w:vMerge w:val="continue"/>
            <w:noWrap w:val="0"/>
            <w:vAlign w:val="center"/>
          </w:tcPr>
          <w:p w14:paraId="2F613A4B">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1429" w:type="dxa"/>
            <w:noWrap w:val="0"/>
            <w:vAlign w:val="center"/>
          </w:tcPr>
          <w:p w14:paraId="05F82C86">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福利企业</w:t>
            </w:r>
          </w:p>
        </w:tc>
        <w:tc>
          <w:tcPr>
            <w:tcW w:w="6518" w:type="dxa"/>
            <w:noWrap w:val="0"/>
            <w:vAlign w:val="center"/>
          </w:tcPr>
          <w:p w14:paraId="1AD91E41">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根据财库〔2017〕141号《财政部民政部中国残疾人联合会关于促进残疾人就业政府采购政策的通知》，符合享受政府采购支持政策的残疾人福利性单位条件且提供</w:t>
            </w:r>
            <w:r>
              <w:rPr>
                <w:rFonts w:hint="eastAsia" w:ascii="宋体" w:hAnsi="宋体" w:eastAsia="宋体" w:cs="宋体"/>
                <w:color w:val="auto"/>
                <w:sz w:val="24"/>
                <w:szCs w:val="24"/>
                <w:highlight w:val="none"/>
              </w:rPr>
              <w:t>自拟格式的</w:t>
            </w:r>
            <w:r>
              <w:rPr>
                <w:rFonts w:hint="eastAsia" w:ascii="宋体" w:hAnsi="宋体" w:eastAsia="宋体" w:cs="宋体"/>
                <w:bCs/>
                <w:color w:val="auto"/>
                <w:sz w:val="24"/>
                <w:szCs w:val="24"/>
                <w:highlight w:val="none"/>
              </w:rPr>
              <w:t>《残疾人福利性单位声明函》的残疾人福利性单位，视同</w:t>
            </w:r>
            <w:r>
              <w:rPr>
                <w:rFonts w:hint="eastAsia" w:ascii="宋体" w:hAnsi="宋体" w:eastAsia="宋体" w:cs="宋体"/>
                <w:color w:val="auto"/>
                <w:sz w:val="24"/>
                <w:szCs w:val="24"/>
                <w:highlight w:val="none"/>
              </w:rPr>
              <w:t>中小企业</w:t>
            </w:r>
            <w:r>
              <w:rPr>
                <w:rFonts w:hint="eastAsia" w:ascii="宋体" w:hAnsi="宋体" w:eastAsia="宋体" w:cs="宋体"/>
                <w:bCs/>
                <w:color w:val="auto"/>
                <w:sz w:val="24"/>
                <w:szCs w:val="24"/>
                <w:highlight w:val="none"/>
              </w:rPr>
              <w:t>。</w:t>
            </w:r>
          </w:p>
        </w:tc>
      </w:tr>
      <w:tr w14:paraId="17BA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75" w:type="dxa"/>
            <w:vMerge w:val="continue"/>
            <w:noWrap w:val="0"/>
            <w:vAlign w:val="center"/>
          </w:tcPr>
          <w:p w14:paraId="6DCF7131">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1429" w:type="dxa"/>
            <w:noWrap w:val="0"/>
            <w:vAlign w:val="center"/>
          </w:tcPr>
          <w:p w14:paraId="7641C3E6">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特别说明</w:t>
            </w:r>
          </w:p>
        </w:tc>
        <w:tc>
          <w:tcPr>
            <w:tcW w:w="6518" w:type="dxa"/>
            <w:noWrap w:val="0"/>
            <w:vAlign w:val="center"/>
          </w:tcPr>
          <w:p w14:paraId="476173E4">
            <w:pPr>
              <w:keepNext w:val="0"/>
              <w:keepLines w:val="0"/>
              <w:pageBreakBefore w:val="0"/>
              <w:widowControl w:val="0"/>
              <w:numPr>
                <w:ilvl w:val="0"/>
                <w:numId w:val="14"/>
              </w:numPr>
              <w:kinsoku/>
              <w:wordWrap/>
              <w:overflowPunct/>
              <w:topLinePunct w:val="0"/>
              <w:bidi w:val="0"/>
              <w:snapToGrid/>
              <w:spacing w:line="560"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照《政府采购促进中小企业发展管理办法》（财库〔2020〕46号，以下称《办法》）规定，在货物采购项目中，货物由中小企业制造（货物由中小企业生产且使用该中小企业商号或者注册商标）的，可享受中小企业扶持政策。如果一个采购项目或采购包含有多个采购标的的，则每个采购标的均应由中小企业制造。采购项目或者采购包中，大型企业提供的所有采购标的均为小微企业制造的，可享受价格评审优惠政策。</w:t>
            </w:r>
          </w:p>
          <w:p w14:paraId="00542518">
            <w:pPr>
              <w:keepNext w:val="0"/>
              <w:keepLines w:val="0"/>
              <w:pageBreakBefore w:val="0"/>
              <w:widowControl w:val="0"/>
              <w:numPr>
                <w:ilvl w:val="0"/>
                <w:numId w:val="14"/>
              </w:numPr>
              <w:kinsoku/>
              <w:wordWrap/>
              <w:overflowPunct/>
              <w:topLinePunct w:val="0"/>
              <w:bidi w:val="0"/>
              <w:snapToGrid/>
              <w:spacing w:line="560" w:lineRule="exact"/>
              <w:ind w:left="0" w:leftChars="0" w:right="0" w:right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在货物采购项目中，供应商提供的货物既有中型企业制造，也有小微企业制造的，不享受</w:t>
            </w:r>
            <w:r>
              <w:rPr>
                <w:rFonts w:hint="eastAsia" w:ascii="宋体" w:hAnsi="宋体" w:eastAsia="宋体" w:cs="宋体"/>
                <w:bCs/>
                <w:color w:val="auto"/>
                <w:sz w:val="24"/>
                <w:szCs w:val="24"/>
                <w:highlight w:val="none"/>
              </w:rPr>
              <w:t>《政府采购促进中小企业发展管理办法》（财库〔2020〕46号</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规定的小微企业扶持政策。</w:t>
            </w:r>
          </w:p>
          <w:p w14:paraId="05302069">
            <w:pPr>
              <w:keepNext w:val="0"/>
              <w:keepLines w:val="0"/>
              <w:pageBreakBefore w:val="0"/>
              <w:widowControl w:val="0"/>
              <w:numPr>
                <w:ilvl w:val="0"/>
                <w:numId w:val="14"/>
              </w:numPr>
              <w:kinsoku/>
              <w:wordWrap/>
              <w:overflowPunct/>
              <w:topLinePunct w:val="0"/>
              <w:bidi w:val="0"/>
              <w:snapToGrid/>
              <w:spacing w:line="560" w:lineRule="exact"/>
              <w:ind w:left="0" w:leftChars="0" w:right="0" w:right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货物服务采购项目给予小微企业的价格扣除优惠，</w:t>
            </w: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《关于进一步加大政府采购支持中小企业力度的通知》（财库〔2022〕19号）文件规定</w:t>
            </w:r>
            <w:r>
              <w:rPr>
                <w:rFonts w:hint="eastAsia" w:ascii="宋体" w:hAnsi="宋体" w:cs="宋体"/>
                <w:b w:val="0"/>
                <w:bCs w:val="0"/>
                <w:color w:val="auto"/>
                <w:sz w:val="24"/>
                <w:szCs w:val="24"/>
                <w:highlight w:val="none"/>
                <w:lang w:eastAsia="zh-CN"/>
              </w:rPr>
              <w:t>，</w:t>
            </w:r>
            <w:r>
              <w:rPr>
                <w:rFonts w:ascii="宋体" w:hAnsi="宋体" w:eastAsia="宋体" w:cs="宋体"/>
                <w:b w:val="0"/>
                <w:bCs w:val="0"/>
                <w:color w:val="auto"/>
                <w:sz w:val="24"/>
                <w:szCs w:val="24"/>
                <w:highlight w:val="none"/>
              </w:rPr>
              <w:t>小微企业报价给予</w:t>
            </w:r>
            <w:r>
              <w:rPr>
                <w:rFonts w:hint="eastAsia" w:ascii="宋体" w:hAnsi="宋体" w:eastAsia="宋体" w:cs="宋体"/>
                <w:b w:val="0"/>
                <w:bCs w:val="0"/>
                <w:color w:val="auto"/>
                <w:sz w:val="24"/>
                <w:szCs w:val="24"/>
                <w:highlight w:val="none"/>
              </w:rPr>
              <w:t>10%</w:t>
            </w:r>
            <w:r>
              <w:rPr>
                <w:rFonts w:hint="eastAsia" w:ascii="宋体" w:hAnsi="宋体" w:cs="宋体"/>
                <w:b w:val="0"/>
                <w:bCs w:val="0"/>
                <w:color w:val="auto"/>
                <w:sz w:val="24"/>
                <w:szCs w:val="24"/>
                <w:highlight w:val="none"/>
                <w:lang w:val="en-US" w:eastAsia="zh-CN"/>
              </w:rPr>
              <w:t>的扣除优惠</w:t>
            </w:r>
            <w:r>
              <w:rPr>
                <w:rFonts w:hint="eastAsia" w:ascii="宋体" w:hAnsi="宋体" w:eastAsia="宋体" w:cs="宋体"/>
                <w:b w:val="0"/>
                <w:bCs w:val="0"/>
                <w:color w:val="auto"/>
                <w:sz w:val="24"/>
                <w:szCs w:val="24"/>
                <w:highlight w:val="none"/>
              </w:rPr>
              <w:t>。</w:t>
            </w:r>
          </w:p>
          <w:p w14:paraId="2460E6FA">
            <w:pPr>
              <w:keepNext w:val="0"/>
              <w:keepLines w:val="0"/>
              <w:pageBreakBefore w:val="0"/>
              <w:widowControl w:val="0"/>
              <w:numPr>
                <w:ilvl w:val="0"/>
                <w:numId w:val="0"/>
              </w:numPr>
              <w:kinsoku/>
              <w:wordWrap/>
              <w:overflowPunct/>
              <w:topLinePunct w:val="0"/>
              <w:bidi w:val="0"/>
              <w:snapToGrid/>
              <w:spacing w:line="560" w:lineRule="exact"/>
              <w:ind w:right="0" w:right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bCs/>
                <w:color w:val="auto"/>
                <w:sz w:val="24"/>
                <w:szCs w:val="24"/>
                <w:highlight w:val="none"/>
              </w:rPr>
              <w:t>本项目为专门面向</w:t>
            </w:r>
            <w:r>
              <w:rPr>
                <w:rFonts w:hint="default" w:ascii="宋体" w:hAnsi="宋体" w:eastAsia="宋体" w:cs="宋体"/>
                <w:b/>
                <w:bCs/>
                <w:color w:val="auto"/>
                <w:sz w:val="24"/>
                <w:szCs w:val="24"/>
                <w:highlight w:val="none"/>
                <w:lang w:val="en-US"/>
              </w:rPr>
              <w:t>小微</w:t>
            </w:r>
            <w:r>
              <w:rPr>
                <w:rFonts w:hint="eastAsia" w:ascii="宋体" w:hAnsi="宋体" w:eastAsia="宋体" w:cs="宋体"/>
                <w:b/>
                <w:bCs/>
                <w:color w:val="auto"/>
                <w:sz w:val="24"/>
                <w:szCs w:val="24"/>
                <w:highlight w:val="none"/>
              </w:rPr>
              <w:t>企业采购的项目，不再执行价格评审优惠的扶持政策。</w:t>
            </w:r>
          </w:p>
        </w:tc>
      </w:tr>
    </w:tbl>
    <w:p w14:paraId="7F382335">
      <w:pPr>
        <w:pStyle w:val="11"/>
        <w:pageBreakBefore w:val="0"/>
        <w:tabs>
          <w:tab w:val="left" w:pos="60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4.5.1投标人总分=报价部分得分+技术、商务部分得分，结果保留两位小数。</w:t>
      </w:r>
    </w:p>
    <w:p w14:paraId="26A0FB3E">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bookmarkStart w:id="161" w:name="_Toc217446060"/>
      <w:r>
        <w:rPr>
          <w:rFonts w:hint="eastAsia" w:ascii="宋体" w:hAnsi="宋体" w:eastAsia="宋体" w:cs="宋体"/>
          <w:color w:val="auto"/>
          <w:sz w:val="24"/>
          <w:szCs w:val="24"/>
          <w:highlight w:val="none"/>
        </w:rPr>
        <w:t>5. 终止招标</w:t>
      </w:r>
    </w:p>
    <w:p w14:paraId="42E4B4FC">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采购人、采购代理机构在发布招标公告、资格预审公告或者发出投标邀请书后，除因重大变故采购任务取消情况外，不得擅自终止招标活动。</w:t>
      </w:r>
    </w:p>
    <w:p w14:paraId="01B1CDF5">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14:paraId="0637F296">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定标</w:t>
      </w:r>
      <w:bookmarkEnd w:id="161"/>
      <w:bookmarkStart w:id="162" w:name="_Toc217446061"/>
    </w:p>
    <w:p w14:paraId="7259D3AA">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定标原则</w:t>
      </w:r>
      <w:bookmarkEnd w:id="162"/>
      <w:r>
        <w:rPr>
          <w:rFonts w:hint="eastAsia" w:ascii="宋体" w:hAnsi="宋体" w:eastAsia="宋体" w:cs="宋体"/>
          <w:color w:val="auto"/>
          <w:sz w:val="24"/>
          <w:szCs w:val="24"/>
          <w:highlight w:val="none"/>
        </w:rPr>
        <w:t>：本项目根据评标委员会推荐的中标候选人名单，按顺序确定中标人。</w:t>
      </w:r>
    </w:p>
    <w:p w14:paraId="2D9CB577">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bookmarkStart w:id="163" w:name="_Toc217446062"/>
      <w:r>
        <w:rPr>
          <w:rFonts w:hint="eastAsia" w:ascii="宋体" w:hAnsi="宋体" w:eastAsia="宋体" w:cs="宋体"/>
          <w:color w:val="auto"/>
          <w:sz w:val="24"/>
          <w:szCs w:val="24"/>
          <w:highlight w:val="none"/>
        </w:rPr>
        <w:t>6.2. 定标程序</w:t>
      </w:r>
      <w:bookmarkEnd w:id="163"/>
    </w:p>
    <w:p w14:paraId="75C65F5C">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评标委员会将评标情况写出书面报告，推荐中标候选人，并按照综合得分高低标明排列顺序。本项目采用综合评分法，评标结果按评标后得分由高到低顺序排列。得分相同的，按投标报价由低到高顺序排列。得分且投标报价相同的按照技术指标优劣顺序推荐。</w:t>
      </w:r>
    </w:p>
    <w:p w14:paraId="417A22BB">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 采购代理机构在评标结束后两个工作日内将评标报告送至采购人。</w:t>
      </w:r>
    </w:p>
    <w:p w14:paraId="097ACECF">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 采购人应当自收到评标报告之日起5个工作日内在评标报告推荐的中标候选人中按顺序确定中标人。</w:t>
      </w:r>
    </w:p>
    <w:p w14:paraId="154ADA81">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 根据采购人确定的中标人，采购人在招标公告发布的媒体上发布中标公告，同时向中标人发出中标通知书。</w:t>
      </w:r>
    </w:p>
    <w:p w14:paraId="2551EB9C">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6.2.5 采购人不退回投标文件和其他投标资料。</w:t>
      </w:r>
    </w:p>
    <w:bookmarkEnd w:id="156"/>
    <w:p w14:paraId="5B13B397">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bookmarkStart w:id="164" w:name="_Toc183582297"/>
      <w:bookmarkStart w:id="165" w:name="_Toc183682432"/>
      <w:bookmarkStart w:id="166" w:name="_Toc217446105"/>
      <w:bookmarkStart w:id="167" w:name="_Toc208849022"/>
      <w:r>
        <w:rPr>
          <w:rFonts w:hint="eastAsia" w:ascii="宋体" w:hAnsi="宋体" w:eastAsia="宋体" w:cs="宋体"/>
          <w:color w:val="auto"/>
          <w:sz w:val="24"/>
          <w:szCs w:val="24"/>
          <w:highlight w:val="none"/>
        </w:rPr>
        <w:t xml:space="preserve">7. </w:t>
      </w:r>
      <w:bookmarkEnd w:id="164"/>
      <w:bookmarkEnd w:id="165"/>
      <w:bookmarkEnd w:id="166"/>
      <w:bookmarkEnd w:id="167"/>
      <w:r>
        <w:rPr>
          <w:rFonts w:hint="eastAsia" w:ascii="宋体" w:hAnsi="宋体" w:eastAsia="宋体" w:cs="宋体"/>
          <w:color w:val="auto"/>
          <w:sz w:val="24"/>
          <w:szCs w:val="24"/>
          <w:highlight w:val="none"/>
        </w:rPr>
        <w:t>评标专家在政府采购活动中承担以下义务：</w:t>
      </w:r>
    </w:p>
    <w:p w14:paraId="6CC47716">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遵纪守法，客观、公正、廉洁地履行职责。</w:t>
      </w:r>
    </w:p>
    <w:p w14:paraId="50D42857">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按照政府采购相关法律法规和招标文件的规定对投标人的资格条件和投标人提供的商务、价格、技术服务、业绩、对招标文件的响应程度以及投标文件规范性等方面进行评价，提供科学合理、公平公正的评标意见，参与起草评标报告，并予签字确认。</w:t>
      </w:r>
    </w:p>
    <w:p w14:paraId="02759066">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保守秘密。不得透露招标项目情况，不得泄漏投标人的投标文件及知悉的商业秘密，不得向投标人透露评标情况。</w:t>
      </w:r>
    </w:p>
    <w:p w14:paraId="518C091A">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发现投标人在政府采购活动中有不正当竞争或恶意串通等违规行为，及时向政府采购评标工作的组织者或财政部门报告并加以制止。</w:t>
      </w:r>
    </w:p>
    <w:p w14:paraId="7506807E">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发现采购人、采购代理机构及其工作人员在招标活动中有干预评标、发表倾向性和歧视性言论、受贿或者接受投标人的其他好处及其他违法违规行为，及时向财政部门报告。</w:t>
      </w:r>
    </w:p>
    <w:p w14:paraId="6DE3CDE3">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配合采购人或者采购代理机构答复投标人质疑，配合投诉处理工作等事宜。</w:t>
      </w:r>
    </w:p>
    <w:p w14:paraId="0BA5F245">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法律、法规和规章规定的其他义务。</w:t>
      </w:r>
    </w:p>
    <w:p w14:paraId="3169C0F2">
      <w:pPr>
        <w:pageBreakBefore w:val="0"/>
        <w:widowControl/>
        <w:wordWrap/>
        <w:overflowPunct/>
        <w:topLinePunct w:val="0"/>
        <w:autoSpaceDE w:val="0"/>
        <w:autoSpaceDN w:val="0"/>
        <w:bidi w:val="0"/>
        <w:spacing w:line="560" w:lineRule="exact"/>
        <w:ind w:left="0" w:leftChars="0" w:right="0" w:rightChars="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评标专家在招标活动中应当遵守以下工作纪律：</w:t>
      </w:r>
    </w:p>
    <w:p w14:paraId="60219958">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应邀按时参加评标活动。遇特殊情况不能出席或途中遇阻不能按时参加评标的，应及时告知财政部门或者采购人或者采购代理机构，不得私自转托他人。</w:t>
      </w:r>
    </w:p>
    <w:p w14:paraId="46B39EE7">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不得参加与自己有利害关系的招标项目的评标活动。对与自己有利害关系的评标项目，如受到邀请，应主动提出回避。财政部门、采购人或采购代理机构也可要求该评标专家回避。</w:t>
      </w:r>
    </w:p>
    <w:p w14:paraId="09E29DE9">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有利害关系主要是指三年内曾在参加该招标项目投标人中任职(包括一般工作</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或担任顾问，配偶或直系亲属在参加该招标项目的投标人中任职或担任顾问，与参加该招标项目投标人发生过法律纠纷，以及其他可能影响公正评标的情况。</w:t>
      </w:r>
    </w:p>
    <w:p w14:paraId="1968EDCD">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评标过程中关闭通讯设备，不得与外界联系。</w:t>
      </w:r>
    </w:p>
    <w:p w14:paraId="6684E06F">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评标过程中，不得发表影响评标公正的倾向性、歧视性言论；不得以任何明示或暗示的方式要求参加该招标项目的投标人以澄清、说明或补正为借口，表达与其原投标文件原意不同的新意见；不得以招标文件没有规定的方法和标准作为评标的依据；不得违反规定的评标格式评分和撰写评标意见；不得拒绝对自己的评标意见签字确认。</w:t>
      </w:r>
    </w:p>
    <w:p w14:paraId="1F75E015">
      <w:pPr>
        <w:pStyle w:val="2"/>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br w:type="page"/>
      </w:r>
      <w:bookmarkStart w:id="168" w:name="_Toc5378"/>
      <w:r>
        <w:rPr>
          <w:rFonts w:hint="eastAsia" w:ascii="宋体" w:hAnsi="宋体" w:eastAsia="宋体" w:cs="宋体"/>
          <w:color w:val="auto"/>
          <w:sz w:val="24"/>
          <w:szCs w:val="24"/>
          <w:highlight w:val="none"/>
        </w:rPr>
        <w:t>第六章  拟签订的合同文本</w:t>
      </w:r>
      <w:bookmarkEnd w:id="168"/>
    </w:p>
    <w:p w14:paraId="0C5919D9">
      <w:pPr>
        <w:pStyle w:val="108"/>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val="0"/>
          <w:color w:val="auto"/>
          <w:sz w:val="24"/>
          <w:szCs w:val="24"/>
          <w:highlight w:val="none"/>
        </w:rPr>
      </w:pPr>
      <w:r>
        <w:rPr>
          <w:rStyle w:val="32"/>
          <w:rFonts w:hint="eastAsia" w:ascii="宋体" w:hAnsi="宋体" w:eastAsia="宋体" w:cs="宋体"/>
          <w:color w:val="auto"/>
          <w:sz w:val="24"/>
          <w:szCs w:val="24"/>
          <w:highlight w:val="none"/>
        </w:rPr>
        <w:t>　</w:t>
      </w:r>
      <w:r>
        <w:rPr>
          <w:rStyle w:val="32"/>
          <w:rFonts w:hint="eastAsia" w:ascii="宋体" w:hAnsi="宋体" w:eastAsia="宋体" w:cs="宋体"/>
          <w:b/>
          <w:bCs/>
          <w:color w:val="auto"/>
          <w:sz w:val="24"/>
          <w:szCs w:val="24"/>
          <w:highlight w:val="none"/>
        </w:rPr>
        <w:t>　</w:t>
      </w:r>
      <w:r>
        <w:rPr>
          <w:rFonts w:hint="eastAsia" w:ascii="宋体" w:hAnsi="宋体" w:eastAsia="宋体" w:cs="宋体"/>
          <w:b w:val="0"/>
          <w:bCs w:val="0"/>
          <w:color w:val="auto"/>
          <w:sz w:val="24"/>
          <w:szCs w:val="24"/>
          <w:highlight w:val="none"/>
        </w:rPr>
        <w:t>（仅供参考，具体合同条款以最终签订为准）</w:t>
      </w:r>
    </w:p>
    <w:p w14:paraId="2F9F9256">
      <w:pPr>
        <w:pStyle w:val="10"/>
        <w:spacing w:before="184" w:line="355" w:lineRule="auto"/>
        <w:ind w:right="0" w:firstLine="453"/>
        <w:jc w:val="left"/>
        <w:rPr>
          <w:rFonts w:hint="eastAsia" w:ascii="宋体" w:hAnsi="宋体" w:eastAsia="宋体" w:cs="宋体"/>
          <w:sz w:val="24"/>
          <w:szCs w:val="24"/>
        </w:rPr>
      </w:pPr>
      <w:r>
        <w:rPr>
          <w:rFonts w:hint="eastAsia" w:ascii="宋体" w:hAnsi="宋体" w:eastAsia="宋体" w:cs="宋体"/>
          <w:spacing w:val="-2"/>
          <w:sz w:val="24"/>
          <w:szCs w:val="24"/>
        </w:rPr>
        <w:t>合同特殊条款是合同一般条款的补充和修改。如果两者之间有抵触，应以特</w:t>
      </w:r>
      <w:r>
        <w:rPr>
          <w:rFonts w:hint="eastAsia" w:ascii="宋体" w:hAnsi="宋体" w:eastAsia="宋体" w:cs="宋体"/>
          <w:sz w:val="24"/>
          <w:szCs w:val="24"/>
        </w:rPr>
        <w:t>殊条款为准。</w:t>
      </w:r>
    </w:p>
    <w:p w14:paraId="60464D01">
      <w:pPr>
        <w:pStyle w:val="10"/>
        <w:numPr>
          <w:ilvl w:val="0"/>
          <w:numId w:val="0"/>
        </w:numPr>
        <w:tabs>
          <w:tab w:val="left" w:pos="9040"/>
        </w:tabs>
        <w:spacing w:before="38" w:line="348" w:lineRule="auto"/>
        <w:ind w:right="-90" w:rightChars="0" w:firstLine="482" w:firstLineChars="200"/>
        <w:jc w:val="both"/>
        <w:rPr>
          <w:rFonts w:hint="eastAsia" w:ascii="宋体" w:hAnsi="宋体" w:eastAsia="宋体" w:cs="宋体"/>
          <w:sz w:val="24"/>
          <w:szCs w:val="24"/>
        </w:rPr>
      </w:pPr>
      <w:bookmarkStart w:id="169" w:name="一、定义"/>
      <w:bookmarkEnd w:id="169"/>
      <w:r>
        <w:rPr>
          <w:rFonts w:hint="eastAsia" w:ascii="宋体" w:hAnsi="宋体" w:eastAsia="宋体" w:cs="宋体"/>
          <w:b/>
          <w:bCs/>
          <w:sz w:val="24"/>
          <w:szCs w:val="24"/>
          <w:lang w:eastAsia="zh-CN"/>
        </w:rPr>
        <w:t>一、</w:t>
      </w:r>
      <w:r>
        <w:rPr>
          <w:rFonts w:hint="eastAsia" w:ascii="宋体" w:hAnsi="宋体" w:eastAsia="宋体" w:cs="宋体"/>
          <w:b/>
          <w:bCs/>
          <w:sz w:val="24"/>
          <w:szCs w:val="24"/>
        </w:rPr>
        <w:t>定义</w:t>
      </w:r>
    </w:p>
    <w:p w14:paraId="2A793C0B">
      <w:pPr>
        <w:pStyle w:val="10"/>
        <w:numPr>
          <w:ilvl w:val="0"/>
          <w:numId w:val="0"/>
        </w:numPr>
        <w:tabs>
          <w:tab w:val="left" w:pos="9040"/>
        </w:tabs>
        <w:spacing w:before="38" w:line="348" w:lineRule="auto"/>
        <w:ind w:right="-90" w:rightChars="0"/>
        <w:jc w:val="both"/>
        <w:rPr>
          <w:rFonts w:hint="eastAsia" w:ascii="宋体" w:hAnsi="宋体" w:eastAsia="宋体" w:cs="宋体"/>
          <w:sz w:val="24"/>
          <w:szCs w:val="24"/>
        </w:rPr>
      </w:pPr>
      <w:r>
        <w:rPr>
          <w:rFonts w:hint="eastAsia" w:ascii="宋体" w:hAnsi="宋体" w:eastAsia="宋体" w:cs="宋体"/>
          <w:sz w:val="24"/>
          <w:szCs w:val="24"/>
        </w:rPr>
        <w:t xml:space="preserve">1．甲方：系指与中标人签署合同的单位。 </w:t>
      </w:r>
      <w:r>
        <w:rPr>
          <w:rFonts w:hint="eastAsia" w:ascii="宋体" w:hAnsi="宋体" w:eastAsia="宋体" w:cs="宋体"/>
          <w:spacing w:val="-1"/>
          <w:sz w:val="24"/>
          <w:szCs w:val="24"/>
        </w:rPr>
        <w:t>本合同甲方系指：</w:t>
      </w:r>
      <w:r>
        <w:rPr>
          <w:rFonts w:hint="eastAsia" w:ascii="宋体" w:hAnsi="宋体" w:eastAsia="宋体" w:cs="宋体"/>
          <w:spacing w:val="-1"/>
          <w:sz w:val="24"/>
          <w:szCs w:val="24"/>
          <w:u w:val="single" w:color="000000"/>
        </w:rPr>
        <w:tab/>
      </w:r>
      <w:r>
        <w:rPr>
          <w:rFonts w:hint="eastAsia" w:ascii="宋体" w:hAnsi="宋体" w:eastAsia="宋体" w:cs="宋体"/>
          <w:sz w:val="24"/>
          <w:szCs w:val="24"/>
        </w:rPr>
        <w:t>。</w:t>
      </w:r>
    </w:p>
    <w:p w14:paraId="563FFD8E">
      <w:pPr>
        <w:pStyle w:val="10"/>
        <w:numPr>
          <w:ilvl w:val="0"/>
          <w:numId w:val="0"/>
        </w:numPr>
        <w:tabs>
          <w:tab w:val="left" w:pos="5597"/>
        </w:tabs>
        <w:spacing w:before="38" w:line="348" w:lineRule="auto"/>
        <w:ind w:right="-90" w:rightChars="0"/>
        <w:jc w:val="left"/>
        <w:rPr>
          <w:rFonts w:hint="eastAsia" w:ascii="宋体" w:hAnsi="宋体" w:eastAsia="宋体" w:cs="宋体"/>
          <w:sz w:val="24"/>
          <w:szCs w:val="24"/>
        </w:rPr>
      </w:pPr>
      <w:r>
        <w:rPr>
          <w:rFonts w:hint="eastAsia" w:ascii="宋体" w:hAnsi="宋体" w:eastAsia="宋体" w:cs="宋体"/>
          <w:sz w:val="24"/>
          <w:szCs w:val="24"/>
        </w:rPr>
        <w:t>2．乙方：系指根据合同约定提供相关服务的中标人</w:t>
      </w:r>
      <w:r>
        <w:rPr>
          <w:rFonts w:hint="eastAsia" w:ascii="宋体" w:hAnsi="宋体" w:eastAsia="宋体" w:cs="宋体"/>
          <w:spacing w:val="-1"/>
          <w:sz w:val="24"/>
          <w:szCs w:val="24"/>
        </w:rPr>
        <w:t>本合同乙方指：</w:t>
      </w:r>
      <w:r>
        <w:rPr>
          <w:rFonts w:hint="eastAsia" w:ascii="宋体" w:hAnsi="宋体" w:eastAsia="宋体" w:cs="宋体"/>
          <w:spacing w:val="-1"/>
          <w:sz w:val="24"/>
          <w:szCs w:val="24"/>
          <w:u w:val="single" w:color="000000"/>
        </w:rPr>
        <w:tab/>
      </w:r>
      <w:r>
        <w:rPr>
          <w:rFonts w:hint="eastAsia" w:ascii="宋体" w:hAnsi="宋体" w:cs="宋体"/>
          <w:spacing w:val="-1"/>
          <w:sz w:val="24"/>
          <w:szCs w:val="24"/>
          <w:u w:val="single" w:color="000000"/>
          <w:lang w:val="en-US" w:eastAsia="zh-CN"/>
        </w:rPr>
        <w:t xml:space="preserve">             </w:t>
      </w:r>
      <w:r>
        <w:rPr>
          <w:rFonts w:hint="eastAsia" w:ascii="宋体" w:hAnsi="宋体" w:eastAsia="宋体" w:cs="宋体"/>
          <w:spacing w:val="-1"/>
          <w:sz w:val="24"/>
          <w:szCs w:val="24"/>
          <w:u w:val="single" w:color="000000"/>
        </w:rPr>
        <w:tab/>
      </w:r>
      <w:r>
        <w:rPr>
          <w:rFonts w:hint="eastAsia" w:ascii="宋体" w:hAnsi="宋体" w:eastAsia="宋体" w:cs="宋体"/>
          <w:sz w:val="24"/>
          <w:szCs w:val="24"/>
        </w:rPr>
        <w:t>。</w:t>
      </w:r>
    </w:p>
    <w:p w14:paraId="717D53AC">
      <w:pPr>
        <w:pStyle w:val="10"/>
        <w:spacing w:before="43" w:line="343" w:lineRule="auto"/>
        <w:ind w:right="0"/>
        <w:jc w:val="left"/>
        <w:rPr>
          <w:rFonts w:hint="eastAsia" w:ascii="宋体" w:hAnsi="宋体" w:eastAsia="宋体" w:cs="宋体"/>
          <w:sz w:val="24"/>
          <w:szCs w:val="24"/>
        </w:rPr>
      </w:pPr>
      <w:r>
        <w:rPr>
          <w:rFonts w:hint="eastAsia" w:ascii="宋体" w:hAnsi="宋体" w:eastAsia="宋体" w:cs="宋体"/>
          <w:sz w:val="24"/>
          <w:szCs w:val="24"/>
        </w:rPr>
        <w:t>3．“合同”系指甲乙双方签署的、合同格式中载明的甲乙双方所达成的协议，</w:t>
      </w:r>
      <w:r>
        <w:rPr>
          <w:rFonts w:hint="eastAsia" w:ascii="宋体" w:hAnsi="宋体" w:eastAsia="宋体" w:cs="宋体"/>
          <w:spacing w:val="-62"/>
          <w:sz w:val="24"/>
          <w:szCs w:val="24"/>
        </w:rPr>
        <w:t xml:space="preserve"> </w:t>
      </w:r>
      <w:r>
        <w:rPr>
          <w:rFonts w:hint="eastAsia" w:ascii="宋体" w:hAnsi="宋体" w:eastAsia="宋体" w:cs="宋体"/>
          <w:sz w:val="24"/>
          <w:szCs w:val="24"/>
        </w:rPr>
        <w:t>包 括所有的附件、附录和构成合同的其它文件。</w:t>
      </w:r>
    </w:p>
    <w:p w14:paraId="1E4E5A66">
      <w:pPr>
        <w:pStyle w:val="10"/>
        <w:spacing w:before="43" w:line="343" w:lineRule="auto"/>
        <w:ind w:right="0"/>
        <w:jc w:val="left"/>
        <w:rPr>
          <w:rFonts w:hint="eastAsia" w:ascii="宋体" w:hAnsi="宋体" w:eastAsia="宋体" w:cs="宋体"/>
          <w:sz w:val="24"/>
          <w:szCs w:val="24"/>
        </w:rPr>
      </w:pPr>
      <w:r>
        <w:rPr>
          <w:rFonts w:hint="eastAsia" w:ascii="宋体" w:hAnsi="宋体" w:eastAsia="宋体" w:cs="宋体"/>
          <w:sz w:val="24"/>
          <w:szCs w:val="24"/>
        </w:rPr>
        <w:t>4．“合同价”系指根据合同约定，乙方在完全履行合同义务后甲方应付给乙方的</w:t>
      </w:r>
      <w:r>
        <w:rPr>
          <w:rFonts w:hint="eastAsia" w:ascii="宋体" w:hAnsi="宋体" w:eastAsia="宋体" w:cs="宋体"/>
          <w:spacing w:val="-73"/>
          <w:sz w:val="24"/>
          <w:szCs w:val="24"/>
        </w:rPr>
        <w:t xml:space="preserve"> </w:t>
      </w:r>
      <w:r>
        <w:rPr>
          <w:rFonts w:hint="eastAsia" w:ascii="宋体" w:hAnsi="宋体" w:eastAsia="宋体" w:cs="宋体"/>
          <w:sz w:val="24"/>
          <w:szCs w:val="24"/>
        </w:rPr>
        <w:t>价格。</w:t>
      </w:r>
    </w:p>
    <w:p w14:paraId="400C0637">
      <w:pPr>
        <w:pStyle w:val="3"/>
        <w:spacing w:before="50" w:line="240" w:lineRule="auto"/>
        <w:ind w:right="0" w:firstLine="482" w:firstLineChars="200"/>
        <w:jc w:val="left"/>
        <w:rPr>
          <w:rFonts w:hint="eastAsia" w:ascii="宋体" w:hAnsi="宋体" w:eastAsia="宋体" w:cs="宋体"/>
          <w:b/>
          <w:bCs w:val="0"/>
          <w:sz w:val="24"/>
          <w:szCs w:val="24"/>
        </w:rPr>
      </w:pPr>
      <w:bookmarkStart w:id="170" w:name="二、主要服务内容"/>
      <w:bookmarkEnd w:id="170"/>
      <w:r>
        <w:rPr>
          <w:rFonts w:hint="eastAsia" w:ascii="宋体" w:hAnsi="宋体" w:eastAsia="宋体" w:cs="宋体"/>
          <w:b/>
          <w:bCs w:val="0"/>
          <w:sz w:val="24"/>
          <w:szCs w:val="24"/>
        </w:rPr>
        <w:t>二、主要服务内容</w:t>
      </w:r>
    </w:p>
    <w:p w14:paraId="13847BD9">
      <w:pPr>
        <w:tabs>
          <w:tab w:val="left" w:pos="3557"/>
        </w:tabs>
        <w:spacing w:before="151" w:line="357" w:lineRule="auto"/>
        <w:ind w:left="437" w:right="5147" w:hanging="1"/>
        <w:jc w:val="left"/>
        <w:rPr>
          <w:rFonts w:hint="eastAsia" w:ascii="宋体" w:hAnsi="宋体" w:eastAsia="宋体" w:cs="宋体"/>
          <w:sz w:val="24"/>
          <w:szCs w:val="24"/>
        </w:rPr>
      </w:pP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rPr>
        <w:tab/>
      </w:r>
      <w:r>
        <w:rPr>
          <w:rFonts w:hint="eastAsia" w:ascii="宋体" w:hAnsi="宋体" w:eastAsia="宋体" w:cs="宋体"/>
          <w:sz w:val="24"/>
          <w:szCs w:val="24"/>
          <w:u w:val="single" w:color="000000"/>
        </w:rPr>
        <w:t>。</w:t>
      </w:r>
      <w:r>
        <w:rPr>
          <w:rFonts w:hint="eastAsia" w:ascii="宋体" w:hAnsi="宋体" w:eastAsia="宋体" w:cs="宋体"/>
          <w:sz w:val="24"/>
          <w:szCs w:val="24"/>
        </w:rPr>
        <w:t xml:space="preserve"> </w:t>
      </w:r>
      <w:r>
        <w:rPr>
          <w:rFonts w:hint="eastAsia" w:ascii="宋体" w:hAnsi="宋体" w:eastAsia="宋体" w:cs="宋体"/>
          <w:b/>
          <w:bCs/>
          <w:sz w:val="24"/>
          <w:szCs w:val="24"/>
        </w:rPr>
        <w:t>三、工作结果交付</w:t>
      </w:r>
    </w:p>
    <w:p w14:paraId="7AFE9987">
      <w:pPr>
        <w:tabs>
          <w:tab w:val="left" w:pos="3557"/>
        </w:tabs>
        <w:spacing w:before="34" w:line="355" w:lineRule="auto"/>
        <w:ind w:left="437" w:right="5147" w:hanging="1"/>
        <w:jc w:val="left"/>
        <w:rPr>
          <w:rFonts w:hint="eastAsia" w:ascii="宋体" w:hAnsi="宋体" w:eastAsia="宋体" w:cs="宋体"/>
          <w:sz w:val="24"/>
          <w:szCs w:val="24"/>
        </w:rPr>
      </w:pP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rPr>
        <w:tab/>
      </w:r>
      <w:r>
        <w:rPr>
          <w:rFonts w:hint="eastAsia" w:ascii="宋体" w:hAnsi="宋体" w:eastAsia="宋体" w:cs="宋体"/>
          <w:sz w:val="24"/>
          <w:szCs w:val="24"/>
          <w:u w:val="single" w:color="000000"/>
        </w:rPr>
        <w:t>。</w:t>
      </w:r>
      <w:r>
        <w:rPr>
          <w:rFonts w:hint="eastAsia" w:ascii="宋体" w:hAnsi="宋体" w:eastAsia="宋体" w:cs="宋体"/>
          <w:sz w:val="24"/>
          <w:szCs w:val="24"/>
        </w:rPr>
        <w:t xml:space="preserve"> </w:t>
      </w:r>
      <w:r>
        <w:rPr>
          <w:rFonts w:hint="eastAsia" w:ascii="宋体" w:hAnsi="宋体" w:eastAsia="宋体" w:cs="宋体"/>
          <w:b/>
          <w:bCs/>
          <w:sz w:val="24"/>
          <w:szCs w:val="24"/>
        </w:rPr>
        <w:t>四、项目完成时间</w:t>
      </w:r>
    </w:p>
    <w:p w14:paraId="2F1DDAE1">
      <w:pPr>
        <w:tabs>
          <w:tab w:val="left" w:pos="3557"/>
        </w:tabs>
        <w:spacing w:before="38" w:line="357" w:lineRule="auto"/>
        <w:ind w:left="437" w:right="5147" w:hanging="1"/>
        <w:jc w:val="left"/>
        <w:rPr>
          <w:rFonts w:hint="eastAsia" w:ascii="宋体" w:hAnsi="宋体" w:eastAsia="宋体" w:cs="宋体"/>
          <w:b/>
          <w:bCs/>
          <w:sz w:val="24"/>
          <w:szCs w:val="24"/>
        </w:rPr>
      </w:pP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rPr>
        <w:tab/>
      </w:r>
      <w:r>
        <w:rPr>
          <w:rFonts w:hint="eastAsia" w:ascii="宋体" w:hAnsi="宋体" w:eastAsia="宋体" w:cs="宋体"/>
          <w:sz w:val="24"/>
          <w:szCs w:val="24"/>
          <w:u w:val="single" w:color="000000"/>
        </w:rPr>
        <w:t>。</w:t>
      </w:r>
      <w:r>
        <w:rPr>
          <w:rFonts w:hint="eastAsia" w:ascii="宋体" w:hAnsi="宋体" w:eastAsia="宋体" w:cs="宋体"/>
          <w:sz w:val="24"/>
          <w:szCs w:val="24"/>
        </w:rPr>
        <w:t xml:space="preserve"> </w:t>
      </w:r>
      <w:r>
        <w:rPr>
          <w:rFonts w:hint="eastAsia" w:ascii="宋体" w:hAnsi="宋体" w:eastAsia="宋体" w:cs="宋体"/>
          <w:b/>
          <w:bCs/>
          <w:sz w:val="24"/>
          <w:szCs w:val="24"/>
        </w:rPr>
        <w:t>五、付款条件</w:t>
      </w:r>
    </w:p>
    <w:p w14:paraId="3027CF51">
      <w:pPr>
        <w:pStyle w:val="10"/>
        <w:numPr>
          <w:ilvl w:val="0"/>
          <w:numId w:val="0"/>
        </w:numPr>
        <w:spacing w:before="53" w:line="357" w:lineRule="auto"/>
        <w:ind w:right="0"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rPr>
        <w:tab/>
      </w:r>
      <w:r>
        <w:rPr>
          <w:rFonts w:hint="eastAsia" w:ascii="宋体" w:hAnsi="宋体" w:eastAsia="宋体" w:cs="宋体"/>
          <w:sz w:val="24"/>
          <w:szCs w:val="24"/>
          <w:u w:val="single" w:color="000000"/>
          <w:lang w:val="en-US" w:eastAsia="zh-CN"/>
        </w:rPr>
        <w:t xml:space="preserve">                       </w:t>
      </w:r>
      <w:r>
        <w:rPr>
          <w:rFonts w:hint="eastAsia" w:ascii="宋体" w:hAnsi="宋体" w:eastAsia="宋体" w:cs="宋体"/>
          <w:sz w:val="24"/>
          <w:szCs w:val="24"/>
          <w:u w:val="single" w:color="000000"/>
        </w:rPr>
        <w:t>。</w:t>
      </w:r>
      <w:r>
        <w:rPr>
          <w:rFonts w:hint="eastAsia" w:ascii="宋体" w:hAnsi="宋体" w:eastAsia="宋体" w:cs="宋体"/>
          <w:sz w:val="24"/>
          <w:szCs w:val="24"/>
        </w:rPr>
        <w:t xml:space="preserve"> </w:t>
      </w:r>
    </w:p>
    <w:p w14:paraId="609E9586">
      <w:pPr>
        <w:pStyle w:val="10"/>
        <w:numPr>
          <w:ilvl w:val="0"/>
          <w:numId w:val="0"/>
        </w:numPr>
        <w:spacing w:before="53" w:line="357" w:lineRule="auto"/>
        <w:ind w:right="0" w:rightChars="0"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监督与审核</w:t>
      </w:r>
      <w:r>
        <w:rPr>
          <w:rFonts w:hint="eastAsia" w:ascii="宋体" w:hAnsi="宋体" w:eastAsia="宋体" w:cs="宋体"/>
          <w:b/>
          <w:bCs/>
          <w:w w:val="99"/>
          <w:sz w:val="24"/>
          <w:szCs w:val="24"/>
        </w:rPr>
        <w:t xml:space="preserve"> </w:t>
      </w:r>
      <w:r>
        <w:rPr>
          <w:rFonts w:hint="eastAsia" w:ascii="宋体" w:hAnsi="宋体" w:eastAsia="宋体" w:cs="宋体"/>
          <w:spacing w:val="-3"/>
          <w:sz w:val="24"/>
          <w:szCs w:val="24"/>
        </w:rPr>
        <w:t>甲方有权对乙方的工作进行监督和审核，如在监督或审核的过程中发现乙方工作</w:t>
      </w:r>
      <w:r>
        <w:rPr>
          <w:rFonts w:hint="eastAsia" w:ascii="宋体" w:hAnsi="宋体" w:eastAsia="宋体" w:cs="宋体"/>
          <w:spacing w:val="-104"/>
          <w:sz w:val="24"/>
          <w:szCs w:val="24"/>
        </w:rPr>
        <w:t xml:space="preserve"> </w:t>
      </w:r>
      <w:r>
        <w:rPr>
          <w:rFonts w:hint="eastAsia" w:ascii="宋体" w:hAnsi="宋体" w:eastAsia="宋体" w:cs="宋体"/>
          <w:sz w:val="24"/>
          <w:szCs w:val="24"/>
        </w:rPr>
        <w:t>有不当之处，甲方有权提出建议，乙方应予以适当考虑并采纳其中的合理建议。 甲方有权对乙方工作成果进行抽样检查，以检验其工作的真实性和合理性。</w:t>
      </w:r>
    </w:p>
    <w:p w14:paraId="1CAF990B">
      <w:pPr>
        <w:pStyle w:val="3"/>
        <w:spacing w:before="15" w:line="240" w:lineRule="auto"/>
        <w:ind w:right="0" w:firstLine="480" w:firstLineChars="200"/>
        <w:jc w:val="left"/>
        <w:rPr>
          <w:rFonts w:hint="eastAsia" w:ascii="宋体" w:hAnsi="宋体" w:eastAsia="宋体" w:cs="宋体"/>
          <w:b w:val="0"/>
          <w:bCs w:val="0"/>
          <w:sz w:val="24"/>
          <w:szCs w:val="24"/>
        </w:rPr>
      </w:pPr>
      <w:r>
        <w:rPr>
          <w:rFonts w:hint="eastAsia" w:ascii="宋体" w:hAnsi="宋体" w:eastAsia="宋体" w:cs="宋体"/>
          <w:sz w:val="24"/>
          <w:szCs w:val="24"/>
        </w:rPr>
        <w:t>七、违约责任</w:t>
      </w:r>
    </w:p>
    <w:p w14:paraId="4861D514">
      <w:pPr>
        <w:tabs>
          <w:tab w:val="left" w:pos="3557"/>
        </w:tabs>
        <w:spacing w:before="151" w:line="355" w:lineRule="auto"/>
        <w:ind w:left="437" w:right="5067" w:hanging="1"/>
        <w:jc w:val="left"/>
        <w:rPr>
          <w:rFonts w:hint="eastAsia" w:ascii="宋体" w:hAnsi="宋体" w:eastAsia="宋体" w:cs="宋体"/>
          <w:sz w:val="24"/>
          <w:szCs w:val="24"/>
        </w:rPr>
      </w:pP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rPr>
        <w:tab/>
      </w:r>
      <w:r>
        <w:rPr>
          <w:rFonts w:hint="eastAsia" w:ascii="宋体" w:hAnsi="宋体" w:eastAsia="宋体" w:cs="宋体"/>
          <w:sz w:val="24"/>
          <w:szCs w:val="24"/>
          <w:u w:val="single" w:color="000000"/>
        </w:rPr>
        <w:t>。</w:t>
      </w:r>
      <w:r>
        <w:rPr>
          <w:rFonts w:hint="eastAsia" w:ascii="宋体" w:hAnsi="宋体" w:eastAsia="宋体" w:cs="宋体"/>
          <w:sz w:val="24"/>
          <w:szCs w:val="24"/>
        </w:rPr>
        <w:t xml:space="preserve"> </w:t>
      </w:r>
      <w:r>
        <w:rPr>
          <w:rFonts w:hint="eastAsia" w:ascii="宋体" w:hAnsi="宋体" w:eastAsia="宋体" w:cs="宋体"/>
          <w:b/>
          <w:bCs/>
          <w:sz w:val="24"/>
          <w:szCs w:val="24"/>
        </w:rPr>
        <w:t>八、不可抗力</w:t>
      </w:r>
    </w:p>
    <w:p w14:paraId="185E0095">
      <w:pPr>
        <w:pStyle w:val="10"/>
        <w:numPr>
          <w:ilvl w:val="0"/>
          <w:numId w:val="0"/>
        </w:numPr>
        <w:spacing w:before="53" w:line="357"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不可抗力通知送达时间：事故发生后</w:t>
      </w:r>
      <w:r>
        <w:rPr>
          <w:rFonts w:hint="eastAsia" w:ascii="宋体" w:hAnsi="宋体" w:eastAsia="宋体" w:cs="宋体"/>
          <w:sz w:val="24"/>
          <w:szCs w:val="24"/>
          <w:u w:val="single"/>
          <w:lang w:val="en-US" w:eastAsia="zh-CN"/>
        </w:rPr>
        <w:t>7</w:t>
      </w:r>
      <w:r>
        <w:rPr>
          <w:rFonts w:hint="eastAsia" w:ascii="宋体" w:hAnsi="宋体" w:eastAsia="宋体" w:cs="宋体"/>
          <w:sz w:val="24"/>
          <w:szCs w:val="24"/>
        </w:rPr>
        <w:t>天内。</w:t>
      </w:r>
    </w:p>
    <w:p w14:paraId="3542D6C4">
      <w:pPr>
        <w:spacing w:after="0" w:line="357" w:lineRule="auto"/>
        <w:jc w:val="left"/>
        <w:rPr>
          <w:rFonts w:hint="eastAsia" w:ascii="宋体" w:hAnsi="宋体" w:eastAsia="宋体" w:cs="宋体"/>
          <w:sz w:val="24"/>
          <w:szCs w:val="24"/>
        </w:rPr>
        <w:sectPr>
          <w:headerReference r:id="rId7" w:type="default"/>
          <w:footerReference r:id="rId8" w:type="default"/>
          <w:pgSz w:w="11910" w:h="16840"/>
          <w:pgMar w:top="1300" w:right="1600" w:bottom="1160" w:left="1360" w:header="662" w:footer="977" w:gutter="0"/>
          <w:cols w:space="720" w:num="1"/>
        </w:sectPr>
      </w:pPr>
    </w:p>
    <w:p w14:paraId="50F5F2A2">
      <w:pPr>
        <w:spacing w:before="10"/>
        <w:ind w:left="239" w:right="0" w:firstLine="0"/>
        <w:jc w:val="center"/>
        <w:rPr>
          <w:rFonts w:hint="eastAsia" w:ascii="宋体" w:hAnsi="宋体" w:eastAsia="宋体" w:cs="宋体"/>
          <w:sz w:val="24"/>
          <w:szCs w:val="24"/>
        </w:rPr>
      </w:pPr>
      <w:r>
        <w:rPr>
          <w:rFonts w:hint="eastAsia" w:ascii="宋体" w:hAnsi="宋体" w:eastAsia="宋体" w:cs="宋体"/>
          <w:b/>
          <w:bCs/>
          <w:sz w:val="24"/>
          <w:szCs w:val="24"/>
        </w:rPr>
        <w:t>合同一般条款</w:t>
      </w:r>
    </w:p>
    <w:p w14:paraId="300531B8">
      <w:pPr>
        <w:pStyle w:val="10"/>
        <w:spacing w:before="182" w:line="357" w:lineRule="auto"/>
        <w:ind w:right="0" w:firstLine="480"/>
        <w:jc w:val="left"/>
        <w:rPr>
          <w:rFonts w:hint="eastAsia" w:ascii="宋体" w:hAnsi="宋体" w:eastAsia="宋体" w:cs="宋体"/>
          <w:sz w:val="24"/>
          <w:szCs w:val="24"/>
        </w:rPr>
      </w:pPr>
      <w:r>
        <w:rPr>
          <w:rFonts w:hint="eastAsia" w:ascii="宋体" w:hAnsi="宋体" w:eastAsia="宋体" w:cs="宋体"/>
          <w:spacing w:val="-3"/>
          <w:sz w:val="24"/>
          <w:szCs w:val="24"/>
        </w:rPr>
        <w:t>依据《中华人民共和国合同法》及相关法律法规，经双方协商一致，签订本</w:t>
      </w:r>
      <w:r>
        <w:rPr>
          <w:rFonts w:hint="eastAsia" w:ascii="宋体" w:hAnsi="宋体" w:eastAsia="宋体" w:cs="宋体"/>
          <w:sz w:val="24"/>
          <w:szCs w:val="24"/>
        </w:rPr>
        <w:t>合同，以资共同遵守。</w:t>
      </w:r>
    </w:p>
    <w:p w14:paraId="7EC5FEE2">
      <w:pPr>
        <w:spacing w:before="34" w:line="338" w:lineRule="auto"/>
        <w:ind w:left="1157" w:right="130" w:rightChars="0" w:hanging="720"/>
        <w:jc w:val="left"/>
        <w:rPr>
          <w:rFonts w:hint="eastAsia" w:ascii="宋体" w:hAnsi="宋体" w:eastAsia="宋体" w:cs="宋体"/>
          <w:sz w:val="24"/>
          <w:szCs w:val="24"/>
        </w:rPr>
      </w:pPr>
      <w:bookmarkStart w:id="171" w:name="1、   定义"/>
      <w:bookmarkEnd w:id="171"/>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定义</w:t>
      </w:r>
      <w:r>
        <w:rPr>
          <w:rFonts w:hint="eastAsia" w:ascii="宋体" w:hAnsi="宋体" w:eastAsia="宋体" w:cs="宋体"/>
          <w:b/>
          <w:bCs/>
          <w:w w:val="99"/>
          <w:sz w:val="24"/>
          <w:szCs w:val="24"/>
        </w:rPr>
        <w:t xml:space="preserve"> </w:t>
      </w:r>
      <w:r>
        <w:rPr>
          <w:rFonts w:hint="eastAsia" w:ascii="宋体" w:hAnsi="宋体" w:eastAsia="宋体" w:cs="宋体"/>
          <w:sz w:val="24"/>
          <w:szCs w:val="24"/>
        </w:rPr>
        <w:t>本合同下列术语应解释为：</w:t>
      </w:r>
    </w:p>
    <w:p w14:paraId="2E88CA18">
      <w:pPr>
        <w:pStyle w:val="10"/>
        <w:spacing w:before="55" w:line="336" w:lineRule="auto"/>
        <w:ind w:left="1157" w:right="0" w:hanging="720"/>
        <w:jc w:val="left"/>
        <w:rPr>
          <w:rFonts w:hint="eastAsia" w:ascii="宋体" w:hAnsi="宋体" w:eastAsia="宋体" w:cs="宋体"/>
          <w:sz w:val="24"/>
          <w:szCs w:val="24"/>
        </w:rPr>
      </w:pPr>
      <w:r>
        <w:rPr>
          <w:rFonts w:hint="eastAsia" w:ascii="宋体" w:hAnsi="宋体" w:eastAsia="宋体" w:cs="宋体"/>
          <w:sz w:val="24"/>
          <w:szCs w:val="24"/>
        </w:rPr>
        <w:t>1.1、“合同”系指甲乙双方签署的、合同格式中载明的甲乙双方所达成的协议， 包括所有的附件、附录和上述文件所提到的构成合同的所有文件。</w:t>
      </w:r>
    </w:p>
    <w:p w14:paraId="5923A267">
      <w:pPr>
        <w:pStyle w:val="10"/>
        <w:spacing w:before="55" w:line="338" w:lineRule="auto"/>
        <w:ind w:left="1160" w:right="0" w:hanging="720"/>
        <w:jc w:val="left"/>
        <w:rPr>
          <w:rFonts w:hint="eastAsia" w:ascii="宋体" w:hAnsi="宋体" w:eastAsia="宋体" w:cs="宋体"/>
          <w:sz w:val="24"/>
          <w:szCs w:val="24"/>
        </w:rPr>
      </w:pPr>
      <w:r>
        <w:rPr>
          <w:rFonts w:hint="eastAsia" w:ascii="宋体" w:hAnsi="宋体" w:eastAsia="宋体" w:cs="宋体"/>
          <w:sz w:val="24"/>
          <w:szCs w:val="24"/>
        </w:rPr>
        <w:t>1.2、“合同总价”系指根据合同规定乙方在正确地完全履行合同义务后甲方应支 付给乙方的价格。合同总价与报价价格一致。</w:t>
      </w:r>
    </w:p>
    <w:p w14:paraId="04A4A13C">
      <w:pPr>
        <w:pStyle w:val="10"/>
        <w:spacing w:before="53" w:line="360" w:lineRule="auto"/>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pacing w:val="-3"/>
          <w:sz w:val="24"/>
          <w:szCs w:val="24"/>
        </w:rPr>
        <w:t>“服务”系指根据合同规定乙方承担有关的服务，详见合同条款及相关附件。</w:t>
      </w:r>
    </w:p>
    <w:p w14:paraId="019D3A7E">
      <w:pPr>
        <w:pStyle w:val="10"/>
        <w:tabs>
          <w:tab w:val="left" w:pos="3711"/>
        </w:tabs>
        <w:spacing w:line="360" w:lineRule="auto"/>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1.4、“甲方”指</w:t>
      </w:r>
      <w:r>
        <w:rPr>
          <w:rFonts w:hint="eastAsia" w:ascii="宋体" w:hAnsi="宋体" w:eastAsia="宋体" w:cs="宋体"/>
          <w:sz w:val="24"/>
          <w:szCs w:val="24"/>
          <w:u w:val="single" w:color="000000"/>
        </w:rPr>
        <w:tab/>
      </w:r>
      <w:r>
        <w:rPr>
          <w:rFonts w:hint="eastAsia" w:ascii="宋体" w:hAnsi="宋体" w:eastAsia="宋体" w:cs="宋体"/>
          <w:sz w:val="24"/>
          <w:szCs w:val="24"/>
        </w:rPr>
        <w:t>。</w:t>
      </w:r>
    </w:p>
    <w:p w14:paraId="5E6A0396">
      <w:pPr>
        <w:pStyle w:val="10"/>
        <w:spacing w:before="55" w:line="338" w:lineRule="auto"/>
        <w:ind w:left="1160" w:right="0" w:hanging="720"/>
        <w:jc w:val="left"/>
        <w:rPr>
          <w:rFonts w:hint="eastAsia" w:ascii="宋体" w:hAnsi="宋体" w:eastAsia="宋体" w:cs="宋体"/>
          <w:sz w:val="24"/>
          <w:szCs w:val="24"/>
        </w:rPr>
      </w:pPr>
      <w:r>
        <w:rPr>
          <w:rFonts w:hint="eastAsia" w:ascii="宋体" w:hAnsi="宋体" w:eastAsia="宋体" w:cs="宋体"/>
          <w:sz w:val="24"/>
          <w:szCs w:val="24"/>
        </w:rPr>
        <w:t>1.5、“乙方”指为本合同提供服务的公司或实体。</w:t>
      </w:r>
    </w:p>
    <w:p w14:paraId="183354EC">
      <w:pPr>
        <w:pStyle w:val="10"/>
        <w:spacing w:before="55" w:line="338" w:lineRule="auto"/>
        <w:ind w:left="1160" w:right="0" w:hanging="720"/>
        <w:jc w:val="left"/>
        <w:rPr>
          <w:rFonts w:hint="eastAsia" w:ascii="宋体" w:hAnsi="宋体" w:eastAsia="宋体" w:cs="宋体"/>
          <w:sz w:val="24"/>
          <w:szCs w:val="24"/>
        </w:rPr>
      </w:pPr>
      <w:r>
        <w:rPr>
          <w:rFonts w:hint="eastAsia" w:ascii="宋体" w:hAnsi="宋体" w:eastAsia="宋体" w:cs="宋体"/>
          <w:sz w:val="24"/>
          <w:szCs w:val="24"/>
        </w:rPr>
        <w:t>1.6、“项目现场”指的是：甲方指定地点。</w:t>
      </w:r>
    </w:p>
    <w:p w14:paraId="3415B92D">
      <w:pPr>
        <w:pStyle w:val="3"/>
        <w:tabs>
          <w:tab w:val="left" w:pos="1157"/>
        </w:tabs>
        <w:spacing w:before="135" w:line="240" w:lineRule="auto"/>
        <w:ind w:right="0" w:firstLine="240" w:firstLineChars="100"/>
        <w:jc w:val="left"/>
        <w:rPr>
          <w:rFonts w:hint="eastAsia" w:ascii="宋体" w:hAnsi="宋体" w:eastAsia="宋体" w:cs="宋体"/>
          <w:b w:val="0"/>
          <w:bCs w:val="0"/>
          <w:sz w:val="24"/>
          <w:szCs w:val="24"/>
        </w:rPr>
      </w:pPr>
      <w:bookmarkStart w:id="172" w:name="2、   乙方合同义务"/>
      <w:bookmarkEnd w:id="172"/>
      <w:r>
        <w:rPr>
          <w:rFonts w:hint="eastAsia" w:ascii="宋体" w:hAnsi="宋体" w:eastAsia="宋体" w:cs="宋体"/>
          <w:sz w:val="24"/>
          <w:szCs w:val="24"/>
          <w:lang w:val="en-US" w:eastAsia="zh-CN"/>
        </w:rPr>
        <w:t>2、</w:t>
      </w:r>
      <w:r>
        <w:rPr>
          <w:rFonts w:hint="eastAsia" w:ascii="宋体" w:hAnsi="宋体" w:eastAsia="宋体" w:cs="宋体"/>
          <w:sz w:val="24"/>
          <w:szCs w:val="24"/>
        </w:rPr>
        <w:t>乙方合同义务</w:t>
      </w:r>
    </w:p>
    <w:p w14:paraId="4A825F79">
      <w:pPr>
        <w:pStyle w:val="3"/>
        <w:tabs>
          <w:tab w:val="left" w:pos="1097"/>
        </w:tabs>
        <w:spacing w:line="360" w:lineRule="auto"/>
        <w:ind w:right="0" w:firstLine="240" w:firstLineChars="100"/>
        <w:jc w:val="both"/>
        <w:rPr>
          <w:rFonts w:hint="eastAsia" w:ascii="宋体" w:hAnsi="宋体" w:eastAsia="宋体" w:cs="宋体"/>
          <w:b w:val="0"/>
          <w:bCs w:val="0"/>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服务内容</w:t>
      </w:r>
    </w:p>
    <w:p w14:paraId="74FA7B36">
      <w:pPr>
        <w:pStyle w:val="10"/>
        <w:tabs>
          <w:tab w:val="left" w:pos="1157"/>
        </w:tabs>
        <w:spacing w:line="360" w:lineRule="auto"/>
        <w:ind w:right="0"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2.1.1</w:t>
      </w:r>
      <w:r>
        <w:rPr>
          <w:rFonts w:hint="eastAsia" w:ascii="宋体" w:hAnsi="宋体" w:eastAsia="宋体" w:cs="宋体"/>
          <w:sz w:val="24"/>
          <w:szCs w:val="24"/>
        </w:rPr>
        <w:t>乙方服务内容见招标文件及被甲方接受的投标文件中的规定。</w:t>
      </w:r>
    </w:p>
    <w:p w14:paraId="010F40CA">
      <w:pPr>
        <w:spacing w:line="360" w:lineRule="auto"/>
        <w:ind w:firstLine="480" w:firstLineChars="200"/>
        <w:jc w:val="both"/>
        <w:rPr>
          <w:rFonts w:hint="eastAsia" w:ascii="宋体" w:hAnsi="宋体" w:eastAsia="宋体" w:cs="宋体"/>
          <w:spacing w:val="2"/>
          <w:sz w:val="24"/>
          <w:szCs w:val="24"/>
          <w:lang w:val="en-US" w:eastAsia="zh-CN"/>
        </w:rPr>
      </w:pPr>
      <w:r>
        <w:rPr>
          <w:rFonts w:hint="eastAsia" w:ascii="宋体" w:hAnsi="宋体" w:eastAsia="宋体" w:cs="宋体"/>
          <w:sz w:val="24"/>
          <w:szCs w:val="24"/>
          <w:lang w:val="en-US" w:eastAsia="zh-CN"/>
        </w:rPr>
        <w:t>2.1.2</w:t>
      </w:r>
      <w:r>
        <w:rPr>
          <w:rFonts w:hint="eastAsia" w:ascii="宋体" w:hAnsi="宋体" w:eastAsia="宋体" w:cs="宋体"/>
          <w:spacing w:val="2"/>
          <w:sz w:val="24"/>
          <w:szCs w:val="24"/>
        </w:rPr>
        <w:t>乙方提供的服务应与招标文件规定的服务内容、服务规范和规范附件</w:t>
      </w:r>
      <w:r>
        <w:rPr>
          <w:rFonts w:hint="eastAsia" w:ascii="宋体" w:hAnsi="宋体" w:eastAsia="宋体" w:cs="宋体"/>
          <w:spacing w:val="-118"/>
          <w:sz w:val="24"/>
          <w:szCs w:val="24"/>
        </w:rPr>
        <w:t xml:space="preserve"> </w:t>
      </w:r>
      <w:r>
        <w:rPr>
          <w:rFonts w:hint="eastAsia" w:ascii="宋体" w:hAnsi="宋体" w:eastAsia="宋体" w:cs="宋体"/>
          <w:spacing w:val="2"/>
          <w:sz w:val="24"/>
          <w:szCs w:val="24"/>
        </w:rPr>
        <w:t>(如果有的话)及其投标文件的服务内容、服务规范偏差表(如果被甲方</w:t>
      </w:r>
      <w:r>
        <w:rPr>
          <w:rFonts w:hint="eastAsia" w:ascii="宋体" w:hAnsi="宋体" w:eastAsia="宋体" w:cs="宋体"/>
          <w:sz w:val="24"/>
          <w:szCs w:val="24"/>
        </w:rPr>
        <w:t xml:space="preserve"> 接受的话)相一致。若</w:t>
      </w:r>
      <w:r>
        <w:rPr>
          <w:rFonts w:hint="eastAsia" w:ascii="宋体" w:hAnsi="宋体" w:eastAsia="宋体" w:cs="宋体"/>
          <w:spacing w:val="2"/>
          <w:sz w:val="24"/>
          <w:szCs w:val="24"/>
        </w:rPr>
        <w:t>文件规范中无相应说明，则以国家有关部门最新 颁布的相应标准及规</w:t>
      </w:r>
      <w:r>
        <w:rPr>
          <w:rFonts w:hint="eastAsia" w:ascii="宋体" w:hAnsi="宋体" w:eastAsia="宋体" w:cs="宋体"/>
          <w:spacing w:val="2"/>
          <w:sz w:val="24"/>
          <w:szCs w:val="24"/>
          <w:lang w:val="en-US" w:eastAsia="zh-CN"/>
        </w:rPr>
        <w:t>范为准。</w:t>
      </w:r>
    </w:p>
    <w:p w14:paraId="7B509AC0">
      <w:pPr>
        <w:spacing w:line="360" w:lineRule="auto"/>
        <w:ind w:firstLine="488" w:firstLineChars="200"/>
        <w:jc w:val="both"/>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2.2合同资料</w:t>
      </w:r>
    </w:p>
    <w:p w14:paraId="1958B792">
      <w:pPr>
        <w:spacing w:line="360" w:lineRule="auto"/>
        <w:ind w:firstLine="488" w:firstLineChars="200"/>
        <w:jc w:val="both"/>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2.2.1</w:t>
      </w:r>
      <w:r>
        <w:rPr>
          <w:rFonts w:hint="eastAsia" w:ascii="宋体" w:hAnsi="宋体" w:eastAsia="宋体" w:cs="宋体"/>
          <w:spacing w:val="2"/>
          <w:sz w:val="24"/>
          <w:szCs w:val="24"/>
          <w:lang w:val="en-US" w:eastAsia="zh-CN"/>
        </w:rPr>
        <w:tab/>
      </w:r>
      <w:r>
        <w:rPr>
          <w:rFonts w:hint="eastAsia" w:ascii="宋体" w:hAnsi="宋体" w:eastAsia="宋体" w:cs="宋体"/>
          <w:spacing w:val="2"/>
          <w:sz w:val="24"/>
          <w:szCs w:val="24"/>
          <w:lang w:val="en-US" w:eastAsia="zh-CN"/>
        </w:rPr>
        <w:t>合同项下文件资料(除合同特殊条款规定外)将以下列方式交付：接到对</w:t>
      </w:r>
    </w:p>
    <w:p w14:paraId="06388C12">
      <w:pPr>
        <w:spacing w:line="360" w:lineRule="auto"/>
        <w:jc w:val="both"/>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方书面通知后 15 天之内，将完成服务或合同所需必要资料交付给对方。</w:t>
      </w:r>
    </w:p>
    <w:p w14:paraId="1F26D7DD">
      <w:pPr>
        <w:spacing w:line="360" w:lineRule="auto"/>
        <w:ind w:firstLine="488" w:firstLineChars="200"/>
        <w:jc w:val="both"/>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2.3</w:t>
      </w:r>
      <w:r>
        <w:rPr>
          <w:rFonts w:hint="eastAsia" w:ascii="宋体" w:hAnsi="宋体" w:eastAsia="宋体" w:cs="宋体"/>
          <w:spacing w:val="2"/>
          <w:sz w:val="24"/>
          <w:szCs w:val="24"/>
        </w:rPr>
        <w:t>工作结果交付</w:t>
      </w:r>
    </w:p>
    <w:p w14:paraId="6C5349C8">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2.3.1乙方应按照甲方要求的时间和进度交付相应的工作结果。</w:t>
      </w:r>
    </w:p>
    <w:p w14:paraId="776B43D6">
      <w:pPr>
        <w:pStyle w:val="3"/>
        <w:tabs>
          <w:tab w:val="left" w:pos="1097"/>
        </w:tabs>
        <w:spacing w:before="135" w:line="240" w:lineRule="auto"/>
        <w:ind w:right="0" w:firstLine="240" w:firstLineChars="100"/>
        <w:jc w:val="left"/>
        <w:rPr>
          <w:rFonts w:hint="eastAsia" w:ascii="宋体" w:hAnsi="宋体" w:eastAsia="宋体" w:cs="宋体"/>
          <w:b w:val="0"/>
          <w:bCs w:val="0"/>
          <w:sz w:val="24"/>
          <w:szCs w:val="24"/>
        </w:rPr>
      </w:pPr>
      <w:r>
        <w:rPr>
          <w:rFonts w:hint="eastAsia" w:ascii="宋体" w:hAnsi="宋体" w:eastAsia="宋体" w:cs="宋体"/>
          <w:sz w:val="24"/>
          <w:szCs w:val="24"/>
        </w:rPr>
        <w:t>2.4保密</w:t>
      </w:r>
    </w:p>
    <w:p w14:paraId="0D848763">
      <w:pPr>
        <w:pStyle w:val="10"/>
        <w:spacing w:line="350" w:lineRule="auto"/>
        <w:ind w:right="474" w:firstLine="240" w:firstLineChars="100"/>
        <w:jc w:val="both"/>
        <w:rPr>
          <w:rFonts w:hint="eastAsia" w:ascii="宋体" w:hAnsi="宋体" w:eastAsia="宋体" w:cs="宋体"/>
          <w:sz w:val="24"/>
          <w:szCs w:val="24"/>
        </w:rPr>
      </w:pPr>
      <w:r>
        <w:rPr>
          <w:rFonts w:hint="eastAsia" w:ascii="宋体" w:hAnsi="宋体" w:eastAsia="宋体" w:cs="宋体"/>
          <w:sz w:val="24"/>
          <w:szCs w:val="24"/>
        </w:rPr>
        <w:t xml:space="preserve">2.4.1乙方保证对在谈判、签订、执行本协议过程中所获悉的属于无法自公开 </w:t>
      </w:r>
      <w:r>
        <w:rPr>
          <w:rFonts w:hint="eastAsia" w:ascii="宋体" w:hAnsi="宋体" w:eastAsia="宋体" w:cs="宋体"/>
          <w:spacing w:val="3"/>
          <w:sz w:val="24"/>
          <w:szCs w:val="24"/>
        </w:rPr>
        <w:t>渠道获得的文件及资料（包括国家秘密、商业秘密、工作秘密、公司</w:t>
      </w:r>
      <w:r>
        <w:rPr>
          <w:rFonts w:hint="eastAsia" w:ascii="宋体" w:hAnsi="宋体" w:eastAsia="宋体" w:cs="宋体"/>
          <w:sz w:val="24"/>
          <w:szCs w:val="24"/>
        </w:rPr>
        <w:t xml:space="preserve"> </w:t>
      </w:r>
      <w:r>
        <w:rPr>
          <w:rFonts w:hint="eastAsia" w:ascii="宋体" w:hAnsi="宋体" w:eastAsia="宋体" w:cs="宋体"/>
          <w:spacing w:val="3"/>
          <w:sz w:val="24"/>
          <w:szCs w:val="24"/>
        </w:rPr>
        <w:t>计划、运营活动、财务信息、技术信息、经营信息及其他有关信息）</w:t>
      </w:r>
      <w:r>
        <w:rPr>
          <w:rFonts w:hint="eastAsia" w:ascii="宋体" w:hAnsi="宋体" w:eastAsia="宋体" w:cs="宋体"/>
          <w:sz w:val="24"/>
          <w:szCs w:val="24"/>
        </w:rPr>
        <w:t xml:space="preserve"> </w:t>
      </w:r>
      <w:r>
        <w:rPr>
          <w:rFonts w:hint="eastAsia" w:ascii="宋体" w:hAnsi="宋体" w:eastAsia="宋体" w:cs="宋体"/>
          <w:spacing w:val="3"/>
          <w:sz w:val="24"/>
          <w:szCs w:val="24"/>
        </w:rPr>
        <w:t>予以保密。未经该资料和文件的原提供方同意，不得向任何第三方泄露该商业秘密或未公开工作信息的全部或部分内容。但法律、法规另</w:t>
      </w:r>
      <w:r>
        <w:rPr>
          <w:rFonts w:hint="eastAsia" w:ascii="宋体" w:hAnsi="宋体" w:eastAsia="宋体" w:cs="宋体"/>
          <w:spacing w:val="-117"/>
          <w:sz w:val="24"/>
          <w:szCs w:val="24"/>
        </w:rPr>
        <w:t xml:space="preserve"> </w:t>
      </w:r>
      <w:r>
        <w:rPr>
          <w:rFonts w:hint="eastAsia" w:ascii="宋体" w:hAnsi="宋体" w:eastAsia="宋体" w:cs="宋体"/>
          <w:sz w:val="24"/>
          <w:szCs w:val="24"/>
        </w:rPr>
        <w:t>有规定或双方另有约定的除外。</w:t>
      </w:r>
    </w:p>
    <w:p w14:paraId="39D620B6">
      <w:pPr>
        <w:pStyle w:val="3"/>
        <w:tabs>
          <w:tab w:val="left" w:pos="977"/>
        </w:tabs>
        <w:spacing w:before="36" w:line="240" w:lineRule="auto"/>
        <w:ind w:right="0" w:firstLine="480" w:firstLineChars="200"/>
        <w:jc w:val="left"/>
        <w:rPr>
          <w:rFonts w:hint="eastAsia" w:ascii="宋体" w:hAnsi="宋体" w:eastAsia="宋体" w:cs="宋体"/>
          <w:b w:val="0"/>
          <w:bCs w:val="0"/>
          <w:sz w:val="24"/>
          <w:szCs w:val="24"/>
        </w:rPr>
      </w:pPr>
      <w:r>
        <w:rPr>
          <w:rFonts w:hint="eastAsia" w:ascii="宋体" w:hAnsi="宋体" w:eastAsia="宋体" w:cs="宋体"/>
          <w:sz w:val="24"/>
          <w:szCs w:val="24"/>
        </w:rPr>
        <w:t>2.5</w:t>
      </w:r>
      <w:r>
        <w:rPr>
          <w:rFonts w:hint="eastAsia" w:ascii="宋体" w:hAnsi="宋体" w:eastAsia="宋体" w:cs="宋体"/>
          <w:sz w:val="24"/>
          <w:szCs w:val="24"/>
        </w:rPr>
        <w:tab/>
      </w:r>
      <w:r>
        <w:rPr>
          <w:rFonts w:hint="eastAsia" w:ascii="宋体" w:hAnsi="宋体" w:eastAsia="宋体" w:cs="宋体"/>
          <w:sz w:val="24"/>
          <w:szCs w:val="24"/>
        </w:rPr>
        <w:t>知识产权</w:t>
      </w:r>
    </w:p>
    <w:p w14:paraId="1AA961D7">
      <w:pPr>
        <w:pStyle w:val="10"/>
        <w:spacing w:line="350" w:lineRule="auto"/>
        <w:ind w:left="1152" w:right="394" w:hanging="716"/>
        <w:jc w:val="both"/>
        <w:rPr>
          <w:rFonts w:hint="eastAsia" w:ascii="宋体" w:hAnsi="宋体" w:eastAsia="宋体" w:cs="宋体"/>
          <w:sz w:val="24"/>
          <w:szCs w:val="24"/>
        </w:rPr>
      </w:pPr>
      <w:r>
        <w:rPr>
          <w:rFonts w:hint="eastAsia" w:ascii="宋体" w:hAnsi="宋体" w:eastAsia="宋体" w:cs="宋体"/>
          <w:sz w:val="24"/>
          <w:szCs w:val="24"/>
        </w:rPr>
        <w:t>2.5.1</w:t>
      </w:r>
      <w:r>
        <w:rPr>
          <w:rFonts w:hint="eastAsia" w:ascii="宋体" w:hAnsi="宋体" w:eastAsia="宋体" w:cs="宋体"/>
          <w:spacing w:val="32"/>
          <w:sz w:val="24"/>
          <w:szCs w:val="24"/>
        </w:rPr>
        <w:t xml:space="preserve"> </w:t>
      </w:r>
      <w:r>
        <w:rPr>
          <w:rFonts w:hint="eastAsia" w:ascii="宋体" w:hAnsi="宋体" w:eastAsia="宋体" w:cs="宋体"/>
          <w:sz w:val="24"/>
          <w:szCs w:val="24"/>
        </w:rPr>
        <w:t>乙方应保证甲方使用合同项下乙方工作成果的任何一部分时免受</w:t>
      </w:r>
    </w:p>
    <w:p w14:paraId="0F536AC9">
      <w:pPr>
        <w:pStyle w:val="10"/>
        <w:spacing w:line="350" w:lineRule="auto"/>
        <w:ind w:right="394"/>
        <w:jc w:val="both"/>
        <w:rPr>
          <w:rFonts w:hint="eastAsia" w:ascii="宋体" w:hAnsi="宋体" w:eastAsia="宋体" w:cs="宋体"/>
          <w:sz w:val="24"/>
          <w:szCs w:val="24"/>
        </w:rPr>
      </w:pPr>
      <w:r>
        <w:rPr>
          <w:rFonts w:hint="eastAsia" w:ascii="宋体" w:hAnsi="宋体" w:eastAsia="宋体" w:cs="宋体"/>
          <w:sz w:val="24"/>
          <w:szCs w:val="24"/>
        </w:rPr>
        <w:t>第三方</w:t>
      </w:r>
      <w:r>
        <w:rPr>
          <w:rFonts w:hint="eastAsia" w:ascii="宋体" w:hAnsi="宋体" w:eastAsia="宋体" w:cs="宋体"/>
          <w:spacing w:val="-111"/>
          <w:sz w:val="24"/>
          <w:szCs w:val="24"/>
        </w:rPr>
        <w:t xml:space="preserve"> </w:t>
      </w:r>
      <w:r>
        <w:rPr>
          <w:rFonts w:hint="eastAsia" w:ascii="宋体" w:hAnsi="宋体" w:eastAsia="宋体" w:cs="宋体"/>
          <w:spacing w:val="3"/>
          <w:sz w:val="24"/>
          <w:szCs w:val="24"/>
        </w:rPr>
        <w:t>提出的侵犯其专利权、著作权、商标权或工业设计权等知识产权的起</w:t>
      </w:r>
      <w:r>
        <w:rPr>
          <w:rFonts w:hint="eastAsia" w:ascii="宋体" w:hAnsi="宋体" w:eastAsia="宋体" w:cs="宋体"/>
          <w:sz w:val="24"/>
          <w:szCs w:val="24"/>
        </w:rPr>
        <w:t xml:space="preserve"> 诉。如果任何第三方对此提出起诉</w:t>
      </w:r>
      <w:r>
        <w:rPr>
          <w:rFonts w:hint="eastAsia" w:ascii="宋体" w:hAnsi="宋体" w:eastAsia="宋体" w:cs="宋体"/>
          <w:spacing w:val="-6"/>
          <w:sz w:val="24"/>
          <w:szCs w:val="24"/>
        </w:rPr>
        <w:t xml:space="preserve"> </w:t>
      </w:r>
      <w:r>
        <w:rPr>
          <w:rFonts w:hint="eastAsia" w:ascii="宋体" w:hAnsi="宋体" w:eastAsia="宋体" w:cs="宋体"/>
          <w:sz w:val="24"/>
          <w:szCs w:val="24"/>
        </w:rPr>
        <w:t>，乙方应负责与之交涉并承担由此 引起的一切法律责任及经济损失。</w:t>
      </w:r>
    </w:p>
    <w:p w14:paraId="4C8B63CB">
      <w:pPr>
        <w:pStyle w:val="3"/>
        <w:tabs>
          <w:tab w:val="left" w:pos="1157"/>
        </w:tabs>
        <w:spacing w:before="41" w:line="240" w:lineRule="auto"/>
        <w:ind w:right="0" w:firstLine="456" w:firstLineChars="200"/>
        <w:jc w:val="left"/>
        <w:rPr>
          <w:rFonts w:hint="eastAsia" w:ascii="宋体" w:hAnsi="宋体" w:eastAsia="宋体" w:cs="宋体"/>
          <w:b w:val="0"/>
          <w:bCs w:val="0"/>
          <w:sz w:val="24"/>
          <w:szCs w:val="24"/>
        </w:rPr>
      </w:pPr>
      <w:bookmarkStart w:id="173" w:name="3、   甲方合同义务"/>
      <w:bookmarkEnd w:id="173"/>
      <w:r>
        <w:rPr>
          <w:rFonts w:hint="eastAsia" w:ascii="宋体" w:hAnsi="宋体" w:eastAsia="宋体" w:cs="宋体"/>
          <w:w w:val="95"/>
          <w:sz w:val="24"/>
          <w:szCs w:val="24"/>
        </w:rPr>
        <w:t>3、</w:t>
      </w:r>
      <w:r>
        <w:rPr>
          <w:rFonts w:hint="eastAsia" w:ascii="宋体" w:hAnsi="宋体" w:eastAsia="宋体" w:cs="宋体"/>
          <w:sz w:val="24"/>
          <w:szCs w:val="24"/>
        </w:rPr>
        <w:t>甲方合同义务</w:t>
      </w:r>
    </w:p>
    <w:p w14:paraId="44F8DAB6">
      <w:pPr>
        <w:pStyle w:val="3"/>
        <w:tabs>
          <w:tab w:val="left" w:pos="1097"/>
        </w:tabs>
        <w:spacing w:before="135" w:line="240" w:lineRule="auto"/>
        <w:ind w:right="0" w:firstLine="480" w:firstLineChars="200"/>
        <w:jc w:val="left"/>
        <w:rPr>
          <w:rFonts w:hint="eastAsia" w:ascii="宋体" w:hAnsi="宋体" w:eastAsia="宋体" w:cs="宋体"/>
          <w:b w:val="0"/>
          <w:bCs w:val="0"/>
          <w:sz w:val="24"/>
          <w:szCs w:val="24"/>
        </w:rPr>
      </w:pPr>
      <w:r>
        <w:rPr>
          <w:rFonts w:hint="eastAsia" w:ascii="宋体" w:hAnsi="宋体" w:eastAsia="宋体" w:cs="宋体"/>
          <w:sz w:val="24"/>
          <w:szCs w:val="24"/>
        </w:rPr>
        <w:t>3.1合同款支付</w:t>
      </w:r>
    </w:p>
    <w:p w14:paraId="04548F6E">
      <w:pPr>
        <w:pStyle w:val="10"/>
        <w:tabs>
          <w:tab w:val="left" w:pos="1157"/>
        </w:tabs>
        <w:spacing w:before="133" w:line="240" w:lineRule="auto"/>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3.1.1</w:t>
      </w:r>
      <w:r>
        <w:rPr>
          <w:rFonts w:hint="eastAsia" w:ascii="宋体" w:hAnsi="宋体" w:eastAsia="宋体" w:cs="宋体"/>
          <w:sz w:val="24"/>
          <w:szCs w:val="24"/>
        </w:rPr>
        <w:tab/>
      </w:r>
      <w:r>
        <w:rPr>
          <w:rFonts w:hint="eastAsia" w:ascii="宋体" w:hAnsi="宋体" w:eastAsia="宋体" w:cs="宋体"/>
          <w:sz w:val="24"/>
          <w:szCs w:val="24"/>
        </w:rPr>
        <w:t>合同货币：人民币。</w:t>
      </w:r>
    </w:p>
    <w:p w14:paraId="5EDC634E">
      <w:pPr>
        <w:pStyle w:val="10"/>
        <w:tabs>
          <w:tab w:val="left" w:pos="1157"/>
        </w:tabs>
        <w:spacing w:line="240" w:lineRule="auto"/>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3.1.2</w:t>
      </w:r>
      <w:r>
        <w:rPr>
          <w:rFonts w:hint="eastAsia" w:ascii="宋体" w:hAnsi="宋体" w:eastAsia="宋体" w:cs="宋体"/>
          <w:sz w:val="24"/>
          <w:szCs w:val="24"/>
        </w:rPr>
        <w:tab/>
      </w:r>
      <w:r>
        <w:rPr>
          <w:rFonts w:hint="eastAsia" w:ascii="宋体" w:hAnsi="宋体" w:eastAsia="宋体" w:cs="宋体"/>
          <w:sz w:val="24"/>
          <w:szCs w:val="24"/>
        </w:rPr>
        <w:t>合同款支付进度见合同特殊条款规定。</w:t>
      </w:r>
    </w:p>
    <w:p w14:paraId="471299EE">
      <w:pPr>
        <w:pStyle w:val="3"/>
        <w:tabs>
          <w:tab w:val="left" w:pos="1157"/>
        </w:tabs>
        <w:spacing w:line="240" w:lineRule="auto"/>
        <w:ind w:right="0" w:firstLine="456" w:firstLineChars="200"/>
        <w:jc w:val="left"/>
        <w:rPr>
          <w:rFonts w:hint="eastAsia" w:ascii="宋体" w:hAnsi="宋体" w:eastAsia="宋体" w:cs="宋体"/>
          <w:b w:val="0"/>
          <w:bCs w:val="0"/>
          <w:sz w:val="24"/>
          <w:szCs w:val="24"/>
        </w:rPr>
      </w:pPr>
      <w:bookmarkStart w:id="174" w:name="4、   项目完成时间"/>
      <w:bookmarkEnd w:id="174"/>
      <w:r>
        <w:rPr>
          <w:rFonts w:hint="eastAsia" w:ascii="宋体" w:hAnsi="宋体" w:eastAsia="宋体" w:cs="宋体"/>
          <w:w w:val="95"/>
          <w:sz w:val="24"/>
          <w:szCs w:val="24"/>
        </w:rPr>
        <w:t>4、</w:t>
      </w:r>
      <w:r>
        <w:rPr>
          <w:rFonts w:hint="eastAsia" w:ascii="宋体" w:hAnsi="宋体" w:eastAsia="宋体" w:cs="宋体"/>
          <w:sz w:val="24"/>
          <w:szCs w:val="24"/>
        </w:rPr>
        <w:t>项目完成时间</w:t>
      </w:r>
    </w:p>
    <w:p w14:paraId="23FF5075">
      <w:pPr>
        <w:pStyle w:val="10"/>
        <w:tabs>
          <w:tab w:val="left" w:pos="1217"/>
        </w:tabs>
        <w:spacing w:line="360" w:lineRule="auto"/>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4.1本合同项目完成时间见合同特殊条款规定。</w:t>
      </w:r>
    </w:p>
    <w:p w14:paraId="32B7770B">
      <w:pPr>
        <w:pStyle w:val="3"/>
        <w:tabs>
          <w:tab w:val="left" w:pos="1157"/>
        </w:tabs>
        <w:spacing w:line="240" w:lineRule="auto"/>
        <w:ind w:right="0" w:firstLine="456" w:firstLineChars="200"/>
        <w:jc w:val="left"/>
        <w:rPr>
          <w:rFonts w:hint="eastAsia" w:ascii="宋体" w:hAnsi="宋体" w:eastAsia="宋体" w:cs="宋体"/>
          <w:b w:val="0"/>
          <w:bCs w:val="0"/>
          <w:sz w:val="24"/>
          <w:szCs w:val="24"/>
        </w:rPr>
      </w:pPr>
      <w:bookmarkStart w:id="175" w:name="5、   监督与审核"/>
      <w:bookmarkEnd w:id="175"/>
      <w:r>
        <w:rPr>
          <w:rFonts w:hint="eastAsia" w:ascii="宋体" w:hAnsi="宋体" w:eastAsia="宋体" w:cs="宋体"/>
          <w:w w:val="95"/>
          <w:sz w:val="24"/>
          <w:szCs w:val="24"/>
        </w:rPr>
        <w:t>5、</w:t>
      </w:r>
      <w:r>
        <w:rPr>
          <w:rFonts w:hint="eastAsia" w:ascii="宋体" w:hAnsi="宋体" w:eastAsia="宋体" w:cs="宋体"/>
          <w:sz w:val="24"/>
          <w:szCs w:val="24"/>
        </w:rPr>
        <w:t>监督与审核</w:t>
      </w:r>
    </w:p>
    <w:p w14:paraId="79FB49A3">
      <w:pPr>
        <w:pStyle w:val="10"/>
        <w:spacing w:line="350" w:lineRule="auto"/>
        <w:ind w:right="116" w:firstLine="480" w:firstLineChars="200"/>
        <w:jc w:val="both"/>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pacing w:val="31"/>
          <w:sz w:val="24"/>
          <w:szCs w:val="24"/>
        </w:rPr>
        <w:t xml:space="preserve"> </w:t>
      </w:r>
      <w:r>
        <w:rPr>
          <w:rFonts w:hint="eastAsia" w:ascii="宋体" w:hAnsi="宋体" w:eastAsia="宋体" w:cs="宋体"/>
          <w:sz w:val="24"/>
          <w:szCs w:val="24"/>
        </w:rPr>
        <w:t xml:space="preserve">甲方有权对乙方的工作进行监督和审核，如在监督或审核的过程中发现乙 </w:t>
      </w:r>
      <w:r>
        <w:rPr>
          <w:rFonts w:hint="eastAsia" w:ascii="宋体" w:hAnsi="宋体" w:eastAsia="宋体" w:cs="宋体"/>
          <w:spacing w:val="-3"/>
          <w:sz w:val="24"/>
          <w:szCs w:val="24"/>
        </w:rPr>
        <w:t>方工作有不当之处，甲方有权提出建议，乙方应予以适当考虑并采纳其中</w:t>
      </w:r>
      <w:r>
        <w:rPr>
          <w:rFonts w:hint="eastAsia" w:ascii="宋体" w:hAnsi="宋体" w:eastAsia="宋体" w:cs="宋体"/>
          <w:sz w:val="24"/>
          <w:szCs w:val="24"/>
        </w:rPr>
        <w:t xml:space="preserve"> </w:t>
      </w:r>
      <w:r>
        <w:rPr>
          <w:rFonts w:hint="eastAsia" w:ascii="宋体" w:hAnsi="宋体" w:eastAsia="宋体" w:cs="宋体"/>
          <w:spacing w:val="-3"/>
          <w:sz w:val="24"/>
          <w:szCs w:val="24"/>
        </w:rPr>
        <w:t>的合理建议。甲方有权对乙方工作成果进行抽样检查，以检验其工作的真</w:t>
      </w:r>
      <w:r>
        <w:rPr>
          <w:rFonts w:hint="eastAsia" w:ascii="宋体" w:hAnsi="宋体" w:eastAsia="宋体" w:cs="宋体"/>
          <w:sz w:val="24"/>
          <w:szCs w:val="24"/>
        </w:rPr>
        <w:t xml:space="preserve"> 实性和合理性。</w:t>
      </w:r>
    </w:p>
    <w:p w14:paraId="6ABFE3CE">
      <w:pPr>
        <w:pStyle w:val="3"/>
        <w:tabs>
          <w:tab w:val="left" w:pos="1037"/>
        </w:tabs>
        <w:spacing w:before="43" w:line="240" w:lineRule="auto"/>
        <w:ind w:right="0" w:firstLine="456" w:firstLineChars="200"/>
        <w:jc w:val="left"/>
        <w:rPr>
          <w:rFonts w:hint="eastAsia" w:ascii="宋体" w:hAnsi="宋体" w:eastAsia="宋体" w:cs="宋体"/>
          <w:b w:val="0"/>
          <w:bCs w:val="0"/>
          <w:sz w:val="24"/>
          <w:szCs w:val="24"/>
        </w:rPr>
      </w:pPr>
      <w:bookmarkStart w:id="176" w:name="6、  索赔"/>
      <w:bookmarkEnd w:id="176"/>
      <w:r>
        <w:rPr>
          <w:rFonts w:hint="eastAsia" w:ascii="宋体" w:hAnsi="宋体" w:eastAsia="宋体" w:cs="宋体"/>
          <w:w w:val="95"/>
          <w:sz w:val="24"/>
          <w:szCs w:val="24"/>
        </w:rPr>
        <w:t>6、</w:t>
      </w:r>
      <w:r>
        <w:rPr>
          <w:rFonts w:hint="eastAsia" w:ascii="宋体" w:hAnsi="宋体" w:eastAsia="宋体" w:cs="宋体"/>
          <w:sz w:val="24"/>
          <w:szCs w:val="24"/>
        </w:rPr>
        <w:t>索赔</w:t>
      </w:r>
    </w:p>
    <w:p w14:paraId="65C7847A">
      <w:pPr>
        <w:pStyle w:val="10"/>
        <w:tabs>
          <w:tab w:val="left" w:pos="1097"/>
        </w:tabs>
        <w:spacing w:before="133" w:line="338" w:lineRule="auto"/>
        <w:ind w:right="158" w:firstLine="480" w:firstLineChars="200"/>
        <w:jc w:val="left"/>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pacing w:val="-3"/>
          <w:sz w:val="24"/>
          <w:szCs w:val="24"/>
        </w:rPr>
        <w:t>如果在合同履行过程中，由于乙方违反合同规定义务导致甲方受到损失，</w:t>
      </w:r>
      <w:r>
        <w:rPr>
          <w:rFonts w:hint="eastAsia" w:ascii="宋体" w:hAnsi="宋体" w:eastAsia="宋体" w:cs="宋体"/>
          <w:spacing w:val="-94"/>
          <w:sz w:val="24"/>
          <w:szCs w:val="24"/>
        </w:rPr>
        <w:t xml:space="preserve"> </w:t>
      </w:r>
      <w:r>
        <w:rPr>
          <w:rFonts w:hint="eastAsia" w:ascii="宋体" w:hAnsi="宋体" w:eastAsia="宋体" w:cs="宋体"/>
          <w:sz w:val="24"/>
          <w:szCs w:val="24"/>
        </w:rPr>
        <w:t>乙方应按照甲方的实际损失予以赔偿。</w:t>
      </w:r>
    </w:p>
    <w:p w14:paraId="1CDD8094">
      <w:pPr>
        <w:pStyle w:val="3"/>
        <w:tabs>
          <w:tab w:val="left" w:pos="1157"/>
        </w:tabs>
        <w:spacing w:before="55" w:line="240" w:lineRule="auto"/>
        <w:ind w:right="0" w:firstLine="456" w:firstLineChars="200"/>
        <w:jc w:val="left"/>
        <w:rPr>
          <w:rFonts w:hint="eastAsia" w:ascii="宋体" w:hAnsi="宋体" w:eastAsia="宋体" w:cs="宋体"/>
          <w:b w:val="0"/>
          <w:bCs w:val="0"/>
          <w:sz w:val="24"/>
          <w:szCs w:val="24"/>
        </w:rPr>
      </w:pPr>
      <w:bookmarkStart w:id="177" w:name="7、   误期赔偿费"/>
      <w:bookmarkEnd w:id="177"/>
      <w:r>
        <w:rPr>
          <w:rFonts w:hint="eastAsia" w:ascii="宋体" w:hAnsi="宋体" w:eastAsia="宋体" w:cs="宋体"/>
          <w:w w:val="95"/>
          <w:sz w:val="24"/>
          <w:szCs w:val="24"/>
        </w:rPr>
        <w:t>7、</w:t>
      </w:r>
      <w:r>
        <w:rPr>
          <w:rFonts w:hint="eastAsia" w:ascii="宋体" w:hAnsi="宋体" w:eastAsia="宋体" w:cs="宋体"/>
          <w:sz w:val="24"/>
          <w:szCs w:val="24"/>
        </w:rPr>
        <w:t>误期赔偿费</w:t>
      </w:r>
    </w:p>
    <w:p w14:paraId="34CDCFA2">
      <w:pPr>
        <w:pStyle w:val="10"/>
        <w:tabs>
          <w:tab w:val="left" w:pos="1224"/>
        </w:tabs>
        <w:spacing w:before="133" w:line="345" w:lineRule="auto"/>
        <w:ind w:right="308" w:firstLine="480" w:firstLineChars="200"/>
        <w:jc w:val="left"/>
        <w:rPr>
          <w:rFonts w:hint="eastAsia" w:ascii="宋体" w:hAnsi="宋体" w:eastAsia="宋体" w:cs="宋体"/>
          <w:sz w:val="24"/>
          <w:szCs w:val="24"/>
        </w:rPr>
      </w:pPr>
      <w:r>
        <w:rPr>
          <w:rFonts w:hint="eastAsia" w:ascii="宋体" w:hAnsi="宋体" w:eastAsia="宋体" w:cs="宋体"/>
          <w:sz w:val="24"/>
          <w:szCs w:val="24"/>
        </w:rPr>
        <w:t>7.1除了本合同“不可抗力”规定的不可抗力事故外，如果乙方不能按合同规定时间准时提供服务，甲方在不影响合同项下的其它补救措施的情 况下，可从合同价款中扣除误期赔偿费。每延误一周的赔偿费按迟交 货物或未提供服务的服务费用的</w:t>
      </w:r>
      <w:r>
        <w:rPr>
          <w:rFonts w:hint="eastAsia" w:ascii="宋体" w:hAnsi="宋体" w:eastAsia="宋体" w:cs="宋体"/>
          <w:spacing w:val="-60"/>
          <w:sz w:val="24"/>
          <w:szCs w:val="24"/>
        </w:rPr>
        <w:t xml:space="preserve"> </w:t>
      </w:r>
      <w:r>
        <w:rPr>
          <w:rFonts w:hint="eastAsia" w:ascii="宋体" w:hAnsi="宋体" w:eastAsia="宋体" w:cs="宋体"/>
          <w:spacing w:val="-4"/>
          <w:sz w:val="24"/>
          <w:szCs w:val="24"/>
        </w:rPr>
        <w:t>0.5%计收，不足</w:t>
      </w:r>
      <w:r>
        <w:rPr>
          <w:rFonts w:hint="eastAsia" w:ascii="宋体" w:hAnsi="宋体" w:eastAsia="宋体" w:cs="宋体"/>
          <w:spacing w:val="-60"/>
          <w:sz w:val="24"/>
          <w:szCs w:val="24"/>
        </w:rPr>
        <w:t xml:space="preserve"> </w:t>
      </w:r>
      <w:r>
        <w:rPr>
          <w:rFonts w:hint="eastAsia" w:ascii="宋体" w:hAnsi="宋体" w:eastAsia="宋体" w:cs="宋体"/>
          <w:sz w:val="24"/>
          <w:szCs w:val="24"/>
        </w:rPr>
        <w:t>7 日者亦按</w:t>
      </w:r>
      <w:r>
        <w:rPr>
          <w:rFonts w:hint="eastAsia" w:ascii="宋体" w:hAnsi="宋体" w:eastAsia="宋体" w:cs="宋体"/>
          <w:spacing w:val="-60"/>
          <w:sz w:val="24"/>
          <w:szCs w:val="24"/>
        </w:rPr>
        <w:t xml:space="preserve"> </w:t>
      </w:r>
      <w:r>
        <w:rPr>
          <w:rFonts w:hint="eastAsia" w:ascii="宋体" w:hAnsi="宋体" w:eastAsia="宋体" w:cs="宋体"/>
          <w:sz w:val="24"/>
          <w:szCs w:val="24"/>
        </w:rPr>
        <w:t>7 日计算 直至交货或提供服务为止。误期赔偿费的最高限额为合同总价的</w:t>
      </w:r>
      <w:r>
        <w:rPr>
          <w:rFonts w:hint="eastAsia" w:ascii="宋体" w:hAnsi="宋体" w:eastAsia="宋体" w:cs="宋体"/>
          <w:spacing w:val="-61"/>
          <w:sz w:val="24"/>
          <w:szCs w:val="24"/>
        </w:rPr>
        <w:t xml:space="preserve"> </w:t>
      </w:r>
      <w:r>
        <w:rPr>
          <w:rFonts w:hint="eastAsia" w:ascii="宋体" w:hAnsi="宋体" w:eastAsia="宋体" w:cs="宋体"/>
          <w:sz w:val="24"/>
          <w:szCs w:val="24"/>
        </w:rPr>
        <w:t>5%。 一旦达到误期赔偿费的最高限额，甲方有权无需乙方同意终止合同。</w:t>
      </w:r>
    </w:p>
    <w:p w14:paraId="2E854618">
      <w:pPr>
        <w:pStyle w:val="3"/>
        <w:tabs>
          <w:tab w:val="left" w:pos="1157"/>
        </w:tabs>
        <w:spacing w:before="46" w:line="360" w:lineRule="auto"/>
        <w:ind w:right="0" w:firstLine="228" w:firstLineChars="100"/>
        <w:jc w:val="left"/>
        <w:rPr>
          <w:rFonts w:hint="eastAsia" w:ascii="宋体" w:hAnsi="宋体" w:eastAsia="宋体" w:cs="宋体"/>
          <w:b w:val="0"/>
          <w:bCs w:val="0"/>
          <w:sz w:val="24"/>
          <w:szCs w:val="24"/>
        </w:rPr>
      </w:pPr>
      <w:bookmarkStart w:id="178" w:name="8、   不可抗力"/>
      <w:bookmarkEnd w:id="178"/>
      <w:r>
        <w:rPr>
          <w:rFonts w:hint="eastAsia" w:ascii="宋体" w:hAnsi="宋体" w:eastAsia="宋体" w:cs="宋体"/>
          <w:w w:val="95"/>
          <w:sz w:val="24"/>
          <w:szCs w:val="24"/>
        </w:rPr>
        <w:t>8、</w:t>
      </w:r>
      <w:r>
        <w:rPr>
          <w:rFonts w:hint="eastAsia" w:ascii="宋体" w:hAnsi="宋体" w:eastAsia="宋体" w:cs="宋体"/>
          <w:sz w:val="24"/>
          <w:szCs w:val="24"/>
        </w:rPr>
        <w:t>不可抗力</w:t>
      </w:r>
    </w:p>
    <w:p w14:paraId="75211242">
      <w:pPr>
        <w:pStyle w:val="10"/>
        <w:spacing w:before="151" w:line="360" w:lineRule="auto"/>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rPr>
        <w:tab/>
      </w:r>
      <w:r>
        <w:rPr>
          <w:rFonts w:hint="eastAsia" w:ascii="宋体" w:hAnsi="宋体" w:eastAsia="宋体" w:cs="宋体"/>
          <w:sz w:val="24"/>
          <w:szCs w:val="24"/>
        </w:rPr>
        <w:t>本条所述的“不可抗力”系指那些双方在订立合同时无法控制、不可预见的事件。这些事件包括：战争、水灾、地震以及双方同意的事件。当不可抗力事件发生时，执行合同的期限将相应延长。</w:t>
      </w:r>
    </w:p>
    <w:p w14:paraId="7BF46C73">
      <w:pPr>
        <w:pStyle w:val="10"/>
        <w:tabs>
          <w:tab w:val="left" w:pos="1107"/>
        </w:tabs>
        <w:spacing w:before="151" w:line="360" w:lineRule="auto"/>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8.2</w:t>
      </w:r>
      <w:r>
        <w:rPr>
          <w:rFonts w:hint="eastAsia" w:ascii="宋体" w:hAnsi="宋体" w:eastAsia="宋体" w:cs="宋体"/>
          <w:spacing w:val="-3"/>
          <w:sz w:val="24"/>
          <w:szCs w:val="24"/>
        </w:rPr>
        <w:t>在不可抗力事件发生时，乙方应尽快以书面形式将不可抗力的情况和原</w:t>
      </w:r>
      <w:r>
        <w:rPr>
          <w:rFonts w:hint="eastAsia" w:ascii="宋体" w:hAnsi="宋体" w:eastAsia="宋体" w:cs="宋体"/>
          <w:spacing w:val="2"/>
          <w:sz w:val="24"/>
          <w:szCs w:val="24"/>
        </w:rPr>
        <w:t>因通知甲方。同时必须在</w:t>
      </w:r>
      <w:r>
        <w:rPr>
          <w:rFonts w:hint="eastAsia" w:ascii="宋体" w:hAnsi="宋体" w:eastAsia="宋体" w:cs="宋体"/>
          <w:spacing w:val="-48"/>
          <w:sz w:val="24"/>
          <w:szCs w:val="24"/>
        </w:rPr>
        <w:t xml:space="preserve"> </w:t>
      </w:r>
      <w:r>
        <w:rPr>
          <w:rFonts w:hint="eastAsia" w:ascii="宋体" w:hAnsi="宋体" w:eastAsia="宋体" w:cs="宋体"/>
          <w:sz w:val="24"/>
          <w:szCs w:val="24"/>
        </w:rPr>
        <w:t>7</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日内，以挂号形式递交有关政府部门的证</w:t>
      </w:r>
      <w:r>
        <w:rPr>
          <w:rFonts w:hint="eastAsia" w:ascii="宋体" w:hAnsi="宋体" w:eastAsia="宋体" w:cs="宋体"/>
          <w:sz w:val="24"/>
          <w:szCs w:val="24"/>
        </w:rPr>
        <w:t>明。如果不可抗力超过</w:t>
      </w:r>
      <w:r>
        <w:rPr>
          <w:rFonts w:hint="eastAsia" w:ascii="宋体" w:hAnsi="宋体" w:eastAsia="宋体" w:cs="宋体"/>
          <w:spacing w:val="-70"/>
          <w:sz w:val="24"/>
          <w:szCs w:val="24"/>
        </w:rPr>
        <w:t xml:space="preserve"> </w:t>
      </w:r>
      <w:r>
        <w:rPr>
          <w:rFonts w:hint="eastAsia" w:ascii="宋体" w:hAnsi="宋体" w:eastAsia="宋体" w:cs="宋体"/>
          <w:sz w:val="24"/>
          <w:szCs w:val="24"/>
        </w:rPr>
        <w:t>15</w:t>
      </w:r>
      <w:r>
        <w:rPr>
          <w:rFonts w:hint="eastAsia" w:ascii="宋体" w:hAnsi="宋体" w:eastAsia="宋体" w:cs="宋体"/>
          <w:spacing w:val="-10"/>
          <w:sz w:val="24"/>
          <w:szCs w:val="24"/>
        </w:rPr>
        <w:t xml:space="preserve"> </w:t>
      </w:r>
      <w:r>
        <w:rPr>
          <w:rFonts w:hint="eastAsia" w:ascii="宋体" w:hAnsi="宋体" w:eastAsia="宋体" w:cs="宋体"/>
          <w:sz w:val="24"/>
          <w:szCs w:val="24"/>
        </w:rPr>
        <w:t>日，双方将通过友好协商就合同的执行达成 协议。</w:t>
      </w:r>
    </w:p>
    <w:p w14:paraId="64E2BF0A">
      <w:pPr>
        <w:pStyle w:val="3"/>
        <w:tabs>
          <w:tab w:val="left" w:pos="1157"/>
        </w:tabs>
        <w:spacing w:before="55" w:line="240" w:lineRule="auto"/>
        <w:ind w:right="0" w:firstLine="228" w:firstLineChars="100"/>
        <w:jc w:val="left"/>
        <w:rPr>
          <w:rFonts w:hint="eastAsia" w:ascii="宋体" w:hAnsi="宋体" w:eastAsia="宋体" w:cs="宋体"/>
          <w:b w:val="0"/>
          <w:bCs w:val="0"/>
          <w:sz w:val="24"/>
          <w:szCs w:val="24"/>
        </w:rPr>
      </w:pPr>
      <w:bookmarkStart w:id="179" w:name="9、   合同修改与终止"/>
      <w:bookmarkEnd w:id="179"/>
      <w:r>
        <w:rPr>
          <w:rFonts w:hint="eastAsia" w:ascii="宋体" w:hAnsi="宋体" w:eastAsia="宋体" w:cs="宋体"/>
          <w:w w:val="95"/>
          <w:sz w:val="24"/>
          <w:szCs w:val="24"/>
        </w:rPr>
        <w:t>9、</w:t>
      </w:r>
      <w:r>
        <w:rPr>
          <w:rFonts w:hint="eastAsia" w:ascii="宋体" w:hAnsi="宋体" w:eastAsia="宋体" w:cs="宋体"/>
          <w:sz w:val="24"/>
          <w:szCs w:val="24"/>
        </w:rPr>
        <w:t>合同修改与终止</w:t>
      </w:r>
    </w:p>
    <w:p w14:paraId="7C47B872">
      <w:pPr>
        <w:pStyle w:val="10"/>
        <w:tabs>
          <w:tab w:val="left" w:pos="1097"/>
        </w:tabs>
        <w:spacing w:before="133" w:line="240" w:lineRule="auto"/>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9.1</w:t>
      </w:r>
      <w:r>
        <w:rPr>
          <w:rFonts w:hint="eastAsia" w:ascii="宋体" w:hAnsi="宋体" w:eastAsia="宋体" w:cs="宋体"/>
          <w:spacing w:val="-3"/>
          <w:sz w:val="24"/>
          <w:szCs w:val="24"/>
        </w:rPr>
        <w:t>任何对合同条件的变更或修改、补充或删减均须双方签订书面的修改书。</w:t>
      </w:r>
    </w:p>
    <w:p w14:paraId="72E966E9">
      <w:pPr>
        <w:pStyle w:val="3"/>
        <w:tabs>
          <w:tab w:val="left" w:pos="1277"/>
        </w:tabs>
        <w:spacing w:before="135" w:line="240" w:lineRule="auto"/>
        <w:ind w:right="0" w:firstLine="228" w:firstLineChars="100"/>
        <w:jc w:val="left"/>
        <w:rPr>
          <w:rFonts w:hint="eastAsia" w:ascii="宋体" w:hAnsi="宋体" w:eastAsia="宋体" w:cs="宋体"/>
          <w:b w:val="0"/>
          <w:bCs w:val="0"/>
          <w:sz w:val="24"/>
          <w:szCs w:val="24"/>
        </w:rPr>
      </w:pPr>
      <w:bookmarkStart w:id="180" w:name="10、   违约解除合同"/>
      <w:bookmarkEnd w:id="180"/>
      <w:r>
        <w:rPr>
          <w:rFonts w:hint="eastAsia" w:ascii="宋体" w:hAnsi="宋体" w:eastAsia="宋体" w:cs="宋体"/>
          <w:w w:val="95"/>
          <w:sz w:val="24"/>
          <w:szCs w:val="24"/>
        </w:rPr>
        <w:t>10、</w:t>
      </w:r>
      <w:r>
        <w:rPr>
          <w:rFonts w:hint="eastAsia" w:ascii="宋体" w:hAnsi="宋体" w:eastAsia="宋体" w:cs="宋体"/>
          <w:sz w:val="24"/>
          <w:szCs w:val="24"/>
        </w:rPr>
        <w:t>违约解除合同</w:t>
      </w:r>
    </w:p>
    <w:p w14:paraId="2909D651">
      <w:pPr>
        <w:pStyle w:val="10"/>
        <w:tabs>
          <w:tab w:val="left" w:pos="1219"/>
        </w:tabs>
        <w:spacing w:before="133" w:line="338" w:lineRule="auto"/>
        <w:ind w:right="398" w:firstLine="240" w:firstLineChars="100"/>
        <w:jc w:val="left"/>
        <w:rPr>
          <w:rFonts w:hint="eastAsia" w:ascii="宋体" w:hAnsi="宋体" w:eastAsia="宋体" w:cs="宋体"/>
          <w:sz w:val="24"/>
          <w:szCs w:val="24"/>
        </w:rPr>
      </w:pPr>
      <w:r>
        <w:rPr>
          <w:rFonts w:hint="eastAsia" w:ascii="宋体" w:hAnsi="宋体" w:eastAsia="宋体" w:cs="宋体"/>
          <w:sz w:val="24"/>
          <w:szCs w:val="24"/>
        </w:rPr>
        <w:t>10.1在乙方违约的情况下，甲方可向乙方发出书面通知，部分或全部终止</w:t>
      </w:r>
      <w:r>
        <w:rPr>
          <w:rFonts w:hint="eastAsia" w:ascii="宋体" w:hAnsi="宋体" w:eastAsia="宋体" w:cs="宋体"/>
          <w:spacing w:val="-81"/>
          <w:sz w:val="24"/>
          <w:szCs w:val="24"/>
        </w:rPr>
        <w:t xml:space="preserve"> </w:t>
      </w:r>
      <w:r>
        <w:rPr>
          <w:rFonts w:hint="eastAsia" w:ascii="宋体" w:hAnsi="宋体" w:eastAsia="宋体" w:cs="宋体"/>
          <w:sz w:val="24"/>
          <w:szCs w:val="24"/>
        </w:rPr>
        <w:t>合同。同时保留向乙方追诉的权利。</w:t>
      </w:r>
    </w:p>
    <w:p w14:paraId="172B37A4">
      <w:pPr>
        <w:pStyle w:val="10"/>
        <w:tabs>
          <w:tab w:val="left" w:pos="1277"/>
        </w:tabs>
        <w:spacing w:before="53" w:line="338" w:lineRule="auto"/>
        <w:ind w:right="398" w:firstLine="240" w:firstLineChars="100"/>
        <w:jc w:val="left"/>
        <w:rPr>
          <w:rFonts w:hint="eastAsia" w:ascii="宋体" w:hAnsi="宋体" w:eastAsia="宋体" w:cs="宋体"/>
          <w:sz w:val="24"/>
          <w:szCs w:val="24"/>
        </w:rPr>
      </w:pPr>
      <w:r>
        <w:rPr>
          <w:rFonts w:hint="eastAsia" w:ascii="宋体" w:hAnsi="宋体" w:eastAsia="宋体" w:cs="宋体"/>
          <w:sz w:val="24"/>
          <w:szCs w:val="24"/>
        </w:rPr>
        <w:t>10.1.1</w:t>
      </w:r>
      <w:r>
        <w:rPr>
          <w:rFonts w:hint="eastAsia" w:ascii="宋体" w:hAnsi="宋体" w:eastAsia="宋体" w:cs="宋体"/>
          <w:spacing w:val="-1"/>
          <w:sz w:val="24"/>
          <w:szCs w:val="24"/>
        </w:rPr>
        <w:t>乙方未能在合同规定的限期或甲方同意延长的限期内，提供全部或部</w:t>
      </w:r>
      <w:r>
        <w:rPr>
          <w:rFonts w:hint="eastAsia" w:ascii="宋体" w:hAnsi="宋体" w:eastAsia="宋体" w:cs="宋体"/>
          <w:spacing w:val="-100"/>
          <w:sz w:val="24"/>
          <w:szCs w:val="24"/>
        </w:rPr>
        <w:t xml:space="preserve"> </w:t>
      </w:r>
      <w:r>
        <w:rPr>
          <w:rFonts w:hint="eastAsia" w:ascii="宋体" w:hAnsi="宋体" w:eastAsia="宋体" w:cs="宋体"/>
          <w:sz w:val="24"/>
          <w:szCs w:val="24"/>
        </w:rPr>
        <w:t>分服务，按合同第7.1的规定可以解除合同的；</w:t>
      </w:r>
    </w:p>
    <w:p w14:paraId="5BBD14B2">
      <w:pPr>
        <w:pStyle w:val="10"/>
        <w:tabs>
          <w:tab w:val="left" w:pos="1277"/>
        </w:tabs>
        <w:spacing w:before="24" w:line="360" w:lineRule="auto"/>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10.1.2乙方未能履行合同规定义务，导致甲方无法实现合同目的的；</w:t>
      </w:r>
    </w:p>
    <w:p w14:paraId="3E8F9EF9">
      <w:pPr>
        <w:pStyle w:val="10"/>
        <w:tabs>
          <w:tab w:val="left" w:pos="1397"/>
        </w:tabs>
        <w:spacing w:line="360" w:lineRule="auto"/>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10.1.3乙方未能履行合同规定的其它主要义务的；</w:t>
      </w:r>
    </w:p>
    <w:p w14:paraId="3721B3C6">
      <w:pPr>
        <w:pStyle w:val="10"/>
        <w:tabs>
          <w:tab w:val="left" w:pos="1397"/>
        </w:tabs>
        <w:spacing w:before="133" w:line="360" w:lineRule="auto"/>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10.1.4在本合同履行过程中有腐败和欺诈行为的。</w:t>
      </w:r>
    </w:p>
    <w:p w14:paraId="23A7F4CE">
      <w:pPr>
        <w:pStyle w:val="10"/>
        <w:tabs>
          <w:tab w:val="left" w:pos="1457"/>
        </w:tabs>
        <w:spacing w:line="360" w:lineRule="auto"/>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10.1.4.1“腐败行为”和“欺诈行为”定义如下:</w:t>
      </w:r>
    </w:p>
    <w:p w14:paraId="63237FE5">
      <w:pPr>
        <w:pStyle w:val="10"/>
        <w:tabs>
          <w:tab w:val="left" w:pos="1637"/>
        </w:tabs>
        <w:spacing w:before="133" w:line="338" w:lineRule="auto"/>
        <w:ind w:right="392" w:firstLine="240" w:firstLineChars="100"/>
        <w:jc w:val="left"/>
        <w:rPr>
          <w:rFonts w:hint="eastAsia" w:ascii="宋体" w:hAnsi="宋体" w:eastAsia="宋体" w:cs="宋体"/>
          <w:sz w:val="24"/>
          <w:szCs w:val="24"/>
        </w:rPr>
      </w:pPr>
      <w:r>
        <w:rPr>
          <w:rFonts w:hint="eastAsia" w:ascii="宋体" w:hAnsi="宋体" w:eastAsia="宋体" w:cs="宋体"/>
          <w:sz w:val="24"/>
          <w:szCs w:val="24"/>
        </w:rPr>
        <w:t>10.1.4.1.1“腐败行为”是指提供/给予/接受或索取任何有价值的东西来影响甲</w:t>
      </w:r>
      <w:r>
        <w:rPr>
          <w:rFonts w:hint="eastAsia" w:ascii="宋体" w:hAnsi="宋体" w:eastAsia="宋体" w:cs="宋体"/>
          <w:spacing w:val="-115"/>
          <w:sz w:val="24"/>
          <w:szCs w:val="24"/>
        </w:rPr>
        <w:t xml:space="preserve"> </w:t>
      </w:r>
      <w:r>
        <w:rPr>
          <w:rFonts w:hint="eastAsia" w:ascii="宋体" w:hAnsi="宋体" w:eastAsia="宋体" w:cs="宋体"/>
          <w:sz w:val="24"/>
          <w:szCs w:val="24"/>
        </w:rPr>
        <w:t>方在合同签订、履行过程中的行为。</w:t>
      </w:r>
    </w:p>
    <w:p w14:paraId="4D478463">
      <w:pPr>
        <w:pStyle w:val="10"/>
        <w:tabs>
          <w:tab w:val="left" w:pos="1637"/>
        </w:tabs>
        <w:spacing w:before="53" w:line="338" w:lineRule="auto"/>
        <w:ind w:right="274" w:firstLine="240" w:firstLineChars="100"/>
        <w:jc w:val="left"/>
        <w:rPr>
          <w:rFonts w:hint="eastAsia" w:ascii="宋体" w:hAnsi="宋体" w:eastAsia="宋体" w:cs="宋体"/>
          <w:sz w:val="24"/>
          <w:szCs w:val="24"/>
        </w:rPr>
      </w:pPr>
      <w:r>
        <w:rPr>
          <w:rFonts w:hint="eastAsia" w:ascii="宋体" w:hAnsi="宋体" w:eastAsia="宋体" w:cs="宋体"/>
          <w:sz w:val="24"/>
          <w:szCs w:val="24"/>
        </w:rPr>
        <w:t>10.1.4.1.2</w:t>
      </w:r>
      <w:r>
        <w:rPr>
          <w:rFonts w:hint="eastAsia" w:ascii="宋体" w:hAnsi="宋体" w:eastAsia="宋体" w:cs="宋体"/>
          <w:spacing w:val="-8"/>
          <w:sz w:val="24"/>
          <w:szCs w:val="24"/>
        </w:rPr>
        <w:t>“欺诈行为”是指为了影响合同签订、履行过程，以谎报事实的方法，</w:t>
      </w:r>
      <w:r>
        <w:rPr>
          <w:rFonts w:hint="eastAsia" w:ascii="宋体" w:hAnsi="宋体" w:eastAsia="宋体" w:cs="宋体"/>
          <w:sz w:val="24"/>
          <w:szCs w:val="24"/>
        </w:rPr>
        <w:t>损害甲方的利益的行为。</w:t>
      </w:r>
    </w:p>
    <w:p w14:paraId="76CC4072">
      <w:pPr>
        <w:pStyle w:val="10"/>
        <w:spacing w:before="55" w:line="350" w:lineRule="auto"/>
        <w:ind w:right="394" w:firstLine="240" w:firstLineChars="100"/>
        <w:jc w:val="both"/>
        <w:rPr>
          <w:rFonts w:hint="eastAsia" w:ascii="宋体" w:hAnsi="宋体" w:eastAsia="宋体" w:cs="宋体"/>
          <w:sz w:val="24"/>
          <w:szCs w:val="24"/>
        </w:rPr>
      </w:pPr>
      <w:r>
        <w:rPr>
          <w:rFonts w:hint="eastAsia" w:ascii="宋体" w:hAnsi="宋体" w:eastAsia="宋体" w:cs="宋体"/>
          <w:sz w:val="24"/>
          <w:szCs w:val="24"/>
        </w:rPr>
        <w:t>10.2在甲方根据上述第10.1条规定，全部或部分解除合同之后，应当遵循</w:t>
      </w:r>
      <w:r>
        <w:rPr>
          <w:rFonts w:hint="eastAsia" w:ascii="宋体" w:hAnsi="宋体" w:eastAsia="宋体" w:cs="宋体"/>
          <w:spacing w:val="3"/>
          <w:sz w:val="24"/>
          <w:szCs w:val="24"/>
        </w:rPr>
        <w:t>诚实信用原则，全部或部分购买与未交付的服务类似的服务，乙方</w:t>
      </w:r>
      <w:r>
        <w:rPr>
          <w:rFonts w:hint="eastAsia" w:ascii="宋体" w:hAnsi="宋体" w:eastAsia="宋体" w:cs="宋体"/>
          <w:sz w:val="24"/>
          <w:szCs w:val="24"/>
        </w:rPr>
        <w:t xml:space="preserve"> </w:t>
      </w:r>
      <w:r>
        <w:rPr>
          <w:rFonts w:hint="eastAsia" w:ascii="宋体" w:hAnsi="宋体" w:eastAsia="宋体" w:cs="宋体"/>
          <w:spacing w:val="3"/>
          <w:sz w:val="24"/>
          <w:szCs w:val="24"/>
        </w:rPr>
        <w:t>应承担甲方购买类似服务而产生的额外支出。部分解除合同的，乙</w:t>
      </w:r>
      <w:r>
        <w:rPr>
          <w:rFonts w:hint="eastAsia" w:ascii="宋体" w:hAnsi="宋体" w:eastAsia="宋体" w:cs="宋体"/>
          <w:sz w:val="24"/>
          <w:szCs w:val="24"/>
        </w:rPr>
        <w:t xml:space="preserve"> 方应继续履行合同中未解除的部分。</w:t>
      </w:r>
    </w:p>
    <w:p w14:paraId="59D5DC4C">
      <w:pPr>
        <w:pStyle w:val="3"/>
        <w:tabs>
          <w:tab w:val="left" w:pos="1263"/>
        </w:tabs>
        <w:spacing w:before="41" w:line="240" w:lineRule="auto"/>
        <w:ind w:right="0" w:firstLine="218" w:firstLineChars="100"/>
        <w:jc w:val="left"/>
        <w:rPr>
          <w:rFonts w:hint="eastAsia" w:ascii="宋体" w:hAnsi="宋体" w:eastAsia="宋体" w:cs="宋体"/>
          <w:b w:val="0"/>
          <w:bCs w:val="0"/>
          <w:sz w:val="24"/>
          <w:szCs w:val="24"/>
        </w:rPr>
      </w:pPr>
      <w:bookmarkStart w:id="181" w:name="11、   破产终止合同"/>
      <w:bookmarkEnd w:id="181"/>
      <w:r>
        <w:rPr>
          <w:rFonts w:hint="eastAsia" w:ascii="宋体" w:hAnsi="宋体" w:eastAsia="宋体" w:cs="宋体"/>
          <w:spacing w:val="-5"/>
          <w:w w:val="95"/>
          <w:sz w:val="24"/>
          <w:szCs w:val="24"/>
        </w:rPr>
        <w:t>11、</w:t>
      </w:r>
      <w:r>
        <w:rPr>
          <w:rFonts w:hint="eastAsia" w:ascii="宋体" w:hAnsi="宋体" w:eastAsia="宋体" w:cs="宋体"/>
          <w:sz w:val="24"/>
          <w:szCs w:val="24"/>
        </w:rPr>
        <w:t>破产终止合同</w:t>
      </w:r>
    </w:p>
    <w:p w14:paraId="299E8104">
      <w:pPr>
        <w:pStyle w:val="10"/>
        <w:tabs>
          <w:tab w:val="left" w:pos="1327"/>
        </w:tabs>
        <w:spacing w:line="348" w:lineRule="auto"/>
        <w:ind w:right="158" w:firstLine="236" w:firstLineChars="100"/>
        <w:jc w:val="left"/>
        <w:rPr>
          <w:rFonts w:hint="eastAsia" w:ascii="宋体" w:hAnsi="宋体" w:eastAsia="宋体" w:cs="宋体"/>
          <w:sz w:val="24"/>
          <w:szCs w:val="24"/>
        </w:rPr>
      </w:pPr>
      <w:r>
        <w:rPr>
          <w:rFonts w:hint="eastAsia" w:ascii="宋体" w:hAnsi="宋体" w:eastAsia="宋体" w:cs="宋体"/>
          <w:spacing w:val="-2"/>
          <w:sz w:val="24"/>
          <w:szCs w:val="24"/>
        </w:rPr>
        <w:t>11.1如果乙方破产或无清偿能力，甲方可在任何时候以书面形式通知乙方，</w:t>
      </w:r>
      <w:r>
        <w:rPr>
          <w:rFonts w:hint="eastAsia" w:ascii="宋体" w:hAnsi="宋体" w:eastAsia="宋体" w:cs="宋体"/>
          <w:spacing w:val="-118"/>
          <w:sz w:val="24"/>
          <w:szCs w:val="24"/>
        </w:rPr>
        <w:t xml:space="preserve"> </w:t>
      </w:r>
      <w:r>
        <w:rPr>
          <w:rFonts w:hint="eastAsia" w:ascii="宋体" w:hAnsi="宋体" w:eastAsia="宋体" w:cs="宋体"/>
          <w:sz w:val="24"/>
          <w:szCs w:val="24"/>
        </w:rPr>
        <w:t>终止合同而不给乙方补偿，该终止合同将不损害或影响甲方已经采取 或将要采取的任何行动或补救措施的权力。</w:t>
      </w:r>
    </w:p>
    <w:p w14:paraId="38106B43">
      <w:pPr>
        <w:pStyle w:val="3"/>
        <w:tabs>
          <w:tab w:val="left" w:pos="1277"/>
        </w:tabs>
        <w:spacing w:before="0" w:line="296" w:lineRule="exact"/>
        <w:ind w:right="0" w:firstLine="228" w:firstLineChars="100"/>
        <w:jc w:val="left"/>
        <w:rPr>
          <w:rFonts w:hint="eastAsia" w:ascii="宋体" w:hAnsi="宋体" w:eastAsia="宋体" w:cs="宋体"/>
          <w:b w:val="0"/>
          <w:bCs w:val="0"/>
          <w:sz w:val="24"/>
          <w:szCs w:val="24"/>
        </w:rPr>
      </w:pPr>
      <w:r>
        <w:rPr>
          <w:rFonts w:hint="eastAsia" w:ascii="宋体" w:hAnsi="宋体" w:eastAsia="宋体" w:cs="宋体"/>
          <w:w w:val="95"/>
          <w:sz w:val="24"/>
          <w:szCs w:val="24"/>
        </w:rPr>
        <w:t>12、</w:t>
      </w:r>
      <w:r>
        <w:rPr>
          <w:rFonts w:hint="eastAsia" w:ascii="宋体" w:hAnsi="宋体" w:eastAsia="宋体" w:cs="宋体"/>
          <w:sz w:val="24"/>
          <w:szCs w:val="24"/>
        </w:rPr>
        <w:t>争端的解决</w:t>
      </w:r>
    </w:p>
    <w:p w14:paraId="545309F9">
      <w:pPr>
        <w:pStyle w:val="10"/>
        <w:spacing w:before="133" w:line="348" w:lineRule="auto"/>
        <w:ind w:right="113" w:firstLine="240" w:firstLineChars="100"/>
        <w:jc w:val="both"/>
        <w:rPr>
          <w:rFonts w:hint="eastAsia" w:ascii="宋体" w:hAnsi="宋体" w:eastAsia="宋体" w:cs="宋体"/>
          <w:sz w:val="24"/>
          <w:szCs w:val="24"/>
        </w:rPr>
      </w:pPr>
      <w:r>
        <w:rPr>
          <w:rFonts w:hint="eastAsia" w:ascii="宋体" w:hAnsi="宋体" w:eastAsia="宋体" w:cs="宋体"/>
          <w:sz w:val="24"/>
          <w:szCs w:val="24"/>
        </w:rPr>
        <w:t>12.1</w:t>
      </w:r>
      <w:r>
        <w:rPr>
          <w:rFonts w:hint="eastAsia" w:ascii="宋体" w:hAnsi="宋体" w:eastAsia="宋体" w:cs="宋体"/>
          <w:spacing w:val="39"/>
          <w:sz w:val="24"/>
          <w:szCs w:val="24"/>
        </w:rPr>
        <w:t xml:space="preserve"> </w:t>
      </w:r>
      <w:r>
        <w:rPr>
          <w:rFonts w:hint="eastAsia" w:ascii="宋体" w:hAnsi="宋体" w:eastAsia="宋体" w:cs="宋体"/>
          <w:sz w:val="24"/>
          <w:szCs w:val="24"/>
        </w:rPr>
        <w:t>合同实施或与合同有关的一切争端应通过双方协商解决。如果协商后不能 解决，任何一方均可向北京仲裁委员会申请仲裁，或向甲方所在地人民法 院提起诉讼。</w:t>
      </w:r>
    </w:p>
    <w:p w14:paraId="6496823E">
      <w:pPr>
        <w:pStyle w:val="10"/>
        <w:tabs>
          <w:tab w:val="left" w:pos="1097"/>
        </w:tabs>
        <w:spacing w:before="43" w:line="360" w:lineRule="auto"/>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12.2仲裁裁决应为最终裁决，对双方均具有约束力。</w:t>
      </w:r>
    </w:p>
    <w:p w14:paraId="09D90DD8">
      <w:pPr>
        <w:pStyle w:val="10"/>
        <w:tabs>
          <w:tab w:val="left" w:pos="1097"/>
        </w:tabs>
        <w:spacing w:line="360" w:lineRule="auto"/>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12.3仲裁费除仲裁机关另有裁决外均应由败诉方负担。</w:t>
      </w:r>
    </w:p>
    <w:p w14:paraId="14E2F463">
      <w:pPr>
        <w:pStyle w:val="10"/>
        <w:tabs>
          <w:tab w:val="left" w:pos="1097"/>
        </w:tabs>
        <w:spacing w:line="360" w:lineRule="auto"/>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12.4在争端解决期间，除争端涉及的部分外，本合同其它部分应继续执行。</w:t>
      </w:r>
    </w:p>
    <w:p w14:paraId="393F6556">
      <w:pPr>
        <w:pStyle w:val="3"/>
        <w:tabs>
          <w:tab w:val="left" w:pos="1157"/>
        </w:tabs>
        <w:spacing w:line="240" w:lineRule="auto"/>
        <w:ind w:right="0" w:firstLine="228" w:firstLineChars="100"/>
        <w:jc w:val="left"/>
        <w:rPr>
          <w:rFonts w:hint="eastAsia" w:ascii="宋体" w:hAnsi="宋体" w:eastAsia="宋体" w:cs="宋体"/>
          <w:b w:val="0"/>
          <w:bCs w:val="0"/>
          <w:sz w:val="24"/>
          <w:szCs w:val="24"/>
        </w:rPr>
      </w:pPr>
      <w:bookmarkStart w:id="182" w:name="13、  通知"/>
      <w:bookmarkEnd w:id="182"/>
      <w:r>
        <w:rPr>
          <w:rFonts w:hint="eastAsia" w:ascii="宋体" w:hAnsi="宋体" w:eastAsia="宋体" w:cs="宋体"/>
          <w:w w:val="95"/>
          <w:sz w:val="24"/>
          <w:szCs w:val="24"/>
        </w:rPr>
        <w:t>13、</w:t>
      </w:r>
      <w:r>
        <w:rPr>
          <w:rFonts w:hint="eastAsia" w:ascii="宋体" w:hAnsi="宋体" w:eastAsia="宋体" w:cs="宋体"/>
          <w:sz w:val="24"/>
          <w:szCs w:val="24"/>
        </w:rPr>
        <w:t>通知</w:t>
      </w:r>
    </w:p>
    <w:p w14:paraId="3C7EEA2B">
      <w:pPr>
        <w:pStyle w:val="10"/>
        <w:tabs>
          <w:tab w:val="left" w:pos="1097"/>
        </w:tabs>
        <w:spacing w:line="336" w:lineRule="auto"/>
        <w:ind w:right="398" w:firstLine="240" w:firstLineChars="100"/>
        <w:jc w:val="left"/>
        <w:rPr>
          <w:rFonts w:hint="eastAsia" w:ascii="宋体" w:hAnsi="宋体" w:eastAsia="宋体" w:cs="宋体"/>
          <w:sz w:val="24"/>
          <w:szCs w:val="24"/>
        </w:rPr>
      </w:pPr>
      <w:r>
        <w:rPr>
          <w:rFonts w:hint="eastAsia" w:ascii="宋体" w:hAnsi="宋体" w:eastAsia="宋体" w:cs="宋体"/>
          <w:sz w:val="24"/>
          <w:szCs w:val="24"/>
        </w:rPr>
        <w:t>13.1本合同任何一方给另一方的通知，都应以书面或电传/传真/电报的方式</w:t>
      </w:r>
      <w:r>
        <w:rPr>
          <w:rFonts w:hint="eastAsia" w:ascii="宋体" w:hAnsi="宋体" w:eastAsia="宋体" w:cs="宋体"/>
          <w:spacing w:val="-88"/>
          <w:sz w:val="24"/>
          <w:szCs w:val="24"/>
        </w:rPr>
        <w:t xml:space="preserve"> </w:t>
      </w:r>
      <w:r>
        <w:rPr>
          <w:rFonts w:hint="eastAsia" w:ascii="宋体" w:hAnsi="宋体" w:eastAsia="宋体" w:cs="宋体"/>
          <w:sz w:val="24"/>
          <w:szCs w:val="24"/>
        </w:rPr>
        <w:t>发送，而另一方应以书面形式确认并发送到对方明确的地址。</w:t>
      </w:r>
    </w:p>
    <w:p w14:paraId="77C42C3B">
      <w:pPr>
        <w:pStyle w:val="3"/>
        <w:tabs>
          <w:tab w:val="left" w:pos="1277"/>
        </w:tabs>
        <w:spacing w:before="58" w:line="240" w:lineRule="auto"/>
        <w:ind w:right="0" w:firstLine="228" w:firstLineChars="100"/>
        <w:jc w:val="left"/>
        <w:rPr>
          <w:rFonts w:hint="eastAsia" w:ascii="宋体" w:hAnsi="宋体" w:eastAsia="宋体" w:cs="宋体"/>
          <w:b w:val="0"/>
          <w:bCs w:val="0"/>
          <w:sz w:val="24"/>
          <w:szCs w:val="24"/>
        </w:rPr>
      </w:pPr>
      <w:bookmarkStart w:id="183" w:name="14、   计量单位"/>
      <w:bookmarkEnd w:id="183"/>
      <w:r>
        <w:rPr>
          <w:rFonts w:hint="eastAsia" w:ascii="宋体" w:hAnsi="宋体" w:eastAsia="宋体" w:cs="宋体"/>
          <w:w w:val="95"/>
          <w:sz w:val="24"/>
          <w:szCs w:val="24"/>
        </w:rPr>
        <w:t>14、</w:t>
      </w:r>
      <w:r>
        <w:rPr>
          <w:rFonts w:hint="eastAsia" w:ascii="宋体" w:hAnsi="宋体" w:eastAsia="宋体" w:cs="宋体"/>
          <w:sz w:val="24"/>
          <w:szCs w:val="24"/>
        </w:rPr>
        <w:t>计量单位</w:t>
      </w:r>
    </w:p>
    <w:p w14:paraId="72DABEEF">
      <w:pPr>
        <w:pStyle w:val="10"/>
        <w:tabs>
          <w:tab w:val="left" w:pos="1337"/>
        </w:tabs>
        <w:spacing w:before="133" w:line="240" w:lineRule="auto"/>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14.1除技术规范中另有规定外，计量单位均使用国家法定计量单位。</w:t>
      </w:r>
    </w:p>
    <w:p w14:paraId="5F03DFC8">
      <w:pPr>
        <w:pStyle w:val="3"/>
        <w:tabs>
          <w:tab w:val="left" w:pos="1277"/>
        </w:tabs>
        <w:spacing w:before="135" w:line="240" w:lineRule="auto"/>
        <w:ind w:right="0" w:firstLine="228" w:firstLineChars="100"/>
        <w:jc w:val="left"/>
        <w:rPr>
          <w:rFonts w:hint="eastAsia" w:ascii="宋体" w:hAnsi="宋体" w:eastAsia="宋体" w:cs="宋体"/>
          <w:b w:val="0"/>
          <w:bCs w:val="0"/>
          <w:sz w:val="24"/>
          <w:szCs w:val="24"/>
        </w:rPr>
      </w:pPr>
      <w:bookmarkStart w:id="184" w:name="15、   适用法律"/>
      <w:bookmarkEnd w:id="184"/>
      <w:r>
        <w:rPr>
          <w:rFonts w:hint="eastAsia" w:ascii="宋体" w:hAnsi="宋体" w:eastAsia="宋体" w:cs="宋体"/>
          <w:w w:val="95"/>
          <w:sz w:val="24"/>
          <w:szCs w:val="24"/>
        </w:rPr>
        <w:t>15、</w:t>
      </w:r>
      <w:r>
        <w:rPr>
          <w:rFonts w:hint="eastAsia" w:ascii="宋体" w:hAnsi="宋体" w:eastAsia="宋体" w:cs="宋体"/>
          <w:sz w:val="24"/>
          <w:szCs w:val="24"/>
        </w:rPr>
        <w:t>适用法律</w:t>
      </w:r>
    </w:p>
    <w:p w14:paraId="4359D4AE">
      <w:pPr>
        <w:pStyle w:val="10"/>
        <w:tabs>
          <w:tab w:val="left" w:pos="1217"/>
        </w:tabs>
        <w:spacing w:before="133" w:line="240" w:lineRule="auto"/>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15.1本合同应按照中华人民共和国的法律进行解释。</w:t>
      </w:r>
    </w:p>
    <w:p w14:paraId="68CDBFD6">
      <w:pPr>
        <w:pStyle w:val="3"/>
        <w:tabs>
          <w:tab w:val="left" w:pos="1277"/>
        </w:tabs>
        <w:spacing w:before="135" w:line="240" w:lineRule="auto"/>
        <w:ind w:right="0" w:firstLine="228" w:firstLineChars="100"/>
        <w:jc w:val="left"/>
        <w:rPr>
          <w:rFonts w:hint="eastAsia" w:ascii="宋体" w:hAnsi="宋体" w:eastAsia="宋体" w:cs="宋体"/>
          <w:b w:val="0"/>
          <w:bCs w:val="0"/>
          <w:sz w:val="24"/>
          <w:szCs w:val="24"/>
        </w:rPr>
      </w:pPr>
      <w:bookmarkStart w:id="185" w:name="16、   合同未尽事宜"/>
      <w:bookmarkEnd w:id="185"/>
      <w:r>
        <w:rPr>
          <w:rFonts w:hint="eastAsia" w:ascii="宋体" w:hAnsi="宋体" w:eastAsia="宋体" w:cs="宋体"/>
          <w:w w:val="95"/>
          <w:sz w:val="24"/>
          <w:szCs w:val="24"/>
        </w:rPr>
        <w:t>16、</w:t>
      </w:r>
      <w:r>
        <w:rPr>
          <w:rFonts w:hint="eastAsia" w:ascii="宋体" w:hAnsi="宋体" w:eastAsia="宋体" w:cs="宋体"/>
          <w:sz w:val="24"/>
          <w:szCs w:val="24"/>
        </w:rPr>
        <w:t>合同未尽事宜</w:t>
      </w:r>
    </w:p>
    <w:p w14:paraId="10115080">
      <w:pPr>
        <w:pStyle w:val="10"/>
        <w:tabs>
          <w:tab w:val="left" w:pos="1219"/>
        </w:tabs>
        <w:spacing w:before="133" w:line="338" w:lineRule="auto"/>
        <w:ind w:right="398" w:firstLine="240" w:firstLineChars="100"/>
        <w:jc w:val="left"/>
        <w:rPr>
          <w:rFonts w:hint="eastAsia" w:ascii="宋体" w:hAnsi="宋体" w:eastAsia="宋体" w:cs="宋体"/>
          <w:sz w:val="24"/>
          <w:szCs w:val="24"/>
        </w:rPr>
      </w:pPr>
      <w:r>
        <w:rPr>
          <w:rFonts w:hint="eastAsia" w:ascii="宋体" w:hAnsi="宋体" w:eastAsia="宋体" w:cs="宋体"/>
          <w:sz w:val="24"/>
          <w:szCs w:val="24"/>
        </w:rPr>
        <w:t>16.1本合同未尽事宜按《中华人民共和国合同法》执行，或由甲乙双方另</w:t>
      </w:r>
      <w:r>
        <w:rPr>
          <w:rFonts w:hint="eastAsia" w:ascii="宋体" w:hAnsi="宋体" w:eastAsia="宋体" w:cs="宋体"/>
          <w:spacing w:val="-81"/>
          <w:sz w:val="24"/>
          <w:szCs w:val="24"/>
        </w:rPr>
        <w:t xml:space="preserve"> </w:t>
      </w:r>
      <w:r>
        <w:rPr>
          <w:rFonts w:hint="eastAsia" w:ascii="宋体" w:hAnsi="宋体" w:eastAsia="宋体" w:cs="宋体"/>
          <w:sz w:val="24"/>
          <w:szCs w:val="24"/>
        </w:rPr>
        <w:t>行协商签订书面补充协议。</w:t>
      </w:r>
    </w:p>
    <w:p w14:paraId="0553001A">
      <w:pPr>
        <w:pStyle w:val="3"/>
        <w:tabs>
          <w:tab w:val="left" w:pos="1277"/>
        </w:tabs>
        <w:spacing w:before="53" w:line="240" w:lineRule="auto"/>
        <w:ind w:right="0" w:firstLine="228" w:firstLineChars="100"/>
        <w:jc w:val="left"/>
        <w:rPr>
          <w:rFonts w:hint="eastAsia" w:ascii="宋体" w:hAnsi="宋体" w:eastAsia="宋体" w:cs="宋体"/>
          <w:b w:val="0"/>
          <w:bCs w:val="0"/>
          <w:sz w:val="24"/>
          <w:szCs w:val="24"/>
        </w:rPr>
      </w:pPr>
      <w:bookmarkStart w:id="186" w:name="17、   合同生效及其它"/>
      <w:bookmarkEnd w:id="186"/>
      <w:r>
        <w:rPr>
          <w:rFonts w:hint="eastAsia" w:ascii="宋体" w:hAnsi="宋体" w:eastAsia="宋体" w:cs="宋体"/>
          <w:w w:val="95"/>
          <w:sz w:val="24"/>
          <w:szCs w:val="24"/>
        </w:rPr>
        <w:t>17、</w:t>
      </w:r>
      <w:r>
        <w:rPr>
          <w:rFonts w:hint="eastAsia" w:ascii="宋体" w:hAnsi="宋体" w:eastAsia="宋体" w:cs="宋体"/>
          <w:sz w:val="24"/>
          <w:szCs w:val="24"/>
        </w:rPr>
        <w:t>合同生效及其它</w:t>
      </w:r>
    </w:p>
    <w:p w14:paraId="3292FB28">
      <w:pPr>
        <w:pStyle w:val="10"/>
        <w:tabs>
          <w:tab w:val="left" w:pos="1097"/>
        </w:tabs>
        <w:spacing w:line="336" w:lineRule="auto"/>
        <w:ind w:right="2624" w:firstLine="240" w:firstLineChars="100"/>
        <w:jc w:val="left"/>
        <w:rPr>
          <w:rFonts w:hint="eastAsia" w:ascii="宋体" w:hAnsi="宋体" w:eastAsia="宋体" w:cs="宋体"/>
          <w:sz w:val="24"/>
          <w:szCs w:val="24"/>
        </w:rPr>
      </w:pPr>
      <w:r>
        <w:rPr>
          <w:rFonts w:hint="eastAsia" w:ascii="宋体" w:hAnsi="宋体" w:eastAsia="宋体" w:cs="宋体"/>
          <w:sz w:val="24"/>
          <w:szCs w:val="24"/>
        </w:rPr>
        <w:t>17.1下列条件全部符合后，合同生效： 双方法定代表人或授权代表签字并加盖单位公章；</w:t>
      </w:r>
    </w:p>
    <w:p w14:paraId="17835261">
      <w:pPr>
        <w:pStyle w:val="10"/>
        <w:tabs>
          <w:tab w:val="left" w:pos="1097"/>
        </w:tabs>
        <w:spacing w:before="58" w:line="240" w:lineRule="auto"/>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17.2下述合同附件为本合同不可分割的部分并与本合同具有同等效力：</w:t>
      </w:r>
    </w:p>
    <w:p w14:paraId="552470E4">
      <w:pPr>
        <w:pStyle w:val="10"/>
        <w:spacing w:line="240" w:lineRule="auto"/>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（1）招标文件</w:t>
      </w:r>
    </w:p>
    <w:p w14:paraId="11DD0E71">
      <w:pPr>
        <w:pStyle w:val="10"/>
        <w:spacing w:before="133" w:line="360" w:lineRule="auto"/>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（2）中标文件（如被甲方接受）</w:t>
      </w:r>
    </w:p>
    <w:p w14:paraId="70ECAF35">
      <w:pPr>
        <w:pStyle w:val="10"/>
        <w:spacing w:line="360" w:lineRule="auto"/>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（3）中标通知书</w:t>
      </w:r>
    </w:p>
    <w:p w14:paraId="66D3DAA6">
      <w:pPr>
        <w:pStyle w:val="10"/>
        <w:tabs>
          <w:tab w:val="left" w:pos="1877"/>
          <w:tab w:val="left" w:pos="3163"/>
          <w:tab w:val="left" w:pos="4623"/>
          <w:tab w:val="left" w:pos="6082"/>
          <w:tab w:val="left" w:pos="7539"/>
        </w:tabs>
        <w:spacing w:before="133" w:line="336" w:lineRule="auto"/>
        <w:ind w:right="116" w:firstLine="240" w:firstLineChars="100"/>
        <w:jc w:val="left"/>
        <w:rPr>
          <w:rFonts w:hint="eastAsia"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pacing w:val="10"/>
          <w:sz w:val="24"/>
          <w:szCs w:val="24"/>
        </w:rPr>
        <w:t xml:space="preserve"> </w:t>
      </w:r>
      <w:r>
        <w:rPr>
          <w:rFonts w:hint="eastAsia" w:ascii="宋体" w:hAnsi="宋体" w:eastAsia="宋体" w:cs="宋体"/>
          <w:sz w:val="24"/>
          <w:szCs w:val="24"/>
        </w:rPr>
        <w:t>本合同正本一式</w:t>
      </w:r>
      <w:r>
        <w:rPr>
          <w:rFonts w:hint="eastAsia" w:ascii="宋体" w:hAnsi="宋体" w:eastAsia="宋体" w:cs="宋体"/>
          <w:sz w:val="24"/>
          <w:szCs w:val="24"/>
          <w:u w:val="single" w:color="000000"/>
        </w:rPr>
        <w:tab/>
      </w:r>
      <w:r>
        <w:rPr>
          <w:rFonts w:hint="eastAsia" w:ascii="宋体" w:hAnsi="宋体" w:eastAsia="宋体" w:cs="宋体"/>
          <w:sz w:val="24"/>
          <w:szCs w:val="24"/>
        </w:rPr>
        <w:t>份，甲方</w:t>
      </w:r>
      <w:r>
        <w:rPr>
          <w:rFonts w:hint="eastAsia" w:ascii="宋体" w:hAnsi="宋体" w:eastAsia="宋体" w:cs="宋体"/>
          <w:sz w:val="24"/>
          <w:szCs w:val="24"/>
          <w:u w:val="single" w:color="000000"/>
        </w:rPr>
        <w:tab/>
      </w:r>
      <w:r>
        <w:rPr>
          <w:rFonts w:hint="eastAsia" w:ascii="宋体" w:hAnsi="宋体" w:eastAsia="宋体" w:cs="宋体"/>
          <w:sz w:val="24"/>
          <w:szCs w:val="24"/>
        </w:rPr>
        <w:t>份，乙方</w:t>
      </w:r>
      <w:r>
        <w:rPr>
          <w:rFonts w:hint="eastAsia" w:ascii="宋体" w:hAnsi="宋体" w:eastAsia="宋体" w:cs="宋体"/>
          <w:sz w:val="24"/>
          <w:szCs w:val="24"/>
          <w:u w:val="single" w:color="000000"/>
        </w:rPr>
        <w:tab/>
      </w:r>
      <w:r>
        <w:rPr>
          <w:rFonts w:hint="eastAsia" w:ascii="宋体" w:hAnsi="宋体" w:eastAsia="宋体" w:cs="宋体"/>
          <w:sz w:val="24"/>
          <w:szCs w:val="24"/>
        </w:rPr>
        <w:t>份；副本</w:t>
      </w:r>
      <w:r>
        <w:rPr>
          <w:rFonts w:hint="eastAsia" w:ascii="宋体" w:hAnsi="宋体" w:eastAsia="宋体" w:cs="宋体"/>
          <w:sz w:val="24"/>
          <w:szCs w:val="24"/>
          <w:u w:val="single" w:color="000000"/>
        </w:rPr>
        <w:tab/>
      </w:r>
      <w:r>
        <w:rPr>
          <w:rFonts w:hint="eastAsia" w:ascii="宋体" w:hAnsi="宋体" w:eastAsia="宋体" w:cs="宋体"/>
          <w:sz w:val="24"/>
          <w:szCs w:val="24"/>
        </w:rPr>
        <w:t>份，甲乙双</w:t>
      </w:r>
      <w:r>
        <w:rPr>
          <w:rFonts w:hint="eastAsia" w:ascii="宋体" w:hAnsi="宋体" w:eastAsia="宋体" w:cs="宋体"/>
          <w:spacing w:val="-113"/>
          <w:sz w:val="24"/>
          <w:szCs w:val="24"/>
        </w:rPr>
        <w:t xml:space="preserve"> </w:t>
      </w:r>
      <w:r>
        <w:rPr>
          <w:rFonts w:hint="eastAsia" w:ascii="宋体" w:hAnsi="宋体" w:eastAsia="宋体" w:cs="宋体"/>
          <w:spacing w:val="-1"/>
          <w:sz w:val="24"/>
          <w:szCs w:val="24"/>
        </w:rPr>
        <w:t>方各</w:t>
      </w:r>
      <w:r>
        <w:rPr>
          <w:rFonts w:hint="eastAsia" w:ascii="宋体" w:hAnsi="宋体" w:eastAsia="宋体" w:cs="宋体"/>
          <w:spacing w:val="-1"/>
          <w:sz w:val="24"/>
          <w:szCs w:val="24"/>
          <w:u w:val="single" w:color="000000"/>
        </w:rPr>
        <w:tab/>
      </w:r>
      <w:r>
        <w:rPr>
          <w:rFonts w:hint="eastAsia" w:ascii="宋体" w:hAnsi="宋体" w:eastAsia="宋体" w:cs="宋体"/>
          <w:sz w:val="24"/>
          <w:szCs w:val="24"/>
        </w:rPr>
        <w:t>份。</w:t>
      </w:r>
    </w:p>
    <w:p w14:paraId="3B6AD88F">
      <w:pPr>
        <w:pStyle w:val="10"/>
        <w:spacing w:before="58" w:line="338" w:lineRule="auto"/>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17.4</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本合同满足条款规定的生效条件后即生效，至双方均履行完各自的合同义务</w:t>
      </w:r>
      <w:r>
        <w:rPr>
          <w:rFonts w:hint="eastAsia" w:ascii="宋体" w:hAnsi="宋体" w:eastAsia="宋体" w:cs="宋体"/>
          <w:sz w:val="24"/>
          <w:szCs w:val="24"/>
        </w:rPr>
        <w:t xml:space="preserve"> 后终止。但有关违约、索赔及争端解决的条款除外。</w:t>
      </w:r>
    </w:p>
    <w:p w14:paraId="2FCDC214">
      <w:pPr>
        <w:spacing w:before="175"/>
        <w:ind w:left="597" w:right="0" w:firstLine="0"/>
        <w:jc w:val="center"/>
        <w:rPr>
          <w:rFonts w:hint="eastAsia" w:ascii="宋体" w:hAnsi="宋体" w:eastAsia="宋体" w:cs="宋体"/>
          <w:sz w:val="24"/>
          <w:szCs w:val="24"/>
        </w:rPr>
      </w:pPr>
      <w:r>
        <w:rPr>
          <w:rFonts w:hint="eastAsia" w:ascii="宋体" w:hAnsi="宋体" w:eastAsia="宋体" w:cs="宋体"/>
          <w:b/>
          <w:bCs/>
          <w:sz w:val="24"/>
          <w:szCs w:val="24"/>
        </w:rPr>
        <w:t>合同书</w:t>
      </w:r>
    </w:p>
    <w:p w14:paraId="01640396">
      <w:pPr>
        <w:spacing w:before="0" w:line="240" w:lineRule="auto"/>
        <w:rPr>
          <w:rFonts w:hint="eastAsia" w:ascii="宋体" w:hAnsi="宋体" w:eastAsia="宋体" w:cs="宋体"/>
          <w:b/>
          <w:bCs/>
          <w:sz w:val="24"/>
          <w:szCs w:val="24"/>
        </w:rPr>
      </w:pPr>
    </w:p>
    <w:p w14:paraId="60D551D6">
      <w:pPr>
        <w:spacing w:before="12" w:line="240" w:lineRule="auto"/>
        <w:rPr>
          <w:rFonts w:hint="eastAsia" w:ascii="宋体" w:hAnsi="宋体" w:eastAsia="宋体" w:cs="宋体"/>
          <w:b/>
          <w:bCs/>
          <w:sz w:val="24"/>
          <w:szCs w:val="24"/>
        </w:rPr>
      </w:pPr>
    </w:p>
    <w:p w14:paraId="7A695BA7">
      <w:pPr>
        <w:pStyle w:val="10"/>
        <w:tabs>
          <w:tab w:val="left" w:pos="2436"/>
          <w:tab w:val="left" w:pos="3336"/>
          <w:tab w:val="left" w:pos="4944"/>
          <w:tab w:val="left" w:pos="6315"/>
          <w:tab w:val="left" w:pos="7879"/>
        </w:tabs>
        <w:spacing w:before="26" w:line="336" w:lineRule="auto"/>
        <w:ind w:right="111" w:firstLine="719"/>
        <w:jc w:val="both"/>
        <w:rPr>
          <w:rFonts w:hint="eastAsia" w:ascii="宋体" w:hAnsi="宋体" w:eastAsia="宋体" w:cs="宋体"/>
          <w:sz w:val="24"/>
          <w:szCs w:val="24"/>
        </w:rPr>
      </w:pP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rPr>
        <w:tab/>
      </w:r>
      <w:r>
        <w:rPr>
          <w:rFonts w:hint="eastAsia" w:ascii="宋体" w:hAnsi="宋体" w:eastAsia="宋体" w:cs="宋体"/>
          <w:sz w:val="24"/>
          <w:szCs w:val="24"/>
          <w:u w:val="single" w:color="000000"/>
        </w:rPr>
        <w:tab/>
      </w:r>
      <w:r>
        <w:rPr>
          <w:rFonts w:hint="eastAsia" w:ascii="宋体" w:hAnsi="宋体" w:eastAsia="宋体" w:cs="宋体"/>
          <w:spacing w:val="2"/>
          <w:sz w:val="24"/>
          <w:szCs w:val="24"/>
        </w:rPr>
        <w:t>(甲方)</w:t>
      </w:r>
      <w:r>
        <w:rPr>
          <w:rFonts w:hint="eastAsia" w:ascii="宋体" w:hAnsi="宋体" w:eastAsia="宋体" w:cs="宋体"/>
          <w:spacing w:val="2"/>
          <w:sz w:val="24"/>
          <w:szCs w:val="24"/>
          <w:u w:val="single" w:color="000000"/>
        </w:rPr>
        <w:tab/>
      </w:r>
      <w:r>
        <w:rPr>
          <w:rFonts w:hint="eastAsia" w:ascii="宋体" w:hAnsi="宋体" w:eastAsia="宋体" w:cs="宋体"/>
          <w:spacing w:val="2"/>
          <w:sz w:val="24"/>
          <w:szCs w:val="24"/>
          <w:u w:val="single" w:color="000000"/>
        </w:rPr>
        <w:tab/>
      </w:r>
      <w:r>
        <w:rPr>
          <w:rFonts w:hint="eastAsia" w:ascii="宋体" w:hAnsi="宋体" w:eastAsia="宋体" w:cs="宋体"/>
          <w:spacing w:val="2"/>
          <w:sz w:val="24"/>
          <w:szCs w:val="24"/>
        </w:rPr>
        <w:t>(项目名称)中所需(服务</w:t>
      </w:r>
      <w:r>
        <w:rPr>
          <w:rFonts w:hint="eastAsia" w:ascii="宋体" w:hAnsi="宋体" w:eastAsia="宋体" w:cs="宋体"/>
          <w:sz w:val="24"/>
          <w:szCs w:val="24"/>
        </w:rPr>
        <w:t xml:space="preserve"> </w:t>
      </w:r>
      <w:r>
        <w:rPr>
          <w:rFonts w:hint="eastAsia" w:ascii="宋体" w:hAnsi="宋体" w:eastAsia="宋体" w:cs="宋体"/>
          <w:spacing w:val="-1"/>
          <w:sz w:val="24"/>
          <w:szCs w:val="24"/>
        </w:rPr>
        <w:t>名称)经</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rPr>
        <w:t>(代理机构)以</w:t>
      </w:r>
      <w:r>
        <w:rPr>
          <w:rFonts w:hint="eastAsia" w:ascii="宋体" w:hAnsi="宋体" w:eastAsia="宋体" w:cs="宋体"/>
          <w:spacing w:val="-1"/>
          <w:sz w:val="24"/>
          <w:szCs w:val="24"/>
          <w:u w:val="single" w:color="000000"/>
        </w:rPr>
        <w:tab/>
      </w:r>
      <w:r>
        <w:rPr>
          <w:rFonts w:hint="eastAsia" w:ascii="宋体" w:hAnsi="宋体" w:eastAsia="宋体" w:cs="宋体"/>
          <w:sz w:val="24"/>
          <w:szCs w:val="24"/>
        </w:rPr>
        <w:t>号招标文件在国内</w:t>
      </w:r>
      <w:r>
        <w:rPr>
          <w:rFonts w:hint="eastAsia" w:ascii="宋体" w:hAnsi="宋体" w:eastAsia="宋体" w:cs="宋体"/>
          <w:sz w:val="24"/>
          <w:szCs w:val="24"/>
          <w:u w:val="single" w:color="000000"/>
        </w:rPr>
        <w:tab/>
      </w:r>
      <w:r>
        <w:rPr>
          <w:rFonts w:hint="eastAsia" w:ascii="宋体" w:hAnsi="宋体" w:eastAsia="宋体" w:cs="宋体"/>
          <w:spacing w:val="-22"/>
          <w:sz w:val="24"/>
          <w:szCs w:val="24"/>
        </w:rPr>
        <w:t>采购。经</w:t>
      </w:r>
      <w:r>
        <w:rPr>
          <w:rFonts w:hint="eastAsia" w:ascii="宋体" w:hAnsi="宋体" w:eastAsia="宋体" w:cs="宋体"/>
          <w:sz w:val="24"/>
          <w:szCs w:val="24"/>
        </w:rPr>
        <w:t xml:space="preserve"> </w:t>
      </w:r>
      <w:r>
        <w:rPr>
          <w:rFonts w:hint="eastAsia" w:ascii="宋体" w:hAnsi="宋体" w:eastAsia="宋体" w:cs="宋体"/>
          <w:spacing w:val="2"/>
          <w:sz w:val="24"/>
          <w:szCs w:val="24"/>
        </w:rPr>
        <w:t>评标委员会评定，</w:t>
      </w:r>
      <w:r>
        <w:rPr>
          <w:rFonts w:hint="eastAsia" w:ascii="宋体" w:hAnsi="宋体" w:eastAsia="宋体" w:cs="宋体"/>
          <w:spacing w:val="2"/>
          <w:sz w:val="24"/>
          <w:szCs w:val="24"/>
          <w:u w:val="single" w:color="000000"/>
        </w:rPr>
        <w:tab/>
      </w:r>
      <w:r>
        <w:rPr>
          <w:rFonts w:hint="eastAsia" w:ascii="宋体" w:hAnsi="宋体" w:eastAsia="宋体" w:cs="宋体"/>
          <w:spacing w:val="2"/>
          <w:sz w:val="24"/>
          <w:szCs w:val="24"/>
          <w:u w:val="single" w:color="000000"/>
        </w:rPr>
        <w:tab/>
      </w:r>
      <w:r>
        <w:rPr>
          <w:rFonts w:hint="eastAsia" w:ascii="宋体" w:hAnsi="宋体" w:eastAsia="宋体" w:cs="宋体"/>
          <w:spacing w:val="2"/>
          <w:sz w:val="24"/>
          <w:szCs w:val="24"/>
        </w:rPr>
        <w:t>(乙方)为中标人。甲乙双方同意按照</w:t>
      </w:r>
      <w:r>
        <w:rPr>
          <w:rFonts w:hint="eastAsia" w:ascii="宋体" w:hAnsi="宋体" w:eastAsia="宋体" w:cs="宋体"/>
          <w:spacing w:val="-115"/>
          <w:sz w:val="24"/>
          <w:szCs w:val="24"/>
        </w:rPr>
        <w:t xml:space="preserve"> </w:t>
      </w:r>
      <w:r>
        <w:rPr>
          <w:rFonts w:hint="eastAsia" w:ascii="宋体" w:hAnsi="宋体" w:eastAsia="宋体" w:cs="宋体"/>
          <w:sz w:val="24"/>
          <w:szCs w:val="24"/>
        </w:rPr>
        <w:t>下面的条款和条件，签署本合同。</w:t>
      </w:r>
    </w:p>
    <w:p w14:paraId="5203FCEA">
      <w:pPr>
        <w:pStyle w:val="3"/>
        <w:spacing w:before="58" w:line="240" w:lineRule="auto"/>
        <w:ind w:right="0"/>
        <w:jc w:val="left"/>
        <w:rPr>
          <w:rFonts w:hint="eastAsia" w:ascii="宋体" w:hAnsi="宋体" w:eastAsia="宋体" w:cs="宋体"/>
          <w:b w:val="0"/>
          <w:bCs w:val="0"/>
          <w:sz w:val="24"/>
          <w:szCs w:val="24"/>
        </w:rPr>
      </w:pPr>
      <w:r>
        <w:rPr>
          <w:rFonts w:hint="eastAsia" w:ascii="宋体" w:hAnsi="宋体" w:eastAsia="宋体" w:cs="宋体"/>
          <w:sz w:val="24"/>
          <w:szCs w:val="24"/>
        </w:rPr>
        <w:t>1、合同文件</w:t>
      </w:r>
    </w:p>
    <w:p w14:paraId="2101F922">
      <w:pPr>
        <w:pStyle w:val="10"/>
        <w:spacing w:line="357" w:lineRule="auto"/>
        <w:ind w:right="113" w:firstLine="468" w:firstLineChars="200"/>
        <w:jc w:val="left"/>
        <w:rPr>
          <w:rFonts w:hint="eastAsia" w:ascii="宋体" w:hAnsi="宋体" w:eastAsia="宋体" w:cs="宋体"/>
          <w:sz w:val="24"/>
          <w:szCs w:val="24"/>
        </w:rPr>
      </w:pPr>
      <w:r>
        <w:rPr>
          <w:rFonts w:hint="eastAsia" w:ascii="宋体" w:hAnsi="宋体" w:eastAsia="宋体" w:cs="宋体"/>
          <w:spacing w:val="-3"/>
          <w:sz w:val="24"/>
          <w:szCs w:val="24"/>
        </w:rPr>
        <w:t>下列文件构成本合同的组成部分，应该认为是一个整体，彼此相互解释，相</w:t>
      </w:r>
      <w:r>
        <w:rPr>
          <w:rFonts w:hint="eastAsia" w:ascii="宋体" w:hAnsi="宋体" w:eastAsia="宋体" w:cs="宋体"/>
          <w:spacing w:val="-106"/>
          <w:sz w:val="24"/>
          <w:szCs w:val="24"/>
        </w:rPr>
        <w:t xml:space="preserve"> </w:t>
      </w:r>
      <w:r>
        <w:rPr>
          <w:rFonts w:hint="eastAsia" w:ascii="宋体" w:hAnsi="宋体" w:eastAsia="宋体" w:cs="宋体"/>
          <w:sz w:val="24"/>
          <w:szCs w:val="24"/>
        </w:rPr>
        <w:t>互补充。为便于解释，组成合同的多个文件的优先支配地位的次序如下：</w:t>
      </w:r>
    </w:p>
    <w:p w14:paraId="032E6363">
      <w:pPr>
        <w:pStyle w:val="10"/>
        <w:spacing w:before="133" w:line="240" w:lineRule="auto"/>
        <w:ind w:left="977" w:right="0"/>
        <w:jc w:val="left"/>
        <w:rPr>
          <w:rFonts w:hint="eastAsia" w:ascii="宋体" w:hAnsi="宋体" w:eastAsia="宋体" w:cs="宋体"/>
          <w:sz w:val="24"/>
          <w:szCs w:val="24"/>
        </w:rPr>
      </w:pPr>
      <w:r>
        <w:rPr>
          <w:rFonts w:hint="eastAsia" w:ascii="宋体" w:hAnsi="宋体" w:eastAsia="宋体" w:cs="宋体"/>
          <w:sz w:val="24"/>
          <w:szCs w:val="24"/>
        </w:rPr>
        <w:t>a.  本合同书</w:t>
      </w:r>
    </w:p>
    <w:p w14:paraId="6C6F87FA">
      <w:pPr>
        <w:pStyle w:val="10"/>
        <w:spacing w:before="133" w:line="240" w:lineRule="auto"/>
        <w:ind w:left="977" w:right="0"/>
        <w:jc w:val="left"/>
        <w:rPr>
          <w:rFonts w:hint="eastAsia" w:ascii="宋体" w:hAnsi="宋体" w:eastAsia="宋体" w:cs="宋体"/>
          <w:sz w:val="24"/>
          <w:szCs w:val="24"/>
        </w:rPr>
      </w:pPr>
      <w:r>
        <w:rPr>
          <w:rFonts w:hint="eastAsia" w:ascii="宋体" w:hAnsi="宋体" w:eastAsia="宋体" w:cs="宋体"/>
          <w:sz w:val="24"/>
          <w:szCs w:val="24"/>
        </w:rPr>
        <w:t>b.  中标通知书</w:t>
      </w:r>
    </w:p>
    <w:p w14:paraId="524DE05F">
      <w:pPr>
        <w:pStyle w:val="10"/>
        <w:spacing w:before="133" w:line="240" w:lineRule="auto"/>
        <w:ind w:left="977" w:right="0"/>
        <w:jc w:val="left"/>
        <w:rPr>
          <w:rFonts w:hint="eastAsia" w:ascii="宋体" w:hAnsi="宋体" w:eastAsia="宋体" w:cs="宋体"/>
          <w:sz w:val="24"/>
          <w:szCs w:val="24"/>
        </w:rPr>
      </w:pPr>
      <w:r>
        <w:rPr>
          <w:rFonts w:hint="eastAsia" w:ascii="宋体" w:hAnsi="宋体" w:eastAsia="宋体" w:cs="宋体"/>
          <w:sz w:val="24"/>
          <w:szCs w:val="24"/>
        </w:rPr>
        <w:t>c.  合同条款</w:t>
      </w:r>
    </w:p>
    <w:p w14:paraId="1C96A11A">
      <w:pPr>
        <w:pStyle w:val="10"/>
        <w:spacing w:before="133" w:line="240" w:lineRule="auto"/>
        <w:ind w:left="977" w:right="0"/>
        <w:jc w:val="left"/>
        <w:rPr>
          <w:rFonts w:hint="eastAsia" w:ascii="宋体" w:hAnsi="宋体" w:eastAsia="宋体" w:cs="宋体"/>
          <w:sz w:val="24"/>
          <w:szCs w:val="24"/>
        </w:rPr>
      </w:pPr>
      <w:r>
        <w:rPr>
          <w:rFonts w:hint="eastAsia" w:ascii="宋体" w:hAnsi="宋体" w:eastAsia="宋体" w:cs="宋体"/>
          <w:sz w:val="24"/>
          <w:szCs w:val="24"/>
        </w:rPr>
        <w:t>d.  中标文件</w:t>
      </w:r>
      <w:r>
        <w:rPr>
          <w:rFonts w:hint="eastAsia" w:ascii="宋体" w:hAnsi="宋体" w:eastAsia="宋体" w:cs="宋体"/>
          <w:sz w:val="24"/>
          <w:szCs w:val="24"/>
        </w:rPr>
        <w:tab/>
      </w:r>
      <w:r>
        <w:rPr>
          <w:rFonts w:hint="eastAsia" w:ascii="宋体" w:hAnsi="宋体" w:eastAsia="宋体" w:cs="宋体"/>
          <w:sz w:val="24"/>
          <w:szCs w:val="24"/>
        </w:rPr>
        <w:t>(含澄清文件)</w:t>
      </w:r>
    </w:p>
    <w:p w14:paraId="4FE6FC6D">
      <w:pPr>
        <w:pStyle w:val="10"/>
        <w:spacing w:before="133" w:line="240" w:lineRule="auto"/>
        <w:ind w:left="977" w:right="0"/>
        <w:jc w:val="left"/>
        <w:rPr>
          <w:rFonts w:hint="eastAsia" w:ascii="宋体" w:hAnsi="宋体" w:eastAsia="宋体" w:cs="宋体"/>
          <w:sz w:val="24"/>
          <w:szCs w:val="24"/>
        </w:rPr>
      </w:pPr>
      <w:r>
        <w:rPr>
          <w:rFonts w:hint="eastAsia" w:ascii="宋体" w:hAnsi="宋体" w:eastAsia="宋体" w:cs="宋体"/>
          <w:sz w:val="24"/>
          <w:szCs w:val="24"/>
        </w:rPr>
        <w:t>e. 招标文件</w:t>
      </w:r>
      <w:r>
        <w:rPr>
          <w:rFonts w:hint="eastAsia" w:ascii="宋体" w:hAnsi="宋体" w:eastAsia="宋体" w:cs="宋体"/>
          <w:sz w:val="24"/>
          <w:szCs w:val="24"/>
        </w:rPr>
        <w:tab/>
      </w:r>
      <w:r>
        <w:rPr>
          <w:rFonts w:hint="eastAsia" w:ascii="宋体" w:hAnsi="宋体" w:eastAsia="宋体" w:cs="宋体"/>
          <w:sz w:val="24"/>
          <w:szCs w:val="24"/>
        </w:rPr>
        <w:t>(含补充通知)</w:t>
      </w:r>
    </w:p>
    <w:p w14:paraId="4E21E95B">
      <w:pPr>
        <w:pStyle w:val="3"/>
        <w:spacing w:line="240" w:lineRule="auto"/>
        <w:ind w:right="0"/>
        <w:jc w:val="left"/>
        <w:rPr>
          <w:rFonts w:hint="eastAsia" w:ascii="宋体" w:hAnsi="宋体" w:eastAsia="宋体" w:cs="宋体"/>
          <w:b w:val="0"/>
          <w:bCs w:val="0"/>
          <w:sz w:val="24"/>
          <w:szCs w:val="24"/>
        </w:rPr>
      </w:pPr>
      <w:r>
        <w:rPr>
          <w:rFonts w:hint="eastAsia" w:ascii="宋体" w:hAnsi="宋体" w:eastAsia="宋体" w:cs="宋体"/>
          <w:sz w:val="24"/>
          <w:szCs w:val="24"/>
        </w:rPr>
        <w:t>2、合同总价</w:t>
      </w:r>
    </w:p>
    <w:p w14:paraId="6A340931">
      <w:pPr>
        <w:tabs>
          <w:tab w:val="left" w:pos="3197"/>
          <w:tab w:val="left" w:pos="4559"/>
        </w:tabs>
        <w:spacing w:before="135" w:line="357" w:lineRule="auto"/>
        <w:ind w:left="437" w:right="4288" w:firstLine="0"/>
        <w:jc w:val="left"/>
        <w:rPr>
          <w:rFonts w:hint="eastAsia" w:ascii="宋体" w:hAnsi="宋体" w:eastAsia="宋体" w:cs="宋体"/>
          <w:sz w:val="24"/>
          <w:szCs w:val="24"/>
        </w:rPr>
      </w:pPr>
      <w:r>
        <w:rPr>
          <w:rFonts w:hint="eastAsia" w:ascii="宋体" w:hAnsi="宋体" w:eastAsia="宋体" w:cs="宋体"/>
          <w:spacing w:val="-1"/>
          <w:sz w:val="24"/>
          <w:szCs w:val="24"/>
        </w:rPr>
        <w:t>本合同总价为</w:t>
      </w:r>
      <w:r>
        <w:rPr>
          <w:rFonts w:hint="eastAsia" w:ascii="宋体" w:hAnsi="宋体" w:eastAsia="宋体" w:cs="宋体"/>
          <w:spacing w:val="-1"/>
          <w:sz w:val="24"/>
          <w:szCs w:val="24"/>
          <w:u w:val="single" w:color="000000"/>
        </w:rPr>
        <w:tab/>
      </w:r>
      <w:r>
        <w:rPr>
          <w:rFonts w:hint="eastAsia" w:ascii="宋体" w:hAnsi="宋体" w:eastAsia="宋体" w:cs="宋体"/>
          <w:sz w:val="24"/>
          <w:szCs w:val="24"/>
        </w:rPr>
        <w:t>元人民币。 分项价格：</w:t>
      </w: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rPr>
        <w:tab/>
      </w:r>
      <w:r>
        <w:rPr>
          <w:rFonts w:hint="eastAsia" w:ascii="宋体" w:hAnsi="宋体" w:eastAsia="宋体" w:cs="宋体"/>
          <w:sz w:val="24"/>
          <w:szCs w:val="24"/>
          <w:u w:val="single" w:color="000000"/>
        </w:rPr>
        <w:tab/>
      </w:r>
      <w:r>
        <w:rPr>
          <w:rFonts w:hint="eastAsia" w:ascii="宋体" w:hAnsi="宋体" w:eastAsia="宋体" w:cs="宋体"/>
          <w:w w:val="28"/>
          <w:sz w:val="24"/>
          <w:szCs w:val="24"/>
          <w:u w:val="single" w:color="000000"/>
        </w:rPr>
        <w:t xml:space="preserve"> </w:t>
      </w:r>
      <w:r>
        <w:rPr>
          <w:rFonts w:hint="eastAsia" w:ascii="宋体" w:hAnsi="宋体" w:eastAsia="宋体" w:cs="宋体"/>
          <w:sz w:val="24"/>
          <w:szCs w:val="24"/>
        </w:rPr>
        <w:t xml:space="preserve"> </w:t>
      </w:r>
    </w:p>
    <w:p w14:paraId="16AA53BC">
      <w:pPr>
        <w:tabs>
          <w:tab w:val="left" w:pos="3197"/>
          <w:tab w:val="left" w:pos="4559"/>
        </w:tabs>
        <w:spacing w:before="135" w:line="357" w:lineRule="auto"/>
        <w:ind w:right="4288"/>
        <w:jc w:val="left"/>
        <w:rPr>
          <w:rFonts w:hint="eastAsia" w:ascii="宋体" w:hAnsi="宋体" w:eastAsia="宋体" w:cs="宋体"/>
          <w:sz w:val="24"/>
          <w:szCs w:val="24"/>
        </w:rPr>
      </w:pPr>
      <w:r>
        <w:rPr>
          <w:rFonts w:hint="eastAsia" w:ascii="宋体" w:hAnsi="宋体" w:eastAsia="宋体" w:cs="宋体"/>
          <w:b/>
          <w:bCs/>
          <w:sz w:val="24"/>
          <w:szCs w:val="24"/>
        </w:rPr>
        <w:t>3、付款方式</w:t>
      </w:r>
    </w:p>
    <w:p w14:paraId="0BD6B724">
      <w:pPr>
        <w:pStyle w:val="10"/>
        <w:tabs>
          <w:tab w:val="left" w:pos="6736"/>
        </w:tabs>
        <w:spacing w:before="5" w:line="240" w:lineRule="auto"/>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本合同的付款方式为：</w:t>
      </w: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rPr>
        <w:tab/>
      </w:r>
    </w:p>
    <w:p w14:paraId="2BFFBB34">
      <w:pPr>
        <w:pStyle w:val="3"/>
        <w:spacing w:before="151" w:line="240" w:lineRule="auto"/>
        <w:ind w:right="0"/>
        <w:jc w:val="left"/>
        <w:rPr>
          <w:rFonts w:hint="eastAsia" w:ascii="宋体" w:hAnsi="宋体" w:eastAsia="宋体" w:cs="宋体"/>
          <w:b w:val="0"/>
          <w:bCs w:val="0"/>
          <w:sz w:val="24"/>
          <w:szCs w:val="24"/>
        </w:rPr>
      </w:pPr>
      <w:r>
        <w:rPr>
          <w:rFonts w:hint="eastAsia" w:ascii="宋体" w:hAnsi="宋体" w:eastAsia="宋体" w:cs="宋体"/>
          <w:sz w:val="24"/>
          <w:szCs w:val="24"/>
        </w:rPr>
        <w:t>4、本合同的项目完成时间及地点</w:t>
      </w:r>
    </w:p>
    <w:p w14:paraId="63DD6974">
      <w:pPr>
        <w:tabs>
          <w:tab w:val="left" w:pos="5056"/>
          <w:tab w:val="left" w:pos="5999"/>
        </w:tabs>
        <w:spacing w:before="133" w:line="357" w:lineRule="auto"/>
        <w:ind w:left="437" w:right="2848" w:firstLine="0"/>
        <w:jc w:val="left"/>
        <w:rPr>
          <w:rFonts w:hint="eastAsia" w:ascii="宋体" w:hAnsi="宋体" w:eastAsia="宋体" w:cs="宋体"/>
          <w:sz w:val="24"/>
          <w:szCs w:val="24"/>
        </w:rPr>
      </w:pPr>
      <w:r>
        <w:rPr>
          <w:rFonts w:hint="eastAsia" w:ascii="宋体" w:hAnsi="宋体" w:eastAsia="宋体" w:cs="宋体"/>
          <w:sz w:val="24"/>
          <w:szCs w:val="24"/>
        </w:rPr>
        <w:t>项目完成时间：</w:t>
      </w: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rPr>
        <w:tab/>
      </w:r>
      <w:r>
        <w:rPr>
          <w:rFonts w:hint="eastAsia" w:ascii="宋体" w:hAnsi="宋体" w:eastAsia="宋体" w:cs="宋体"/>
          <w:sz w:val="24"/>
          <w:szCs w:val="24"/>
          <w:u w:val="single" w:color="000000"/>
        </w:rPr>
        <w:tab/>
      </w:r>
      <w:r>
        <w:rPr>
          <w:rFonts w:hint="eastAsia" w:ascii="宋体" w:hAnsi="宋体" w:eastAsia="宋体" w:cs="宋体"/>
          <w:w w:val="28"/>
          <w:sz w:val="24"/>
          <w:szCs w:val="24"/>
          <w:u w:val="single" w:color="000000"/>
        </w:rPr>
        <w:t xml:space="preserve"> </w:t>
      </w:r>
      <w:r>
        <w:rPr>
          <w:rFonts w:hint="eastAsia" w:ascii="宋体" w:hAnsi="宋体" w:eastAsia="宋体" w:cs="宋体"/>
          <w:sz w:val="24"/>
          <w:szCs w:val="24"/>
        </w:rPr>
        <w:t xml:space="preserve"> 地点：</w:t>
      </w: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rPr>
        <w:tab/>
      </w:r>
      <w:r>
        <w:rPr>
          <w:rFonts w:hint="eastAsia" w:ascii="宋体" w:hAnsi="宋体" w:eastAsia="宋体" w:cs="宋体"/>
          <w:sz w:val="24"/>
          <w:szCs w:val="24"/>
        </w:rPr>
        <w:t xml:space="preserve"> </w:t>
      </w:r>
    </w:p>
    <w:p w14:paraId="36376425">
      <w:pPr>
        <w:tabs>
          <w:tab w:val="left" w:pos="5056"/>
          <w:tab w:val="left" w:pos="5999"/>
        </w:tabs>
        <w:spacing w:before="133" w:line="357" w:lineRule="auto"/>
        <w:ind w:right="2848"/>
        <w:jc w:val="left"/>
        <w:rPr>
          <w:rFonts w:hint="eastAsia" w:ascii="宋体" w:hAnsi="宋体" w:eastAsia="宋体" w:cs="宋体"/>
          <w:sz w:val="24"/>
          <w:szCs w:val="24"/>
        </w:rPr>
      </w:pPr>
      <w:r>
        <w:rPr>
          <w:rFonts w:hint="eastAsia" w:ascii="宋体" w:hAnsi="宋体" w:eastAsia="宋体" w:cs="宋体"/>
          <w:b/>
          <w:bCs/>
          <w:sz w:val="24"/>
          <w:szCs w:val="24"/>
        </w:rPr>
        <w:t>5、合同的生效</w:t>
      </w:r>
    </w:p>
    <w:p w14:paraId="0A788067">
      <w:pPr>
        <w:pStyle w:val="10"/>
        <w:spacing w:before="5" w:line="240" w:lineRule="auto"/>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本合同经双方全权代表签署、加盖单位公章后生效。</w:t>
      </w:r>
    </w:p>
    <w:p w14:paraId="260B2103">
      <w:pPr>
        <w:pStyle w:val="10"/>
        <w:tabs>
          <w:tab w:val="left" w:pos="1397"/>
          <w:tab w:val="left" w:pos="3616"/>
          <w:tab w:val="left" w:pos="4637"/>
          <w:tab w:val="left" w:pos="5117"/>
          <w:tab w:val="left" w:pos="7456"/>
        </w:tabs>
        <w:spacing w:before="154" w:line="240" w:lineRule="auto"/>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甲</w:t>
      </w:r>
      <w:r>
        <w:rPr>
          <w:rFonts w:hint="eastAsia" w:ascii="宋体" w:hAnsi="宋体" w:eastAsia="宋体" w:cs="宋体"/>
          <w:sz w:val="24"/>
          <w:szCs w:val="24"/>
          <w:lang w:val="en-US" w:eastAsia="zh-CN"/>
        </w:rPr>
        <w:t xml:space="preserve">  </w:t>
      </w:r>
      <w:r>
        <w:rPr>
          <w:rFonts w:hint="eastAsia" w:ascii="宋体" w:hAnsi="宋体" w:eastAsia="宋体" w:cs="宋体"/>
          <w:spacing w:val="-1"/>
          <w:sz w:val="24"/>
          <w:szCs w:val="24"/>
        </w:rPr>
        <w:t>方：</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rPr>
        <w:tab/>
      </w:r>
      <w:r>
        <w:rPr>
          <w:rFonts w:hint="eastAsia" w:ascii="宋体" w:hAnsi="宋体" w:eastAsia="宋体" w:cs="宋体"/>
          <w:sz w:val="24"/>
          <w:szCs w:val="24"/>
        </w:rPr>
        <w:t>乙</w:t>
      </w:r>
      <w:r>
        <w:rPr>
          <w:rFonts w:hint="eastAsia" w:ascii="宋体" w:hAnsi="宋体" w:eastAsia="宋体" w:cs="宋体"/>
          <w:sz w:val="24"/>
          <w:szCs w:val="24"/>
        </w:rPr>
        <w:tab/>
      </w:r>
      <w:r>
        <w:rPr>
          <w:rFonts w:hint="eastAsia" w:ascii="宋体" w:hAnsi="宋体" w:eastAsia="宋体" w:cs="宋体"/>
          <w:spacing w:val="-1"/>
          <w:sz w:val="24"/>
          <w:szCs w:val="24"/>
        </w:rPr>
        <w:t>方：</w:t>
      </w: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rPr>
        <w:tab/>
      </w:r>
    </w:p>
    <w:p w14:paraId="7A110E81">
      <w:pPr>
        <w:spacing w:before="0" w:line="240" w:lineRule="auto"/>
        <w:rPr>
          <w:rFonts w:hint="eastAsia" w:ascii="宋体" w:hAnsi="宋体" w:eastAsia="宋体" w:cs="宋体"/>
          <w:sz w:val="24"/>
          <w:szCs w:val="24"/>
        </w:rPr>
      </w:pPr>
    </w:p>
    <w:p w14:paraId="0973901D">
      <w:pPr>
        <w:spacing w:before="0" w:line="240" w:lineRule="auto"/>
        <w:rPr>
          <w:rFonts w:hint="eastAsia" w:ascii="宋体" w:hAnsi="宋体" w:eastAsia="宋体" w:cs="宋体"/>
          <w:sz w:val="24"/>
          <w:szCs w:val="24"/>
        </w:rPr>
      </w:pPr>
    </w:p>
    <w:p w14:paraId="3F97D1F8">
      <w:pPr>
        <w:pStyle w:val="10"/>
        <w:tabs>
          <w:tab w:val="left" w:pos="1397"/>
          <w:tab w:val="left" w:pos="4675"/>
          <w:tab w:val="left" w:pos="5155"/>
        </w:tabs>
        <w:spacing w:before="26" w:line="240" w:lineRule="auto"/>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pacing w:val="-1"/>
          <w:sz w:val="24"/>
          <w:szCs w:val="24"/>
        </w:rPr>
        <w:t>称：(公章)</w:t>
      </w:r>
      <w:r>
        <w:rPr>
          <w:rFonts w:hint="eastAsia" w:ascii="宋体" w:hAnsi="宋体" w:eastAsia="宋体" w:cs="宋体"/>
          <w:spacing w:val="-1"/>
          <w:sz w:val="24"/>
          <w:szCs w:val="24"/>
        </w:rPr>
        <w:tab/>
      </w:r>
      <w:r>
        <w:rPr>
          <w:rFonts w:hint="eastAsia" w:ascii="宋体" w:hAnsi="宋体" w:eastAsia="宋体" w:cs="宋体"/>
          <w:sz w:val="24"/>
          <w:szCs w:val="24"/>
        </w:rPr>
        <w:t>名</w:t>
      </w:r>
      <w:r>
        <w:rPr>
          <w:rFonts w:hint="eastAsia" w:ascii="宋体" w:hAnsi="宋体" w:eastAsia="宋体" w:cs="宋体"/>
          <w:sz w:val="24"/>
          <w:szCs w:val="24"/>
        </w:rPr>
        <w:tab/>
      </w:r>
      <w:r>
        <w:rPr>
          <w:rFonts w:hint="eastAsia" w:ascii="宋体" w:hAnsi="宋体" w:eastAsia="宋体" w:cs="宋体"/>
          <w:spacing w:val="-1"/>
          <w:sz w:val="24"/>
          <w:szCs w:val="24"/>
        </w:rPr>
        <w:t>称：(公章)</w:t>
      </w:r>
    </w:p>
    <w:p w14:paraId="2468007F">
      <w:pPr>
        <w:spacing w:before="0" w:line="240" w:lineRule="auto"/>
        <w:rPr>
          <w:rFonts w:hint="eastAsia" w:ascii="宋体" w:hAnsi="宋体" w:eastAsia="宋体" w:cs="宋体"/>
          <w:sz w:val="24"/>
          <w:szCs w:val="24"/>
        </w:rPr>
      </w:pPr>
    </w:p>
    <w:p w14:paraId="6F21C522">
      <w:pPr>
        <w:spacing w:before="8" w:line="240" w:lineRule="auto"/>
        <w:rPr>
          <w:rFonts w:hint="eastAsia" w:ascii="宋体" w:hAnsi="宋体" w:eastAsia="宋体" w:cs="宋体"/>
          <w:sz w:val="24"/>
          <w:szCs w:val="24"/>
        </w:rPr>
      </w:pPr>
    </w:p>
    <w:p w14:paraId="566618F7">
      <w:pPr>
        <w:pStyle w:val="10"/>
        <w:tabs>
          <w:tab w:val="left" w:pos="1397"/>
          <w:tab w:val="left" w:pos="1877"/>
          <w:tab w:val="left" w:pos="4757"/>
          <w:tab w:val="left" w:pos="5237"/>
          <w:tab w:val="left" w:pos="5717"/>
        </w:tabs>
        <w:spacing w:before="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56D58DC3">
      <w:pPr>
        <w:pStyle w:val="10"/>
        <w:tabs>
          <w:tab w:val="left" w:pos="3535"/>
          <w:tab w:val="left" w:pos="5057"/>
          <w:tab w:val="left" w:pos="7795"/>
        </w:tabs>
        <w:spacing w:before="26" w:line="240" w:lineRule="auto"/>
        <w:ind w:right="0"/>
        <w:jc w:val="left"/>
        <w:rPr>
          <w:rFonts w:hint="eastAsia" w:ascii="宋体" w:hAnsi="宋体" w:eastAsia="宋体" w:cs="宋体"/>
          <w:spacing w:val="-1"/>
          <w:sz w:val="24"/>
          <w:szCs w:val="24"/>
        </w:rPr>
      </w:pPr>
    </w:p>
    <w:p w14:paraId="4591DA54">
      <w:pPr>
        <w:pStyle w:val="10"/>
        <w:tabs>
          <w:tab w:val="left" w:pos="3535"/>
          <w:tab w:val="left" w:pos="5057"/>
          <w:tab w:val="left" w:pos="7795"/>
        </w:tabs>
        <w:spacing w:before="26" w:line="240" w:lineRule="auto"/>
        <w:ind w:right="0"/>
        <w:jc w:val="left"/>
        <w:rPr>
          <w:rFonts w:hint="eastAsia" w:ascii="宋体" w:hAnsi="宋体" w:eastAsia="宋体" w:cs="宋体"/>
          <w:spacing w:val="-1"/>
          <w:sz w:val="24"/>
          <w:szCs w:val="24"/>
        </w:rPr>
      </w:pPr>
    </w:p>
    <w:p w14:paraId="385812A6">
      <w:pPr>
        <w:pStyle w:val="10"/>
        <w:tabs>
          <w:tab w:val="left" w:pos="3535"/>
          <w:tab w:val="left" w:pos="5057"/>
          <w:tab w:val="left" w:pos="7795"/>
        </w:tabs>
        <w:spacing w:before="26" w:line="240" w:lineRule="auto"/>
        <w:ind w:right="0" w:firstLine="952" w:firstLineChars="400"/>
        <w:jc w:val="left"/>
        <w:rPr>
          <w:rFonts w:hint="eastAsia" w:ascii="宋体" w:hAnsi="宋体" w:eastAsia="宋体" w:cs="宋体"/>
          <w:sz w:val="24"/>
          <w:szCs w:val="24"/>
        </w:rPr>
      </w:pPr>
      <w:r>
        <w:rPr>
          <w:rFonts w:hint="eastAsia" w:ascii="宋体" w:hAnsi="宋体" w:eastAsia="宋体" w:cs="宋体"/>
          <w:spacing w:val="-1"/>
          <w:sz w:val="24"/>
          <w:szCs w:val="24"/>
        </w:rPr>
        <w:t>授权代表(签字)：</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rPr>
        <w:tab/>
      </w:r>
      <w:r>
        <w:rPr>
          <w:rFonts w:hint="eastAsia" w:ascii="宋体" w:hAnsi="宋体" w:eastAsia="宋体" w:cs="宋体"/>
          <w:spacing w:val="-1"/>
          <w:sz w:val="24"/>
          <w:szCs w:val="24"/>
        </w:rPr>
        <w:t>授权代表(签字)：</w:t>
      </w:r>
      <w:r>
        <w:rPr>
          <w:rFonts w:hint="eastAsia" w:ascii="宋体" w:hAnsi="宋体" w:eastAsia="宋体" w:cs="宋体"/>
          <w:spacing w:val="-1"/>
          <w:sz w:val="24"/>
          <w:szCs w:val="24"/>
          <w:u w:val="single" w:color="000000"/>
        </w:rPr>
        <w:t xml:space="preserve"> </w:t>
      </w:r>
      <w:r>
        <w:rPr>
          <w:rFonts w:hint="eastAsia" w:ascii="宋体" w:hAnsi="宋体" w:eastAsia="宋体" w:cs="宋体"/>
          <w:spacing w:val="-1"/>
          <w:sz w:val="24"/>
          <w:szCs w:val="24"/>
          <w:u w:val="single" w:color="000000"/>
        </w:rPr>
        <w:tab/>
      </w:r>
    </w:p>
    <w:p w14:paraId="04023B59">
      <w:pPr>
        <w:spacing w:before="0" w:line="240" w:lineRule="auto"/>
        <w:rPr>
          <w:rFonts w:hint="eastAsia" w:ascii="宋体" w:hAnsi="宋体" w:eastAsia="宋体" w:cs="宋体"/>
          <w:sz w:val="24"/>
          <w:szCs w:val="24"/>
        </w:rPr>
      </w:pPr>
    </w:p>
    <w:p w14:paraId="0C70E4C9">
      <w:pPr>
        <w:spacing w:before="5" w:line="240" w:lineRule="auto"/>
        <w:rPr>
          <w:rFonts w:hint="eastAsia" w:ascii="宋体" w:hAnsi="宋体" w:eastAsia="宋体" w:cs="宋体"/>
          <w:sz w:val="24"/>
          <w:szCs w:val="24"/>
        </w:rPr>
      </w:pPr>
    </w:p>
    <w:p w14:paraId="0FEFC11F">
      <w:pPr>
        <w:pStyle w:val="10"/>
        <w:tabs>
          <w:tab w:val="left" w:pos="1637"/>
          <w:tab w:val="left" w:pos="3856"/>
          <w:tab w:val="left" w:pos="5057"/>
          <w:tab w:val="left" w:pos="5777"/>
          <w:tab w:val="left" w:pos="7636"/>
        </w:tabs>
        <w:spacing w:before="26" w:line="240" w:lineRule="auto"/>
        <w:ind w:left="917" w:right="0"/>
        <w:jc w:val="left"/>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pacing w:val="-1"/>
          <w:sz w:val="24"/>
          <w:szCs w:val="24"/>
        </w:rPr>
        <w:t>址：</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rPr>
        <w:tab/>
      </w: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pacing w:val="-1"/>
          <w:sz w:val="24"/>
          <w:szCs w:val="24"/>
        </w:rPr>
        <w:t>址：</w:t>
      </w: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rPr>
        <w:tab/>
      </w:r>
    </w:p>
    <w:p w14:paraId="27EECA50">
      <w:pPr>
        <w:spacing w:before="0" w:line="240" w:lineRule="auto"/>
        <w:rPr>
          <w:rFonts w:hint="eastAsia" w:ascii="宋体" w:hAnsi="宋体" w:eastAsia="宋体" w:cs="宋体"/>
          <w:sz w:val="24"/>
          <w:szCs w:val="24"/>
        </w:rPr>
      </w:pPr>
    </w:p>
    <w:p w14:paraId="5FEF2194">
      <w:pPr>
        <w:spacing w:before="0" w:line="240" w:lineRule="auto"/>
        <w:rPr>
          <w:rFonts w:hint="eastAsia" w:ascii="宋体" w:hAnsi="宋体" w:eastAsia="宋体" w:cs="宋体"/>
          <w:sz w:val="24"/>
          <w:szCs w:val="24"/>
        </w:rPr>
      </w:pPr>
    </w:p>
    <w:p w14:paraId="7B52A5F3">
      <w:pPr>
        <w:pStyle w:val="10"/>
        <w:tabs>
          <w:tab w:val="left" w:pos="3856"/>
          <w:tab w:val="left" w:pos="5057"/>
          <w:tab w:val="left" w:pos="7636"/>
        </w:tabs>
        <w:spacing w:before="26" w:line="240" w:lineRule="auto"/>
        <w:ind w:left="917" w:right="0"/>
        <w:jc w:val="left"/>
        <w:rPr>
          <w:rFonts w:hint="eastAsia" w:ascii="宋体" w:hAnsi="宋体" w:eastAsia="宋体" w:cs="宋体"/>
          <w:sz w:val="24"/>
          <w:szCs w:val="24"/>
        </w:rPr>
      </w:pPr>
      <w:r>
        <w:rPr>
          <w:rFonts w:hint="eastAsia" w:ascii="宋体" w:hAnsi="宋体" w:eastAsia="宋体" w:cs="宋体"/>
          <w:spacing w:val="-1"/>
          <w:sz w:val="24"/>
          <w:szCs w:val="24"/>
        </w:rPr>
        <w:t>邮政编码：</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rPr>
        <w:tab/>
      </w:r>
      <w:r>
        <w:rPr>
          <w:rFonts w:hint="eastAsia" w:ascii="宋体" w:hAnsi="宋体" w:eastAsia="宋体" w:cs="宋体"/>
          <w:spacing w:val="-1"/>
          <w:sz w:val="24"/>
          <w:szCs w:val="24"/>
        </w:rPr>
        <w:t>邮政编码：</w:t>
      </w: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rPr>
        <w:tab/>
      </w:r>
    </w:p>
    <w:p w14:paraId="6FBCFAF6">
      <w:pPr>
        <w:spacing w:before="0" w:line="240" w:lineRule="auto"/>
        <w:rPr>
          <w:rFonts w:hint="eastAsia" w:ascii="宋体" w:hAnsi="宋体" w:eastAsia="宋体" w:cs="宋体"/>
          <w:sz w:val="24"/>
          <w:szCs w:val="24"/>
        </w:rPr>
      </w:pPr>
    </w:p>
    <w:p w14:paraId="5AA8EBEE">
      <w:pPr>
        <w:spacing w:before="0" w:line="240" w:lineRule="auto"/>
        <w:rPr>
          <w:rFonts w:hint="eastAsia" w:ascii="宋体" w:hAnsi="宋体" w:eastAsia="宋体" w:cs="宋体"/>
          <w:sz w:val="24"/>
          <w:szCs w:val="24"/>
        </w:rPr>
      </w:pPr>
    </w:p>
    <w:p w14:paraId="4C39836A">
      <w:pPr>
        <w:pStyle w:val="10"/>
        <w:tabs>
          <w:tab w:val="left" w:pos="1637"/>
          <w:tab w:val="left" w:pos="3856"/>
          <w:tab w:val="left" w:pos="5057"/>
          <w:tab w:val="left" w:pos="5777"/>
          <w:tab w:val="left" w:pos="7636"/>
        </w:tabs>
        <w:spacing w:before="26" w:line="240" w:lineRule="auto"/>
        <w:ind w:left="917" w:right="0"/>
        <w:jc w:val="left"/>
        <w:rPr>
          <w:rFonts w:hint="eastAsia" w:ascii="宋体" w:hAnsi="宋体" w:eastAsia="宋体" w:cs="宋体"/>
          <w:sz w:val="24"/>
          <w:szCs w:val="24"/>
        </w:rPr>
      </w:pPr>
      <w:r>
        <w:rPr>
          <w:rFonts w:hint="eastAsia" w:ascii="宋体" w:hAnsi="宋体" w:eastAsia="宋体" w:cs="宋体"/>
          <w:sz w:val="24"/>
          <w:szCs w:val="24"/>
        </w:rPr>
        <w:t>电</w:t>
      </w:r>
      <w:r>
        <w:rPr>
          <w:rFonts w:hint="eastAsia" w:ascii="宋体" w:hAnsi="宋体" w:eastAsia="宋体" w:cs="宋体"/>
          <w:sz w:val="24"/>
          <w:szCs w:val="24"/>
        </w:rPr>
        <w:tab/>
      </w:r>
      <w:r>
        <w:rPr>
          <w:rFonts w:hint="eastAsia" w:ascii="宋体" w:hAnsi="宋体" w:eastAsia="宋体" w:cs="宋体"/>
          <w:spacing w:val="-1"/>
          <w:sz w:val="24"/>
          <w:szCs w:val="24"/>
        </w:rPr>
        <w:t>话：</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rPr>
        <w:tab/>
      </w:r>
      <w:r>
        <w:rPr>
          <w:rFonts w:hint="eastAsia" w:ascii="宋体" w:hAnsi="宋体" w:eastAsia="宋体" w:cs="宋体"/>
          <w:sz w:val="24"/>
          <w:szCs w:val="24"/>
        </w:rPr>
        <w:t>电</w:t>
      </w:r>
      <w:r>
        <w:rPr>
          <w:rFonts w:hint="eastAsia" w:ascii="宋体" w:hAnsi="宋体" w:eastAsia="宋体" w:cs="宋体"/>
          <w:sz w:val="24"/>
          <w:szCs w:val="24"/>
        </w:rPr>
        <w:tab/>
      </w:r>
      <w:r>
        <w:rPr>
          <w:rFonts w:hint="eastAsia" w:ascii="宋体" w:hAnsi="宋体" w:eastAsia="宋体" w:cs="宋体"/>
          <w:spacing w:val="-1"/>
          <w:sz w:val="24"/>
          <w:szCs w:val="24"/>
        </w:rPr>
        <w:t>话：</w:t>
      </w: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rPr>
        <w:tab/>
      </w:r>
    </w:p>
    <w:p w14:paraId="207E8CF3">
      <w:pPr>
        <w:spacing w:before="0" w:line="240" w:lineRule="auto"/>
        <w:rPr>
          <w:rFonts w:hint="eastAsia" w:ascii="宋体" w:hAnsi="宋体" w:eastAsia="宋体" w:cs="宋体"/>
          <w:sz w:val="24"/>
          <w:szCs w:val="24"/>
        </w:rPr>
      </w:pPr>
    </w:p>
    <w:p w14:paraId="258115CF">
      <w:pPr>
        <w:spacing w:before="0" w:line="240" w:lineRule="auto"/>
        <w:rPr>
          <w:rFonts w:hint="eastAsia" w:ascii="宋体" w:hAnsi="宋体" w:eastAsia="宋体" w:cs="宋体"/>
          <w:sz w:val="24"/>
          <w:szCs w:val="24"/>
        </w:rPr>
      </w:pPr>
    </w:p>
    <w:p w14:paraId="3936A025">
      <w:pPr>
        <w:pStyle w:val="10"/>
        <w:tabs>
          <w:tab w:val="left" w:pos="3856"/>
          <w:tab w:val="left" w:pos="5057"/>
          <w:tab w:val="left" w:pos="7636"/>
        </w:tabs>
        <w:spacing w:before="26" w:line="240" w:lineRule="auto"/>
        <w:ind w:left="917" w:right="0"/>
        <w:jc w:val="left"/>
        <w:rPr>
          <w:rFonts w:hint="eastAsia" w:ascii="宋体" w:hAnsi="宋体" w:eastAsia="宋体" w:cs="宋体"/>
          <w:sz w:val="24"/>
          <w:szCs w:val="24"/>
        </w:rPr>
      </w:pPr>
      <w:r>
        <w:rPr>
          <w:rFonts w:hint="eastAsia" w:ascii="宋体" w:hAnsi="宋体" w:eastAsia="宋体" w:cs="宋体"/>
          <w:spacing w:val="-1"/>
          <w:sz w:val="24"/>
          <w:szCs w:val="24"/>
        </w:rPr>
        <w:t>开户银行：</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rPr>
        <w:tab/>
      </w:r>
      <w:r>
        <w:rPr>
          <w:rFonts w:hint="eastAsia" w:ascii="宋体" w:hAnsi="宋体" w:eastAsia="宋体" w:cs="宋体"/>
          <w:spacing w:val="-1"/>
          <w:sz w:val="24"/>
          <w:szCs w:val="24"/>
        </w:rPr>
        <w:t>开户银行：</w:t>
      </w: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color="000000"/>
        </w:rPr>
        <w:tab/>
      </w:r>
    </w:p>
    <w:p w14:paraId="2EEC362C">
      <w:pPr>
        <w:spacing w:before="0" w:line="240" w:lineRule="auto"/>
        <w:rPr>
          <w:rFonts w:hint="eastAsia" w:ascii="宋体" w:hAnsi="宋体" w:eastAsia="宋体" w:cs="宋体"/>
          <w:sz w:val="24"/>
          <w:szCs w:val="24"/>
        </w:rPr>
      </w:pPr>
    </w:p>
    <w:p w14:paraId="27E33926">
      <w:pPr>
        <w:spacing w:before="0" w:line="240" w:lineRule="auto"/>
        <w:rPr>
          <w:rFonts w:hint="eastAsia" w:ascii="宋体" w:hAnsi="宋体" w:eastAsia="宋体" w:cs="宋体"/>
          <w:sz w:val="24"/>
          <w:szCs w:val="24"/>
        </w:rPr>
      </w:pPr>
    </w:p>
    <w:p w14:paraId="37F9A6D6">
      <w:pPr>
        <w:pStyle w:val="10"/>
        <w:tabs>
          <w:tab w:val="left" w:pos="1637"/>
          <w:tab w:val="left" w:pos="5057"/>
          <w:tab w:val="left" w:pos="5777"/>
        </w:tabs>
        <w:spacing w:before="26" w:line="240" w:lineRule="auto"/>
        <w:ind w:left="917" w:right="0"/>
        <w:jc w:val="left"/>
        <w:rPr>
          <w:rFonts w:hint="eastAsia" w:ascii="宋体" w:hAnsi="宋体" w:eastAsia="宋体" w:cs="宋体"/>
          <w:sz w:val="24"/>
          <w:szCs w:val="24"/>
        </w:rPr>
      </w:pPr>
      <w:r>
        <w:rPr>
          <w:rFonts w:hint="eastAsia" w:ascii="宋体" w:hAnsi="宋体" w:eastAsia="宋体" w:cs="宋体"/>
          <w:sz w:val="24"/>
          <w:szCs w:val="24"/>
        </w:rPr>
        <w:t>账</w:t>
      </w:r>
      <w:r>
        <w:rPr>
          <w:rFonts w:hint="eastAsia" w:ascii="宋体" w:hAnsi="宋体" w:eastAsia="宋体" w:cs="宋体"/>
          <w:sz w:val="24"/>
          <w:szCs w:val="24"/>
        </w:rPr>
        <w:tab/>
      </w:r>
      <w:r>
        <w:rPr>
          <w:rFonts w:hint="eastAsia" w:ascii="宋体" w:hAnsi="宋体" w:eastAsia="宋体" w:cs="宋体"/>
          <w:sz w:val="24"/>
          <w:szCs w:val="24"/>
        </w:rPr>
        <w:t>号：</w:t>
      </w:r>
      <w:r>
        <w:rPr>
          <w:rFonts w:hint="eastAsia" w:ascii="宋体" w:hAnsi="宋体" w:eastAsia="宋体" w:cs="宋体"/>
          <w:sz w:val="24"/>
          <w:szCs w:val="24"/>
        </w:rPr>
        <w:tab/>
      </w:r>
      <w:r>
        <w:rPr>
          <w:rFonts w:hint="eastAsia" w:ascii="宋体" w:hAnsi="宋体" w:eastAsia="宋体" w:cs="宋体"/>
          <w:sz w:val="24"/>
          <w:szCs w:val="24"/>
        </w:rPr>
        <w:t>账</w:t>
      </w:r>
      <w:r>
        <w:rPr>
          <w:rFonts w:hint="eastAsia" w:ascii="宋体" w:hAnsi="宋体" w:eastAsia="宋体" w:cs="宋体"/>
          <w:sz w:val="24"/>
          <w:szCs w:val="24"/>
        </w:rPr>
        <w:tab/>
      </w:r>
      <w:r>
        <w:rPr>
          <w:rFonts w:hint="eastAsia" w:ascii="宋体" w:hAnsi="宋体" w:eastAsia="宋体" w:cs="宋体"/>
          <w:sz w:val="24"/>
          <w:szCs w:val="24"/>
        </w:rPr>
        <w:t>号：</w:t>
      </w:r>
    </w:p>
    <w:p w14:paraId="4BA4B24E">
      <w:pPr>
        <w:rPr>
          <w:rFonts w:hint="eastAsia"/>
          <w:sz w:val="24"/>
          <w:szCs w:val="24"/>
          <w:lang w:val="en-US" w:eastAsia="zh-CN"/>
        </w:rPr>
      </w:pPr>
    </w:p>
    <w:p w14:paraId="07C89705">
      <w:pPr>
        <w:keepNext w:val="0"/>
        <w:keepLines w:val="0"/>
        <w:pageBreakBefore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eastAsia="宋体" w:cs="宋体"/>
          <w:color w:val="auto"/>
          <w:sz w:val="24"/>
          <w:szCs w:val="24"/>
          <w:highlight w:val="none"/>
        </w:rPr>
      </w:pPr>
    </w:p>
    <w:p w14:paraId="26246402">
      <w:pPr>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ascii="仿宋" w:hAnsi="仿宋" w:eastAsia="仿宋" w:cs="仿宋"/>
          <w:snapToGrid w:val="0"/>
          <w:color w:val="auto"/>
          <w:kern w:val="0"/>
          <w:sz w:val="31"/>
          <w:szCs w:val="31"/>
          <w:highlight w:val="none"/>
          <w:lang w:val="en-US" w:eastAsia="en-US" w:bidi="ar-SA"/>
        </w:rPr>
      </w:pPr>
      <w:r>
        <w:rPr>
          <w:rFonts w:hint="eastAsia" w:ascii="宋体" w:hAnsi="宋体" w:eastAsia="宋体" w:cs="宋体"/>
          <w:color w:val="auto"/>
          <w:sz w:val="24"/>
          <w:szCs w:val="24"/>
          <w:highlight w:val="none"/>
        </w:rPr>
        <w:br w:type="page"/>
      </w:r>
    </w:p>
    <w:p w14:paraId="1A2962C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0"/>
        <w:rPr>
          <w:rFonts w:ascii="仿宋" w:hAnsi="仿宋" w:eastAsia="仿宋" w:cs="仿宋"/>
          <w:snapToGrid w:val="0"/>
          <w:color w:val="auto"/>
          <w:spacing w:val="-9"/>
          <w:kern w:val="0"/>
          <w:sz w:val="24"/>
          <w:szCs w:val="24"/>
          <w:highlight w:val="none"/>
          <w:lang w:eastAsia="en-US"/>
        </w:rPr>
      </w:pPr>
      <w:bookmarkStart w:id="187" w:name="_Toc30479"/>
      <w:r>
        <w:rPr>
          <w:rFonts w:ascii="仿宋" w:hAnsi="仿宋" w:eastAsia="仿宋" w:cs="仿宋"/>
          <w:snapToGrid w:val="0"/>
          <w:color w:val="auto"/>
          <w:spacing w:val="-9"/>
          <w:kern w:val="0"/>
          <w:sz w:val="24"/>
          <w:szCs w:val="24"/>
          <w:highlight w:val="none"/>
          <w:lang w:eastAsia="en-US"/>
        </w:rPr>
        <w:t>附件</w:t>
      </w:r>
      <w:r>
        <w:rPr>
          <w:rFonts w:hint="eastAsia" w:ascii="仿宋" w:hAnsi="仿宋" w:eastAsia="仿宋" w:cs="仿宋"/>
          <w:snapToGrid w:val="0"/>
          <w:color w:val="auto"/>
          <w:spacing w:val="-9"/>
          <w:kern w:val="0"/>
          <w:sz w:val="24"/>
          <w:szCs w:val="24"/>
          <w:highlight w:val="none"/>
          <w:lang w:val="en-US" w:eastAsia="zh-CN"/>
        </w:rPr>
        <w:t>1：</w:t>
      </w:r>
      <w:r>
        <w:rPr>
          <w:rFonts w:ascii="仿宋" w:hAnsi="仿宋" w:eastAsia="仿宋" w:cs="仿宋"/>
          <w:snapToGrid w:val="0"/>
          <w:color w:val="auto"/>
          <w:spacing w:val="-9"/>
          <w:kern w:val="0"/>
          <w:sz w:val="24"/>
          <w:szCs w:val="24"/>
          <w:highlight w:val="none"/>
          <w:lang w:eastAsia="en-US"/>
        </w:rPr>
        <w:t>政府采购促进中小企业发展管理办法</w:t>
      </w:r>
      <w:bookmarkEnd w:id="187"/>
    </w:p>
    <w:p w14:paraId="2F90EB97">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center"/>
        <w:textAlignment w:val="baseline"/>
        <w:outlineLvl w:val="9"/>
        <w:rPr>
          <w:rFonts w:ascii="仿宋" w:hAnsi="仿宋" w:eastAsia="仿宋" w:cs="仿宋"/>
          <w:b/>
          <w:bCs/>
          <w:snapToGrid w:val="0"/>
          <w:color w:val="auto"/>
          <w:spacing w:val="-9"/>
          <w:kern w:val="0"/>
          <w:sz w:val="24"/>
          <w:szCs w:val="24"/>
          <w:highlight w:val="none"/>
          <w:lang w:eastAsia="en-US"/>
        </w:rPr>
      </w:pPr>
      <w:r>
        <w:rPr>
          <w:rFonts w:ascii="仿宋" w:hAnsi="仿宋" w:eastAsia="仿宋" w:cs="仿宋"/>
          <w:b/>
          <w:bCs/>
          <w:snapToGrid w:val="0"/>
          <w:color w:val="auto"/>
          <w:spacing w:val="-9"/>
          <w:kern w:val="0"/>
          <w:sz w:val="24"/>
          <w:szCs w:val="24"/>
          <w:highlight w:val="none"/>
          <w:lang w:eastAsia="en-US"/>
        </w:rPr>
        <w:t>政府采购促进中小企业发展管理办法</w:t>
      </w:r>
    </w:p>
    <w:p w14:paraId="5F8B1295">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00"/>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6"/>
          <w:kern w:val="0"/>
          <w:sz w:val="24"/>
          <w:szCs w:val="24"/>
          <w:highlight w:val="none"/>
          <w:lang w:val="en-US" w:eastAsia="en-US" w:bidi="ar-SA"/>
        </w:rPr>
        <w:t xml:space="preserve">第一条  </w:t>
      </w:r>
      <w:r>
        <w:rPr>
          <w:rFonts w:ascii="仿宋" w:hAnsi="仿宋" w:eastAsia="仿宋" w:cs="仿宋"/>
          <w:snapToGrid w:val="0"/>
          <w:color w:val="auto"/>
          <w:spacing w:val="6"/>
          <w:kern w:val="0"/>
          <w:sz w:val="24"/>
          <w:szCs w:val="24"/>
          <w:highlight w:val="none"/>
          <w:lang w:val="en-US" w:eastAsia="en-US" w:bidi="ar-SA"/>
        </w:rPr>
        <w:t>为了发挥政府采购的政策功能，</w:t>
      </w:r>
      <w:r>
        <w:rPr>
          <w:rFonts w:ascii="仿宋" w:hAnsi="仿宋" w:eastAsia="仿宋" w:cs="仿宋"/>
          <w:snapToGrid w:val="0"/>
          <w:color w:val="auto"/>
          <w:spacing w:val="5"/>
          <w:kern w:val="0"/>
          <w:sz w:val="24"/>
          <w:szCs w:val="24"/>
          <w:highlight w:val="none"/>
          <w:lang w:val="en-US" w:eastAsia="en-US" w:bidi="ar-SA"/>
        </w:rPr>
        <w:t>促进中小企业</w:t>
      </w:r>
      <w:r>
        <w:rPr>
          <w:rFonts w:ascii="仿宋" w:hAnsi="仿宋" w:eastAsia="仿宋" w:cs="仿宋"/>
          <w:snapToGrid w:val="0"/>
          <w:color w:val="auto"/>
          <w:spacing w:val="-3"/>
          <w:kern w:val="0"/>
          <w:sz w:val="24"/>
          <w:szCs w:val="24"/>
          <w:highlight w:val="none"/>
          <w:lang w:val="en-US" w:eastAsia="en-US" w:bidi="ar-SA"/>
        </w:rPr>
        <w:t>健康发展，根据《中华人民共和国政府采购法</w:t>
      </w:r>
      <w:r>
        <w:rPr>
          <w:rFonts w:ascii="仿宋" w:hAnsi="仿宋" w:eastAsia="仿宋" w:cs="仿宋"/>
          <w:snapToGrid w:val="0"/>
          <w:color w:val="auto"/>
          <w:spacing w:val="-4"/>
          <w:kern w:val="0"/>
          <w:sz w:val="24"/>
          <w:szCs w:val="24"/>
          <w:highlight w:val="none"/>
          <w:lang w:val="en-US" w:eastAsia="en-US" w:bidi="ar-SA"/>
        </w:rPr>
        <w:t>》、《中华人民</w:t>
      </w:r>
      <w:r>
        <w:rPr>
          <w:rFonts w:ascii="仿宋" w:hAnsi="仿宋" w:eastAsia="仿宋" w:cs="仿宋"/>
          <w:snapToGrid w:val="0"/>
          <w:color w:val="auto"/>
          <w:spacing w:val="8"/>
          <w:kern w:val="0"/>
          <w:sz w:val="24"/>
          <w:szCs w:val="24"/>
          <w:highlight w:val="none"/>
          <w:lang w:val="en-US" w:eastAsia="en-US" w:bidi="ar-SA"/>
        </w:rPr>
        <w:t>共和国中小企业促进法》等有关法律法规，制定本办法。</w:t>
      </w:r>
    </w:p>
    <w:p w14:paraId="0B21B615">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00"/>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 xml:space="preserve">第二条  </w:t>
      </w:r>
      <w:r>
        <w:rPr>
          <w:rFonts w:ascii="仿宋" w:hAnsi="仿宋" w:eastAsia="仿宋" w:cs="仿宋"/>
          <w:snapToGrid w:val="0"/>
          <w:color w:val="auto"/>
          <w:spacing w:val="5"/>
          <w:kern w:val="0"/>
          <w:sz w:val="24"/>
          <w:szCs w:val="24"/>
          <w:highlight w:val="none"/>
          <w:lang w:val="en-US" w:eastAsia="en-US" w:bidi="ar-SA"/>
        </w:rPr>
        <w:t>本办法所称中小企业，是指在中华人民共和国</w:t>
      </w:r>
      <w:r>
        <w:rPr>
          <w:rFonts w:ascii="仿宋" w:hAnsi="仿宋" w:eastAsia="仿宋" w:cs="仿宋"/>
          <w:snapToGrid w:val="0"/>
          <w:color w:val="auto"/>
          <w:spacing w:val="8"/>
          <w:kern w:val="0"/>
          <w:sz w:val="24"/>
          <w:szCs w:val="24"/>
          <w:highlight w:val="none"/>
          <w:lang w:val="en-US" w:eastAsia="en-US" w:bidi="ar-SA"/>
        </w:rPr>
        <w:t>境内依法设立，依据国务院批准的中小企业划分标准确定的中型企业、小型企业和微型企业，但与大企业的负责人为同一人，或者与大企业存在直接控股、管理关系的除外。</w:t>
      </w:r>
    </w:p>
    <w:p w14:paraId="2F950624">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00"/>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符合中小企业划分标准的个体工商户，在政府采购活动中视同中小企业。</w:t>
      </w:r>
    </w:p>
    <w:p w14:paraId="6D9D265F">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9"/>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第三条  </w:t>
      </w:r>
      <w:r>
        <w:rPr>
          <w:rFonts w:ascii="仿宋" w:hAnsi="仿宋" w:eastAsia="仿宋" w:cs="仿宋"/>
          <w:snapToGrid w:val="0"/>
          <w:color w:val="auto"/>
          <w:spacing w:val="19"/>
          <w:kern w:val="0"/>
          <w:sz w:val="24"/>
          <w:szCs w:val="24"/>
          <w:highlight w:val="none"/>
          <w:lang w:val="en-US" w:eastAsia="en-US" w:bidi="ar-SA"/>
        </w:rPr>
        <w:t>采购人在政府采购活动中应当通过</w:t>
      </w:r>
      <w:r>
        <w:rPr>
          <w:rFonts w:ascii="仿宋" w:hAnsi="仿宋" w:eastAsia="仿宋" w:cs="仿宋"/>
          <w:snapToGrid w:val="0"/>
          <w:color w:val="auto"/>
          <w:spacing w:val="18"/>
          <w:kern w:val="0"/>
          <w:sz w:val="24"/>
          <w:szCs w:val="24"/>
          <w:highlight w:val="none"/>
          <w:lang w:val="en-US" w:eastAsia="en-US" w:bidi="ar-SA"/>
        </w:rPr>
        <w:t>加强采购</w:t>
      </w:r>
      <w:r>
        <w:rPr>
          <w:rFonts w:ascii="仿宋" w:hAnsi="仿宋" w:eastAsia="仿宋" w:cs="仿宋"/>
          <w:snapToGrid w:val="0"/>
          <w:color w:val="auto"/>
          <w:spacing w:val="8"/>
          <w:kern w:val="0"/>
          <w:sz w:val="24"/>
          <w:szCs w:val="24"/>
          <w:highlight w:val="none"/>
          <w:lang w:val="en-US" w:eastAsia="en-US" w:bidi="ar-SA"/>
        </w:rPr>
        <w:t>需求管理，落实预留采购份额、价格评审优惠、优先采购等措施，提高中小企业在政府采购中的份额，支持中小企业发</w:t>
      </w:r>
      <w:r>
        <w:rPr>
          <w:rFonts w:ascii="仿宋" w:hAnsi="仿宋" w:eastAsia="仿宋" w:cs="仿宋"/>
          <w:snapToGrid w:val="0"/>
          <w:color w:val="auto"/>
          <w:spacing w:val="-7"/>
          <w:kern w:val="0"/>
          <w:sz w:val="24"/>
          <w:szCs w:val="24"/>
          <w:highlight w:val="none"/>
          <w:lang w:val="en-US" w:eastAsia="en-US" w:bidi="ar-SA"/>
        </w:rPr>
        <w:t>展。</w:t>
      </w:r>
    </w:p>
    <w:p w14:paraId="3C401133">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4"/>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 xml:space="preserve">第四条  </w:t>
      </w:r>
      <w:r>
        <w:rPr>
          <w:rFonts w:ascii="仿宋" w:hAnsi="仿宋" w:eastAsia="仿宋" w:cs="仿宋"/>
          <w:snapToGrid w:val="0"/>
          <w:color w:val="auto"/>
          <w:spacing w:val="5"/>
          <w:kern w:val="0"/>
          <w:sz w:val="24"/>
          <w:szCs w:val="24"/>
          <w:highlight w:val="none"/>
          <w:lang w:val="en-US" w:eastAsia="en-US" w:bidi="ar-SA"/>
        </w:rPr>
        <w:t>在政府采购活动中，供应商提供的货物、工程</w:t>
      </w:r>
      <w:r>
        <w:rPr>
          <w:rFonts w:ascii="仿宋" w:hAnsi="仿宋" w:eastAsia="仿宋" w:cs="仿宋"/>
          <w:snapToGrid w:val="0"/>
          <w:color w:val="auto"/>
          <w:spacing w:val="8"/>
          <w:kern w:val="0"/>
          <w:sz w:val="24"/>
          <w:szCs w:val="24"/>
          <w:highlight w:val="none"/>
          <w:lang w:val="en-US" w:eastAsia="en-US" w:bidi="ar-SA"/>
        </w:rPr>
        <w:t>或者服务符合下列情形的，享受本办法规定的中小企业扶持</w:t>
      </w:r>
      <w:r>
        <w:rPr>
          <w:rFonts w:ascii="仿宋" w:hAnsi="仿宋" w:eastAsia="仿宋" w:cs="仿宋"/>
          <w:snapToGrid w:val="0"/>
          <w:color w:val="auto"/>
          <w:spacing w:val="-2"/>
          <w:kern w:val="0"/>
          <w:sz w:val="24"/>
          <w:szCs w:val="24"/>
          <w:highlight w:val="none"/>
          <w:lang w:val="en-US" w:eastAsia="en-US" w:bidi="ar-SA"/>
        </w:rPr>
        <w:t>政策：</w:t>
      </w:r>
    </w:p>
    <w:p w14:paraId="624C96A5">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00" w:firstLineChars="200"/>
        <w:jc w:val="both"/>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（一）在货物采购项目中，货物由中小企业制造，即货物由中小企业生产且使用该中小企业商号或者注册商标；</w:t>
      </w:r>
    </w:p>
    <w:p w14:paraId="692B56A5">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00" w:firstLineChars="200"/>
        <w:jc w:val="both"/>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（二）在工程采购项目中，工程由中小企业承建，即工程施工单位为中小企业；</w:t>
      </w:r>
    </w:p>
    <w:p w14:paraId="61596318">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（三）在服务采购项目中，服务由中小企业承接，即提供服务的人员为中小企业依照《中华人民共和国劳动合同法》订立劳动合同的从业人员。</w:t>
      </w:r>
    </w:p>
    <w:p w14:paraId="78E5F6A0">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在货物采购项目中，供应商提供的货物既有中小企业制造货物，也有大型企业制造货物的，不享受本办法规定的中小企业扶持政策。</w:t>
      </w:r>
    </w:p>
    <w:p w14:paraId="6F7C2D6F">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以联合体形式参加政府采购活动，联合体各方均为中小企业的，联合体视同中小企业。其中，联合体各方</w:t>
      </w:r>
      <w:r>
        <w:rPr>
          <w:rFonts w:ascii="仿宋" w:hAnsi="仿宋" w:eastAsia="仿宋" w:cs="仿宋"/>
          <w:snapToGrid w:val="0"/>
          <w:color w:val="auto"/>
          <w:spacing w:val="8"/>
          <w:kern w:val="0"/>
          <w:sz w:val="24"/>
          <w:szCs w:val="24"/>
          <w:highlight w:val="none"/>
          <w:lang w:val="en-US" w:eastAsia="en-US" w:bidi="ar-SA"/>
        </w:rPr>
        <w:t>均为小微</w:t>
      </w:r>
      <w:r>
        <w:rPr>
          <w:rFonts w:ascii="仿宋" w:hAnsi="仿宋" w:eastAsia="仿宋" w:cs="仿宋"/>
          <w:snapToGrid w:val="0"/>
          <w:color w:val="auto"/>
          <w:spacing w:val="7"/>
          <w:kern w:val="0"/>
          <w:sz w:val="24"/>
          <w:szCs w:val="24"/>
          <w:highlight w:val="none"/>
          <w:lang w:val="en-US" w:eastAsia="en-US" w:bidi="ar-SA"/>
        </w:rPr>
        <w:t>企业的，联合体视同小微企业。</w:t>
      </w:r>
    </w:p>
    <w:p w14:paraId="0EBE0B16">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9"/>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第五条  </w:t>
      </w:r>
      <w:r>
        <w:rPr>
          <w:rFonts w:ascii="仿宋" w:hAnsi="仿宋" w:eastAsia="仿宋" w:cs="仿宋"/>
          <w:snapToGrid w:val="0"/>
          <w:color w:val="auto"/>
          <w:spacing w:val="19"/>
          <w:kern w:val="0"/>
          <w:sz w:val="24"/>
          <w:szCs w:val="24"/>
          <w:highlight w:val="none"/>
          <w:lang w:val="en-US" w:eastAsia="en-US" w:bidi="ar-SA"/>
        </w:rPr>
        <w:t>采购人在政府采购活动中应当合理</w:t>
      </w:r>
      <w:r>
        <w:rPr>
          <w:rFonts w:ascii="仿宋" w:hAnsi="仿宋" w:eastAsia="仿宋" w:cs="仿宋"/>
          <w:snapToGrid w:val="0"/>
          <w:color w:val="auto"/>
          <w:spacing w:val="18"/>
          <w:kern w:val="0"/>
          <w:sz w:val="24"/>
          <w:szCs w:val="24"/>
          <w:highlight w:val="none"/>
          <w:lang w:val="en-US" w:eastAsia="en-US" w:bidi="ar-SA"/>
        </w:rPr>
        <w:t>确定采购</w:t>
      </w:r>
      <w:r>
        <w:rPr>
          <w:rFonts w:ascii="仿宋" w:hAnsi="仿宋" w:eastAsia="仿宋" w:cs="仿宋"/>
          <w:snapToGrid w:val="0"/>
          <w:color w:val="auto"/>
          <w:spacing w:val="8"/>
          <w:kern w:val="0"/>
          <w:sz w:val="24"/>
          <w:szCs w:val="24"/>
          <w:highlight w:val="none"/>
          <w:lang w:val="en-US" w:eastAsia="en-US" w:bidi="ar-SA"/>
        </w:rPr>
        <w:t>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286A840">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8"/>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第六条  </w:t>
      </w:r>
      <w:r>
        <w:rPr>
          <w:rFonts w:ascii="仿宋" w:hAnsi="仿宋" w:eastAsia="仿宋" w:cs="仿宋"/>
          <w:snapToGrid w:val="0"/>
          <w:color w:val="auto"/>
          <w:spacing w:val="19"/>
          <w:kern w:val="0"/>
          <w:sz w:val="24"/>
          <w:szCs w:val="24"/>
          <w:highlight w:val="none"/>
          <w:lang w:val="en-US" w:eastAsia="en-US" w:bidi="ar-SA"/>
        </w:rPr>
        <w:t>主管预算单位应当组织评估本部门</w:t>
      </w:r>
      <w:r>
        <w:rPr>
          <w:rFonts w:ascii="仿宋" w:hAnsi="仿宋" w:eastAsia="仿宋" w:cs="仿宋"/>
          <w:snapToGrid w:val="0"/>
          <w:color w:val="auto"/>
          <w:spacing w:val="18"/>
          <w:kern w:val="0"/>
          <w:sz w:val="24"/>
          <w:szCs w:val="24"/>
          <w:highlight w:val="none"/>
          <w:lang w:val="en-US" w:eastAsia="en-US" w:bidi="ar-SA"/>
        </w:rPr>
        <w:t>及所属单</w:t>
      </w:r>
      <w:r>
        <w:rPr>
          <w:rFonts w:ascii="仿宋" w:hAnsi="仿宋" w:eastAsia="仿宋" w:cs="仿宋"/>
          <w:snapToGrid w:val="0"/>
          <w:color w:val="auto"/>
          <w:spacing w:val="8"/>
          <w:kern w:val="0"/>
          <w:sz w:val="24"/>
          <w:szCs w:val="24"/>
          <w:highlight w:val="none"/>
          <w:lang w:val="en-US" w:eastAsia="en-US" w:bidi="ar-SA"/>
        </w:rPr>
        <w:t>位政府采购项目，统筹制定面向中小企业预留采购份额的具体方案，对适宜由中小企业提供的采购项目和采购包，预留采购份额专门面向中小企业采购，并在政府采购预算中单独</w:t>
      </w:r>
      <w:r>
        <w:rPr>
          <w:rFonts w:ascii="仿宋" w:hAnsi="仿宋" w:eastAsia="仿宋" w:cs="仿宋"/>
          <w:snapToGrid w:val="0"/>
          <w:color w:val="auto"/>
          <w:spacing w:val="-4"/>
          <w:kern w:val="0"/>
          <w:sz w:val="24"/>
          <w:szCs w:val="24"/>
          <w:highlight w:val="none"/>
          <w:lang w:val="en-US" w:eastAsia="en-US" w:bidi="ar-SA"/>
        </w:rPr>
        <w:t>列示。</w:t>
      </w:r>
    </w:p>
    <w:p w14:paraId="7F81028F">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56" w:firstLineChars="200"/>
        <w:jc w:val="left"/>
        <w:textAlignment w:val="baseline"/>
        <w:rPr>
          <w:rFonts w:ascii="仿宋" w:hAnsi="仿宋" w:eastAsia="仿宋" w:cs="仿宋"/>
          <w:snapToGrid w:val="0"/>
          <w:color w:val="auto"/>
          <w:spacing w:val="19"/>
          <w:kern w:val="0"/>
          <w:sz w:val="24"/>
          <w:szCs w:val="24"/>
          <w:highlight w:val="none"/>
          <w:lang w:val="en-US" w:eastAsia="en-US" w:bidi="ar-SA"/>
        </w:rPr>
      </w:pPr>
      <w:r>
        <w:rPr>
          <w:rFonts w:ascii="仿宋" w:hAnsi="仿宋" w:eastAsia="仿宋" w:cs="仿宋"/>
          <w:snapToGrid w:val="0"/>
          <w:color w:val="auto"/>
          <w:spacing w:val="19"/>
          <w:kern w:val="0"/>
          <w:sz w:val="24"/>
          <w:szCs w:val="24"/>
          <w:highlight w:val="none"/>
          <w:lang w:val="en-US" w:eastAsia="en-US" w:bidi="ar-SA"/>
        </w:rPr>
        <w:t>符合下列情形之一的，可不专门面向中小企业预留采购份额：</w:t>
      </w:r>
    </w:p>
    <w:p w14:paraId="036B0874">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56" w:firstLineChars="200"/>
        <w:jc w:val="left"/>
        <w:textAlignment w:val="baseline"/>
        <w:rPr>
          <w:rFonts w:ascii="仿宋" w:hAnsi="仿宋" w:eastAsia="仿宋" w:cs="仿宋"/>
          <w:snapToGrid w:val="0"/>
          <w:color w:val="auto"/>
          <w:spacing w:val="19"/>
          <w:kern w:val="0"/>
          <w:sz w:val="24"/>
          <w:szCs w:val="24"/>
          <w:highlight w:val="none"/>
          <w:lang w:val="en-US" w:eastAsia="en-US" w:bidi="ar-SA"/>
        </w:rPr>
      </w:pPr>
      <w:r>
        <w:rPr>
          <w:rFonts w:ascii="仿宋" w:hAnsi="仿宋" w:eastAsia="仿宋" w:cs="仿宋"/>
          <w:snapToGrid w:val="0"/>
          <w:color w:val="auto"/>
          <w:spacing w:val="19"/>
          <w:kern w:val="0"/>
          <w:sz w:val="24"/>
          <w:szCs w:val="24"/>
          <w:highlight w:val="none"/>
          <w:lang w:val="en-US" w:eastAsia="en-US" w:bidi="ar-SA"/>
        </w:rPr>
        <w:t>（一）法律法规和国家有关政策明确规定优先或者应当面向事业单位、社会组织等非企业主体采购的；</w:t>
      </w:r>
    </w:p>
    <w:p w14:paraId="161B66F2">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（二）因确需使用不可替代的专利、专有技术，基础设施限制，或者提供特定公共服务等原因，只能从中小企业之外的供应商处采购的；</w:t>
      </w:r>
    </w:p>
    <w:p w14:paraId="7C2320CE">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（三）按照本办法规定预留采购份额无法确保充分供应、充分竞争，或者存在可能影响政府采购目标实现的情形；</w:t>
      </w:r>
    </w:p>
    <w:p w14:paraId="356F4650">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（四）框架协议采购项目；</w:t>
      </w:r>
    </w:p>
    <w:p w14:paraId="3C8BBE78">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（五）省级以上人民政府财政部门规定的其他情形。</w:t>
      </w:r>
    </w:p>
    <w:p w14:paraId="195D6E38">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除上述情形外，其他均为适宜由中小企业提供的情形。</w:t>
      </w:r>
    </w:p>
    <w:p w14:paraId="6AF9CB19">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0"/>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7"/>
          <w:kern w:val="0"/>
          <w:sz w:val="24"/>
          <w:szCs w:val="24"/>
          <w:highlight w:val="none"/>
          <w:lang w:val="en-US" w:eastAsia="en-US" w:bidi="ar-SA"/>
        </w:rPr>
        <w:t xml:space="preserve">第七条  </w:t>
      </w:r>
      <w:r>
        <w:rPr>
          <w:rFonts w:ascii="仿宋" w:hAnsi="仿宋" w:eastAsia="仿宋" w:cs="仿宋"/>
          <w:snapToGrid w:val="0"/>
          <w:color w:val="auto"/>
          <w:spacing w:val="7"/>
          <w:kern w:val="0"/>
          <w:sz w:val="24"/>
          <w:szCs w:val="24"/>
          <w:highlight w:val="none"/>
          <w:lang w:val="en-US" w:eastAsia="en-US" w:bidi="ar-SA"/>
        </w:rPr>
        <w:t>采购限额标准以上，200</w:t>
      </w:r>
      <w:r>
        <w:rPr>
          <w:rFonts w:ascii="仿宋" w:hAnsi="仿宋" w:eastAsia="仿宋" w:cs="仿宋"/>
          <w:snapToGrid w:val="0"/>
          <w:color w:val="auto"/>
          <w:spacing w:val="-38"/>
          <w:kern w:val="0"/>
          <w:sz w:val="24"/>
          <w:szCs w:val="24"/>
          <w:highlight w:val="none"/>
          <w:lang w:val="en-US" w:eastAsia="en-US" w:bidi="ar-SA"/>
        </w:rPr>
        <w:t xml:space="preserve"> </w:t>
      </w:r>
      <w:r>
        <w:rPr>
          <w:rFonts w:ascii="仿宋" w:hAnsi="仿宋" w:eastAsia="仿宋" w:cs="仿宋"/>
          <w:snapToGrid w:val="0"/>
          <w:color w:val="auto"/>
          <w:spacing w:val="7"/>
          <w:kern w:val="0"/>
          <w:sz w:val="24"/>
          <w:szCs w:val="24"/>
          <w:highlight w:val="none"/>
          <w:lang w:val="en-US" w:eastAsia="en-US" w:bidi="ar-SA"/>
        </w:rPr>
        <w:t>万元以下的货物和服</w:t>
      </w:r>
      <w:r>
        <w:rPr>
          <w:rFonts w:ascii="仿宋" w:hAnsi="仿宋" w:eastAsia="仿宋" w:cs="仿宋"/>
          <w:snapToGrid w:val="0"/>
          <w:color w:val="auto"/>
          <w:spacing w:val="9"/>
          <w:kern w:val="0"/>
          <w:sz w:val="24"/>
          <w:szCs w:val="24"/>
          <w:highlight w:val="none"/>
          <w:lang w:val="en-US" w:eastAsia="en-US" w:bidi="ar-SA"/>
        </w:rPr>
        <w:t>务采购项目、400</w:t>
      </w:r>
      <w:r>
        <w:rPr>
          <w:rFonts w:ascii="仿宋" w:hAnsi="仿宋" w:eastAsia="仿宋" w:cs="仿宋"/>
          <w:snapToGrid w:val="0"/>
          <w:color w:val="auto"/>
          <w:spacing w:val="-31"/>
          <w:kern w:val="0"/>
          <w:sz w:val="24"/>
          <w:szCs w:val="24"/>
          <w:highlight w:val="none"/>
          <w:lang w:val="en-US" w:eastAsia="en-US" w:bidi="ar-SA"/>
        </w:rPr>
        <w:t xml:space="preserve"> </w:t>
      </w:r>
      <w:r>
        <w:rPr>
          <w:rFonts w:ascii="仿宋" w:hAnsi="仿宋" w:eastAsia="仿宋" w:cs="仿宋"/>
          <w:snapToGrid w:val="0"/>
          <w:color w:val="auto"/>
          <w:spacing w:val="9"/>
          <w:kern w:val="0"/>
          <w:sz w:val="24"/>
          <w:szCs w:val="24"/>
          <w:highlight w:val="none"/>
          <w:lang w:val="en-US" w:eastAsia="en-US" w:bidi="ar-SA"/>
        </w:rPr>
        <w:t>万元以下的工程采购项目，适宜由中小企</w:t>
      </w:r>
      <w:r>
        <w:rPr>
          <w:rFonts w:ascii="仿宋" w:hAnsi="仿宋" w:eastAsia="仿宋" w:cs="仿宋"/>
          <w:snapToGrid w:val="0"/>
          <w:color w:val="auto"/>
          <w:spacing w:val="8"/>
          <w:kern w:val="0"/>
          <w:sz w:val="24"/>
          <w:szCs w:val="24"/>
          <w:highlight w:val="none"/>
          <w:lang w:val="en-US" w:eastAsia="en-US" w:bidi="ar-SA"/>
        </w:rPr>
        <w:t>业提供的，采购人应当专门面向中小企业采购。</w:t>
      </w:r>
    </w:p>
    <w:p w14:paraId="6B262BEA">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10"/>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5"/>
          <w:kern w:val="0"/>
          <w:sz w:val="24"/>
          <w:szCs w:val="24"/>
          <w:highlight w:val="none"/>
          <w:lang w:val="en-US" w:eastAsia="en-US" w:bidi="ar-SA"/>
        </w:rPr>
        <w:t xml:space="preserve">第八条  </w:t>
      </w:r>
      <w:r>
        <w:rPr>
          <w:rFonts w:ascii="仿宋" w:hAnsi="仿宋" w:eastAsia="仿宋" w:cs="仿宋"/>
          <w:snapToGrid w:val="0"/>
          <w:color w:val="auto"/>
          <w:spacing w:val="15"/>
          <w:kern w:val="0"/>
          <w:sz w:val="24"/>
          <w:szCs w:val="24"/>
          <w:highlight w:val="none"/>
          <w:lang w:val="en-US" w:eastAsia="en-US" w:bidi="ar-SA"/>
        </w:rPr>
        <w:t>超过</w:t>
      </w:r>
      <w:r>
        <w:rPr>
          <w:rFonts w:ascii="仿宋" w:hAnsi="仿宋" w:eastAsia="仿宋" w:cs="仿宋"/>
          <w:snapToGrid w:val="0"/>
          <w:color w:val="auto"/>
          <w:spacing w:val="-37"/>
          <w:kern w:val="0"/>
          <w:sz w:val="24"/>
          <w:szCs w:val="24"/>
          <w:highlight w:val="none"/>
          <w:lang w:val="en-US" w:eastAsia="en-US" w:bidi="ar-SA"/>
        </w:rPr>
        <w:t xml:space="preserve"> </w:t>
      </w:r>
      <w:r>
        <w:rPr>
          <w:rFonts w:ascii="仿宋" w:hAnsi="仿宋" w:eastAsia="仿宋" w:cs="仿宋"/>
          <w:snapToGrid w:val="0"/>
          <w:color w:val="auto"/>
          <w:spacing w:val="15"/>
          <w:kern w:val="0"/>
          <w:sz w:val="24"/>
          <w:szCs w:val="24"/>
          <w:highlight w:val="none"/>
          <w:lang w:val="en-US" w:eastAsia="en-US" w:bidi="ar-SA"/>
        </w:rPr>
        <w:t>200</w:t>
      </w:r>
      <w:r>
        <w:rPr>
          <w:rFonts w:ascii="仿宋" w:hAnsi="仿宋" w:eastAsia="仿宋" w:cs="仿宋"/>
          <w:snapToGrid w:val="0"/>
          <w:color w:val="auto"/>
          <w:spacing w:val="-41"/>
          <w:kern w:val="0"/>
          <w:sz w:val="24"/>
          <w:szCs w:val="24"/>
          <w:highlight w:val="none"/>
          <w:lang w:val="en-US" w:eastAsia="en-US" w:bidi="ar-SA"/>
        </w:rPr>
        <w:t xml:space="preserve"> </w:t>
      </w:r>
      <w:r>
        <w:rPr>
          <w:rFonts w:ascii="仿宋" w:hAnsi="仿宋" w:eastAsia="仿宋" w:cs="仿宋"/>
          <w:snapToGrid w:val="0"/>
          <w:color w:val="auto"/>
          <w:spacing w:val="15"/>
          <w:kern w:val="0"/>
          <w:sz w:val="24"/>
          <w:szCs w:val="24"/>
          <w:highlight w:val="none"/>
          <w:lang w:val="en-US" w:eastAsia="en-US" w:bidi="ar-SA"/>
        </w:rPr>
        <w:t>万元的货物和服务采购项目、超过</w:t>
      </w:r>
      <w:r>
        <w:rPr>
          <w:rFonts w:ascii="仿宋" w:hAnsi="仿宋" w:eastAsia="仿宋" w:cs="仿宋"/>
          <w:snapToGrid w:val="0"/>
          <w:color w:val="auto"/>
          <w:spacing w:val="10"/>
          <w:kern w:val="0"/>
          <w:sz w:val="24"/>
          <w:szCs w:val="24"/>
          <w:highlight w:val="none"/>
          <w:lang w:val="en-US" w:eastAsia="en-US" w:bidi="ar-SA"/>
        </w:rPr>
        <w:t>400</w:t>
      </w:r>
      <w:r>
        <w:rPr>
          <w:rFonts w:ascii="仿宋" w:hAnsi="仿宋" w:eastAsia="仿宋" w:cs="仿宋"/>
          <w:snapToGrid w:val="0"/>
          <w:color w:val="auto"/>
          <w:spacing w:val="-38"/>
          <w:kern w:val="0"/>
          <w:sz w:val="24"/>
          <w:szCs w:val="24"/>
          <w:highlight w:val="none"/>
          <w:lang w:val="en-US" w:eastAsia="en-US" w:bidi="ar-SA"/>
        </w:rPr>
        <w:t xml:space="preserve"> </w:t>
      </w:r>
      <w:r>
        <w:rPr>
          <w:rFonts w:ascii="仿宋" w:hAnsi="仿宋" w:eastAsia="仿宋" w:cs="仿宋"/>
          <w:snapToGrid w:val="0"/>
          <w:color w:val="auto"/>
          <w:spacing w:val="10"/>
          <w:kern w:val="0"/>
          <w:sz w:val="24"/>
          <w:szCs w:val="24"/>
          <w:highlight w:val="none"/>
          <w:lang w:val="en-US" w:eastAsia="en-US" w:bidi="ar-SA"/>
        </w:rPr>
        <w:t>万元的工程采购项目中适宜由中小企业提供的，预留该</w:t>
      </w:r>
      <w:r>
        <w:rPr>
          <w:rFonts w:ascii="仿宋" w:hAnsi="仿宋" w:eastAsia="仿宋" w:cs="仿宋"/>
          <w:snapToGrid w:val="0"/>
          <w:color w:val="auto"/>
          <w:spacing w:val="11"/>
          <w:kern w:val="0"/>
          <w:sz w:val="24"/>
          <w:szCs w:val="24"/>
          <w:highlight w:val="none"/>
          <w:lang w:val="en-US" w:eastAsia="en-US" w:bidi="ar-SA"/>
        </w:rPr>
        <w:t>部分采购项目预算总额的</w:t>
      </w:r>
      <w:r>
        <w:rPr>
          <w:rFonts w:ascii="仿宋" w:hAnsi="仿宋" w:eastAsia="仿宋" w:cs="仿宋"/>
          <w:snapToGrid w:val="0"/>
          <w:color w:val="auto"/>
          <w:spacing w:val="-55"/>
          <w:kern w:val="0"/>
          <w:sz w:val="24"/>
          <w:szCs w:val="24"/>
          <w:highlight w:val="none"/>
          <w:lang w:val="en-US" w:eastAsia="en-US" w:bidi="ar-SA"/>
        </w:rPr>
        <w:t xml:space="preserve"> </w:t>
      </w:r>
      <w:r>
        <w:rPr>
          <w:rFonts w:ascii="仿宋" w:hAnsi="仿宋" w:eastAsia="仿宋" w:cs="仿宋"/>
          <w:snapToGrid w:val="0"/>
          <w:color w:val="auto"/>
          <w:spacing w:val="11"/>
          <w:kern w:val="0"/>
          <w:sz w:val="24"/>
          <w:szCs w:val="24"/>
          <w:highlight w:val="none"/>
          <w:lang w:val="en-US" w:eastAsia="en-US" w:bidi="ar-SA"/>
        </w:rPr>
        <w:t>30%以上专门面向</w:t>
      </w:r>
      <w:r>
        <w:rPr>
          <w:rFonts w:ascii="仿宋" w:hAnsi="仿宋" w:eastAsia="仿宋" w:cs="仿宋"/>
          <w:snapToGrid w:val="0"/>
          <w:color w:val="auto"/>
          <w:spacing w:val="10"/>
          <w:kern w:val="0"/>
          <w:sz w:val="24"/>
          <w:szCs w:val="24"/>
          <w:highlight w:val="none"/>
          <w:lang w:val="en-US" w:eastAsia="en-US" w:bidi="ar-SA"/>
        </w:rPr>
        <w:t>中小企业采购，</w:t>
      </w:r>
      <w:r>
        <w:rPr>
          <w:rFonts w:ascii="仿宋" w:hAnsi="仿宋" w:eastAsia="仿宋" w:cs="仿宋"/>
          <w:snapToGrid w:val="0"/>
          <w:color w:val="auto"/>
          <w:spacing w:val="11"/>
          <w:kern w:val="0"/>
          <w:sz w:val="24"/>
          <w:szCs w:val="24"/>
          <w:highlight w:val="none"/>
          <w:lang w:val="en-US" w:eastAsia="en-US" w:bidi="ar-SA"/>
        </w:rPr>
        <w:t>其中预留给小微企业的比例不低于</w:t>
      </w:r>
      <w:r>
        <w:rPr>
          <w:rFonts w:ascii="仿宋" w:hAnsi="仿宋" w:eastAsia="仿宋" w:cs="仿宋"/>
          <w:snapToGrid w:val="0"/>
          <w:color w:val="auto"/>
          <w:spacing w:val="-59"/>
          <w:kern w:val="0"/>
          <w:sz w:val="24"/>
          <w:szCs w:val="24"/>
          <w:highlight w:val="none"/>
          <w:lang w:val="en-US" w:eastAsia="en-US" w:bidi="ar-SA"/>
        </w:rPr>
        <w:t xml:space="preserve"> </w:t>
      </w:r>
      <w:r>
        <w:rPr>
          <w:rFonts w:ascii="仿宋" w:hAnsi="仿宋" w:eastAsia="仿宋" w:cs="仿宋"/>
          <w:snapToGrid w:val="0"/>
          <w:color w:val="auto"/>
          <w:spacing w:val="11"/>
          <w:kern w:val="0"/>
          <w:sz w:val="24"/>
          <w:szCs w:val="24"/>
          <w:highlight w:val="none"/>
          <w:lang w:val="en-US" w:eastAsia="en-US" w:bidi="ar-SA"/>
        </w:rPr>
        <w:t>60%。预留份额通</w:t>
      </w:r>
      <w:r>
        <w:rPr>
          <w:rFonts w:ascii="仿宋" w:hAnsi="仿宋" w:eastAsia="仿宋" w:cs="仿宋"/>
          <w:snapToGrid w:val="0"/>
          <w:color w:val="auto"/>
          <w:spacing w:val="10"/>
          <w:kern w:val="0"/>
          <w:sz w:val="24"/>
          <w:szCs w:val="24"/>
          <w:highlight w:val="none"/>
          <w:lang w:val="en-US" w:eastAsia="en-US" w:bidi="ar-SA"/>
        </w:rPr>
        <w:t>过下列</w:t>
      </w:r>
      <w:r>
        <w:rPr>
          <w:rFonts w:ascii="仿宋" w:hAnsi="仿宋" w:eastAsia="仿宋" w:cs="仿宋"/>
          <w:snapToGrid w:val="0"/>
          <w:color w:val="auto"/>
          <w:spacing w:val="3"/>
          <w:kern w:val="0"/>
          <w:sz w:val="24"/>
          <w:szCs w:val="24"/>
          <w:highlight w:val="none"/>
          <w:lang w:val="en-US" w:eastAsia="en-US" w:bidi="ar-SA"/>
        </w:rPr>
        <w:t>措施进行：</w:t>
      </w:r>
    </w:p>
    <w:p w14:paraId="72F52C0C">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520" w:firstLineChars="200"/>
        <w:jc w:val="left"/>
        <w:textAlignment w:val="baseline"/>
        <w:rPr>
          <w:rFonts w:ascii="仿宋" w:hAnsi="仿宋" w:eastAsia="仿宋" w:cs="仿宋"/>
          <w:snapToGrid w:val="0"/>
          <w:color w:val="auto"/>
          <w:spacing w:val="10"/>
          <w:kern w:val="0"/>
          <w:sz w:val="24"/>
          <w:szCs w:val="24"/>
          <w:highlight w:val="none"/>
          <w:lang w:val="en-US" w:eastAsia="en-US" w:bidi="ar-SA"/>
        </w:rPr>
      </w:pPr>
      <w:r>
        <w:rPr>
          <w:rFonts w:ascii="仿宋" w:hAnsi="仿宋" w:eastAsia="仿宋" w:cs="仿宋"/>
          <w:snapToGrid w:val="0"/>
          <w:color w:val="auto"/>
          <w:spacing w:val="10"/>
          <w:kern w:val="0"/>
          <w:sz w:val="24"/>
          <w:szCs w:val="24"/>
          <w:highlight w:val="none"/>
          <w:lang w:val="en-US" w:eastAsia="en-US" w:bidi="ar-SA"/>
        </w:rPr>
        <w:t>（一）将采购项目整体或者设置采购包专门面向中小企业采购；</w:t>
      </w:r>
    </w:p>
    <w:p w14:paraId="6EB89AC8">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520" w:firstLineChars="200"/>
        <w:jc w:val="left"/>
        <w:textAlignment w:val="baseline"/>
        <w:rPr>
          <w:rFonts w:ascii="仿宋" w:hAnsi="仿宋" w:eastAsia="仿宋" w:cs="仿宋"/>
          <w:snapToGrid w:val="0"/>
          <w:color w:val="auto"/>
          <w:spacing w:val="10"/>
          <w:kern w:val="0"/>
          <w:sz w:val="24"/>
          <w:szCs w:val="24"/>
          <w:highlight w:val="none"/>
          <w:lang w:val="en-US" w:eastAsia="en-US" w:bidi="ar-SA"/>
        </w:rPr>
      </w:pPr>
      <w:r>
        <w:rPr>
          <w:rFonts w:ascii="仿宋" w:hAnsi="仿宋" w:eastAsia="仿宋" w:cs="仿宋"/>
          <w:snapToGrid w:val="0"/>
          <w:color w:val="auto"/>
          <w:spacing w:val="10"/>
          <w:kern w:val="0"/>
          <w:sz w:val="24"/>
          <w:szCs w:val="24"/>
          <w:highlight w:val="none"/>
          <w:lang w:val="en-US" w:eastAsia="en-US" w:bidi="ar-SA"/>
        </w:rPr>
        <w:t>（二）要求供应商以联合体形式参加采购活动，且联合体中中小企业承担的部分达到一定比例；</w:t>
      </w:r>
    </w:p>
    <w:p w14:paraId="2829BB4D">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520" w:firstLineChars="200"/>
        <w:jc w:val="left"/>
        <w:textAlignment w:val="baseline"/>
        <w:rPr>
          <w:rFonts w:ascii="仿宋" w:hAnsi="仿宋" w:eastAsia="仿宋" w:cs="仿宋"/>
          <w:snapToGrid w:val="0"/>
          <w:color w:val="auto"/>
          <w:spacing w:val="10"/>
          <w:kern w:val="0"/>
          <w:sz w:val="24"/>
          <w:szCs w:val="24"/>
          <w:highlight w:val="none"/>
          <w:lang w:val="en-US" w:eastAsia="en-US" w:bidi="ar-SA"/>
        </w:rPr>
      </w:pPr>
      <w:r>
        <w:rPr>
          <w:rFonts w:ascii="仿宋" w:hAnsi="仿宋" w:eastAsia="仿宋" w:cs="仿宋"/>
          <w:snapToGrid w:val="0"/>
          <w:color w:val="auto"/>
          <w:spacing w:val="10"/>
          <w:kern w:val="0"/>
          <w:sz w:val="24"/>
          <w:szCs w:val="24"/>
          <w:highlight w:val="none"/>
          <w:lang w:val="en-US" w:eastAsia="en-US" w:bidi="ar-SA"/>
        </w:rPr>
        <w:t>（三）要求获得采购合同的供应商将采购项目中的一定比例分包给一家或者多家中小企业。组成联合体或者接受分包合同的中小企业与联合体内其他企业、分包企业之间不得存在直接控股、管理关系。</w:t>
      </w:r>
    </w:p>
    <w:p w14:paraId="5B7052E9">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3"/>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第九条  </w:t>
      </w:r>
      <w:r>
        <w:rPr>
          <w:rFonts w:ascii="仿宋" w:hAnsi="仿宋" w:eastAsia="仿宋" w:cs="仿宋"/>
          <w:snapToGrid w:val="0"/>
          <w:color w:val="auto"/>
          <w:spacing w:val="19"/>
          <w:kern w:val="0"/>
          <w:sz w:val="24"/>
          <w:szCs w:val="24"/>
          <w:highlight w:val="none"/>
          <w:lang w:val="en-US" w:eastAsia="en-US" w:bidi="ar-SA"/>
        </w:rPr>
        <w:t>对于经主管预算单位统筹后未预留</w:t>
      </w:r>
      <w:r>
        <w:rPr>
          <w:rFonts w:ascii="仿宋" w:hAnsi="仿宋" w:eastAsia="仿宋" w:cs="仿宋"/>
          <w:snapToGrid w:val="0"/>
          <w:color w:val="auto"/>
          <w:spacing w:val="18"/>
          <w:kern w:val="0"/>
          <w:sz w:val="24"/>
          <w:szCs w:val="24"/>
          <w:highlight w:val="none"/>
          <w:lang w:val="en-US" w:eastAsia="en-US" w:bidi="ar-SA"/>
        </w:rPr>
        <w:t>份额专门</w:t>
      </w:r>
      <w:r>
        <w:rPr>
          <w:rFonts w:ascii="仿宋" w:hAnsi="仿宋" w:eastAsia="仿宋" w:cs="仿宋"/>
          <w:snapToGrid w:val="0"/>
          <w:color w:val="auto"/>
          <w:spacing w:val="8"/>
          <w:kern w:val="0"/>
          <w:sz w:val="24"/>
          <w:szCs w:val="24"/>
          <w:highlight w:val="none"/>
          <w:lang w:val="en-US" w:eastAsia="en-US" w:bidi="ar-SA"/>
        </w:rPr>
        <w:t>面向中小企业采购的采购项目，以及预留份额项目中的非预留部分采购包，采购人、采购代理机构应当对符合本办法规</w:t>
      </w:r>
      <w:r>
        <w:rPr>
          <w:rFonts w:ascii="仿宋" w:hAnsi="仿宋" w:eastAsia="仿宋" w:cs="仿宋"/>
          <w:snapToGrid w:val="0"/>
          <w:color w:val="auto"/>
          <w:spacing w:val="5"/>
          <w:kern w:val="0"/>
          <w:sz w:val="24"/>
          <w:szCs w:val="24"/>
          <w:highlight w:val="none"/>
          <w:lang w:val="en-US" w:eastAsia="en-US" w:bidi="ar-SA"/>
        </w:rPr>
        <w:t>定的小微企业报价给予</w:t>
      </w:r>
      <w:r>
        <w:rPr>
          <w:rFonts w:ascii="仿宋" w:hAnsi="仿宋" w:eastAsia="仿宋" w:cs="仿宋"/>
          <w:snapToGrid w:val="0"/>
          <w:color w:val="auto"/>
          <w:spacing w:val="-59"/>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6%—</w:t>
      </w:r>
      <w:r>
        <w:rPr>
          <w:rFonts w:ascii="仿宋" w:hAnsi="仿宋" w:eastAsia="仿宋" w:cs="仿宋"/>
          <w:snapToGrid w:val="0"/>
          <w:color w:val="auto"/>
          <w:spacing w:val="-121"/>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10%（工程项</w:t>
      </w:r>
      <w:r>
        <w:rPr>
          <w:rFonts w:ascii="仿宋" w:hAnsi="仿宋" w:eastAsia="仿宋" w:cs="仿宋"/>
          <w:snapToGrid w:val="0"/>
          <w:color w:val="auto"/>
          <w:spacing w:val="4"/>
          <w:kern w:val="0"/>
          <w:sz w:val="24"/>
          <w:szCs w:val="24"/>
          <w:highlight w:val="none"/>
          <w:lang w:val="en-US" w:eastAsia="en-US" w:bidi="ar-SA"/>
        </w:rPr>
        <w:t>目为3%—5%）的扣</w:t>
      </w:r>
      <w:r>
        <w:rPr>
          <w:rFonts w:ascii="仿宋" w:hAnsi="仿宋" w:eastAsia="仿宋" w:cs="仿宋"/>
          <w:snapToGrid w:val="0"/>
          <w:color w:val="auto"/>
          <w:spacing w:val="8"/>
          <w:kern w:val="0"/>
          <w:sz w:val="24"/>
          <w:szCs w:val="24"/>
          <w:highlight w:val="none"/>
          <w:lang w:val="en-US" w:eastAsia="en-US" w:bidi="ar-SA"/>
        </w:rPr>
        <w:t>除，用扣除后的价格参加评审。适用招标投标法的政府采购</w:t>
      </w:r>
      <w:r>
        <w:rPr>
          <w:rFonts w:ascii="仿宋" w:hAnsi="仿宋" w:eastAsia="仿宋" w:cs="仿宋"/>
          <w:snapToGrid w:val="0"/>
          <w:color w:val="auto"/>
          <w:spacing w:val="1"/>
          <w:kern w:val="0"/>
          <w:sz w:val="24"/>
          <w:szCs w:val="24"/>
          <w:highlight w:val="none"/>
          <w:lang w:val="en-US" w:eastAsia="en-US" w:bidi="ar-SA"/>
        </w:rPr>
        <w:t xml:space="preserve"> </w:t>
      </w:r>
      <w:r>
        <w:rPr>
          <w:rFonts w:ascii="仿宋" w:hAnsi="仿宋" w:eastAsia="仿宋" w:cs="仿宋"/>
          <w:snapToGrid w:val="0"/>
          <w:color w:val="auto"/>
          <w:spacing w:val="8"/>
          <w:kern w:val="0"/>
          <w:sz w:val="24"/>
          <w:szCs w:val="24"/>
          <w:highlight w:val="none"/>
          <w:lang w:val="en-US" w:eastAsia="en-US" w:bidi="ar-SA"/>
        </w:rPr>
        <w:t>工程建设项目，采用综合评估法但未采用低价优先法计算价格分的，评标时应当在采用原报价进行评分的基础上增加其</w:t>
      </w:r>
      <w:r>
        <w:rPr>
          <w:rFonts w:ascii="仿宋" w:hAnsi="仿宋" w:eastAsia="仿宋" w:cs="仿宋"/>
          <w:snapToGrid w:val="0"/>
          <w:color w:val="auto"/>
          <w:spacing w:val="5"/>
          <w:kern w:val="0"/>
          <w:sz w:val="24"/>
          <w:szCs w:val="24"/>
          <w:highlight w:val="none"/>
          <w:lang w:val="en-US" w:eastAsia="en-US" w:bidi="ar-SA"/>
        </w:rPr>
        <w:t>价格得分的</w:t>
      </w:r>
      <w:r>
        <w:rPr>
          <w:rFonts w:ascii="仿宋" w:hAnsi="仿宋" w:eastAsia="仿宋" w:cs="仿宋"/>
          <w:snapToGrid w:val="0"/>
          <w:color w:val="auto"/>
          <w:spacing w:val="-44"/>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3%—5%作为其价格分。</w:t>
      </w:r>
    </w:p>
    <w:p w14:paraId="579747B1">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10"/>
        <w:jc w:val="left"/>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19"/>
          <w:kern w:val="0"/>
          <w:sz w:val="24"/>
          <w:szCs w:val="24"/>
          <w:highlight w:val="none"/>
          <w:lang w:val="en-US" w:eastAsia="en-US" w:bidi="ar-SA"/>
        </w:rPr>
        <w:t>接受大中型企业与小微企业组成联合体或者允许大中</w:t>
      </w:r>
      <w:r>
        <w:rPr>
          <w:rFonts w:ascii="仿宋" w:hAnsi="仿宋" w:eastAsia="仿宋" w:cs="仿宋"/>
          <w:snapToGrid w:val="0"/>
          <w:color w:val="auto"/>
          <w:spacing w:val="8"/>
          <w:kern w:val="0"/>
          <w:sz w:val="24"/>
          <w:szCs w:val="24"/>
          <w:highlight w:val="none"/>
          <w:lang w:val="en-US" w:eastAsia="en-US" w:bidi="ar-SA"/>
        </w:rPr>
        <w:t>型企业向一家或者多家小微企业分包的采购项目，对于联合</w:t>
      </w:r>
      <w:r>
        <w:rPr>
          <w:rFonts w:ascii="仿宋" w:hAnsi="仿宋" w:eastAsia="仿宋" w:cs="仿宋"/>
          <w:snapToGrid w:val="0"/>
          <w:color w:val="auto"/>
          <w:spacing w:val="21"/>
          <w:kern w:val="0"/>
          <w:sz w:val="24"/>
          <w:szCs w:val="24"/>
          <w:highlight w:val="none"/>
          <w:lang w:val="en-US" w:eastAsia="en-US" w:bidi="ar-SA"/>
        </w:rPr>
        <w:t>协议或者分包意向协议约定小微企业的合同份额占到合同</w:t>
      </w:r>
      <w:r>
        <w:rPr>
          <w:rFonts w:ascii="仿宋" w:hAnsi="仿宋" w:eastAsia="仿宋" w:cs="仿宋"/>
          <w:snapToGrid w:val="0"/>
          <w:color w:val="auto"/>
          <w:spacing w:val="10"/>
          <w:kern w:val="0"/>
          <w:sz w:val="24"/>
          <w:szCs w:val="24"/>
          <w:highlight w:val="none"/>
          <w:lang w:val="en-US" w:eastAsia="en-US" w:bidi="ar-SA"/>
        </w:rPr>
        <w:t>总金额</w:t>
      </w:r>
      <w:r>
        <w:rPr>
          <w:rFonts w:ascii="仿宋" w:hAnsi="仿宋" w:eastAsia="仿宋" w:cs="仿宋"/>
          <w:snapToGrid w:val="0"/>
          <w:color w:val="auto"/>
          <w:spacing w:val="-45"/>
          <w:kern w:val="0"/>
          <w:sz w:val="24"/>
          <w:szCs w:val="24"/>
          <w:highlight w:val="none"/>
          <w:lang w:val="en-US" w:eastAsia="en-US" w:bidi="ar-SA"/>
        </w:rPr>
        <w:t xml:space="preserve"> </w:t>
      </w:r>
      <w:r>
        <w:rPr>
          <w:rFonts w:ascii="仿宋" w:hAnsi="仿宋" w:eastAsia="仿宋" w:cs="仿宋"/>
          <w:snapToGrid w:val="0"/>
          <w:color w:val="auto"/>
          <w:spacing w:val="10"/>
          <w:kern w:val="0"/>
          <w:sz w:val="24"/>
          <w:szCs w:val="24"/>
          <w:highlight w:val="none"/>
          <w:lang w:val="en-US" w:eastAsia="en-US" w:bidi="ar-SA"/>
        </w:rPr>
        <w:t>30%以上的，采购人、采购代理机构应当对联合体或</w:t>
      </w:r>
      <w:r>
        <w:rPr>
          <w:rFonts w:ascii="仿宋" w:hAnsi="仿宋" w:eastAsia="仿宋" w:cs="仿宋"/>
          <w:snapToGrid w:val="0"/>
          <w:color w:val="auto"/>
          <w:spacing w:val="5"/>
          <w:kern w:val="0"/>
          <w:sz w:val="24"/>
          <w:szCs w:val="24"/>
          <w:highlight w:val="none"/>
          <w:lang w:val="en-US" w:eastAsia="en-US" w:bidi="ar-SA"/>
        </w:rPr>
        <w:t>者大中型企业的报价给予</w:t>
      </w:r>
      <w:r>
        <w:rPr>
          <w:rFonts w:ascii="仿宋" w:hAnsi="仿宋" w:eastAsia="仿宋" w:cs="仿宋"/>
          <w:snapToGrid w:val="0"/>
          <w:color w:val="auto"/>
          <w:spacing w:val="-44"/>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2%-3%（工程项目为</w:t>
      </w:r>
      <w:r>
        <w:rPr>
          <w:rFonts w:ascii="仿宋" w:hAnsi="仿宋" w:eastAsia="仿宋" w:cs="仿宋"/>
          <w:snapToGrid w:val="0"/>
          <w:color w:val="auto"/>
          <w:spacing w:val="-39"/>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1%—2%）的扣</w:t>
      </w:r>
      <w:r>
        <w:rPr>
          <w:rFonts w:ascii="仿宋" w:hAnsi="仿宋" w:eastAsia="仿宋" w:cs="仿宋"/>
          <w:snapToGrid w:val="0"/>
          <w:color w:val="auto"/>
          <w:spacing w:val="8"/>
          <w:kern w:val="0"/>
          <w:sz w:val="24"/>
          <w:szCs w:val="24"/>
          <w:highlight w:val="none"/>
          <w:lang w:val="en-US" w:eastAsia="en-US" w:bidi="ar-SA"/>
        </w:rPr>
        <w:t>除，用扣除后的价格参加评审。适用招标投标法的政府采购工程建设项目，采用综合评估法但未采用低价优先法计算价格分的，评标时应当在采用原报价进行评分的基础上增加其</w:t>
      </w:r>
      <w:r>
        <w:rPr>
          <w:rFonts w:ascii="仿宋" w:hAnsi="仿宋" w:eastAsia="仿宋" w:cs="仿宋"/>
          <w:snapToGrid w:val="0"/>
          <w:color w:val="auto"/>
          <w:spacing w:val="4"/>
          <w:kern w:val="0"/>
          <w:sz w:val="24"/>
          <w:szCs w:val="24"/>
          <w:highlight w:val="none"/>
          <w:lang w:val="en-US" w:eastAsia="en-US" w:bidi="ar-SA"/>
        </w:rPr>
        <w:t>价格得分的</w:t>
      </w:r>
      <w:r>
        <w:rPr>
          <w:rFonts w:ascii="仿宋" w:hAnsi="仿宋" w:eastAsia="仿宋" w:cs="仿宋"/>
          <w:snapToGrid w:val="0"/>
          <w:color w:val="auto"/>
          <w:spacing w:val="-38"/>
          <w:kern w:val="0"/>
          <w:sz w:val="24"/>
          <w:szCs w:val="24"/>
          <w:highlight w:val="none"/>
          <w:lang w:val="en-US" w:eastAsia="en-US" w:bidi="ar-SA"/>
        </w:rPr>
        <w:t xml:space="preserve"> </w:t>
      </w:r>
      <w:r>
        <w:rPr>
          <w:rFonts w:ascii="仿宋" w:hAnsi="仿宋" w:eastAsia="仿宋" w:cs="仿宋"/>
          <w:snapToGrid w:val="0"/>
          <w:color w:val="auto"/>
          <w:spacing w:val="4"/>
          <w:kern w:val="0"/>
          <w:sz w:val="24"/>
          <w:szCs w:val="24"/>
          <w:highlight w:val="none"/>
          <w:lang w:val="en-US" w:eastAsia="en-US" w:bidi="ar-SA"/>
        </w:rPr>
        <w:t>1%—2%作为其价格分。组成联合</w:t>
      </w:r>
      <w:r>
        <w:rPr>
          <w:rFonts w:ascii="仿宋" w:hAnsi="仿宋" w:eastAsia="仿宋" w:cs="仿宋"/>
          <w:snapToGrid w:val="0"/>
          <w:color w:val="auto"/>
          <w:spacing w:val="3"/>
          <w:kern w:val="0"/>
          <w:sz w:val="24"/>
          <w:szCs w:val="24"/>
          <w:highlight w:val="none"/>
          <w:lang w:val="en-US" w:eastAsia="en-US" w:bidi="ar-SA"/>
        </w:rPr>
        <w:t>体或者接受分包</w:t>
      </w:r>
      <w:r>
        <w:rPr>
          <w:rFonts w:ascii="仿宋" w:hAnsi="仿宋" w:eastAsia="仿宋" w:cs="仿宋"/>
          <w:snapToGrid w:val="0"/>
          <w:color w:val="auto"/>
          <w:kern w:val="0"/>
          <w:sz w:val="24"/>
          <w:szCs w:val="24"/>
          <w:highlight w:val="none"/>
          <w:lang w:val="en-US" w:eastAsia="en-US" w:bidi="ar-SA"/>
        </w:rPr>
        <w:t xml:space="preserve"> </w:t>
      </w:r>
      <w:r>
        <w:rPr>
          <w:rFonts w:ascii="仿宋" w:hAnsi="仿宋" w:eastAsia="仿宋" w:cs="仿宋"/>
          <w:snapToGrid w:val="0"/>
          <w:color w:val="auto"/>
          <w:spacing w:val="8"/>
          <w:kern w:val="0"/>
          <w:sz w:val="24"/>
          <w:szCs w:val="24"/>
          <w:highlight w:val="none"/>
          <w:lang w:val="en-US" w:eastAsia="en-US" w:bidi="ar-SA"/>
        </w:rPr>
        <w:t>的小微企业与联合体内其他企业、分包企业之间存在直接控股、管理关系的，不享受价格扣除优惠政策。</w:t>
      </w:r>
    </w:p>
    <w:p w14:paraId="1803FF59">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08"/>
        <w:jc w:val="left"/>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19"/>
          <w:kern w:val="0"/>
          <w:sz w:val="24"/>
          <w:szCs w:val="24"/>
          <w:highlight w:val="none"/>
          <w:lang w:val="en-US" w:eastAsia="en-US" w:bidi="ar-SA"/>
        </w:rPr>
        <w:t>价格扣除比例或者价格分加分比例对小型企业和微型</w:t>
      </w:r>
      <w:r>
        <w:rPr>
          <w:rFonts w:ascii="仿宋" w:hAnsi="仿宋" w:eastAsia="仿宋" w:cs="仿宋"/>
          <w:snapToGrid w:val="0"/>
          <w:color w:val="auto"/>
          <w:spacing w:val="8"/>
          <w:kern w:val="0"/>
          <w:sz w:val="24"/>
          <w:szCs w:val="24"/>
          <w:highlight w:val="none"/>
          <w:lang w:val="en-US" w:eastAsia="en-US" w:bidi="ar-SA"/>
        </w:rPr>
        <w:t>企业同等对待，不作区分。具体采购项目的价格扣除比例或者价格分加分比例，由采购人根据采购标的相关行业平均利润率、市场竞争状况等，在本办法规定的幅度内确定。</w:t>
      </w:r>
    </w:p>
    <w:p w14:paraId="4E84A3FF">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3"/>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第十条  </w:t>
      </w:r>
      <w:r>
        <w:rPr>
          <w:rFonts w:ascii="仿宋" w:hAnsi="仿宋" w:eastAsia="仿宋" w:cs="仿宋"/>
          <w:snapToGrid w:val="0"/>
          <w:color w:val="auto"/>
          <w:spacing w:val="19"/>
          <w:kern w:val="0"/>
          <w:sz w:val="24"/>
          <w:szCs w:val="24"/>
          <w:highlight w:val="none"/>
          <w:lang w:val="en-US" w:eastAsia="en-US" w:bidi="ar-SA"/>
        </w:rPr>
        <w:t>采购人应当严格按照本办法规定和</w:t>
      </w:r>
      <w:r>
        <w:rPr>
          <w:rFonts w:ascii="仿宋" w:hAnsi="仿宋" w:eastAsia="仿宋" w:cs="仿宋"/>
          <w:snapToGrid w:val="0"/>
          <w:color w:val="auto"/>
          <w:spacing w:val="18"/>
          <w:kern w:val="0"/>
          <w:sz w:val="24"/>
          <w:szCs w:val="24"/>
          <w:highlight w:val="none"/>
          <w:lang w:val="en-US" w:eastAsia="en-US" w:bidi="ar-SA"/>
        </w:rPr>
        <w:t>主管预算</w:t>
      </w:r>
      <w:r>
        <w:rPr>
          <w:rFonts w:ascii="仿宋" w:hAnsi="仿宋" w:eastAsia="仿宋" w:cs="仿宋"/>
          <w:snapToGrid w:val="0"/>
          <w:color w:val="auto"/>
          <w:spacing w:val="8"/>
          <w:kern w:val="0"/>
          <w:sz w:val="24"/>
          <w:szCs w:val="24"/>
          <w:highlight w:val="none"/>
          <w:lang w:val="en-US" w:eastAsia="en-US" w:bidi="ar-SA"/>
        </w:rPr>
        <w:t>单位制定的预留采购份额具体方案开展采购活动。预留份额的采购项目或者采购包，通过发布公告方式邀请供应商后，</w:t>
      </w:r>
      <w:r>
        <w:rPr>
          <w:rFonts w:ascii="仿宋" w:hAnsi="仿宋" w:eastAsia="仿宋" w:cs="仿宋"/>
          <w:snapToGrid w:val="0"/>
          <w:color w:val="auto"/>
          <w:spacing w:val="6"/>
          <w:kern w:val="0"/>
          <w:sz w:val="24"/>
          <w:szCs w:val="24"/>
          <w:highlight w:val="none"/>
          <w:lang w:val="en-US" w:eastAsia="en-US" w:bidi="ar-SA"/>
        </w:rPr>
        <w:t>符合资格条件的中小企业数量不足</w:t>
      </w:r>
      <w:r>
        <w:rPr>
          <w:rFonts w:ascii="仿宋" w:hAnsi="仿宋" w:eastAsia="仿宋" w:cs="仿宋"/>
          <w:snapToGrid w:val="0"/>
          <w:color w:val="auto"/>
          <w:spacing w:val="-47"/>
          <w:kern w:val="0"/>
          <w:sz w:val="24"/>
          <w:szCs w:val="24"/>
          <w:highlight w:val="none"/>
          <w:lang w:val="en-US" w:eastAsia="en-US" w:bidi="ar-SA"/>
        </w:rPr>
        <w:t xml:space="preserve"> </w:t>
      </w:r>
      <w:r>
        <w:rPr>
          <w:rFonts w:ascii="仿宋" w:hAnsi="仿宋" w:eastAsia="仿宋" w:cs="仿宋"/>
          <w:snapToGrid w:val="0"/>
          <w:color w:val="auto"/>
          <w:spacing w:val="6"/>
          <w:kern w:val="0"/>
          <w:sz w:val="24"/>
          <w:szCs w:val="24"/>
          <w:highlight w:val="none"/>
          <w:lang w:val="en-US" w:eastAsia="en-US" w:bidi="ar-SA"/>
        </w:rPr>
        <w:t>3</w:t>
      </w:r>
      <w:r>
        <w:rPr>
          <w:rFonts w:ascii="仿宋" w:hAnsi="仿宋" w:eastAsia="仿宋" w:cs="仿宋"/>
          <w:snapToGrid w:val="0"/>
          <w:color w:val="auto"/>
          <w:spacing w:val="-49"/>
          <w:kern w:val="0"/>
          <w:sz w:val="24"/>
          <w:szCs w:val="24"/>
          <w:highlight w:val="none"/>
          <w:lang w:val="en-US" w:eastAsia="en-US" w:bidi="ar-SA"/>
        </w:rPr>
        <w:t xml:space="preserve"> </w:t>
      </w:r>
      <w:r>
        <w:rPr>
          <w:rFonts w:ascii="仿宋" w:hAnsi="仿宋" w:eastAsia="仿宋" w:cs="仿宋"/>
          <w:snapToGrid w:val="0"/>
          <w:color w:val="auto"/>
          <w:spacing w:val="6"/>
          <w:kern w:val="0"/>
          <w:sz w:val="24"/>
          <w:szCs w:val="24"/>
          <w:highlight w:val="none"/>
          <w:lang w:val="en-US" w:eastAsia="en-US" w:bidi="ar-SA"/>
        </w:rPr>
        <w:t>家的，应当中止采购活</w:t>
      </w:r>
      <w:r>
        <w:rPr>
          <w:rFonts w:ascii="仿宋" w:hAnsi="仿宋" w:eastAsia="仿宋" w:cs="仿宋"/>
          <w:snapToGrid w:val="0"/>
          <w:color w:val="auto"/>
          <w:spacing w:val="8"/>
          <w:kern w:val="0"/>
          <w:sz w:val="24"/>
          <w:szCs w:val="24"/>
          <w:highlight w:val="none"/>
          <w:lang w:val="en-US" w:eastAsia="en-US" w:bidi="ar-SA"/>
        </w:rPr>
        <w:t>动，视同未预留份额的采购项目或者采购包，按照本办法第</w:t>
      </w:r>
      <w:r>
        <w:rPr>
          <w:rFonts w:ascii="仿宋" w:hAnsi="仿宋" w:eastAsia="仿宋" w:cs="仿宋"/>
          <w:snapToGrid w:val="0"/>
          <w:color w:val="auto"/>
          <w:spacing w:val="7"/>
          <w:kern w:val="0"/>
          <w:sz w:val="24"/>
          <w:szCs w:val="24"/>
          <w:highlight w:val="none"/>
          <w:lang w:val="en-US" w:eastAsia="en-US" w:bidi="ar-SA"/>
        </w:rPr>
        <w:t>九条有关规定重新组织采购活动。</w:t>
      </w:r>
    </w:p>
    <w:p w14:paraId="0A8A6FAF">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9"/>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3"/>
          <w:kern w:val="0"/>
          <w:sz w:val="24"/>
          <w:szCs w:val="24"/>
          <w:highlight w:val="none"/>
          <w:lang w:val="en-US" w:eastAsia="en-US" w:bidi="ar-SA"/>
        </w:rPr>
        <w:t>第十一条</w:t>
      </w:r>
      <w:r>
        <w:rPr>
          <w:rFonts w:ascii="黑体" w:hAnsi="黑体" w:eastAsia="黑体" w:cs="黑体"/>
          <w:snapToGrid w:val="0"/>
          <w:color w:val="auto"/>
          <w:spacing w:val="37"/>
          <w:kern w:val="0"/>
          <w:sz w:val="24"/>
          <w:szCs w:val="24"/>
          <w:highlight w:val="none"/>
          <w:lang w:val="en-US" w:eastAsia="en-US" w:bidi="ar-SA"/>
        </w:rPr>
        <w:t xml:space="preserve">  </w:t>
      </w:r>
      <w:r>
        <w:rPr>
          <w:rFonts w:ascii="仿宋" w:hAnsi="仿宋" w:eastAsia="仿宋" w:cs="仿宋"/>
          <w:snapToGrid w:val="0"/>
          <w:color w:val="auto"/>
          <w:spacing w:val="3"/>
          <w:kern w:val="0"/>
          <w:sz w:val="24"/>
          <w:szCs w:val="24"/>
          <w:highlight w:val="none"/>
          <w:lang w:val="en-US" w:eastAsia="en-US" w:bidi="ar-SA"/>
        </w:rPr>
        <w:t>中小企业参加政府采购活动，应当出具本办</w:t>
      </w:r>
      <w:r>
        <w:rPr>
          <w:rFonts w:ascii="仿宋" w:hAnsi="仿宋" w:eastAsia="仿宋" w:cs="仿宋"/>
          <w:snapToGrid w:val="0"/>
          <w:color w:val="auto"/>
          <w:spacing w:val="2"/>
          <w:kern w:val="0"/>
          <w:sz w:val="24"/>
          <w:szCs w:val="24"/>
          <w:highlight w:val="none"/>
          <w:lang w:val="en-US" w:eastAsia="en-US" w:bidi="ar-SA"/>
        </w:rPr>
        <w:t>法规定的《中小企业声明函》（附</w:t>
      </w:r>
      <w:r>
        <w:rPr>
          <w:rFonts w:ascii="仿宋" w:hAnsi="仿宋" w:eastAsia="仿宋" w:cs="仿宋"/>
          <w:snapToGrid w:val="0"/>
          <w:color w:val="auto"/>
          <w:spacing w:val="-36"/>
          <w:kern w:val="0"/>
          <w:sz w:val="24"/>
          <w:szCs w:val="24"/>
          <w:highlight w:val="none"/>
          <w:lang w:val="en-US" w:eastAsia="en-US" w:bidi="ar-SA"/>
        </w:rPr>
        <w:t xml:space="preserve"> </w:t>
      </w:r>
      <w:r>
        <w:rPr>
          <w:rFonts w:ascii="仿宋" w:hAnsi="仿宋" w:eastAsia="仿宋" w:cs="仿宋"/>
          <w:snapToGrid w:val="0"/>
          <w:color w:val="auto"/>
          <w:spacing w:val="2"/>
          <w:kern w:val="0"/>
          <w:sz w:val="24"/>
          <w:szCs w:val="24"/>
          <w:highlight w:val="none"/>
          <w:lang w:val="en-US" w:eastAsia="en-US" w:bidi="ar-SA"/>
        </w:rPr>
        <w:t>1</w:t>
      </w:r>
      <w:r>
        <w:rPr>
          <w:rFonts w:ascii="仿宋" w:hAnsi="仿宋" w:eastAsia="仿宋" w:cs="仿宋"/>
          <w:snapToGrid w:val="0"/>
          <w:color w:val="auto"/>
          <w:spacing w:val="-50"/>
          <w:kern w:val="0"/>
          <w:sz w:val="24"/>
          <w:szCs w:val="24"/>
          <w:highlight w:val="none"/>
          <w:lang w:val="en-US" w:eastAsia="en-US" w:bidi="ar-SA"/>
        </w:rPr>
        <w:t>），</w:t>
      </w:r>
      <w:r>
        <w:rPr>
          <w:rFonts w:ascii="仿宋" w:hAnsi="仿宋" w:eastAsia="仿宋" w:cs="仿宋"/>
          <w:snapToGrid w:val="0"/>
          <w:color w:val="auto"/>
          <w:spacing w:val="2"/>
          <w:kern w:val="0"/>
          <w:sz w:val="24"/>
          <w:szCs w:val="24"/>
          <w:highlight w:val="none"/>
          <w:lang w:val="en-US" w:eastAsia="en-US" w:bidi="ar-SA"/>
        </w:rPr>
        <w:t>否则不得享受相关中</w:t>
      </w:r>
      <w:r>
        <w:rPr>
          <w:rFonts w:ascii="仿宋" w:hAnsi="仿宋" w:eastAsia="仿宋" w:cs="仿宋"/>
          <w:snapToGrid w:val="0"/>
          <w:color w:val="auto"/>
          <w:spacing w:val="8"/>
          <w:kern w:val="0"/>
          <w:sz w:val="24"/>
          <w:szCs w:val="24"/>
          <w:highlight w:val="none"/>
          <w:lang w:val="en-US" w:eastAsia="en-US" w:bidi="ar-SA"/>
        </w:rPr>
        <w:t>小企业扶持政策。任何单位和个人不得要求供应商提供《中小企业声明函》之外的中小企业身份证明文件。</w:t>
      </w:r>
    </w:p>
    <w:p w14:paraId="1A61506D">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699"/>
        <w:jc w:val="left"/>
        <w:textAlignment w:val="baseline"/>
        <w:rPr>
          <w:rFonts w:ascii="仿宋" w:hAnsi="仿宋" w:eastAsia="仿宋" w:cs="仿宋"/>
          <w:snapToGrid w:val="0"/>
          <w:color w:val="auto"/>
          <w:spacing w:val="2"/>
          <w:kern w:val="0"/>
          <w:sz w:val="24"/>
          <w:szCs w:val="24"/>
          <w:highlight w:val="none"/>
          <w:lang w:val="en-US" w:eastAsia="en-US" w:bidi="ar-SA"/>
        </w:rPr>
      </w:pPr>
      <w:r>
        <w:rPr>
          <w:rFonts w:ascii="黑体" w:hAnsi="黑体" w:eastAsia="黑体" w:cs="黑体"/>
          <w:snapToGrid w:val="0"/>
          <w:color w:val="auto"/>
          <w:spacing w:val="3"/>
          <w:kern w:val="0"/>
          <w:sz w:val="24"/>
          <w:szCs w:val="24"/>
          <w:highlight w:val="none"/>
          <w:lang w:val="en-US" w:eastAsia="en-US" w:bidi="ar-SA"/>
        </w:rPr>
        <w:t xml:space="preserve">第十二条  </w:t>
      </w:r>
      <w:r>
        <w:rPr>
          <w:rFonts w:ascii="仿宋" w:hAnsi="仿宋" w:eastAsia="仿宋" w:cs="仿宋"/>
          <w:snapToGrid w:val="0"/>
          <w:color w:val="auto"/>
          <w:spacing w:val="2"/>
          <w:kern w:val="0"/>
          <w:sz w:val="24"/>
          <w:szCs w:val="24"/>
          <w:highlight w:val="none"/>
          <w:lang w:val="en-US" w:eastAsia="en-US" w:bidi="ar-SA"/>
        </w:rPr>
        <w:t>采购项目涉及中小企业采购的，采购文件应当明确以下内容：</w:t>
      </w:r>
    </w:p>
    <w:p w14:paraId="4986B551">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（一）预留份额的采购项目或者采购包，明确该项目或</w:t>
      </w:r>
      <w:r>
        <w:rPr>
          <w:rFonts w:ascii="仿宋" w:hAnsi="仿宋" w:eastAsia="仿宋" w:cs="仿宋"/>
          <w:snapToGrid w:val="0"/>
          <w:color w:val="auto"/>
          <w:spacing w:val="11"/>
          <w:kern w:val="0"/>
          <w:sz w:val="24"/>
          <w:szCs w:val="24"/>
          <w:highlight w:val="none"/>
          <w:lang w:val="en-US" w:eastAsia="en-US" w:bidi="ar-SA"/>
        </w:rPr>
        <w:t xml:space="preserve"> </w:t>
      </w:r>
      <w:r>
        <w:rPr>
          <w:rFonts w:ascii="仿宋" w:hAnsi="仿宋" w:eastAsia="仿宋" w:cs="仿宋"/>
          <w:snapToGrid w:val="0"/>
          <w:color w:val="auto"/>
          <w:spacing w:val="8"/>
          <w:kern w:val="0"/>
          <w:sz w:val="24"/>
          <w:szCs w:val="24"/>
          <w:highlight w:val="none"/>
          <w:lang w:val="en-US" w:eastAsia="en-US" w:bidi="ar-SA"/>
        </w:rPr>
        <w:t>相关采购包专门面向中小企业采购，以及相关标的及预算金</w:t>
      </w:r>
      <w:r>
        <w:rPr>
          <w:rFonts w:ascii="仿宋" w:hAnsi="仿宋" w:eastAsia="仿宋" w:cs="仿宋"/>
          <w:snapToGrid w:val="0"/>
          <w:color w:val="auto"/>
          <w:spacing w:val="-6"/>
          <w:kern w:val="0"/>
          <w:sz w:val="24"/>
          <w:szCs w:val="24"/>
          <w:highlight w:val="none"/>
          <w:lang w:val="en-US" w:eastAsia="en-US" w:bidi="ar-SA"/>
        </w:rPr>
        <w:t>额；</w:t>
      </w:r>
    </w:p>
    <w:p w14:paraId="213EC012">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（二）要求以联合体形式参加或者合同分包的，明确联 合协议或者分包意向协议中中小企业合同金额应当达到的比例，并作为供应商资格条件；</w:t>
      </w:r>
    </w:p>
    <w:p w14:paraId="17462511">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（三）非预留份额的采购项目或者采购包，明确有关价格扣除比例或者价格分加分比例；</w:t>
      </w:r>
    </w:p>
    <w:p w14:paraId="0F326B10">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（四）规定依据本办法规定享受扶持政策获得政府采购合同的，小微企业不得将合同分包给大中型企业，中型企业不得将合同分包给大型企业；</w:t>
      </w:r>
    </w:p>
    <w:p w14:paraId="6A340AB4">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（五）采购人认为具备相关条件的，明确对中小企业在资金支付期限、预付款比例等方面的优惠措施；</w:t>
      </w:r>
    </w:p>
    <w:p w14:paraId="7B662262">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（六）明确采购标的对应的中小企业划分标准所属行业；</w:t>
      </w:r>
    </w:p>
    <w:p w14:paraId="2977E139">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（七）法律法规和省级以上人民政府财政部门规定的其他事项。</w:t>
      </w:r>
    </w:p>
    <w:p w14:paraId="07A2489A">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703"/>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3"/>
          <w:kern w:val="0"/>
          <w:sz w:val="24"/>
          <w:szCs w:val="24"/>
          <w:highlight w:val="none"/>
          <w:lang w:val="en-US" w:eastAsia="en-US" w:bidi="ar-SA"/>
        </w:rPr>
        <w:t>第十三条</w:t>
      </w:r>
      <w:r>
        <w:rPr>
          <w:rFonts w:ascii="黑体" w:hAnsi="黑体" w:eastAsia="黑体" w:cs="黑体"/>
          <w:snapToGrid w:val="0"/>
          <w:color w:val="auto"/>
          <w:spacing w:val="36"/>
          <w:kern w:val="0"/>
          <w:sz w:val="24"/>
          <w:szCs w:val="24"/>
          <w:highlight w:val="none"/>
          <w:lang w:val="en-US" w:eastAsia="en-US" w:bidi="ar-SA"/>
        </w:rPr>
        <w:t xml:space="preserve">  </w:t>
      </w:r>
      <w:r>
        <w:rPr>
          <w:rFonts w:ascii="仿宋" w:hAnsi="仿宋" w:eastAsia="仿宋" w:cs="仿宋"/>
          <w:snapToGrid w:val="0"/>
          <w:color w:val="auto"/>
          <w:spacing w:val="8"/>
          <w:kern w:val="0"/>
          <w:sz w:val="24"/>
          <w:szCs w:val="24"/>
          <w:highlight w:val="none"/>
          <w:lang w:val="en-US" w:eastAsia="en-US" w:bidi="ar-SA"/>
        </w:rPr>
        <w:t>中标、成交供应商享受本办法规定的中小企业扶持政策的，采购人、采购代理机构应当随中标、成交结果公开中标、成交供应商的《中小企业声明函》。</w:t>
      </w:r>
    </w:p>
    <w:p w14:paraId="59D36E76">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703"/>
        <w:jc w:val="left"/>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适用招标投标法的政府采购工程建设项目，应当在公示中标候选人时公开中标候选</w:t>
      </w:r>
      <w:r>
        <w:rPr>
          <w:rFonts w:ascii="仿宋" w:hAnsi="仿宋" w:eastAsia="仿宋" w:cs="仿宋"/>
          <w:snapToGrid w:val="0"/>
          <w:color w:val="auto"/>
          <w:spacing w:val="2"/>
          <w:kern w:val="0"/>
          <w:sz w:val="24"/>
          <w:szCs w:val="24"/>
          <w:highlight w:val="none"/>
          <w:lang w:val="en-US" w:eastAsia="en-US" w:bidi="ar-SA"/>
        </w:rPr>
        <w:t>人的《中小企业声明函》。</w:t>
      </w:r>
    </w:p>
    <w:p w14:paraId="25CF2F17">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3"/>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6"/>
          <w:kern w:val="0"/>
          <w:sz w:val="24"/>
          <w:szCs w:val="24"/>
          <w:highlight w:val="none"/>
          <w:lang w:val="en-US" w:eastAsia="en-US" w:bidi="ar-SA"/>
        </w:rPr>
        <w:t xml:space="preserve">第十四条  </w:t>
      </w:r>
      <w:r>
        <w:rPr>
          <w:rFonts w:ascii="仿宋" w:hAnsi="仿宋" w:eastAsia="仿宋" w:cs="仿宋"/>
          <w:snapToGrid w:val="0"/>
          <w:color w:val="auto"/>
          <w:spacing w:val="6"/>
          <w:kern w:val="0"/>
          <w:sz w:val="24"/>
          <w:szCs w:val="24"/>
          <w:highlight w:val="none"/>
          <w:lang w:val="en-US" w:eastAsia="en-US" w:bidi="ar-SA"/>
        </w:rPr>
        <w:t>对于通过预留采购项目、预留专门采购包、</w:t>
      </w:r>
      <w:r>
        <w:rPr>
          <w:rFonts w:ascii="仿宋" w:hAnsi="仿宋" w:eastAsia="仿宋" w:cs="仿宋"/>
          <w:snapToGrid w:val="0"/>
          <w:color w:val="auto"/>
          <w:spacing w:val="21"/>
          <w:kern w:val="0"/>
          <w:sz w:val="24"/>
          <w:szCs w:val="24"/>
          <w:highlight w:val="none"/>
          <w:lang w:val="en-US" w:eastAsia="en-US" w:bidi="ar-SA"/>
        </w:rPr>
        <w:t>要求以联合体形式参加或者合同分包等措施签订的采购合</w:t>
      </w:r>
      <w:r>
        <w:rPr>
          <w:rFonts w:ascii="仿宋" w:hAnsi="仿宋" w:eastAsia="仿宋" w:cs="仿宋"/>
          <w:snapToGrid w:val="0"/>
          <w:color w:val="auto"/>
          <w:spacing w:val="8"/>
          <w:kern w:val="0"/>
          <w:sz w:val="24"/>
          <w:szCs w:val="24"/>
          <w:highlight w:val="none"/>
          <w:lang w:val="en-US" w:eastAsia="en-US" w:bidi="ar-SA"/>
        </w:rPr>
        <w:t>同，应当明确标注本合同为中小企业预留合同。其中，要求以联合体形式参加采购活动或者合同分包的，应当将联合协议或者分包意向协议作为采购合同的组成部分。</w:t>
      </w:r>
    </w:p>
    <w:p w14:paraId="59586E1B">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8"/>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 xml:space="preserve">第十五条  </w:t>
      </w:r>
      <w:r>
        <w:rPr>
          <w:rFonts w:ascii="仿宋" w:hAnsi="仿宋" w:eastAsia="仿宋" w:cs="仿宋"/>
          <w:snapToGrid w:val="0"/>
          <w:color w:val="auto"/>
          <w:spacing w:val="5"/>
          <w:kern w:val="0"/>
          <w:sz w:val="24"/>
          <w:szCs w:val="24"/>
          <w:highlight w:val="none"/>
          <w:lang w:val="en-US" w:eastAsia="en-US" w:bidi="ar-SA"/>
        </w:rPr>
        <w:t>鼓励各地区、各部门在采购活动中允许中小</w:t>
      </w:r>
      <w:r>
        <w:rPr>
          <w:rFonts w:ascii="仿宋" w:hAnsi="仿宋" w:eastAsia="仿宋" w:cs="仿宋"/>
          <w:snapToGrid w:val="0"/>
          <w:color w:val="auto"/>
          <w:spacing w:val="8"/>
          <w:kern w:val="0"/>
          <w:sz w:val="24"/>
          <w:szCs w:val="24"/>
          <w:highlight w:val="none"/>
          <w:lang w:val="en-US" w:eastAsia="en-US" w:bidi="ar-SA"/>
        </w:rPr>
        <w:t>企业引入信用担保手段，为中小企业在投标（响应）保证、履约保证等方面提供专业化服务。鼓励中小企业依法合规通</w:t>
      </w:r>
      <w:r>
        <w:rPr>
          <w:rFonts w:ascii="仿宋" w:hAnsi="仿宋" w:eastAsia="仿宋" w:cs="仿宋"/>
          <w:snapToGrid w:val="0"/>
          <w:color w:val="auto"/>
          <w:spacing w:val="6"/>
          <w:kern w:val="0"/>
          <w:sz w:val="24"/>
          <w:szCs w:val="24"/>
          <w:highlight w:val="none"/>
          <w:lang w:val="en-US" w:eastAsia="en-US" w:bidi="ar-SA"/>
        </w:rPr>
        <w:t>过政府采购合同融资。</w:t>
      </w:r>
    </w:p>
    <w:p w14:paraId="169952B9">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8"/>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 xml:space="preserve">第十六条  </w:t>
      </w:r>
      <w:r>
        <w:rPr>
          <w:rFonts w:ascii="仿宋" w:hAnsi="仿宋" w:eastAsia="仿宋" w:cs="仿宋"/>
          <w:snapToGrid w:val="0"/>
          <w:color w:val="auto"/>
          <w:spacing w:val="5"/>
          <w:kern w:val="0"/>
          <w:sz w:val="24"/>
          <w:szCs w:val="24"/>
          <w:highlight w:val="none"/>
          <w:lang w:val="en-US" w:eastAsia="en-US" w:bidi="ar-SA"/>
        </w:rPr>
        <w:t>政府采购监督检查、投诉处理及政府采购行</w:t>
      </w:r>
      <w:r>
        <w:rPr>
          <w:rFonts w:ascii="仿宋" w:hAnsi="仿宋" w:eastAsia="仿宋" w:cs="仿宋"/>
          <w:snapToGrid w:val="0"/>
          <w:color w:val="auto"/>
          <w:spacing w:val="17"/>
          <w:kern w:val="0"/>
          <w:sz w:val="24"/>
          <w:szCs w:val="24"/>
          <w:highlight w:val="none"/>
          <w:lang w:val="en-US" w:eastAsia="en-US" w:bidi="ar-SA"/>
        </w:rPr>
        <w:t xml:space="preserve"> </w:t>
      </w:r>
      <w:r>
        <w:rPr>
          <w:rFonts w:ascii="仿宋" w:hAnsi="仿宋" w:eastAsia="仿宋" w:cs="仿宋"/>
          <w:snapToGrid w:val="0"/>
          <w:color w:val="auto"/>
          <w:spacing w:val="8"/>
          <w:kern w:val="0"/>
          <w:sz w:val="24"/>
          <w:szCs w:val="24"/>
          <w:highlight w:val="none"/>
          <w:lang w:val="en-US" w:eastAsia="en-US" w:bidi="ar-SA"/>
        </w:rPr>
        <w:t>政处罚中对中小企业的认定，由货物制造商或者工程、服务</w:t>
      </w:r>
      <w:r>
        <w:rPr>
          <w:rFonts w:ascii="仿宋" w:hAnsi="仿宋" w:eastAsia="仿宋" w:cs="仿宋"/>
          <w:snapToGrid w:val="0"/>
          <w:color w:val="auto"/>
          <w:spacing w:val="21"/>
          <w:kern w:val="0"/>
          <w:sz w:val="24"/>
          <w:szCs w:val="24"/>
          <w:highlight w:val="none"/>
          <w:lang w:val="en-US" w:eastAsia="en-US" w:bidi="ar-SA"/>
        </w:rPr>
        <w:t>供应商注册登记所在地的县级以上人民政府中小企业主管</w:t>
      </w:r>
      <w:r>
        <w:rPr>
          <w:rFonts w:ascii="仿宋" w:hAnsi="仿宋" w:eastAsia="仿宋" w:cs="仿宋"/>
          <w:snapToGrid w:val="0"/>
          <w:color w:val="auto"/>
          <w:spacing w:val="3"/>
          <w:kern w:val="0"/>
          <w:sz w:val="24"/>
          <w:szCs w:val="24"/>
          <w:highlight w:val="none"/>
          <w:lang w:val="en-US" w:eastAsia="en-US" w:bidi="ar-SA"/>
        </w:rPr>
        <w:t>部门负责。</w:t>
      </w:r>
    </w:p>
    <w:p w14:paraId="2402CDBF">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50"/>
        <w:jc w:val="left"/>
        <w:textAlignment w:val="baseline"/>
        <w:rPr>
          <w:rFonts w:ascii="仿宋" w:hAnsi="仿宋" w:eastAsia="仿宋" w:cs="仿宋"/>
          <w:snapToGrid w:val="0"/>
          <w:color w:val="auto"/>
          <w:spacing w:val="6"/>
          <w:kern w:val="0"/>
          <w:sz w:val="24"/>
          <w:szCs w:val="24"/>
          <w:highlight w:val="none"/>
          <w:lang w:val="en-US" w:eastAsia="en-US" w:bidi="ar-SA"/>
        </w:rPr>
      </w:pPr>
      <w:r>
        <w:rPr>
          <w:rFonts w:ascii="仿宋" w:hAnsi="仿宋" w:eastAsia="仿宋" w:cs="仿宋"/>
          <w:snapToGrid w:val="0"/>
          <w:color w:val="auto"/>
          <w:spacing w:val="17"/>
          <w:kern w:val="0"/>
          <w:sz w:val="24"/>
          <w:szCs w:val="24"/>
          <w:highlight w:val="none"/>
          <w:lang w:val="en-US" w:eastAsia="en-US" w:bidi="ar-SA"/>
        </w:rPr>
        <w:t>中小企业主管部门应当在收到财政部门或者有关招标</w:t>
      </w:r>
      <w:r>
        <w:rPr>
          <w:rFonts w:ascii="仿宋" w:hAnsi="仿宋" w:eastAsia="仿宋" w:cs="仿宋"/>
          <w:snapToGrid w:val="0"/>
          <w:color w:val="auto"/>
          <w:spacing w:val="11"/>
          <w:kern w:val="0"/>
          <w:sz w:val="24"/>
          <w:szCs w:val="24"/>
          <w:highlight w:val="none"/>
          <w:lang w:val="en-US" w:eastAsia="en-US" w:bidi="ar-SA"/>
        </w:rPr>
        <w:t>投标行政监督部门关于协助开展中小企业认定函后10</w:t>
      </w:r>
      <w:r>
        <w:rPr>
          <w:rFonts w:ascii="仿宋" w:hAnsi="仿宋" w:eastAsia="仿宋" w:cs="仿宋"/>
          <w:snapToGrid w:val="0"/>
          <w:color w:val="auto"/>
          <w:spacing w:val="-48"/>
          <w:kern w:val="0"/>
          <w:sz w:val="24"/>
          <w:szCs w:val="24"/>
          <w:highlight w:val="none"/>
          <w:lang w:val="en-US" w:eastAsia="en-US" w:bidi="ar-SA"/>
        </w:rPr>
        <w:t xml:space="preserve"> </w:t>
      </w:r>
      <w:r>
        <w:rPr>
          <w:rFonts w:ascii="仿宋" w:hAnsi="仿宋" w:eastAsia="仿宋" w:cs="仿宋"/>
          <w:snapToGrid w:val="0"/>
          <w:color w:val="auto"/>
          <w:spacing w:val="11"/>
          <w:kern w:val="0"/>
          <w:sz w:val="24"/>
          <w:szCs w:val="24"/>
          <w:highlight w:val="none"/>
          <w:lang w:val="en-US" w:eastAsia="en-US" w:bidi="ar-SA"/>
        </w:rPr>
        <w:t>个工</w:t>
      </w:r>
      <w:r>
        <w:rPr>
          <w:rFonts w:ascii="仿宋" w:hAnsi="仿宋" w:eastAsia="仿宋" w:cs="仿宋"/>
          <w:snapToGrid w:val="0"/>
          <w:color w:val="auto"/>
          <w:spacing w:val="6"/>
          <w:kern w:val="0"/>
          <w:sz w:val="24"/>
          <w:szCs w:val="24"/>
          <w:highlight w:val="none"/>
          <w:lang w:val="en-US" w:eastAsia="en-US" w:bidi="ar-SA"/>
        </w:rPr>
        <w:t>作日内做出书面答复。</w:t>
      </w:r>
    </w:p>
    <w:p w14:paraId="724508DC">
      <w:pPr>
        <w:keepNext w:val="0"/>
        <w:keepLines w:val="0"/>
        <w:pageBreakBefore w:val="0"/>
        <w:numPr>
          <w:ilvl w:val="0"/>
          <w:numId w:val="0"/>
        </w:numPr>
        <w:kinsoku w:val="0"/>
        <w:wordWrap/>
        <w:overflowPunct/>
        <w:topLinePunct w:val="0"/>
        <w:autoSpaceDE w:val="0"/>
        <w:autoSpaceDN w:val="0"/>
        <w:bidi w:val="0"/>
        <w:adjustRightInd w:val="0"/>
        <w:snapToGrid w:val="0"/>
        <w:spacing w:before="0" w:after="0" w:line="560" w:lineRule="exact"/>
        <w:ind w:left="0" w:leftChars="0" w:right="0" w:rightChars="0" w:firstLine="750" w:firstLineChars="0"/>
        <w:jc w:val="left"/>
        <w:textAlignment w:val="baseline"/>
        <w:rPr>
          <w:rFonts w:ascii="仿宋" w:hAnsi="仿宋" w:eastAsia="仿宋" w:cs="仿宋"/>
          <w:snapToGrid w:val="0"/>
          <w:color w:val="auto"/>
          <w:spacing w:val="8"/>
          <w:kern w:val="0"/>
          <w:sz w:val="24"/>
          <w:szCs w:val="24"/>
          <w:highlight w:val="none"/>
          <w:lang w:val="en-US" w:eastAsia="en-US" w:bidi="ar-SA"/>
        </w:rPr>
      </w:pPr>
      <w:r>
        <w:rPr>
          <w:rFonts w:hint="eastAsia" w:ascii="黑体" w:hAnsi="黑体" w:eastAsia="黑体" w:cs="黑体"/>
          <w:snapToGrid w:val="0"/>
          <w:color w:val="auto"/>
          <w:spacing w:val="5"/>
          <w:kern w:val="0"/>
          <w:sz w:val="24"/>
          <w:szCs w:val="24"/>
          <w:highlight w:val="none"/>
          <w:lang w:val="en-US" w:eastAsia="en-US" w:bidi="ar-SA"/>
        </w:rPr>
        <w:t>第十七条</w:t>
      </w:r>
      <w:r>
        <w:rPr>
          <w:rFonts w:hint="eastAsia" w:ascii="黑体" w:hAnsi="黑体" w:eastAsia="黑体" w:cs="黑体"/>
          <w:snapToGrid w:val="0"/>
          <w:color w:val="auto"/>
          <w:spacing w:val="5"/>
          <w:kern w:val="0"/>
          <w:sz w:val="24"/>
          <w:szCs w:val="24"/>
          <w:highlight w:val="none"/>
          <w:lang w:val="en-US" w:eastAsia="zh-CN" w:bidi="ar-SA"/>
        </w:rPr>
        <w:t xml:space="preserve"> </w:t>
      </w:r>
      <w:r>
        <w:rPr>
          <w:rFonts w:ascii="仿宋" w:hAnsi="仿宋" w:eastAsia="仿宋" w:cs="仿宋"/>
          <w:snapToGrid w:val="0"/>
          <w:color w:val="auto"/>
          <w:spacing w:val="17"/>
          <w:kern w:val="0"/>
          <w:sz w:val="24"/>
          <w:szCs w:val="24"/>
          <w:highlight w:val="none"/>
          <w:lang w:val="en-US" w:eastAsia="en-US" w:bidi="ar-SA"/>
        </w:rPr>
        <w:t xml:space="preserve"> 各地区、各部门应当对涉及中小企业采购的预算项目实施全过</w:t>
      </w:r>
      <w:r>
        <w:rPr>
          <w:rFonts w:ascii="仿宋" w:hAnsi="仿宋" w:eastAsia="仿宋" w:cs="仿宋"/>
          <w:snapToGrid w:val="0"/>
          <w:color w:val="auto"/>
          <w:spacing w:val="8"/>
          <w:kern w:val="0"/>
          <w:sz w:val="24"/>
          <w:szCs w:val="24"/>
          <w:highlight w:val="none"/>
          <w:lang w:val="en-US" w:eastAsia="en-US" w:bidi="ar-SA"/>
        </w:rPr>
        <w:t>程绩效管理，合理设置绩效目标和指标，落实扶持中小企业有关政策要求，定期开展绩效监控和评价，强化绩效评价结果应用。</w:t>
      </w:r>
    </w:p>
    <w:p w14:paraId="49AB31E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right="0" w:rightChars="0" w:firstLine="512" w:firstLineChars="200"/>
        <w:jc w:val="left"/>
        <w:textAlignment w:val="baseline"/>
        <w:rPr>
          <w:rFonts w:ascii="仿宋" w:hAnsi="仿宋" w:eastAsia="仿宋" w:cs="仿宋"/>
          <w:snapToGrid w:val="0"/>
          <w:color w:val="auto"/>
          <w:spacing w:val="8"/>
          <w:kern w:val="0"/>
          <w:position w:val="18"/>
          <w:sz w:val="24"/>
          <w:szCs w:val="24"/>
          <w:highlight w:val="none"/>
          <w:lang w:val="en-US" w:eastAsia="en-US" w:bidi="ar-SA"/>
        </w:rPr>
      </w:pPr>
      <w:r>
        <w:rPr>
          <w:rFonts w:ascii="黑体" w:hAnsi="黑体" w:eastAsia="黑体" w:cs="黑体"/>
          <w:snapToGrid w:val="0"/>
          <w:color w:val="auto"/>
          <w:spacing w:val="8"/>
          <w:kern w:val="0"/>
          <w:position w:val="18"/>
          <w:sz w:val="24"/>
          <w:szCs w:val="24"/>
          <w:highlight w:val="none"/>
          <w:lang w:val="en-US" w:eastAsia="en-US" w:bidi="ar-SA"/>
        </w:rPr>
        <w:t xml:space="preserve">第十八条  </w:t>
      </w:r>
      <w:r>
        <w:rPr>
          <w:rFonts w:ascii="仿宋" w:hAnsi="仿宋" w:eastAsia="仿宋" w:cs="仿宋"/>
          <w:snapToGrid w:val="0"/>
          <w:color w:val="auto"/>
          <w:spacing w:val="8"/>
          <w:kern w:val="0"/>
          <w:position w:val="18"/>
          <w:sz w:val="24"/>
          <w:szCs w:val="24"/>
          <w:highlight w:val="none"/>
          <w:lang w:val="en-US" w:eastAsia="en-US" w:bidi="ar-SA"/>
        </w:rPr>
        <w:t>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7102C6C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right="0" w:rightChars="0" w:firstLine="556" w:firstLineChars="200"/>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第十九条  </w:t>
      </w:r>
      <w:r>
        <w:rPr>
          <w:rFonts w:ascii="仿宋" w:hAnsi="仿宋" w:eastAsia="仿宋" w:cs="仿宋"/>
          <w:snapToGrid w:val="0"/>
          <w:color w:val="auto"/>
          <w:spacing w:val="19"/>
          <w:kern w:val="0"/>
          <w:sz w:val="24"/>
          <w:szCs w:val="24"/>
          <w:highlight w:val="none"/>
          <w:lang w:val="en-US" w:eastAsia="en-US" w:bidi="ar-SA"/>
        </w:rPr>
        <w:t>采购人未按本办法规定为中小企</w:t>
      </w:r>
      <w:r>
        <w:rPr>
          <w:rFonts w:ascii="仿宋" w:hAnsi="仿宋" w:eastAsia="仿宋" w:cs="仿宋"/>
          <w:snapToGrid w:val="0"/>
          <w:color w:val="auto"/>
          <w:spacing w:val="18"/>
          <w:kern w:val="0"/>
          <w:sz w:val="24"/>
          <w:szCs w:val="24"/>
          <w:highlight w:val="none"/>
          <w:lang w:val="en-US" w:eastAsia="en-US" w:bidi="ar-SA"/>
        </w:rPr>
        <w:t>业预留采</w:t>
      </w:r>
      <w:r>
        <w:rPr>
          <w:rFonts w:ascii="仿宋" w:hAnsi="仿宋" w:eastAsia="仿宋" w:cs="仿宋"/>
          <w:snapToGrid w:val="0"/>
          <w:color w:val="auto"/>
          <w:spacing w:val="8"/>
          <w:kern w:val="0"/>
          <w:sz w:val="24"/>
          <w:szCs w:val="24"/>
          <w:highlight w:val="none"/>
          <w:lang w:val="en-US" w:eastAsia="en-US" w:bidi="ar-SA"/>
        </w:rPr>
        <w:t>购份额，采购人、采购代理机构未按照本办法规定要求实施价格扣除或者价格分加分的，属于未按照规定执行政府采购政策，依照《中华人民共和国政府采购法》等国家有关规定</w:t>
      </w:r>
      <w:r>
        <w:rPr>
          <w:rFonts w:ascii="仿宋" w:hAnsi="仿宋" w:eastAsia="仿宋" w:cs="仿宋"/>
          <w:snapToGrid w:val="0"/>
          <w:color w:val="auto"/>
          <w:spacing w:val="5"/>
          <w:kern w:val="0"/>
          <w:sz w:val="24"/>
          <w:szCs w:val="24"/>
          <w:highlight w:val="none"/>
          <w:lang w:val="en-US" w:eastAsia="en-US" w:bidi="ar-SA"/>
        </w:rPr>
        <w:t>追究法律责任。</w:t>
      </w:r>
    </w:p>
    <w:p w14:paraId="2ED2443F">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3"/>
        <w:jc w:val="both"/>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第二十条  </w:t>
      </w:r>
      <w:r>
        <w:rPr>
          <w:rFonts w:ascii="仿宋" w:hAnsi="仿宋" w:eastAsia="仿宋" w:cs="仿宋"/>
          <w:snapToGrid w:val="0"/>
          <w:color w:val="auto"/>
          <w:spacing w:val="19"/>
          <w:kern w:val="0"/>
          <w:sz w:val="24"/>
          <w:szCs w:val="24"/>
          <w:highlight w:val="none"/>
          <w:lang w:val="en-US" w:eastAsia="en-US" w:bidi="ar-SA"/>
        </w:rPr>
        <w:t>供应商按照本办法规定提供声明</w:t>
      </w:r>
      <w:r>
        <w:rPr>
          <w:rFonts w:ascii="仿宋" w:hAnsi="仿宋" w:eastAsia="仿宋" w:cs="仿宋"/>
          <w:snapToGrid w:val="0"/>
          <w:color w:val="auto"/>
          <w:spacing w:val="18"/>
          <w:kern w:val="0"/>
          <w:sz w:val="24"/>
          <w:szCs w:val="24"/>
          <w:highlight w:val="none"/>
          <w:lang w:val="en-US" w:eastAsia="en-US" w:bidi="ar-SA"/>
        </w:rPr>
        <w:t>函内容不</w:t>
      </w:r>
      <w:r>
        <w:rPr>
          <w:rFonts w:ascii="仿宋" w:hAnsi="仿宋" w:eastAsia="仿宋" w:cs="仿宋"/>
          <w:snapToGrid w:val="0"/>
          <w:color w:val="auto"/>
          <w:spacing w:val="8"/>
          <w:kern w:val="0"/>
          <w:sz w:val="24"/>
          <w:szCs w:val="24"/>
          <w:highlight w:val="none"/>
          <w:lang w:val="en-US" w:eastAsia="en-US" w:bidi="ar-SA"/>
        </w:rPr>
        <w:t>实的，属于提供虚假材料谋取中标、成交，依照《中华人民共和国政府采购法》等国家有关规定追究相应责任。</w:t>
      </w:r>
    </w:p>
    <w:p w14:paraId="0ED00124">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638"/>
        <w:jc w:val="both"/>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6"/>
          <w:kern w:val="0"/>
          <w:sz w:val="24"/>
          <w:szCs w:val="24"/>
          <w:highlight w:val="none"/>
          <w:lang w:val="en-US" w:eastAsia="en-US" w:bidi="ar-SA"/>
        </w:rPr>
        <w:t>适用招标投标法的政府采购工程建设项目，投标人按照本办法规定提供声明函内容不实的，属于弄虚作假骗取</w:t>
      </w:r>
      <w:r>
        <w:rPr>
          <w:rFonts w:ascii="仿宋" w:hAnsi="仿宋" w:eastAsia="仿宋" w:cs="仿宋"/>
          <w:snapToGrid w:val="0"/>
          <w:color w:val="auto"/>
          <w:spacing w:val="5"/>
          <w:kern w:val="0"/>
          <w:sz w:val="24"/>
          <w:szCs w:val="24"/>
          <w:highlight w:val="none"/>
          <w:lang w:val="en-US" w:eastAsia="en-US" w:bidi="ar-SA"/>
        </w:rPr>
        <w:t>中标，</w:t>
      </w:r>
      <w:r>
        <w:rPr>
          <w:rFonts w:ascii="仿宋" w:hAnsi="仿宋" w:eastAsia="仿宋" w:cs="仿宋"/>
          <w:snapToGrid w:val="0"/>
          <w:color w:val="auto"/>
          <w:spacing w:val="8"/>
          <w:kern w:val="0"/>
          <w:sz w:val="24"/>
          <w:szCs w:val="24"/>
          <w:highlight w:val="none"/>
          <w:lang w:val="en-US" w:eastAsia="en-US" w:bidi="ar-SA"/>
        </w:rPr>
        <w:t>依照《中华人民共和国招标投标法》等国家有关规定追究相</w:t>
      </w:r>
      <w:r>
        <w:rPr>
          <w:rFonts w:ascii="仿宋" w:hAnsi="仿宋" w:eastAsia="仿宋" w:cs="仿宋"/>
          <w:snapToGrid w:val="0"/>
          <w:color w:val="auto"/>
          <w:spacing w:val="2"/>
          <w:kern w:val="0"/>
          <w:sz w:val="24"/>
          <w:szCs w:val="24"/>
          <w:highlight w:val="none"/>
          <w:lang w:val="en-US" w:eastAsia="en-US" w:bidi="ar-SA"/>
        </w:rPr>
        <w:t>应责任。</w:t>
      </w:r>
    </w:p>
    <w:p w14:paraId="0D0F86A6">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2"/>
        <w:jc w:val="both"/>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 xml:space="preserve">第二十一条  </w:t>
      </w:r>
      <w:r>
        <w:rPr>
          <w:rFonts w:ascii="仿宋" w:hAnsi="仿宋" w:eastAsia="仿宋" w:cs="仿宋"/>
          <w:snapToGrid w:val="0"/>
          <w:color w:val="auto"/>
          <w:spacing w:val="5"/>
          <w:kern w:val="0"/>
          <w:sz w:val="24"/>
          <w:szCs w:val="24"/>
          <w:highlight w:val="none"/>
          <w:lang w:val="en-US" w:eastAsia="en-US" w:bidi="ar-SA"/>
        </w:rPr>
        <w:t>财政部门、中小企业主管部门及其工作人</w:t>
      </w:r>
      <w:r>
        <w:rPr>
          <w:rFonts w:ascii="仿宋" w:hAnsi="仿宋" w:eastAsia="仿宋" w:cs="仿宋"/>
          <w:snapToGrid w:val="0"/>
          <w:color w:val="auto"/>
          <w:spacing w:val="8"/>
          <w:kern w:val="0"/>
          <w:sz w:val="24"/>
          <w:szCs w:val="24"/>
          <w:highlight w:val="none"/>
          <w:lang w:val="en-US" w:eastAsia="en-US" w:bidi="ar-SA"/>
        </w:rPr>
        <w:t>员在履行职责中违反本办法规定及存在其他滥用职权、玩忽职守、徇私舞弊等违法违纪行为的，依照《</w:t>
      </w:r>
      <w:r>
        <w:rPr>
          <w:rFonts w:ascii="仿宋" w:hAnsi="仿宋" w:eastAsia="仿宋" w:cs="仿宋"/>
          <w:snapToGrid w:val="0"/>
          <w:color w:val="auto"/>
          <w:kern w:val="0"/>
          <w:sz w:val="24"/>
          <w:szCs w:val="24"/>
          <w:highlight w:val="none"/>
          <w:lang w:val="en-US" w:eastAsia="en-US" w:bidi="ar-SA"/>
        </w:rPr>
        <w:fldChar w:fldCharType="begin"/>
      </w:r>
      <w:r>
        <w:rPr>
          <w:rFonts w:ascii="仿宋" w:hAnsi="仿宋" w:eastAsia="仿宋" w:cs="仿宋"/>
          <w:snapToGrid w:val="0"/>
          <w:color w:val="auto"/>
          <w:kern w:val="0"/>
          <w:sz w:val="24"/>
          <w:szCs w:val="24"/>
          <w:highlight w:val="none"/>
          <w:lang w:val="en-US" w:eastAsia="en-US" w:bidi="ar-SA"/>
        </w:rPr>
        <w:instrText xml:space="preserve"> HYPERLINK "http://10.162.100.18:168/golaw?dbnm=gjfg&amp;flid=1116012014128049" </w:instrText>
      </w:r>
      <w:r>
        <w:rPr>
          <w:rFonts w:ascii="仿宋" w:hAnsi="仿宋" w:eastAsia="仿宋" w:cs="仿宋"/>
          <w:snapToGrid w:val="0"/>
          <w:color w:val="auto"/>
          <w:kern w:val="0"/>
          <w:sz w:val="24"/>
          <w:szCs w:val="24"/>
          <w:highlight w:val="none"/>
          <w:lang w:val="en-US" w:eastAsia="en-US" w:bidi="ar-SA"/>
        </w:rPr>
        <w:fldChar w:fldCharType="separate"/>
      </w:r>
      <w:r>
        <w:rPr>
          <w:rFonts w:ascii="仿宋" w:hAnsi="仿宋" w:eastAsia="仿宋" w:cs="仿宋"/>
          <w:snapToGrid w:val="0"/>
          <w:color w:val="auto"/>
          <w:spacing w:val="8"/>
          <w:kern w:val="0"/>
          <w:sz w:val="24"/>
          <w:szCs w:val="24"/>
          <w:highlight w:val="none"/>
          <w:lang w:val="en-US" w:eastAsia="en-US" w:bidi="ar-SA"/>
        </w:rPr>
        <w:t>中华人民共和国</w:t>
      </w:r>
      <w:r>
        <w:rPr>
          <w:rFonts w:ascii="仿宋" w:hAnsi="仿宋" w:eastAsia="仿宋" w:cs="仿宋"/>
          <w:snapToGrid w:val="0"/>
          <w:color w:val="auto"/>
          <w:spacing w:val="8"/>
          <w:kern w:val="0"/>
          <w:sz w:val="24"/>
          <w:szCs w:val="24"/>
          <w:highlight w:val="none"/>
          <w:lang w:val="en-US" w:eastAsia="en-US" w:bidi="ar-SA"/>
        </w:rPr>
        <w:fldChar w:fldCharType="end"/>
      </w:r>
      <w:r>
        <w:rPr>
          <w:rFonts w:ascii="仿宋" w:hAnsi="仿宋" w:eastAsia="仿宋" w:cs="仿宋"/>
          <w:snapToGrid w:val="0"/>
          <w:color w:val="auto"/>
          <w:spacing w:val="-14"/>
          <w:kern w:val="0"/>
          <w:sz w:val="24"/>
          <w:szCs w:val="24"/>
          <w:highlight w:val="none"/>
          <w:lang w:val="en-US" w:eastAsia="en-US" w:bidi="ar-SA"/>
        </w:rPr>
        <w:t>政府采购法》、《</w:t>
      </w:r>
      <w:r>
        <w:rPr>
          <w:rFonts w:ascii="仿宋" w:hAnsi="仿宋" w:eastAsia="仿宋" w:cs="仿宋"/>
          <w:snapToGrid w:val="0"/>
          <w:color w:val="auto"/>
          <w:kern w:val="0"/>
          <w:sz w:val="24"/>
          <w:szCs w:val="24"/>
          <w:highlight w:val="none"/>
          <w:lang w:val="en-US" w:eastAsia="en-US" w:bidi="ar-SA"/>
        </w:rPr>
        <w:fldChar w:fldCharType="begin"/>
      </w:r>
      <w:r>
        <w:rPr>
          <w:rFonts w:ascii="仿宋" w:hAnsi="仿宋" w:eastAsia="仿宋" w:cs="仿宋"/>
          <w:snapToGrid w:val="0"/>
          <w:color w:val="auto"/>
          <w:kern w:val="0"/>
          <w:sz w:val="24"/>
          <w:szCs w:val="24"/>
          <w:highlight w:val="none"/>
          <w:lang w:val="en-US" w:eastAsia="en-US" w:bidi="ar-SA"/>
        </w:rPr>
        <w:instrText xml:space="preserve"> HYPERLINK "http://10.162.100.18:168/golaw?dbnm=gjfg&amp;flid=111601200501" </w:instrText>
      </w:r>
      <w:r>
        <w:rPr>
          <w:rFonts w:ascii="仿宋" w:hAnsi="仿宋" w:eastAsia="仿宋" w:cs="仿宋"/>
          <w:snapToGrid w:val="0"/>
          <w:color w:val="auto"/>
          <w:kern w:val="0"/>
          <w:sz w:val="24"/>
          <w:szCs w:val="24"/>
          <w:highlight w:val="none"/>
          <w:lang w:val="en-US" w:eastAsia="en-US" w:bidi="ar-SA"/>
        </w:rPr>
        <w:fldChar w:fldCharType="separate"/>
      </w:r>
      <w:r>
        <w:rPr>
          <w:rFonts w:ascii="仿宋" w:hAnsi="仿宋" w:eastAsia="仿宋" w:cs="仿宋"/>
          <w:snapToGrid w:val="0"/>
          <w:color w:val="auto"/>
          <w:spacing w:val="-14"/>
          <w:kern w:val="0"/>
          <w:sz w:val="24"/>
          <w:szCs w:val="24"/>
          <w:highlight w:val="none"/>
          <w:lang w:val="en-US" w:eastAsia="en-US" w:bidi="ar-SA"/>
        </w:rPr>
        <w:t>中华人民共和国公务员法</w:t>
      </w:r>
      <w:r>
        <w:rPr>
          <w:rFonts w:ascii="仿宋" w:hAnsi="仿宋" w:eastAsia="仿宋" w:cs="仿宋"/>
          <w:snapToGrid w:val="0"/>
          <w:color w:val="auto"/>
          <w:spacing w:val="-14"/>
          <w:kern w:val="0"/>
          <w:sz w:val="24"/>
          <w:szCs w:val="24"/>
          <w:highlight w:val="none"/>
          <w:lang w:val="en-US" w:eastAsia="en-US" w:bidi="ar-SA"/>
        </w:rPr>
        <w:fldChar w:fldCharType="end"/>
      </w:r>
      <w:r>
        <w:rPr>
          <w:rFonts w:ascii="仿宋" w:hAnsi="仿宋" w:eastAsia="仿宋" w:cs="仿宋"/>
          <w:snapToGrid w:val="0"/>
          <w:color w:val="auto"/>
          <w:spacing w:val="-14"/>
          <w:kern w:val="0"/>
          <w:sz w:val="24"/>
          <w:szCs w:val="24"/>
          <w:highlight w:val="none"/>
          <w:lang w:val="en-US" w:eastAsia="en-US" w:bidi="ar-SA"/>
        </w:rPr>
        <w:t>》、《</w:t>
      </w:r>
      <w:r>
        <w:rPr>
          <w:rFonts w:ascii="仿宋" w:hAnsi="仿宋" w:eastAsia="仿宋" w:cs="仿宋"/>
          <w:snapToGrid w:val="0"/>
          <w:color w:val="auto"/>
          <w:kern w:val="0"/>
          <w:sz w:val="24"/>
          <w:szCs w:val="24"/>
          <w:highlight w:val="none"/>
          <w:lang w:val="en-US" w:eastAsia="en-US" w:bidi="ar-SA"/>
        </w:rPr>
        <w:fldChar w:fldCharType="begin"/>
      </w:r>
      <w:r>
        <w:rPr>
          <w:rFonts w:ascii="仿宋" w:hAnsi="仿宋" w:eastAsia="仿宋" w:cs="仿宋"/>
          <w:snapToGrid w:val="0"/>
          <w:color w:val="auto"/>
          <w:kern w:val="0"/>
          <w:sz w:val="24"/>
          <w:szCs w:val="24"/>
          <w:highlight w:val="none"/>
          <w:lang w:val="en-US" w:eastAsia="en-US" w:bidi="ar-SA"/>
        </w:rPr>
        <w:instrText xml:space="preserve"> HYPERLINK "http://10.162.100.18:168/golaw?dbnm=gjfg&amp;flid=1117032010100014" </w:instrText>
      </w:r>
      <w:r>
        <w:rPr>
          <w:rFonts w:ascii="仿宋" w:hAnsi="仿宋" w:eastAsia="仿宋" w:cs="仿宋"/>
          <w:snapToGrid w:val="0"/>
          <w:color w:val="auto"/>
          <w:kern w:val="0"/>
          <w:sz w:val="24"/>
          <w:szCs w:val="24"/>
          <w:highlight w:val="none"/>
          <w:lang w:val="en-US" w:eastAsia="en-US" w:bidi="ar-SA"/>
        </w:rPr>
        <w:fldChar w:fldCharType="separate"/>
      </w:r>
      <w:r>
        <w:rPr>
          <w:rFonts w:ascii="仿宋" w:hAnsi="仿宋" w:eastAsia="仿宋" w:cs="仿宋"/>
          <w:snapToGrid w:val="0"/>
          <w:color w:val="auto"/>
          <w:spacing w:val="-14"/>
          <w:kern w:val="0"/>
          <w:sz w:val="24"/>
          <w:szCs w:val="24"/>
          <w:highlight w:val="none"/>
          <w:lang w:val="en-US" w:eastAsia="en-US" w:bidi="ar-SA"/>
        </w:rPr>
        <w:t>中华人民共和</w:t>
      </w:r>
      <w:r>
        <w:rPr>
          <w:rFonts w:ascii="仿宋" w:hAnsi="仿宋" w:eastAsia="仿宋" w:cs="仿宋"/>
          <w:snapToGrid w:val="0"/>
          <w:color w:val="auto"/>
          <w:spacing w:val="-14"/>
          <w:kern w:val="0"/>
          <w:sz w:val="24"/>
          <w:szCs w:val="24"/>
          <w:highlight w:val="none"/>
          <w:lang w:val="en-US" w:eastAsia="en-US" w:bidi="ar-SA"/>
        </w:rPr>
        <w:fldChar w:fldCharType="end"/>
      </w:r>
      <w:r>
        <w:rPr>
          <w:rFonts w:ascii="仿宋" w:hAnsi="仿宋" w:eastAsia="仿宋" w:cs="仿宋"/>
          <w:snapToGrid w:val="0"/>
          <w:color w:val="auto"/>
          <w:spacing w:val="-3"/>
          <w:kern w:val="0"/>
          <w:sz w:val="24"/>
          <w:szCs w:val="24"/>
          <w:highlight w:val="none"/>
          <w:lang w:val="en-US" w:eastAsia="en-US" w:bidi="ar-SA"/>
        </w:rPr>
        <w:t>国监察法》、《</w:t>
      </w:r>
      <w:r>
        <w:rPr>
          <w:rFonts w:ascii="仿宋" w:hAnsi="仿宋" w:eastAsia="仿宋" w:cs="仿宋"/>
          <w:snapToGrid w:val="0"/>
          <w:color w:val="auto"/>
          <w:kern w:val="0"/>
          <w:sz w:val="24"/>
          <w:szCs w:val="24"/>
          <w:highlight w:val="none"/>
          <w:lang w:val="en-US" w:eastAsia="en-US" w:bidi="ar-SA"/>
        </w:rPr>
        <w:fldChar w:fldCharType="begin"/>
      </w:r>
      <w:r>
        <w:rPr>
          <w:rFonts w:ascii="仿宋" w:hAnsi="仿宋" w:eastAsia="仿宋" w:cs="仿宋"/>
          <w:snapToGrid w:val="0"/>
          <w:color w:val="auto"/>
          <w:kern w:val="0"/>
          <w:sz w:val="24"/>
          <w:szCs w:val="24"/>
          <w:highlight w:val="none"/>
          <w:lang w:val="en-US" w:eastAsia="en-US" w:bidi="ar-SA"/>
        </w:rPr>
        <w:instrText xml:space="preserve"> HYPERLINK "http://10.162.100.18:168/golaw?dbnm=gjfg&amp;flid=1129012015130679" </w:instrText>
      </w:r>
      <w:r>
        <w:rPr>
          <w:rFonts w:ascii="仿宋" w:hAnsi="仿宋" w:eastAsia="仿宋" w:cs="仿宋"/>
          <w:snapToGrid w:val="0"/>
          <w:color w:val="auto"/>
          <w:kern w:val="0"/>
          <w:sz w:val="24"/>
          <w:szCs w:val="24"/>
          <w:highlight w:val="none"/>
          <w:lang w:val="en-US" w:eastAsia="en-US" w:bidi="ar-SA"/>
        </w:rPr>
        <w:fldChar w:fldCharType="separate"/>
      </w:r>
      <w:r>
        <w:rPr>
          <w:rFonts w:ascii="仿宋" w:hAnsi="仿宋" w:eastAsia="仿宋" w:cs="仿宋"/>
          <w:snapToGrid w:val="0"/>
          <w:color w:val="auto"/>
          <w:spacing w:val="-3"/>
          <w:kern w:val="0"/>
          <w:sz w:val="24"/>
          <w:szCs w:val="24"/>
          <w:highlight w:val="none"/>
          <w:lang w:val="en-US" w:eastAsia="en-US" w:bidi="ar-SA"/>
        </w:rPr>
        <w:t>中华人民共和国政府采购法实施条例</w:t>
      </w:r>
      <w:r>
        <w:rPr>
          <w:rFonts w:ascii="仿宋" w:hAnsi="仿宋" w:eastAsia="仿宋" w:cs="仿宋"/>
          <w:snapToGrid w:val="0"/>
          <w:color w:val="auto"/>
          <w:spacing w:val="-3"/>
          <w:kern w:val="0"/>
          <w:sz w:val="24"/>
          <w:szCs w:val="24"/>
          <w:highlight w:val="none"/>
          <w:lang w:val="en-US" w:eastAsia="en-US" w:bidi="ar-SA"/>
        </w:rPr>
        <w:fldChar w:fldCharType="end"/>
      </w:r>
      <w:r>
        <w:rPr>
          <w:rFonts w:ascii="仿宋" w:hAnsi="仿宋" w:eastAsia="仿宋" w:cs="仿宋"/>
          <w:snapToGrid w:val="0"/>
          <w:color w:val="auto"/>
          <w:spacing w:val="-3"/>
          <w:kern w:val="0"/>
          <w:sz w:val="24"/>
          <w:szCs w:val="24"/>
          <w:highlight w:val="none"/>
          <w:lang w:val="en-US" w:eastAsia="en-US" w:bidi="ar-SA"/>
        </w:rPr>
        <w:t>》等</w:t>
      </w:r>
      <w:r>
        <w:rPr>
          <w:rFonts w:ascii="仿宋" w:hAnsi="仿宋" w:eastAsia="仿宋" w:cs="仿宋"/>
          <w:snapToGrid w:val="0"/>
          <w:color w:val="auto"/>
          <w:spacing w:val="-4"/>
          <w:kern w:val="0"/>
          <w:sz w:val="24"/>
          <w:szCs w:val="24"/>
          <w:highlight w:val="none"/>
          <w:lang w:val="en-US" w:eastAsia="en-US" w:bidi="ar-SA"/>
        </w:rPr>
        <w:t>国家</w:t>
      </w:r>
      <w:r>
        <w:rPr>
          <w:rFonts w:ascii="仿宋" w:hAnsi="仿宋" w:eastAsia="仿宋" w:cs="仿宋"/>
          <w:snapToGrid w:val="0"/>
          <w:color w:val="auto"/>
          <w:spacing w:val="9"/>
          <w:kern w:val="0"/>
          <w:sz w:val="24"/>
          <w:szCs w:val="24"/>
          <w:highlight w:val="none"/>
          <w:lang w:val="en-US" w:eastAsia="en-US" w:bidi="ar-SA"/>
        </w:rPr>
        <w:t>有关规定追究相应责任；涉嫌犯罪的，依法</w:t>
      </w:r>
      <w:r>
        <w:rPr>
          <w:rFonts w:ascii="仿宋" w:hAnsi="仿宋" w:eastAsia="仿宋" w:cs="仿宋"/>
          <w:snapToGrid w:val="0"/>
          <w:color w:val="auto"/>
          <w:spacing w:val="8"/>
          <w:kern w:val="0"/>
          <w:sz w:val="24"/>
          <w:szCs w:val="24"/>
          <w:highlight w:val="none"/>
          <w:lang w:val="en-US" w:eastAsia="en-US" w:bidi="ar-SA"/>
        </w:rPr>
        <w:t>移送有关国家机</w:t>
      </w:r>
      <w:r>
        <w:rPr>
          <w:rFonts w:ascii="仿宋" w:hAnsi="仿宋" w:eastAsia="仿宋" w:cs="仿宋"/>
          <w:snapToGrid w:val="0"/>
          <w:color w:val="auto"/>
          <w:spacing w:val="-1"/>
          <w:kern w:val="0"/>
          <w:sz w:val="24"/>
          <w:szCs w:val="24"/>
          <w:highlight w:val="none"/>
          <w:lang w:val="en-US" w:eastAsia="en-US" w:bidi="ar-SA"/>
        </w:rPr>
        <w:t>关处理。</w:t>
      </w:r>
    </w:p>
    <w:p w14:paraId="5B4AFBE5">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500" w:firstLineChars="200"/>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第二十二条</w:t>
      </w:r>
      <w:r>
        <w:rPr>
          <w:rFonts w:ascii="仿宋" w:hAnsi="仿宋" w:eastAsia="仿宋" w:cs="仿宋"/>
          <w:b/>
          <w:bCs/>
          <w:snapToGrid w:val="0"/>
          <w:color w:val="auto"/>
          <w:spacing w:val="8"/>
          <w:kern w:val="0"/>
          <w:sz w:val="24"/>
          <w:szCs w:val="24"/>
          <w:highlight w:val="none"/>
          <w:lang w:val="en-US" w:eastAsia="en-US" w:bidi="ar-SA"/>
        </w:rPr>
        <w:t xml:space="preserve">  </w:t>
      </w:r>
      <w:r>
        <w:rPr>
          <w:rFonts w:ascii="仿宋" w:hAnsi="仿宋" w:eastAsia="仿宋" w:cs="仿宋"/>
          <w:snapToGrid w:val="0"/>
          <w:color w:val="auto"/>
          <w:spacing w:val="8"/>
          <w:kern w:val="0"/>
          <w:sz w:val="24"/>
          <w:szCs w:val="24"/>
          <w:highlight w:val="none"/>
          <w:lang w:val="en-US" w:eastAsia="en-US" w:bidi="ar-SA"/>
        </w:rPr>
        <w:t>对外援助项目、国家相关资格或者资质管理制度另有规定的项目，不适用本办法。</w:t>
      </w:r>
    </w:p>
    <w:p w14:paraId="501E362F">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00" w:firstLineChars="200"/>
        <w:jc w:val="both"/>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第二十三条</w:t>
      </w:r>
      <w:r>
        <w:rPr>
          <w:rFonts w:ascii="仿宋" w:hAnsi="仿宋" w:eastAsia="仿宋" w:cs="仿宋"/>
          <w:snapToGrid w:val="0"/>
          <w:color w:val="auto"/>
          <w:spacing w:val="8"/>
          <w:kern w:val="0"/>
          <w:sz w:val="24"/>
          <w:szCs w:val="24"/>
          <w:highlight w:val="none"/>
          <w:lang w:val="en-US" w:eastAsia="en-US" w:bidi="ar-SA"/>
        </w:rPr>
        <w:t xml:space="preserve">  关于视同中小企业的其他主体的政府采</w:t>
      </w:r>
    </w:p>
    <w:p w14:paraId="11AD8EC5">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购扶持政策，由财政部会同有关部门另行规定。</w:t>
      </w:r>
    </w:p>
    <w:p w14:paraId="50BB97E1">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00" w:firstLineChars="200"/>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第二十四条</w:t>
      </w:r>
      <w:r>
        <w:rPr>
          <w:rFonts w:ascii="仿宋" w:hAnsi="仿宋" w:eastAsia="仿宋" w:cs="仿宋"/>
          <w:snapToGrid w:val="0"/>
          <w:color w:val="auto"/>
          <w:spacing w:val="8"/>
          <w:kern w:val="0"/>
          <w:sz w:val="24"/>
          <w:szCs w:val="24"/>
          <w:highlight w:val="none"/>
          <w:lang w:val="en-US" w:eastAsia="en-US" w:bidi="ar-SA"/>
        </w:rPr>
        <w:t xml:space="preserve">  省级财政部门可以会同中小企业主管部门根据本办法的规定制定具体实施办法。</w:t>
      </w:r>
    </w:p>
    <w:p w14:paraId="6314A52C">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00" w:firstLineChars="200"/>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第二十五条</w:t>
      </w:r>
      <w:r>
        <w:rPr>
          <w:rFonts w:ascii="仿宋" w:hAnsi="仿宋" w:eastAsia="仿宋" w:cs="仿宋"/>
          <w:snapToGrid w:val="0"/>
          <w:color w:val="auto"/>
          <w:spacing w:val="8"/>
          <w:kern w:val="0"/>
          <w:sz w:val="24"/>
          <w:szCs w:val="24"/>
          <w:highlight w:val="none"/>
          <w:lang w:val="en-US" w:eastAsia="en-US" w:bidi="ar-SA"/>
        </w:rPr>
        <w:t xml:space="preserve">  本办法自2021年1月1日起施行。《财政部工业和信息化部关于印发〈政府采购促进中小企业发展暂行办法〉的通知》（财库（2011﹞181号）同时废止。</w:t>
      </w:r>
    </w:p>
    <w:p w14:paraId="71690B8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rPr>
          <w:rFonts w:ascii="Arial" w:hAnsi="Arial" w:eastAsia="Arial" w:cs="Arial"/>
          <w:snapToGrid w:val="0"/>
          <w:color w:val="auto"/>
          <w:kern w:val="0"/>
          <w:sz w:val="24"/>
          <w:szCs w:val="24"/>
          <w:highlight w:val="none"/>
          <w:lang w:eastAsia="en-US"/>
        </w:rPr>
      </w:pPr>
    </w:p>
    <w:p w14:paraId="68E0EBD6">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ascii="仿宋" w:hAnsi="仿宋" w:eastAsia="仿宋" w:cs="仿宋"/>
          <w:snapToGrid w:val="0"/>
          <w:color w:val="auto"/>
          <w:kern w:val="0"/>
          <w:sz w:val="24"/>
          <w:szCs w:val="24"/>
          <w:highlight w:val="none"/>
          <w:lang w:val="en-US" w:eastAsia="en-US" w:bidi="ar-SA"/>
        </w:rPr>
      </w:pPr>
    </w:p>
    <w:p w14:paraId="68A7AAEB">
      <w:pPr>
        <w:keepNext w:val="0"/>
        <w:keepLines w:val="0"/>
        <w:pageBreakBefore w:val="0"/>
        <w:wordWrap/>
        <w:overflowPunct/>
        <w:topLinePunct w:val="0"/>
        <w:bidi w:val="0"/>
        <w:spacing w:line="560" w:lineRule="exact"/>
        <w:ind w:left="0" w:leftChars="0" w:right="0" w:rightChars="0"/>
        <w:rPr>
          <w:color w:val="auto"/>
          <w:sz w:val="24"/>
          <w:szCs w:val="24"/>
          <w:highlight w:val="none"/>
        </w:rPr>
        <w:sectPr>
          <w:footerReference r:id="rId9" w:type="default"/>
          <w:pgSz w:w="11906" w:h="16839"/>
          <w:pgMar w:top="1431" w:right="1785" w:bottom="1378" w:left="1785" w:header="0" w:footer="1212" w:gutter="0"/>
          <w:pgNumType w:fmt="decimal"/>
          <w:cols w:space="720" w:num="1"/>
        </w:sectPr>
      </w:pPr>
    </w:p>
    <w:p w14:paraId="686B4C7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0"/>
        <w:rPr>
          <w:rFonts w:hint="eastAsia" w:ascii="仿宋" w:hAnsi="仿宋" w:eastAsia="仿宋" w:cs="仿宋"/>
          <w:snapToGrid w:val="0"/>
          <w:color w:val="auto"/>
          <w:spacing w:val="-9"/>
          <w:kern w:val="0"/>
          <w:sz w:val="24"/>
          <w:szCs w:val="24"/>
          <w:highlight w:val="none"/>
          <w:lang w:val="en-US" w:eastAsia="zh-CN"/>
        </w:rPr>
      </w:pPr>
      <w:bookmarkStart w:id="188" w:name="_Toc25114"/>
      <w:r>
        <w:rPr>
          <w:rFonts w:ascii="仿宋" w:hAnsi="仿宋" w:eastAsia="仿宋" w:cs="仿宋"/>
          <w:snapToGrid w:val="0"/>
          <w:color w:val="auto"/>
          <w:spacing w:val="-9"/>
          <w:kern w:val="0"/>
          <w:sz w:val="24"/>
          <w:szCs w:val="24"/>
          <w:highlight w:val="none"/>
          <w:lang w:eastAsia="en-US"/>
        </w:rPr>
        <w:t>附件</w:t>
      </w:r>
      <w:r>
        <w:rPr>
          <w:rFonts w:hint="eastAsia" w:ascii="仿宋" w:hAnsi="仿宋" w:eastAsia="仿宋" w:cs="仿宋"/>
          <w:snapToGrid w:val="0"/>
          <w:color w:val="auto"/>
          <w:spacing w:val="-9"/>
          <w:kern w:val="0"/>
          <w:sz w:val="24"/>
          <w:szCs w:val="24"/>
          <w:highlight w:val="none"/>
          <w:lang w:val="en-US" w:eastAsia="zh-CN"/>
        </w:rPr>
        <w:t>2：关于进一步加大政府采购支持中小企业力度的通知</w:t>
      </w:r>
      <w:bookmarkEnd w:id="188"/>
    </w:p>
    <w:p w14:paraId="2E2D892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1" w:after="100" w:afterAutospacing="1" w:line="336" w:lineRule="atLeast"/>
        <w:ind w:left="0" w:right="0" w:firstLine="0"/>
        <w:jc w:val="center"/>
        <w:textAlignment w:val="baseline"/>
        <w:rPr>
          <w:rFonts w:ascii="华文中宋" w:hAnsi="华文中宋" w:eastAsia="华文中宋" w:cs="华文中宋"/>
          <w:b/>
          <w:bCs/>
          <w:i w:val="0"/>
          <w:iCs w:val="0"/>
          <w:caps w:val="0"/>
          <w:color w:val="auto"/>
          <w:spacing w:val="0"/>
          <w:sz w:val="24"/>
          <w:szCs w:val="24"/>
          <w:highlight w:val="none"/>
        </w:rPr>
      </w:pPr>
      <w:r>
        <w:rPr>
          <w:rFonts w:hint="default" w:ascii="华文中宋" w:hAnsi="华文中宋" w:eastAsia="华文中宋" w:cs="华文中宋"/>
          <w:b/>
          <w:bCs/>
          <w:i w:val="0"/>
          <w:iCs w:val="0"/>
          <w:caps w:val="0"/>
          <w:color w:val="auto"/>
          <w:spacing w:val="0"/>
          <w:kern w:val="0"/>
          <w:sz w:val="24"/>
          <w:szCs w:val="24"/>
          <w:highlight w:val="none"/>
          <w:shd w:val="clear" w:color="auto" w:fill="FFFFFF"/>
          <w:vertAlign w:val="baseline"/>
          <w:lang w:val="en-US" w:eastAsia="zh-CN"/>
        </w:rPr>
        <w:t>关于进一步加大政府采购支持中小企业力度的通知</w:t>
      </w:r>
    </w:p>
    <w:p w14:paraId="6F519EC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textAlignment w:val="baseline"/>
        <w:rPr>
          <w:rFonts w:ascii="仿宋" w:hAnsi="仿宋" w:eastAsia="仿宋" w:cs="仿宋"/>
          <w:i w:val="0"/>
          <w:iCs w:val="0"/>
          <w:caps w:val="0"/>
          <w:color w:val="auto"/>
          <w:spacing w:val="0"/>
          <w:sz w:val="24"/>
          <w:szCs w:val="24"/>
          <w:highlight w:val="none"/>
          <w:u w:val="none"/>
        </w:rPr>
      </w:pPr>
      <w:r>
        <w:rPr>
          <w:rFonts w:hint="eastAsia" w:ascii="仿宋" w:hAnsi="仿宋" w:eastAsia="仿宋" w:cs="仿宋"/>
          <w:b/>
          <w:bCs/>
          <w:i w:val="0"/>
          <w:iCs w:val="0"/>
          <w:caps w:val="0"/>
          <w:color w:val="auto"/>
          <w:spacing w:val="0"/>
          <w:kern w:val="0"/>
          <w:sz w:val="24"/>
          <w:szCs w:val="24"/>
          <w:highlight w:val="none"/>
          <w:u w:val="none"/>
          <w:shd w:val="clear" w:color="auto" w:fill="FFFFFF"/>
          <w:vertAlign w:val="baseline"/>
          <w:lang w:val="en-US" w:eastAsia="zh-CN"/>
        </w:rPr>
        <w:t>财库〔2022〕19号</w:t>
      </w:r>
    </w:p>
    <w:p w14:paraId="6B2EA05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各中央预算单位，各省、自治区、直辖市、计划单列市财政厅（局），新疆生产建设兵团财政局：</w:t>
      </w:r>
    </w:p>
    <w:p w14:paraId="6A8A883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2BFB6BC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w:t>
      </w:r>
      <w:r>
        <w:rPr>
          <w:rFonts w:hint="eastAsia" w:ascii="仿宋" w:hAnsi="仿宋" w:eastAsia="仿宋" w:cs="仿宋"/>
          <w:b/>
          <w:bCs/>
          <w:i w:val="0"/>
          <w:iCs w:val="0"/>
          <w:caps w:val="0"/>
          <w:color w:val="auto"/>
          <w:spacing w:val="0"/>
          <w:sz w:val="24"/>
          <w:szCs w:val="24"/>
          <w:highlight w:val="none"/>
          <w:u w:val="none"/>
          <w:shd w:val="clear" w:color="auto" w:fill="FFFFFF"/>
          <w:vertAlign w:val="baseline"/>
        </w:rPr>
        <w:t>一、严格落实支持中小企业政府采购政策。</w:t>
      </w:r>
      <w:r>
        <w:rPr>
          <w:rFonts w:hint="eastAsia" w:ascii="仿宋" w:hAnsi="仿宋" w:eastAsia="仿宋" w:cs="仿宋"/>
          <w:i w:val="0"/>
          <w:iCs w:val="0"/>
          <w:caps w:val="0"/>
          <w:color w:val="auto"/>
          <w:spacing w:val="0"/>
          <w:sz w:val="24"/>
          <w:szCs w:val="24"/>
          <w:highlight w:val="none"/>
          <w:u w:val="none"/>
          <w:shd w:val="clear" w:color="auto" w:fill="FFFFFF"/>
          <w:vertAlign w:val="baseline"/>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44393F1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w:t>
      </w:r>
      <w:r>
        <w:rPr>
          <w:rFonts w:hint="eastAsia" w:ascii="仿宋" w:hAnsi="仿宋" w:eastAsia="仿宋" w:cs="仿宋"/>
          <w:b/>
          <w:bCs/>
          <w:i w:val="0"/>
          <w:iCs w:val="0"/>
          <w:caps w:val="0"/>
          <w:color w:val="auto"/>
          <w:spacing w:val="0"/>
          <w:sz w:val="24"/>
          <w:szCs w:val="24"/>
          <w:highlight w:val="none"/>
          <w:u w:val="none"/>
          <w:shd w:val="clear" w:color="auto" w:fill="FFFFFF"/>
          <w:vertAlign w:val="baseline"/>
        </w:rPr>
        <w:t>二、调整对小微企业的价格评审优惠幅度。</w:t>
      </w:r>
      <w:r>
        <w:rPr>
          <w:rFonts w:hint="eastAsia" w:ascii="仿宋" w:hAnsi="仿宋" w:eastAsia="仿宋" w:cs="仿宋"/>
          <w:i w:val="0"/>
          <w:iCs w:val="0"/>
          <w:caps w:val="0"/>
          <w:color w:val="auto"/>
          <w:spacing w:val="0"/>
          <w:sz w:val="24"/>
          <w:szCs w:val="24"/>
          <w:highlight w:val="none"/>
          <w:u w:val="none"/>
          <w:shd w:val="clear" w:color="auto" w:fill="FFFFFF"/>
          <w:vertAlign w:val="baseline"/>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2890D98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w:t>
      </w:r>
      <w:r>
        <w:rPr>
          <w:rFonts w:hint="eastAsia" w:ascii="仿宋" w:hAnsi="仿宋" w:eastAsia="仿宋" w:cs="仿宋"/>
          <w:b/>
          <w:bCs/>
          <w:i w:val="0"/>
          <w:iCs w:val="0"/>
          <w:caps w:val="0"/>
          <w:color w:val="auto"/>
          <w:spacing w:val="0"/>
          <w:sz w:val="24"/>
          <w:szCs w:val="24"/>
          <w:highlight w:val="none"/>
          <w:u w:val="none"/>
          <w:shd w:val="clear" w:color="auto" w:fill="FFFFFF"/>
          <w:vertAlign w:val="baseline"/>
        </w:rPr>
        <w:t>三、提高政府采购工程面向中小企业预留份额。</w:t>
      </w:r>
      <w:r>
        <w:rPr>
          <w:rFonts w:hint="eastAsia" w:ascii="仿宋" w:hAnsi="仿宋" w:eastAsia="仿宋" w:cs="仿宋"/>
          <w:i w:val="0"/>
          <w:iCs w:val="0"/>
          <w:caps w:val="0"/>
          <w:color w:val="auto"/>
          <w:spacing w:val="0"/>
          <w:sz w:val="24"/>
          <w:szCs w:val="24"/>
          <w:highlight w:val="none"/>
          <w:u w:val="none"/>
          <w:shd w:val="clear" w:color="auto" w:fill="FFFFFF"/>
          <w:vertAlign w:val="baseline"/>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138AA3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w:t>
      </w:r>
      <w:r>
        <w:rPr>
          <w:rFonts w:hint="eastAsia" w:ascii="仿宋" w:hAnsi="仿宋" w:eastAsia="仿宋" w:cs="仿宋"/>
          <w:b/>
          <w:bCs/>
          <w:i w:val="0"/>
          <w:iCs w:val="0"/>
          <w:caps w:val="0"/>
          <w:color w:val="auto"/>
          <w:spacing w:val="0"/>
          <w:sz w:val="24"/>
          <w:szCs w:val="24"/>
          <w:highlight w:val="none"/>
          <w:u w:val="none"/>
          <w:shd w:val="clear" w:color="auto" w:fill="FFFFFF"/>
          <w:vertAlign w:val="baseline"/>
        </w:rPr>
        <w:t>四、认真做好组织实施。</w:t>
      </w:r>
      <w:r>
        <w:rPr>
          <w:rFonts w:hint="eastAsia" w:ascii="仿宋" w:hAnsi="仿宋" w:eastAsia="仿宋" w:cs="仿宋"/>
          <w:i w:val="0"/>
          <w:iCs w:val="0"/>
          <w:caps w:val="0"/>
          <w:color w:val="auto"/>
          <w:spacing w:val="0"/>
          <w:sz w:val="24"/>
          <w:szCs w:val="24"/>
          <w:highlight w:val="none"/>
          <w:u w:val="none"/>
          <w:shd w:val="clear" w:color="auto" w:fill="FFFFFF"/>
          <w:vertAlign w:val="baseline"/>
        </w:rPr>
        <w:t>各地区、各部门应当加强组织领导，明确工作责任，细化执行要求，强化监督检查，确保国务院部署落实到位，对通知执行中出现的问题要及时向财政部报告。</w:t>
      </w:r>
    </w:p>
    <w:p w14:paraId="26A0FBF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本通知自2022年7月1日起执行。</w:t>
      </w:r>
    </w:p>
    <w:p w14:paraId="1816DDD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right"/>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财 政 部</w:t>
      </w:r>
    </w:p>
    <w:p w14:paraId="74F8FBB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right"/>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2022年5月30日</w:t>
      </w:r>
    </w:p>
    <w:p w14:paraId="697A6AB7">
      <w:pPr>
        <w:rPr>
          <w:rFonts w:hint="eastAsia" w:ascii="仿宋" w:hAnsi="仿宋" w:eastAsia="仿宋" w:cs="仿宋"/>
          <w:i w:val="0"/>
          <w:iCs w:val="0"/>
          <w:caps w:val="0"/>
          <w:color w:val="auto"/>
          <w:spacing w:val="0"/>
          <w:sz w:val="24"/>
          <w:szCs w:val="24"/>
          <w:highlight w:val="none"/>
          <w:u w:val="none"/>
          <w:shd w:val="clear" w:color="auto" w:fill="FFFFFF"/>
          <w:vertAlign w:val="baseline"/>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br w:type="page"/>
      </w:r>
    </w:p>
    <w:p w14:paraId="3ECFC28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0"/>
        <w:rPr>
          <w:rFonts w:hint="eastAsia" w:ascii="仿宋" w:hAnsi="仿宋" w:eastAsia="仿宋" w:cs="仿宋"/>
          <w:snapToGrid w:val="0"/>
          <w:color w:val="auto"/>
          <w:spacing w:val="-9"/>
          <w:kern w:val="0"/>
          <w:sz w:val="24"/>
          <w:szCs w:val="24"/>
          <w:highlight w:val="none"/>
          <w:lang w:val="en-US" w:eastAsia="zh-CN"/>
        </w:rPr>
      </w:pPr>
      <w:bookmarkStart w:id="189" w:name="_Toc11667"/>
      <w:r>
        <w:rPr>
          <w:rFonts w:hint="eastAsia" w:ascii="仿宋" w:hAnsi="仿宋" w:eastAsia="仿宋" w:cs="仿宋"/>
          <w:snapToGrid w:val="0"/>
          <w:color w:val="auto"/>
          <w:spacing w:val="-9"/>
          <w:kern w:val="0"/>
          <w:sz w:val="24"/>
          <w:szCs w:val="24"/>
          <w:highlight w:val="none"/>
          <w:lang w:val="en-US" w:eastAsia="zh-CN"/>
        </w:rPr>
        <w:t>附件3：关于印发中小企业划型标准规定的通知</w:t>
      </w:r>
      <w:bookmarkEnd w:id="189"/>
    </w:p>
    <w:p w14:paraId="5693468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0" w:beforeAutospacing="1" w:after="10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bCs/>
          <w:i w:val="0"/>
          <w:iCs w:val="0"/>
          <w:caps w:val="0"/>
          <w:color w:val="auto"/>
          <w:spacing w:val="0"/>
          <w:kern w:val="0"/>
          <w:sz w:val="24"/>
          <w:szCs w:val="24"/>
          <w:highlight w:val="none"/>
          <w:shd w:val="clear" w:color="auto" w:fill="FFFFFF"/>
          <w:vertAlign w:val="baseline"/>
          <w:lang w:val="en-US" w:eastAsia="zh-CN"/>
        </w:rPr>
        <w:t>关于印发中小企业划型标准规定的通知</w:t>
      </w:r>
    </w:p>
    <w:p w14:paraId="5D4928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outlineLvl w:val="9"/>
        <w:rPr>
          <w:rFonts w:ascii="仿宋" w:hAnsi="仿宋" w:eastAsia="仿宋" w:cs="仿宋"/>
          <w:b w:val="0"/>
          <w:bCs w:val="0"/>
          <w:color w:val="auto"/>
          <w:sz w:val="24"/>
          <w:szCs w:val="24"/>
          <w:highlight w:val="none"/>
          <w:u w:val="none"/>
        </w:rPr>
      </w:pPr>
      <w:r>
        <w:rPr>
          <w:rFonts w:hint="eastAsia" w:ascii="仿宋" w:hAnsi="仿宋" w:eastAsia="仿宋" w:cs="仿宋"/>
          <w:b w:val="0"/>
          <w:bCs w:val="0"/>
          <w:i w:val="0"/>
          <w:iCs w:val="0"/>
          <w:caps w:val="0"/>
          <w:color w:val="auto"/>
          <w:spacing w:val="0"/>
          <w:sz w:val="24"/>
          <w:szCs w:val="24"/>
          <w:highlight w:val="none"/>
          <w:u w:val="none"/>
          <w:shd w:val="clear" w:color="auto" w:fill="FFFFFF"/>
          <w:vertAlign w:val="baseline"/>
        </w:rPr>
        <w:t>工信部联企业〔2011〕300号</w:t>
      </w:r>
    </w:p>
    <w:p w14:paraId="1FC3750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各省、自治区、直辖市人民政府，国务院各部委、各直属机构及有关单位：</w:t>
      </w:r>
    </w:p>
    <w:p w14:paraId="5E193B4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11D86F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工业和信息化部</w:t>
      </w:r>
    </w:p>
    <w:p w14:paraId="02FA4A0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国家统计局</w:t>
      </w:r>
    </w:p>
    <w:p w14:paraId="4C85101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国家发展和改革委员会</w:t>
      </w:r>
    </w:p>
    <w:p w14:paraId="30376CE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财政部</w:t>
      </w:r>
    </w:p>
    <w:p w14:paraId="0438C3A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二○一一年六月十八日</w:t>
      </w:r>
    </w:p>
    <w:p w14:paraId="1D8572B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color w:val="auto"/>
          <w:sz w:val="24"/>
          <w:szCs w:val="24"/>
          <w:highlight w:val="none"/>
        </w:rPr>
      </w:pPr>
      <w:r>
        <w:rPr>
          <w:rStyle w:val="32"/>
          <w:rFonts w:hint="eastAsia" w:ascii="仿宋" w:hAnsi="仿宋" w:eastAsia="仿宋" w:cs="仿宋"/>
          <w:i w:val="0"/>
          <w:iCs w:val="0"/>
          <w:caps w:val="0"/>
          <w:color w:val="auto"/>
          <w:spacing w:val="0"/>
          <w:sz w:val="24"/>
          <w:szCs w:val="24"/>
          <w:highlight w:val="none"/>
          <w:u w:val="none"/>
          <w:shd w:val="clear" w:color="auto" w:fill="FFFFFF"/>
          <w:vertAlign w:val="baseline"/>
        </w:rPr>
        <w:t>中小企业划型标准规定</w:t>
      </w:r>
    </w:p>
    <w:p w14:paraId="0914656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一、根据《中华人民共和国中小企业促进法》和《国务院关于进一步促进中小企业发展的若干意见》(国发〔2009〕36号)，制定本规定。</w:t>
      </w:r>
    </w:p>
    <w:p w14:paraId="5B9FA62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二、中小企业划分为中型、小型、微型三种类型，具体标准根据企业从业人员、营业收入、资产总额等指标，结合行业特点制定。</w:t>
      </w:r>
    </w:p>
    <w:p w14:paraId="1AAD2F9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36D444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四、各行业划型标准为：</w:t>
      </w:r>
    </w:p>
    <w:p w14:paraId="100BFD9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（一）农、林、牧、渔业。营业收入20000万元以下的为中小微型企业。其中，营业收入500万元及以上的为中型企业，营业收入50万元及以上的为小型企业，营业收入50万元以下的为微型企业。</w:t>
      </w:r>
    </w:p>
    <w:p w14:paraId="2902400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EAE108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FFFFE4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3F91FE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A0A1C1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B8A1E0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2590B1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3B4156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92D52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BD88A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988232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3BBEDD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50851F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25451C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96F5E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（十六）其他未列明行业。从业人员300人以下的为中小微型企业。其中，从业人员100人及以上的为中型企业；从业人员10人及以上的为小型企业；从业人员10人以下的为微型企业。</w:t>
      </w:r>
    </w:p>
    <w:p w14:paraId="15DDA4F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五、企业类型的划分以统计部门的统计数据为依据。</w:t>
      </w:r>
    </w:p>
    <w:p w14:paraId="4AAFB19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六、本规定适用于在中华人民共和国境内依法设立的各类所有制和各种组织形式的企业。个体工商户和本规定以外的行业，参照本规定进行划型。</w:t>
      </w:r>
    </w:p>
    <w:p w14:paraId="0397B42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七、本规定的中型企业标准上限即为大型企业标准的下限，国家统计部门据此制定大中小微型企业的统计分类。国务院有关部门据此进行相关数据分析，不得制定与本规定不一致的企业划型标准。</w:t>
      </w:r>
    </w:p>
    <w:p w14:paraId="1217D40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八、本规定由工业和信息化部、国家统计局会同有关部门根据《国民经济行业分类》修订情况和企业发展变化情况适时修订。</w:t>
      </w:r>
    </w:p>
    <w:p w14:paraId="7F84984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九、本规定由工业和信息化部、国家统计局会同有关部门负责解释。</w:t>
      </w:r>
    </w:p>
    <w:p w14:paraId="5D248A0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color="auto" w:fill="FFFFFF"/>
          <w:vertAlign w:val="baseline"/>
        </w:rPr>
        <w:t>　　十、本规定自发布之日起执行，原国家经贸委、原国家计委、财政部和国家统计局2003年颁布的《中小企业标准暂行规定》同时废止。</w:t>
      </w:r>
    </w:p>
    <w:p w14:paraId="3A471C1D">
      <w:pPr>
        <w:pStyle w:val="10"/>
        <w:rPr>
          <w:color w:val="auto"/>
          <w:highlight w:val="none"/>
          <w:lang w:eastAsia="en-US"/>
        </w:rPr>
      </w:pPr>
    </w:p>
    <w:p w14:paraId="0ABBF47B">
      <w:pPr>
        <w:pStyle w:val="10"/>
        <w:rPr>
          <w:rFonts w:hint="default"/>
          <w:color w:val="auto"/>
          <w:highlight w:val="none"/>
          <w:lang w:val="en-US" w:eastAsia="zh-CN"/>
        </w:rPr>
      </w:pPr>
    </w:p>
    <w:sectPr>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001010101"/>
    <w:charset w:val="86"/>
    <w:family w:val="auto"/>
    <w:pitch w:val="default"/>
    <w:sig w:usb0="00000000" w:usb1="0000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dobe 仿宋 Std R">
    <w:altName w:val="仿宋"/>
    <w:panose1 w:val="02020400000000000000"/>
    <w:charset w:val="86"/>
    <w:family w:val="auto"/>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0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B58D">
    <w:pPr>
      <w:pStyle w:val="1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202523C">
                          <w:pPr>
                            <w:pStyle w:val="1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5dblS0AAAAAUBAAAPAAAAAAAA&#10;AAEAIAAAACIAAABkcnMvZG93bnJldi54bWxQSwECFAAUAAAACACHTuJA1Ymj9+EBAADGAwAADgAA&#10;AAAAAAABACAAAAAfAQAAZHJzL2Uyb0RvYy54bWxQSwUGAAAAAAYABgBZAQAAcgUAAAAA&#10;">
              <v:fill on="f" focussize="0,0"/>
              <v:stroke on="f"/>
              <v:imagedata o:title=""/>
              <o:lock v:ext="edit" aspectratio="f"/>
              <v:textbox inset="0mm,0mm,0mm,0mm" style="mso-fit-shape-to-text:t;">
                <w:txbxContent>
                  <w:p w14:paraId="3202523C">
                    <w:pPr>
                      <w:pStyle w:val="1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74E45">
    <w:pPr>
      <w:widowControl/>
      <w:kinsoku w:val="0"/>
      <w:autoSpaceDE w:val="0"/>
      <w:autoSpaceDN w:val="0"/>
      <w:adjustRightInd w:val="0"/>
      <w:snapToGrid w:val="0"/>
      <w:spacing w:line="167" w:lineRule="auto"/>
      <w:ind w:left="4129"/>
      <w:jc w:val="left"/>
      <w:textAlignment w:val="baseline"/>
      <w:rPr>
        <w:rFonts w:ascii="Calibri" w:hAnsi="Calibri" w:eastAsia="Calibri" w:cs="Calibri"/>
        <w:snapToGrid w:val="0"/>
        <w:color w:val="000000"/>
        <w:kern w:val="0"/>
        <w:sz w:val="18"/>
        <w:szCs w:val="18"/>
        <w:lang w:eastAsia="en-US"/>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C1052AD">
                          <w:pPr>
                            <w:pStyle w:val="17"/>
                          </w:pPr>
                          <w:r>
                            <w:fldChar w:fldCharType="begin"/>
                          </w:r>
                          <w:r>
                            <w:instrText xml:space="preserve"> PAGE  \* MERGEFORMAT </w:instrText>
                          </w:r>
                          <w:r>
                            <w:fldChar w:fldCharType="separate"/>
                          </w:r>
                          <w:r>
                            <w:t>78</w:t>
                          </w:r>
                          <w:r>
                            <w:fldChar w:fldCharType="end"/>
                          </w:r>
                        </w:p>
                      </w:txbxContent>
                    </wps:txbx>
                    <wps:bodyPr vert="horz" wrap="none" lIns="0" tIns="0" rIns="0" bIns="0" anchor="t" anchorCtr="0" upright="0">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l1uVLQAAAABQEAAA8AAAAAAAAA&#10;AQAgAAAAIgAAAGRycy9kb3ducmV2LnhtbFBLAQIUABQAAAAIAIdO4kCxeL4t4AEAAMYDAAAOAAAA&#10;AAAAAAEAIAAAAB8BAABkcnMvZTJvRG9jLnhtbFBLBQYAAAAABgAGAFkBAABxBQAAAAA=&#10;">
              <v:fill on="f" focussize="0,0"/>
              <v:stroke on="f"/>
              <v:imagedata o:title=""/>
              <o:lock v:ext="edit" aspectratio="f"/>
              <v:textbox inset="0mm,0mm,0mm,0mm" style="mso-fit-shape-to-text:t;">
                <w:txbxContent>
                  <w:p w14:paraId="6C1052AD">
                    <w:pPr>
                      <w:pStyle w:val="17"/>
                    </w:pPr>
                    <w:r>
                      <w:fldChar w:fldCharType="begin"/>
                    </w:r>
                    <w:r>
                      <w:instrText xml:space="preserve"> PAGE  \* MERGEFORMAT </w:instrText>
                    </w:r>
                    <w:r>
                      <w:fldChar w:fldCharType="separate"/>
                    </w:r>
                    <w:r>
                      <w:t>78</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6A7DE">
    <w:pPr>
      <w:pStyle w:val="17"/>
      <w:rPr>
        <w:rFonts w:hint="eastAsia" w:eastAsia="宋体"/>
        <w:lang w:val="en-US" w:eastAsia="zh-CN"/>
      </w:rPr>
    </w:pPr>
    <w:r>
      <w:rPr>
        <w:sz w:val="18"/>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C8CC735">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l1uVLQAAAABQEAAA8AAAAAAAAA&#10;AQAgAAAAIgAAAGRycy9kb3ducmV2LnhtbFBLAQIUABQAAAAIAIdO4kBAU/rx4AEAAMUDAAAOAAAA&#10;AAAAAAEAIAAAAB8BAABkcnMvZTJvRG9jLnhtbFBLBQYAAAAABgAGAFkBAABxBQAAAAA=&#10;">
              <v:fill on="f" focussize="0,0"/>
              <v:stroke on="f"/>
              <v:imagedata o:title=""/>
              <o:lock v:ext="edit" aspectratio="f"/>
              <v:textbox inset="0mm,0mm,0mm,0mm" style="mso-fit-shape-to-text:t;">
                <w:txbxContent>
                  <w:p w14:paraId="0C8CC735">
                    <w:pPr>
                      <w:pStyle w:val="1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72C8D">
    <w:pPr>
      <w:widowControl/>
      <w:kinsoku w:val="0"/>
      <w:autoSpaceDE w:val="0"/>
      <w:autoSpaceDN w:val="0"/>
      <w:adjustRightInd w:val="0"/>
      <w:snapToGrid w:val="0"/>
      <w:spacing w:line="169" w:lineRule="auto"/>
      <w:ind w:left="4127"/>
      <w:jc w:val="left"/>
      <w:textAlignment w:val="baseline"/>
      <w:rPr>
        <w:rFonts w:ascii="Calibri" w:hAnsi="Calibri" w:eastAsia="Calibri" w:cs="Calibri"/>
        <w:snapToGrid w:val="0"/>
        <w:color w:val="000000"/>
        <w:kern w:val="0"/>
        <w:sz w:val="18"/>
        <w:szCs w:val="18"/>
        <w:lang w:eastAsia="en-US"/>
      </w:rPr>
    </w:pPr>
    <w:r>
      <w:rPr>
        <w:sz w:val="18"/>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94B31E4">
                          <w:pPr>
                            <w:pStyle w:val="17"/>
                          </w:pPr>
                          <w:r>
                            <w:fldChar w:fldCharType="begin"/>
                          </w:r>
                          <w:r>
                            <w:instrText xml:space="preserve"> PAGE  \* MERGEFORMAT </w:instrText>
                          </w:r>
                          <w:r>
                            <w:fldChar w:fldCharType="separate"/>
                          </w:r>
                          <w:r>
                            <w:t>98</w:t>
                          </w:r>
                          <w:r>
                            <w:fldChar w:fldCharType="end"/>
                          </w:r>
                        </w:p>
                      </w:txbxContent>
                    </wps:txbx>
                    <wps:bodyPr vert="horz" wrap="none" lIns="0" tIns="0" rIns="0" bIns="0" anchor="t" anchorCtr="0" upright="0">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XW5UtAAAAAFAQAADwAAAAAA&#10;AAABACAAAAAiAAAAZHJzL2Rvd25yZXYueG1sUEsBAhQAFAAAAAgAh07iQGKrqCviAQAAxgMAAA4A&#10;AAAAAAAAAQAgAAAAHwEAAGRycy9lMm9Eb2MueG1sUEsFBgAAAAAGAAYAWQEAAHMFAAAAAA==&#10;">
              <v:fill on="f" focussize="0,0"/>
              <v:stroke on="f"/>
              <v:imagedata o:title=""/>
              <o:lock v:ext="edit" aspectratio="f"/>
              <v:textbox inset="0mm,0mm,0mm,0mm" style="mso-fit-shape-to-text:t;">
                <w:txbxContent>
                  <w:p w14:paraId="394B31E4">
                    <w:pPr>
                      <w:pStyle w:val="17"/>
                    </w:pPr>
                    <w:r>
                      <w:fldChar w:fldCharType="begin"/>
                    </w:r>
                    <w:r>
                      <w:instrText xml:space="preserve"> PAGE  \* MERGEFORMAT </w:instrText>
                    </w:r>
                    <w:r>
                      <w:fldChar w:fldCharType="separate"/>
                    </w:r>
                    <w:r>
                      <w:t>98</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07F0A">
    <w:pPr>
      <w:pStyle w:val="17"/>
    </w:pPr>
    <w:r>
      <w:rPr>
        <w:sz w:val="18"/>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9F984D8">
                          <w:pPr>
                            <w:pStyle w:val="17"/>
                          </w:pPr>
                          <w:r>
                            <w:fldChar w:fldCharType="begin"/>
                          </w:r>
                          <w:r>
                            <w:instrText xml:space="preserve"> PAGE  \* MERGEFORMAT </w:instrText>
                          </w:r>
                          <w:r>
                            <w:fldChar w:fldCharType="separate"/>
                          </w:r>
                          <w:r>
                            <w:t>99</w:t>
                          </w:r>
                          <w:r>
                            <w:fldChar w:fldCharType="end"/>
                          </w:r>
                        </w:p>
                      </w:txbxContent>
                    </wps:txbx>
                    <wps:bodyPr vert="horz" wrap="none" lIns="0" tIns="0" rIns="0" bIns="0" anchor="t" anchorCtr="0" upright="0">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XW5UtAAAAAFAQAADwAAAAAA&#10;AAABACAAAAAiAAAAZHJzL2Rvd25yZXYueG1sUEsBAhQAFAAAAAgAh07iQAY4GHHiAQAAxgMAAA4A&#10;AAAAAAAAAQAgAAAAHwEAAGRycy9lMm9Eb2MueG1sUEsFBgAAAAAGAAYAWQEAAHMFAAAAAA==&#10;">
              <v:fill on="f" focussize="0,0"/>
              <v:stroke on="f"/>
              <v:imagedata o:title=""/>
              <o:lock v:ext="edit" aspectratio="f"/>
              <v:textbox inset="0mm,0mm,0mm,0mm" style="mso-fit-shape-to-text:t;">
                <w:txbxContent>
                  <w:p w14:paraId="69F984D8">
                    <w:pPr>
                      <w:pStyle w:val="17"/>
                    </w:pPr>
                    <w:r>
                      <w:fldChar w:fldCharType="begin"/>
                    </w:r>
                    <w:r>
                      <w:instrText xml:space="preserve"> PAGE  \* MERGEFORMAT </w:instrText>
                    </w:r>
                    <w:r>
                      <w:fldChar w:fldCharType="separate"/>
                    </w:r>
                    <w:r>
                      <w:t>99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44178">
    <w:pPr>
      <w:pStyle w:val="19"/>
    </w:pPr>
    <w:r>
      <w:rPr>
        <w:rStyle w:val="45"/>
        <w:rFonts w:hint="eastAsia"/>
        <w:sz w:val="24"/>
      </w:rPr>
      <w:t xml:space="preserve">  </w:t>
    </w:r>
    <w:r>
      <w:rPr>
        <w:rStyle w:val="45"/>
        <w:sz w:val="24"/>
      </w:rPr>
      <w:drawing>
        <wp:inline distT="0" distB="0" distL="114300" distR="114300">
          <wp:extent cx="374015" cy="375920"/>
          <wp:effectExtent l="0" t="0" r="6985" b="5080"/>
          <wp:docPr id="1" name="图片 2" descr="D:\用户目录\我的文档\Tencent Files\742054343\Image\C2C\0UZ3YQ7QPT[@M_F(FE]QHFN.png"/>
          <wp:cNvGraphicFramePr/>
          <a:graphic xmlns:a="http://schemas.openxmlformats.org/drawingml/2006/main">
            <a:graphicData uri="http://schemas.openxmlformats.org/drawingml/2006/picture">
              <pic:pic xmlns:pic="http://schemas.openxmlformats.org/drawingml/2006/picture">
                <pic:nvPicPr>
                  <pic:cNvPr id="1" name="图片 2" descr="D:\用户目录\我的文档\Tencent Files\742054343\Image\C2C\0UZ3YQ7QPT[@M_F(FE]QHFN.png"/>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45"/>
        <w:rFonts w:hint="eastAsia"/>
        <w:sz w:val="24"/>
      </w:rPr>
      <w:t xml:space="preserve">                                新疆拓源工程管理咨询有限公司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10D48">
    <w:pPr>
      <w:pStyle w:val="19"/>
      <w:pBdr>
        <w:bottom w:val="none" w:color="auto" w:sz="0" w:space="1"/>
      </w:pBdr>
      <w:jc w:val="both"/>
    </w:pPr>
    <w:r>
      <w:rPr>
        <w:rStyle w:val="45"/>
        <w:rFonts w:hint="eastAsia"/>
        <w:sz w:val="24"/>
        <w:szCs w:val="24"/>
      </w:rPr>
      <w:t xml:space="preserve">  </w:t>
    </w:r>
    <w:r>
      <w:rPr>
        <w:rStyle w:val="45"/>
        <w:sz w:val="24"/>
        <w:szCs w:val="24"/>
      </w:rPr>
      <w:drawing>
        <wp:inline distT="0" distB="0" distL="114300" distR="114300">
          <wp:extent cx="374015" cy="375920"/>
          <wp:effectExtent l="0" t="0" r="6985" b="5080"/>
          <wp:docPr id="2" name="图片 2" descr="D:\用户目录\我的文档\Tencent Files\742054343\Image\C2C\0UZ3YQ7QPT[@M_F(FE]QHFN.png"/>
          <wp:cNvGraphicFramePr/>
          <a:graphic xmlns:a="http://schemas.openxmlformats.org/drawingml/2006/main">
            <a:graphicData uri="http://schemas.openxmlformats.org/drawingml/2006/picture">
              <pic:pic xmlns:pic="http://schemas.openxmlformats.org/drawingml/2006/picture">
                <pic:nvPicPr>
                  <pic:cNvPr id="2" name="图片 2" descr="D:\用户目录\我的文档\Tencent Files\742054343\Image\C2C\0UZ3YQ7QPT[@M_F(FE]QHFN.png"/>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45"/>
        <w:rFonts w:hint="eastAsia"/>
        <w:sz w:val="24"/>
        <w:szCs w:val="24"/>
      </w:rPr>
      <w:t xml:space="preserve">                                  新疆拓源工程管理咨询有限公司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B862">
    <w:pPr>
      <w:pStyle w:val="19"/>
      <w:pBdr>
        <w:bottom w:val="none" w:color="auto" w:sz="0" w:space="1"/>
      </w:pBdr>
      <w:jc w:val="both"/>
    </w:pPr>
    <w:r>
      <w:rPr>
        <w:rStyle w:val="45"/>
        <w:rFonts w:hint="eastAsia"/>
        <w:sz w:val="24"/>
        <w:szCs w:val="24"/>
      </w:rPr>
      <w:t xml:space="preserve">  </w:t>
    </w:r>
    <w:r>
      <w:rPr>
        <w:rStyle w:val="45"/>
        <w:sz w:val="24"/>
        <w:szCs w:val="24"/>
      </w:rPr>
      <w:drawing>
        <wp:inline distT="0" distB="0" distL="114300" distR="114300">
          <wp:extent cx="374015" cy="375920"/>
          <wp:effectExtent l="0" t="0" r="6985" b="5080"/>
          <wp:docPr id="3" name="图片 2" descr="D:\用户目录\我的文档\Tencent Files\742054343\Image\C2C\0UZ3YQ7QPT[@M_F(FE]QHFN.png"/>
          <wp:cNvGraphicFramePr/>
          <a:graphic xmlns:a="http://schemas.openxmlformats.org/drawingml/2006/main">
            <a:graphicData uri="http://schemas.openxmlformats.org/drawingml/2006/picture">
              <pic:pic xmlns:pic="http://schemas.openxmlformats.org/drawingml/2006/picture">
                <pic:nvPicPr>
                  <pic:cNvPr id="3" name="图片 2" descr="D:\用户目录\我的文档\Tencent Files\742054343\Image\C2C\0UZ3YQ7QPT[@M_F(FE]QHFN.png"/>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45"/>
        <w:rFonts w:hint="eastAsia"/>
        <w:sz w:val="24"/>
        <w:szCs w:val="24"/>
      </w:rPr>
      <w:t xml:space="preserve">                                  新疆拓源工程管理咨询有限公司</w:t>
    </w:r>
  </w:p>
  <w:p w14:paraId="0782FF20">
    <w:pPr>
      <w:pStyle w:val="19"/>
      <w:rPr>
        <w:rFonts w:hint="eastAsia" w:eastAsia="宋体"/>
        <w:i/>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pPr>
        <w:ind w:left="600" w:firstLine="0"/>
      </w:p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2"/>
      <w:numFmt w:val="chineseCounting"/>
      <w:suff w:val="nothing"/>
      <w:lvlText w:val="（%1）"/>
      <w:lvlJc w:val="left"/>
      <w:rPr>
        <w:rFonts w:hint="eastAsia"/>
      </w:rPr>
    </w:lvl>
  </w:abstractNum>
  <w:abstractNum w:abstractNumId="5">
    <w:nsid w:val="00000005"/>
    <w:multiLevelType w:val="multilevel"/>
    <w:tmpl w:val="00000005"/>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0000007"/>
    <w:multiLevelType w:val="singleLevel"/>
    <w:tmpl w:val="00000007"/>
    <w:lvl w:ilvl="0" w:tentative="0">
      <w:start w:val="4"/>
      <w:numFmt w:val="chineseCounting"/>
      <w:suff w:val="space"/>
      <w:lvlText w:val="第%1章"/>
      <w:lvlJc w:val="left"/>
      <w:rPr>
        <w:rFonts w:hint="eastAsia"/>
      </w:rPr>
    </w:lvl>
  </w:abstractNum>
  <w:abstractNum w:abstractNumId="8">
    <w:nsid w:val="00000008"/>
    <w:multiLevelType w:val="singleLevel"/>
    <w:tmpl w:val="00000008"/>
    <w:lvl w:ilvl="0" w:tentative="0">
      <w:start w:val="1"/>
      <w:numFmt w:val="decimal"/>
      <w:suff w:val="nothing"/>
      <w:lvlText w:val="%1、"/>
      <w:lvlJc w:val="left"/>
    </w:lvl>
  </w:abstractNum>
  <w:abstractNum w:abstractNumId="9">
    <w:nsid w:val="00000009"/>
    <w:multiLevelType w:val="multilevel"/>
    <w:tmpl w:val="00000009"/>
    <w:lvl w:ilvl="0" w:tentative="0">
      <w:start w:val="1"/>
      <w:numFmt w:val="chineseCountingThousand"/>
      <w:suff w:val="space"/>
      <w:lvlText w:val="%1、"/>
      <w:lvlJc w:val="left"/>
      <w:pPr>
        <w:ind w:left="0" w:firstLine="0"/>
      </w:pPr>
      <w:rPr>
        <w:rFonts w:hint="eastAsia"/>
      </w:rPr>
    </w:lvl>
    <w:lvl w:ilvl="1" w:tentative="0">
      <w:start w:val="1"/>
      <w:numFmt w:val="decimal"/>
      <w:isLgl/>
      <w:suff w:val="space"/>
      <w:lvlText w:val="%1.%2"/>
      <w:lvlJc w:val="left"/>
      <w:pPr>
        <w:ind w:left="284" w:firstLine="0"/>
      </w:pPr>
      <w:rPr>
        <w:rFonts w:hint="eastAsia"/>
        <w:spacing w:val="0"/>
        <w:w w:val="100"/>
        <w:kern w:val="21"/>
        <w:position w:val="0"/>
      </w:rPr>
    </w:lvl>
    <w:lvl w:ilvl="2" w:tentative="0">
      <w:start w:val="1"/>
      <w:numFmt w:val="decimal"/>
      <w:pStyle w:val="4"/>
      <w:isLgl/>
      <w:suff w:val="space"/>
      <w:lvlText w:val="%1.%2.%3"/>
      <w:lvlJc w:val="left"/>
      <w:pPr>
        <w:ind w:left="2410" w:firstLine="0"/>
      </w:pPr>
      <w:rPr>
        <w:rFonts w:hint="eastAsia"/>
        <w:color w:val="auto"/>
      </w:rPr>
    </w:lvl>
    <w:lvl w:ilvl="3" w:tentative="0">
      <w:start w:val="1"/>
      <w:numFmt w:val="decimal"/>
      <w:lvlText w:val="%1.%2.%3.%4"/>
      <w:lvlJc w:val="left"/>
      <w:pPr>
        <w:ind w:left="852" w:firstLine="0"/>
      </w:pPr>
      <w:rPr>
        <w:rFonts w:hint="eastAsia"/>
      </w:rPr>
    </w:lvl>
    <w:lvl w:ilvl="4" w:tentative="0">
      <w:start w:val="1"/>
      <w:numFmt w:val="decimal"/>
      <w:lvlText w:val="%1.%2.%3.%4.%5"/>
      <w:lvlJc w:val="left"/>
      <w:pPr>
        <w:ind w:left="1136" w:firstLine="0"/>
      </w:pPr>
      <w:rPr>
        <w:rFonts w:hint="eastAsia"/>
      </w:rPr>
    </w:lvl>
    <w:lvl w:ilvl="5" w:tentative="0">
      <w:start w:val="1"/>
      <w:numFmt w:val="decimal"/>
      <w:lvlText w:val="%1.%2.%3.%4.%5.%6"/>
      <w:lvlJc w:val="left"/>
      <w:pPr>
        <w:ind w:left="1420" w:firstLine="0"/>
      </w:pPr>
      <w:rPr>
        <w:rFonts w:hint="eastAsia"/>
      </w:rPr>
    </w:lvl>
    <w:lvl w:ilvl="6" w:tentative="0">
      <w:start w:val="1"/>
      <w:numFmt w:val="decimal"/>
      <w:lvlText w:val="%1.%2.%3.%4.%5.%6.%7"/>
      <w:lvlJc w:val="left"/>
      <w:pPr>
        <w:ind w:left="1704" w:firstLine="0"/>
      </w:pPr>
      <w:rPr>
        <w:rFonts w:hint="eastAsia"/>
      </w:rPr>
    </w:lvl>
    <w:lvl w:ilvl="7" w:tentative="0">
      <w:start w:val="1"/>
      <w:numFmt w:val="decimal"/>
      <w:lvlText w:val="%1.%2.%3.%4.%5.%6.%7.%8"/>
      <w:lvlJc w:val="left"/>
      <w:pPr>
        <w:ind w:left="1988" w:firstLine="0"/>
      </w:pPr>
      <w:rPr>
        <w:rFonts w:hint="eastAsia"/>
      </w:rPr>
    </w:lvl>
    <w:lvl w:ilvl="8" w:tentative="0">
      <w:start w:val="1"/>
      <w:numFmt w:val="decimal"/>
      <w:lvlText w:val="%1.%2.%3.%4.%5.%6.%7.%8.%9"/>
      <w:lvlJc w:val="left"/>
      <w:pPr>
        <w:ind w:left="2272" w:firstLine="0"/>
      </w:pPr>
      <w:rPr>
        <w:rFonts w:hint="eastAsia"/>
      </w:rPr>
    </w:lvl>
  </w:abstractNum>
  <w:abstractNum w:abstractNumId="10">
    <w:nsid w:val="0000000A"/>
    <w:multiLevelType w:val="singleLevel"/>
    <w:tmpl w:val="0000000A"/>
    <w:lvl w:ilvl="0" w:tentative="0">
      <w:start w:val="1"/>
      <w:numFmt w:val="decimal"/>
      <w:lvlText w:val="(%1)"/>
      <w:lvlJc w:val="left"/>
      <w:pPr>
        <w:ind w:left="425" w:hanging="425"/>
      </w:pPr>
      <w:rPr>
        <w:rFonts w:hint="default"/>
      </w:rPr>
    </w:lvl>
  </w:abstractNum>
  <w:abstractNum w:abstractNumId="11">
    <w:nsid w:val="0000000B"/>
    <w:multiLevelType w:val="multilevel"/>
    <w:tmpl w:val="0000000B"/>
    <w:lvl w:ilvl="0" w:tentative="0">
      <w:start w:val="1"/>
      <w:numFmt w:val="decimal"/>
      <w:lvlText w:val="%1、"/>
      <w:lvlJc w:val="left"/>
      <w:pPr>
        <w:tabs>
          <w:tab w:val="left" w:pos="740"/>
        </w:tabs>
        <w:ind w:left="1081" w:hanging="1081"/>
      </w:pPr>
      <w:rPr>
        <w:rFonts w:hint="default"/>
      </w:rPr>
    </w:lvl>
    <w:lvl w:ilvl="1" w:tentative="0">
      <w:start w:val="1"/>
      <w:numFmt w:val="decimal"/>
      <w:pStyle w:val="100"/>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C"/>
    <w:multiLevelType w:val="singleLevel"/>
    <w:tmpl w:val="0000000C"/>
    <w:lvl w:ilvl="0" w:tentative="0">
      <w:start w:val="1"/>
      <w:numFmt w:val="decimal"/>
      <w:lvlText w:val="(%1)"/>
      <w:lvlJc w:val="left"/>
      <w:pPr>
        <w:tabs>
          <w:tab w:val="left" w:pos="312"/>
        </w:tabs>
      </w:pPr>
    </w:lvl>
  </w:abstractNum>
  <w:abstractNum w:abstractNumId="13">
    <w:nsid w:val="0000000D"/>
    <w:multiLevelType w:val="singleLevel"/>
    <w:tmpl w:val="0000000D"/>
    <w:lvl w:ilvl="0" w:tentative="0">
      <w:start w:val="1"/>
      <w:numFmt w:val="decimal"/>
      <w:suff w:val="nothing"/>
      <w:lvlText w:val="%1、"/>
      <w:lvlJc w:val="left"/>
    </w:lvl>
  </w:abstractNum>
  <w:num w:numId="1">
    <w:abstractNumId w:val="9"/>
  </w:num>
  <w:num w:numId="2">
    <w:abstractNumId w:val="5"/>
  </w:num>
  <w:num w:numId="3">
    <w:abstractNumId w:val="11"/>
  </w:num>
  <w:num w:numId="4">
    <w:abstractNumId w:val="10"/>
  </w:num>
  <w:num w:numId="5">
    <w:abstractNumId w:val="2"/>
  </w:num>
  <w:num w:numId="6">
    <w:abstractNumId w:val="6"/>
  </w:num>
  <w:num w:numId="7">
    <w:abstractNumId w:val="13"/>
  </w:num>
  <w:num w:numId="8">
    <w:abstractNumId w:val="3"/>
  </w:num>
  <w:num w:numId="9">
    <w:abstractNumId w:val="8"/>
  </w:num>
  <w:num w:numId="10">
    <w:abstractNumId w:val="4"/>
  </w:num>
  <w:num w:numId="11">
    <w:abstractNumId w:val="0"/>
  </w:num>
  <w:num w:numId="12">
    <w:abstractNumId w:val="7"/>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90A2F"/>
    <w:rsid w:val="1F11795C"/>
    <w:rsid w:val="30241DCD"/>
    <w:rsid w:val="360B3318"/>
    <w:rsid w:val="364E71E9"/>
    <w:rsid w:val="3D43514A"/>
    <w:rsid w:val="416912CE"/>
    <w:rsid w:val="438A4178"/>
    <w:rsid w:val="4905747A"/>
    <w:rsid w:val="52224CF7"/>
    <w:rsid w:val="56980FAA"/>
    <w:rsid w:val="58744BF2"/>
    <w:rsid w:val="6516705D"/>
    <w:rsid w:val="75252915"/>
    <w:rsid w:val="7B314A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rFonts w:ascii="Calibri" w:hAnsi="Calibri"/>
      <w:kern w:val="44"/>
      <w:sz w:val="44"/>
      <w:szCs w:val="44"/>
    </w:rPr>
  </w:style>
  <w:style w:type="paragraph" w:styleId="3">
    <w:name w:val="heading 2"/>
    <w:basedOn w:val="1"/>
    <w:next w:val="1"/>
    <w:qFormat/>
    <w:uiPriority w:val="0"/>
    <w:pPr>
      <w:keepLines/>
      <w:spacing w:before="260" w:after="260" w:line="416" w:lineRule="auto"/>
      <w:outlineLvl w:val="1"/>
    </w:pPr>
    <w:rPr>
      <w:rFonts w:ascii="Arial" w:hAnsi="Arial" w:eastAsia="黑体"/>
      <w:bCs/>
      <w:szCs w:val="32"/>
    </w:rPr>
  </w:style>
  <w:style w:type="paragraph" w:styleId="4">
    <w:name w:val="heading 3"/>
    <w:basedOn w:val="1"/>
    <w:next w:val="1"/>
    <w:qFormat/>
    <w:uiPriority w:val="0"/>
    <w:pPr>
      <w:numPr>
        <w:ilvl w:val="2"/>
        <w:numId w:val="1"/>
      </w:numPr>
      <w:snapToGrid w:val="0"/>
      <w:ind w:left="567"/>
      <w:outlineLvl w:val="2"/>
    </w:pPr>
    <w:rPr>
      <w:rFonts w:ascii="微软雅黑" w:hAnsi="微软雅黑" w:eastAsia="微软雅黑" w:cs="Times New Roman"/>
      <w:bCs/>
      <w:kern w:val="2"/>
      <w:sz w:val="21"/>
      <w:szCs w:val="32"/>
      <w:lang w:val="en-US" w:eastAsia="zh-CN" w:bidi="ar-SA"/>
    </w:rPr>
  </w:style>
  <w:style w:type="paragraph" w:styleId="5">
    <w:name w:val="heading 4"/>
    <w:basedOn w:val="1"/>
    <w:next w:val="1"/>
    <w:qFormat/>
    <w:uiPriority w:val="0"/>
    <w:pPr>
      <w:keepNext/>
      <w:keepLines/>
      <w:numPr>
        <w:ilvl w:val="3"/>
        <w:numId w:val="2"/>
      </w:numPr>
      <w:spacing w:before="280" w:after="290" w:line="372" w:lineRule="auto"/>
      <w:outlineLvl w:val="3"/>
    </w:pPr>
    <w:rPr>
      <w:rFonts w:ascii="Arial" w:hAnsi="Arial" w:eastAsia="黑体"/>
      <w:b/>
      <w:sz w:val="28"/>
    </w:rPr>
  </w:style>
  <w:style w:type="character" w:default="1" w:styleId="31">
    <w:name w:val="Default Paragraph Font"/>
    <w:qFormat/>
    <w:uiPriority w:val="1"/>
  </w:style>
  <w:style w:type="table" w:default="1" w:styleId="29">
    <w:name w:val="Normal Table"/>
    <w:qFormat/>
    <w:uiPriority w:val="99"/>
    <w:tblPr>
      <w:tblStyle w:val="29"/>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caption"/>
    <w:basedOn w:val="1"/>
    <w:next w:val="1"/>
    <w:qFormat/>
    <w:uiPriority w:val="0"/>
    <w:rPr>
      <w:rFonts w:ascii="Arial" w:hAnsi="Arial" w:eastAsia="黑体" w:cs="Arial"/>
      <w:sz w:val="20"/>
      <w:szCs w:val="20"/>
    </w:rPr>
  </w:style>
  <w:style w:type="paragraph" w:styleId="8">
    <w:name w:val="toa heading"/>
    <w:basedOn w:val="1"/>
    <w:next w:val="1"/>
    <w:qFormat/>
    <w:uiPriority w:val="0"/>
    <w:pPr>
      <w:spacing w:before="120"/>
    </w:pPr>
    <w:rPr>
      <w:rFonts w:ascii="Cambria" w:hAnsi="Cambria"/>
      <w:sz w:val="24"/>
    </w:rPr>
  </w:style>
  <w:style w:type="paragraph" w:styleId="9">
    <w:name w:val="annotation text"/>
    <w:basedOn w:val="1"/>
    <w:link w:val="37"/>
    <w:qFormat/>
    <w:uiPriority w:val="0"/>
    <w:pPr>
      <w:jc w:val="left"/>
    </w:pPr>
  </w:style>
  <w:style w:type="paragraph" w:styleId="10">
    <w:name w:val="Body Text"/>
    <w:basedOn w:val="1"/>
    <w:next w:val="1"/>
    <w:qFormat/>
    <w:uiPriority w:val="0"/>
    <w:pPr>
      <w:spacing w:after="120"/>
    </w:pPr>
  </w:style>
  <w:style w:type="paragraph" w:styleId="11">
    <w:name w:val="Body Text Indent"/>
    <w:basedOn w:val="1"/>
    <w:next w:val="12"/>
    <w:qFormat/>
    <w:uiPriority w:val="0"/>
    <w:pPr>
      <w:ind w:firstLine="630"/>
    </w:pPr>
    <w:rPr>
      <w:sz w:val="32"/>
      <w:szCs w:val="20"/>
    </w:rPr>
  </w:style>
  <w:style w:type="paragraph" w:styleId="12">
    <w:name w:val="Body Text First Indent"/>
    <w:basedOn w:val="10"/>
    <w:next w:val="1"/>
    <w:qFormat/>
    <w:uiPriority w:val="0"/>
    <w:pPr>
      <w:ind w:firstLine="420" w:firstLineChars="100"/>
    </w:pPr>
  </w:style>
  <w:style w:type="paragraph" w:styleId="13">
    <w:name w:val="Plain Text"/>
    <w:basedOn w:val="1"/>
    <w:next w:val="14"/>
    <w:qFormat/>
    <w:uiPriority w:val="0"/>
    <w:rPr>
      <w:rFonts w:ascii="宋体" w:hAnsi="Courier New"/>
      <w:szCs w:val="20"/>
    </w:rPr>
  </w:style>
  <w:style w:type="paragraph" w:styleId="14">
    <w:name w:val="index 7"/>
    <w:basedOn w:val="1"/>
    <w:next w:val="1"/>
    <w:qFormat/>
    <w:uiPriority w:val="0"/>
    <w:pPr>
      <w:autoSpaceDE/>
      <w:autoSpaceDN/>
      <w:adjustRightInd/>
      <w:ind w:left="1200" w:leftChars="1200"/>
    </w:pPr>
    <w:rPr>
      <w:color w:val="auto"/>
      <w:kern w:val="2"/>
      <w:szCs w:val="24"/>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38"/>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envelope return"/>
    <w:basedOn w:val="1"/>
    <w:qFormat/>
    <w:uiPriority w:val="99"/>
    <w:pPr>
      <w:snapToGrid w:val="0"/>
    </w:pPr>
    <w:rPr>
      <w:rFonts w:ascii="Arial" w:hAnsi="Arial" w:cs="Arial"/>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pPr>
      <w:spacing w:line="480" w:lineRule="auto"/>
    </w:pPr>
    <w:rPr>
      <w:rFonts w:ascii="Times New Roman" w:hAnsi="Times New Roman"/>
      <w:sz w:val="30"/>
    </w:rPr>
  </w:style>
  <w:style w:type="paragraph" w:styleId="21">
    <w:name w:val="index heading"/>
    <w:basedOn w:val="1"/>
    <w:next w:val="22"/>
    <w:qFormat/>
    <w:uiPriority w:val="0"/>
    <w:pPr>
      <w:adjustRightInd w:val="0"/>
      <w:spacing w:line="312" w:lineRule="atLeast"/>
      <w:textAlignment w:val="baseline"/>
    </w:pPr>
    <w:rPr>
      <w:rFonts w:ascii="Arial" w:hAnsi="Arial" w:eastAsia="仿宋" w:cs="Arial"/>
      <w:b/>
      <w:bCs/>
      <w:kern w:val="0"/>
      <w:sz w:val="32"/>
      <w:szCs w:val="20"/>
    </w:rPr>
  </w:style>
  <w:style w:type="paragraph" w:styleId="22">
    <w:name w:val="index 1"/>
    <w:basedOn w:val="1"/>
    <w:next w:val="1"/>
    <w:qFormat/>
    <w:uiPriority w:val="0"/>
  </w:style>
  <w:style w:type="paragraph" w:styleId="23">
    <w:name w:val="toc 6"/>
    <w:next w:val="1"/>
    <w:qFormat/>
    <w:uiPriority w:val="39"/>
    <w:pPr>
      <w:widowControl w:val="0"/>
      <w:spacing w:line="240" w:lineRule="auto"/>
      <w:ind w:left="2100" w:leftChars="1000"/>
      <w:jc w:val="both"/>
    </w:pPr>
    <w:rPr>
      <w:rFonts w:ascii="Calibri" w:hAnsi="Calibri" w:eastAsia="宋体" w:cs="Times New Roman"/>
      <w:kern w:val="2"/>
      <w:sz w:val="21"/>
      <w:szCs w:val="22"/>
      <w:lang w:val="en-US" w:eastAsia="zh-CN" w:bidi="ar-SA"/>
    </w:rPr>
  </w:style>
  <w:style w:type="paragraph" w:styleId="24">
    <w:name w:val="List 5"/>
    <w:basedOn w:val="1"/>
    <w:qFormat/>
    <w:uiPriority w:val="0"/>
    <w:pPr>
      <w:ind w:left="2100" w:hanging="420"/>
    </w:pPr>
    <w:rPr>
      <w:rFonts w:eastAsia="楷体_GB2312"/>
      <w:sz w:val="32"/>
      <w:szCs w:val="20"/>
    </w:rPr>
  </w:style>
  <w:style w:type="paragraph" w:styleId="25">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6">
    <w:name w:val="Title"/>
    <w:basedOn w:val="1"/>
    <w:next w:val="1"/>
    <w:qFormat/>
    <w:uiPriority w:val="10"/>
    <w:pPr>
      <w:spacing w:before="240" w:after="60"/>
      <w:jc w:val="center"/>
      <w:outlineLvl w:val="0"/>
    </w:pPr>
    <w:rPr>
      <w:rFonts w:ascii="Cambria" w:hAnsi="Cambria"/>
      <w:b/>
      <w:bCs/>
      <w:sz w:val="32"/>
      <w:szCs w:val="32"/>
    </w:rPr>
  </w:style>
  <w:style w:type="paragraph" w:styleId="27">
    <w:name w:val="annotation subject"/>
    <w:basedOn w:val="9"/>
    <w:next w:val="9"/>
    <w:link w:val="39"/>
    <w:qFormat/>
    <w:uiPriority w:val="0"/>
    <w:rPr>
      <w:b/>
      <w:bCs/>
    </w:rPr>
  </w:style>
  <w:style w:type="paragraph" w:styleId="28">
    <w:name w:val="Body Text First Indent 2"/>
    <w:basedOn w:val="11"/>
    <w:next w:val="1"/>
    <w:qFormat/>
    <w:uiPriority w:val="0"/>
    <w:pPr>
      <w:ind w:firstLine="420"/>
    </w:pPr>
  </w:style>
  <w:style w:type="table" w:styleId="30">
    <w:name w:val="Table Grid"/>
    <w:basedOn w:val="29"/>
    <w:qFormat/>
    <w:uiPriority w:val="0"/>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Hyperlink"/>
    <w:basedOn w:val="31"/>
    <w:qFormat/>
    <w:uiPriority w:val="0"/>
    <w:rPr>
      <w:rFonts w:ascii="Times New Roman" w:hAnsi="Times New Roman" w:eastAsia="微软雅黑" w:cs="Times New Roman"/>
      <w:color w:val="0000FF"/>
      <w:u w:val="single"/>
    </w:rPr>
  </w:style>
  <w:style w:type="character" w:styleId="35">
    <w:name w:val="annotation reference"/>
    <w:basedOn w:val="31"/>
    <w:qFormat/>
    <w:uiPriority w:val="0"/>
    <w:rPr>
      <w:sz w:val="21"/>
      <w:szCs w:val="21"/>
    </w:rPr>
  </w:style>
  <w:style w:type="character" w:customStyle="1" w:styleId="36">
    <w:name w:val="标题 1 Char"/>
    <w:link w:val="2"/>
    <w:qFormat/>
    <w:uiPriority w:val="0"/>
    <w:rPr>
      <w:rFonts w:ascii="Calibri" w:hAnsi="Calibri" w:eastAsia="宋体" w:cs="Times New Roman"/>
      <w:kern w:val="44"/>
      <w:sz w:val="44"/>
      <w:szCs w:val="44"/>
    </w:rPr>
  </w:style>
  <w:style w:type="character" w:customStyle="1" w:styleId="37">
    <w:name w:val="批注文字 Char"/>
    <w:basedOn w:val="31"/>
    <w:link w:val="9"/>
    <w:qFormat/>
    <w:uiPriority w:val="0"/>
    <w:rPr>
      <w:rFonts w:ascii="Calibri" w:hAnsi="Calibri"/>
      <w:kern w:val="2"/>
      <w:sz w:val="21"/>
      <w:szCs w:val="24"/>
    </w:rPr>
  </w:style>
  <w:style w:type="character" w:customStyle="1" w:styleId="38">
    <w:name w:val="批注框文本 Char"/>
    <w:basedOn w:val="31"/>
    <w:link w:val="16"/>
    <w:qFormat/>
    <w:uiPriority w:val="0"/>
    <w:rPr>
      <w:rFonts w:ascii="Calibri" w:hAnsi="Calibri"/>
      <w:kern w:val="2"/>
      <w:sz w:val="18"/>
      <w:szCs w:val="18"/>
    </w:rPr>
  </w:style>
  <w:style w:type="character" w:customStyle="1" w:styleId="39">
    <w:name w:val="批注主题 Char"/>
    <w:basedOn w:val="37"/>
    <w:link w:val="27"/>
    <w:qFormat/>
    <w:uiPriority w:val="0"/>
    <w:rPr>
      <w:rFonts w:ascii="Calibri" w:hAnsi="Calibri"/>
      <w:b/>
      <w:bCs/>
      <w:kern w:val="2"/>
      <w:sz w:val="21"/>
      <w:szCs w:val="24"/>
    </w:rPr>
  </w:style>
  <w:style w:type="paragraph" w:customStyle="1" w:styleId="40">
    <w:name w:val="正文3"/>
    <w:qFormat/>
    <w:uiPriority w:val="0"/>
    <w:pPr>
      <w:spacing w:line="500" w:lineRule="exact"/>
      <w:ind w:firstLine="200" w:firstLineChars="200"/>
    </w:pPr>
    <w:rPr>
      <w:rFonts w:ascii="Times New Roman" w:hAnsi="Times New Roman" w:eastAsia="宋体" w:cs="Times New Roman"/>
      <w:b/>
      <w:bCs/>
      <w:snapToGrid w:val="0"/>
      <w:color w:val="000000"/>
      <w:sz w:val="21"/>
      <w:szCs w:val="22"/>
      <w:lang w:val="en-US" w:eastAsia="zh-CN" w:bidi="ar-SA"/>
    </w:rPr>
  </w:style>
  <w:style w:type="paragraph" w:customStyle="1" w:styleId="41">
    <w:name w:val="Default"/>
    <w:basedOn w:val="26"/>
    <w:qFormat/>
    <w:uiPriority w:val="99"/>
    <w:pPr>
      <w:widowControl w:val="0"/>
      <w:autoSpaceDE w:val="0"/>
      <w:autoSpaceDN w:val="0"/>
      <w:adjustRightInd w:val="0"/>
    </w:pPr>
    <w:rPr>
      <w:rFonts w:ascii="宋体" w:hAnsi="Times New Roman" w:cs="宋体"/>
      <w:color w:val="000000"/>
      <w:sz w:val="24"/>
      <w:szCs w:val="24"/>
      <w:lang w:val="en-US" w:eastAsia="zh-CN" w:bidi="ar-SA"/>
    </w:rPr>
  </w:style>
  <w:style w:type="paragraph" w:customStyle="1" w:styleId="42">
    <w:name w:val="大标题"/>
    <w:basedOn w:val="1"/>
    <w:next w:val="28"/>
    <w:qFormat/>
    <w:uiPriority w:val="0"/>
    <w:pPr>
      <w:jc w:val="center"/>
    </w:pPr>
    <w:rPr>
      <w:rFonts w:ascii="Arial" w:hAnsi="Arial" w:eastAsia="宋体" w:cs="Times New Roman"/>
      <w:b/>
      <w:sz w:val="28"/>
      <w:szCs w:val="24"/>
    </w:rPr>
  </w:style>
  <w:style w:type="paragraph" w:customStyle="1" w:styleId="43">
    <w:name w:val="无间隔1"/>
    <w:qFormat/>
    <w:uiPriority w:val="1"/>
    <w:pPr>
      <w:widowControl w:val="0"/>
    </w:pPr>
    <w:rPr>
      <w:rFonts w:ascii="Calibri" w:hAnsi="Calibri" w:eastAsia="仿宋_GB2312" w:cs="Times New Roman"/>
      <w:kern w:val="2"/>
      <w:sz w:val="28"/>
      <w:szCs w:val="21"/>
      <w:lang w:val="en-US" w:eastAsia="zh-CN" w:bidi="ar-SA"/>
    </w:rPr>
  </w:style>
  <w:style w:type="paragraph" w:customStyle="1" w:styleId="44">
    <w:name w:val="3）三级标题 与下段同页"/>
    <w:basedOn w:val="1"/>
    <w:qFormat/>
    <w:uiPriority w:val="0"/>
    <w:pPr>
      <w:keepNext/>
      <w:spacing w:beforeLines="50" w:afterLines="50"/>
      <w:jc w:val="center"/>
      <w:outlineLvl w:val="2"/>
    </w:pPr>
    <w:rPr>
      <w:rFonts w:ascii="仿宋_GB2312" w:eastAsia="仿宋_GB2312"/>
      <w:b/>
      <w:sz w:val="32"/>
    </w:rPr>
  </w:style>
  <w:style w:type="character" w:customStyle="1" w:styleId="45">
    <w:name w:val="NormalCharacter"/>
    <w:link w:val="46"/>
    <w:qFormat/>
    <w:uiPriority w:val="0"/>
    <w:rPr>
      <w:rFonts w:ascii="Calibri" w:hAnsi="Calibri" w:eastAsia="宋体" w:cs="Times New Roman"/>
      <w:kern w:val="2"/>
      <w:sz w:val="21"/>
      <w:szCs w:val="24"/>
      <w:lang w:val="en-US" w:eastAsia="zh-CN" w:bidi="ar-SA"/>
    </w:rPr>
  </w:style>
  <w:style w:type="paragraph" w:customStyle="1" w:styleId="46">
    <w:name w:val="UserStyle_20"/>
    <w:basedOn w:val="1"/>
    <w:link w:val="45"/>
    <w:qFormat/>
    <w:uiPriority w:val="0"/>
    <w:pPr>
      <w:spacing w:after="160" w:line="240" w:lineRule="exact"/>
      <w:jc w:val="left"/>
    </w:pPr>
    <w:rPr>
      <w:rFonts w:ascii="Verdana" w:hAnsi="Verdana" w:eastAsia="仿宋_GB2312"/>
      <w:kern w:val="0"/>
      <w:sz w:val="24"/>
      <w:szCs w:val="20"/>
      <w:lang w:eastAsia="en-US"/>
    </w:rPr>
  </w:style>
  <w:style w:type="character" w:customStyle="1" w:styleId="47">
    <w:name w:val="UserStyle_3"/>
    <w:qFormat/>
    <w:uiPriority w:val="0"/>
    <w:rPr>
      <w:rFonts w:ascii="宋体" w:hAnsi="宋体" w:eastAsia="宋体"/>
      <w:b/>
      <w:sz w:val="32"/>
      <w:szCs w:val="32"/>
    </w:rPr>
  </w:style>
  <w:style w:type="paragraph" w:customStyle="1" w:styleId="48">
    <w:name w:val="正文_2_0"/>
    <w:basedOn w:val="49"/>
    <w:next w:val="7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2_1"/>
    <w:basedOn w:val="50"/>
    <w:next w:val="71"/>
    <w:qFormat/>
    <w:uiPriority w:val="0"/>
    <w:rPr>
      <w:szCs w:val="24"/>
    </w:rPr>
  </w:style>
  <w:style w:type="paragraph" w:customStyle="1" w:styleId="50">
    <w:name w:val="正文_3_0"/>
    <w:basedOn w:val="51"/>
    <w:next w:val="54"/>
    <w:qFormat/>
    <w:uiPriority w:val="0"/>
  </w:style>
  <w:style w:type="paragraph" w:customStyle="1" w:styleId="51">
    <w:name w:val="Normal_0_0"/>
    <w:next w:val="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Body Text_0"/>
    <w:basedOn w:val="53"/>
    <w:qFormat/>
    <w:uiPriority w:val="0"/>
    <w:pPr>
      <w:spacing w:after="120"/>
    </w:pPr>
  </w:style>
  <w:style w:type="paragraph" w:customStyle="1" w:styleId="53">
    <w:name w:val="Normal_1"/>
    <w:next w:val="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缩进_0_0_1"/>
    <w:basedOn w:val="55"/>
    <w:qFormat/>
    <w:uiPriority w:val="0"/>
    <w:pPr>
      <w:ind w:firstLine="420" w:firstLineChars="200"/>
    </w:pPr>
  </w:style>
  <w:style w:type="paragraph" w:customStyle="1" w:styleId="55">
    <w:name w:val="正文_0_1_1"/>
    <w:basedOn w:val="56"/>
    <w:next w:val="68"/>
    <w:qFormat/>
    <w:uiPriority w:val="0"/>
    <w:rPr>
      <w:rFonts w:eastAsia="Calibri"/>
    </w:rPr>
  </w:style>
  <w:style w:type="paragraph" w:customStyle="1" w:styleId="56">
    <w:name w:val="正文_3_1"/>
    <w:basedOn w:val="57"/>
    <w:next w:val="60"/>
    <w:qFormat/>
    <w:uiPriority w:val="0"/>
    <w:rPr>
      <w:rFonts w:ascii="Calibri" w:hAnsi="Calibri"/>
      <w:sz w:val="21"/>
      <w:szCs w:val="22"/>
    </w:rPr>
  </w:style>
  <w:style w:type="paragraph" w:customStyle="1" w:styleId="57">
    <w:name w:val="Normal_0_1"/>
    <w:basedOn w:val="58"/>
    <w:qFormat/>
    <w:uiPriority w:val="0"/>
    <w:rPr>
      <w:rFonts w:ascii="黑体" w:hAnsi="黑体" w:eastAsia="黑体"/>
      <w:b/>
      <w:sz w:val="32"/>
      <w:szCs w:val="24"/>
    </w:rPr>
  </w:style>
  <w:style w:type="paragraph" w:customStyle="1" w:styleId="58">
    <w:name w:val="Normal_2"/>
    <w:next w:val="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Body Text_1"/>
    <w:basedOn w:val="58"/>
    <w:qFormat/>
    <w:uiPriority w:val="0"/>
    <w:pPr>
      <w:spacing w:after="120"/>
    </w:pPr>
  </w:style>
  <w:style w:type="paragraph" w:customStyle="1" w:styleId="60">
    <w:name w:val="正文缩进_0_0_0"/>
    <w:basedOn w:val="61"/>
    <w:qFormat/>
    <w:uiPriority w:val="0"/>
    <w:pPr>
      <w:ind w:firstLine="420" w:firstLineChars="200"/>
    </w:pPr>
  </w:style>
  <w:style w:type="paragraph" w:customStyle="1" w:styleId="61">
    <w:name w:val="正文_0_1_0"/>
    <w:basedOn w:val="62"/>
    <w:next w:val="63"/>
    <w:qFormat/>
    <w:uiPriority w:val="0"/>
    <w:rPr>
      <w:rFonts w:eastAsia="Calibri"/>
    </w:rPr>
  </w:style>
  <w:style w:type="paragraph" w:customStyle="1" w:styleId="62">
    <w:name w:val="正文_1_1"/>
    <w:next w:val="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脚注文本_0"/>
    <w:basedOn w:val="64"/>
    <w:next w:val="66"/>
    <w:qFormat/>
    <w:uiPriority w:val="99"/>
    <w:pPr>
      <w:snapToGrid w:val="0"/>
      <w:jc w:val="left"/>
    </w:pPr>
    <w:rPr>
      <w:rFonts w:ascii="Calibri" w:hAnsi="Calibri" w:eastAsia="Calibri"/>
      <w:sz w:val="18"/>
    </w:rPr>
  </w:style>
  <w:style w:type="paragraph" w:customStyle="1" w:styleId="64">
    <w:name w:val="正文_0_2"/>
    <w:next w:val="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页脚_0_0"/>
    <w:basedOn w:val="64"/>
    <w:qFormat/>
    <w:uiPriority w:val="99"/>
    <w:pPr>
      <w:tabs>
        <w:tab w:val="center" w:pos="4153"/>
        <w:tab w:val="right" w:pos="8306"/>
      </w:tabs>
      <w:snapToGrid w:val="0"/>
      <w:jc w:val="left"/>
    </w:pPr>
    <w:rPr>
      <w:sz w:val="18"/>
      <w:szCs w:val="18"/>
    </w:rPr>
  </w:style>
  <w:style w:type="paragraph" w:customStyle="1" w:styleId="66">
    <w:name w:val="正文_2"/>
    <w:next w:val="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文本_0"/>
    <w:basedOn w:val="48"/>
    <w:qFormat/>
    <w:uiPriority w:val="0"/>
  </w:style>
  <w:style w:type="paragraph" w:customStyle="1" w:styleId="68">
    <w:name w:val="脚注文本1"/>
    <w:basedOn w:val="69"/>
    <w:next w:val="70"/>
    <w:qFormat/>
    <w:uiPriority w:val="0"/>
    <w:pPr>
      <w:snapToGrid w:val="0"/>
      <w:jc w:val="left"/>
    </w:pPr>
    <w:rPr>
      <w:kern w:val="0"/>
      <w:sz w:val="18"/>
      <w:szCs w:val="18"/>
    </w:rPr>
  </w:style>
  <w:style w:type="paragraph" w:customStyle="1" w:styleId="69">
    <w:name w:val="正文_1_0"/>
    <w:next w:val="68"/>
    <w:qFormat/>
    <w:uiPriority w:val="0"/>
    <w:pPr>
      <w:widowControl w:val="0"/>
      <w:jc w:val="both"/>
    </w:pPr>
    <w:rPr>
      <w:rFonts w:ascii="Calibri" w:hAnsi="Calibri" w:eastAsia="宋体" w:cs="Times New Roman"/>
      <w:kern w:val="2"/>
      <w:sz w:val="21"/>
      <w:szCs w:val="24"/>
      <w:lang w:val="en-US" w:eastAsia="zh-CN" w:bidi="ar-SA"/>
    </w:rPr>
  </w:style>
  <w:style w:type="paragraph" w:customStyle="1" w:styleId="70">
    <w:name w:val="索引 51"/>
    <w:basedOn w:val="69"/>
    <w:next w:val="69"/>
    <w:qFormat/>
    <w:uiPriority w:val="99"/>
    <w:pPr>
      <w:ind w:left="1680"/>
    </w:pPr>
  </w:style>
  <w:style w:type="paragraph" w:customStyle="1" w:styleId="71">
    <w:name w:val="No Spacing_0"/>
    <w:basedOn w:val="72"/>
    <w:qFormat/>
    <w:uiPriority w:val="1"/>
  </w:style>
  <w:style w:type="paragraph" w:customStyle="1" w:styleId="72">
    <w:name w:val="正文_5"/>
    <w:basedOn w:val="66"/>
    <w:next w:val="73"/>
    <w:qFormat/>
    <w:uiPriority w:val="0"/>
    <w:rPr>
      <w:rFonts w:ascii="Calibri" w:hAnsi="Calibri"/>
      <w:szCs w:val="22"/>
    </w:rPr>
  </w:style>
  <w:style w:type="paragraph" w:customStyle="1" w:styleId="73">
    <w:name w:val="段_0"/>
    <w:next w:val="72"/>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4">
    <w:name w:val="正文1_0"/>
    <w:basedOn w:val="75"/>
    <w:qFormat/>
    <w:uiPriority w:val="0"/>
    <w:pPr>
      <w:widowControl/>
      <w:spacing w:before="120" w:after="120"/>
      <w:ind w:firstLine="200" w:firstLineChars="200"/>
      <w:jc w:val="left"/>
    </w:pPr>
    <w:rPr>
      <w:rFonts w:ascii="Times New Roman" w:hAnsi="Times New Roman" w:eastAsia="Adobe 仿宋 Std R"/>
    </w:rPr>
  </w:style>
  <w:style w:type="paragraph" w:customStyle="1" w:styleId="75">
    <w:name w:val="正文_3"/>
    <w:basedOn w:val="76"/>
    <w:next w:val="78"/>
    <w:qFormat/>
    <w:uiPriority w:val="0"/>
  </w:style>
  <w:style w:type="paragraph" w:customStyle="1" w:styleId="76">
    <w:name w:val="Normal_0"/>
    <w:basedOn w:val="77"/>
    <w:next w:val="28"/>
    <w:qFormat/>
    <w:uiPriority w:val="0"/>
    <w:rPr>
      <w:rFonts w:ascii="Calibri" w:hAnsi="Calibri"/>
      <w:sz w:val="21"/>
    </w:rPr>
  </w:style>
  <w:style w:type="paragraph" w:customStyle="1" w:styleId="77">
    <w:name w:val="正文1"/>
    <w:next w:val="2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8">
    <w:name w:val="正文缩进_0_0"/>
    <w:basedOn w:val="79"/>
    <w:qFormat/>
    <w:uiPriority w:val="0"/>
    <w:pPr>
      <w:ind w:firstLine="420" w:firstLineChars="200"/>
    </w:pPr>
  </w:style>
  <w:style w:type="paragraph" w:customStyle="1" w:styleId="79">
    <w:name w:val="正文_2_0_0"/>
    <w:basedOn w:val="80"/>
    <w:next w:val="84"/>
    <w:qFormat/>
    <w:uiPriority w:val="0"/>
    <w:rPr>
      <w:rFonts w:cs="Calibri"/>
      <w:szCs w:val="21"/>
    </w:rPr>
  </w:style>
  <w:style w:type="paragraph" w:customStyle="1" w:styleId="80">
    <w:name w:val="正文_3_0_0"/>
    <w:basedOn w:val="81"/>
    <w:next w:val="82"/>
    <w:qFormat/>
    <w:uiPriority w:val="0"/>
    <w:rPr>
      <w:rFonts w:ascii="Calibri" w:hAnsi="Calibri"/>
    </w:rPr>
  </w:style>
  <w:style w:type="paragraph" w:customStyle="1" w:styleId="81">
    <w:name w:val="Normal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正文文本_1_0_0"/>
    <w:basedOn w:val="83"/>
    <w:qFormat/>
    <w:uiPriority w:val="0"/>
    <w:pPr>
      <w:spacing w:after="120"/>
    </w:pPr>
  </w:style>
  <w:style w:type="paragraph" w:customStyle="1" w:styleId="83">
    <w:name w:val="正文_2_0_0_0_0"/>
    <w:next w:val="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首行缩进 2_4"/>
    <w:basedOn w:val="85"/>
    <w:qFormat/>
    <w:uiPriority w:val="99"/>
    <w:pPr>
      <w:ind w:firstLine="420" w:firstLineChars="200"/>
    </w:pPr>
  </w:style>
  <w:style w:type="paragraph" w:customStyle="1" w:styleId="85">
    <w:name w:val="正文文本缩进_5"/>
    <w:basedOn w:val="86"/>
    <w:qFormat/>
    <w:uiPriority w:val="0"/>
    <w:pPr>
      <w:spacing w:line="500" w:lineRule="exact"/>
      <w:ind w:left="1588" w:leftChars="832" w:firstLine="433" w:firstLineChars="196"/>
    </w:pPr>
    <w:rPr>
      <w:kern w:val="0"/>
      <w:sz w:val="24"/>
    </w:rPr>
  </w:style>
  <w:style w:type="paragraph" w:customStyle="1" w:styleId="86">
    <w:name w:val="正文_2_0_0_0"/>
    <w:next w:val="8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4正文"/>
    <w:basedOn w:val="1"/>
    <w:qFormat/>
    <w:uiPriority w:val="0"/>
    <w:pPr>
      <w:snapToGrid w:val="0"/>
      <w:spacing w:line="360" w:lineRule="auto"/>
      <w:ind w:firstLine="480" w:firstLineChars="200"/>
    </w:pPr>
    <w:rPr>
      <w:rFonts w:eastAsia="仿宋"/>
      <w:sz w:val="24"/>
    </w:rPr>
  </w:style>
  <w:style w:type="paragraph" w:customStyle="1" w:styleId="88">
    <w:name w:val="首行缩进:  0.85 厘米"/>
    <w:basedOn w:val="1"/>
    <w:qFormat/>
    <w:uiPriority w:val="0"/>
    <w:pPr>
      <w:widowControl/>
      <w:spacing w:after="100" w:line="360" w:lineRule="auto"/>
      <w:ind w:firstLine="482"/>
      <w:jc w:val="left"/>
    </w:pPr>
    <w:rPr>
      <w:kern w:val="0"/>
      <w:sz w:val="24"/>
      <w:lang w:eastAsia="en-US"/>
    </w:rPr>
  </w:style>
  <w:style w:type="paragraph" w:customStyle="1" w:styleId="89">
    <w:name w:val="Table Paragraph"/>
    <w:basedOn w:val="1"/>
    <w:qFormat/>
    <w:uiPriority w:val="1"/>
    <w:rPr>
      <w:sz w:val="24"/>
    </w:rPr>
  </w:style>
  <w:style w:type="paragraph" w:customStyle="1" w:styleId="90">
    <w:name w:val="列出段落1"/>
    <w:basedOn w:val="1"/>
    <w:qFormat/>
    <w:uiPriority w:val="0"/>
    <w:pPr>
      <w:spacing w:line="360" w:lineRule="auto"/>
      <w:ind w:firstLine="420" w:firstLineChars="200"/>
    </w:pPr>
    <w:rPr>
      <w:rFonts w:ascii="等线" w:hAnsi="等线"/>
      <w:szCs w:val="22"/>
    </w:rPr>
  </w:style>
  <w:style w:type="paragraph" w:customStyle="1" w:styleId="91">
    <w:name w:val="样式 正文缩进 + 首行缩进:  2 字符"/>
    <w:basedOn w:val="6"/>
    <w:qFormat/>
    <w:uiPriority w:val="0"/>
    <w:pPr>
      <w:spacing w:line="360" w:lineRule="auto"/>
      <w:ind w:firstLine="200"/>
    </w:pPr>
    <w:rPr>
      <w:rFonts w:cs="宋体"/>
      <w:sz w:val="24"/>
      <w:szCs w:val="20"/>
    </w:rPr>
  </w:style>
  <w:style w:type="paragraph" w:customStyle="1" w:styleId="92">
    <w:name w:val="WPS Plain"/>
    <w:basedOn w:val="1"/>
    <w:qFormat/>
    <w:uiPriority w:val="0"/>
    <w:pPr>
      <w:widowControl/>
      <w:jc w:val="left"/>
    </w:pPr>
    <w:rPr>
      <w:rFonts w:ascii="Times New Roman"/>
      <w:sz w:val="24"/>
    </w:rPr>
  </w:style>
  <w:style w:type="paragraph" w:customStyle="1" w:styleId="93">
    <w:name w:val="普通(网站)1"/>
    <w:basedOn w:val="1"/>
    <w:qFormat/>
    <w:uiPriority w:val="0"/>
    <w:pPr>
      <w:jc w:val="left"/>
    </w:pPr>
    <w:rPr>
      <w:kern w:val="0"/>
      <w:sz w:val="24"/>
    </w:rPr>
  </w:style>
  <w:style w:type="paragraph" w:customStyle="1" w:styleId="94">
    <w:name w:val="Body text|1"/>
    <w:basedOn w:val="1"/>
    <w:qFormat/>
    <w:uiPriority w:val="0"/>
    <w:pPr>
      <w:spacing w:line="290" w:lineRule="auto"/>
      <w:ind w:firstLine="400"/>
    </w:pPr>
    <w:rPr>
      <w:rFonts w:ascii="宋体" w:hAnsi="宋体" w:cs="宋体"/>
      <w:sz w:val="22"/>
      <w:szCs w:val="22"/>
      <w:lang w:val="zh-CN" w:bidi="zh-CN"/>
    </w:rPr>
  </w:style>
  <w:style w:type="paragraph" w:customStyle="1" w:styleId="95">
    <w:name w:val="纯文本1"/>
    <w:basedOn w:val="1"/>
    <w:qFormat/>
    <w:uiPriority w:val="0"/>
    <w:rPr>
      <w:rFonts w:ascii="宋体" w:hAnsi="Courier New"/>
      <w:szCs w:val="22"/>
    </w:rPr>
  </w:style>
  <w:style w:type="paragraph" w:customStyle="1" w:styleId="96">
    <w:name w:val="List Paragraph_5824fe03-824c-4284-be20-0199ea947a55"/>
    <w:basedOn w:val="1"/>
    <w:qFormat/>
    <w:uiPriority w:val="99"/>
    <w:pPr>
      <w:ind w:firstLine="420" w:firstLineChars="200"/>
    </w:pPr>
  </w:style>
  <w:style w:type="paragraph" w:customStyle="1" w:styleId="97">
    <w:name w:val="普通(网站)2"/>
    <w:basedOn w:val="1"/>
    <w:qFormat/>
    <w:uiPriority w:val="0"/>
    <w:pPr>
      <w:jc w:val="left"/>
    </w:pPr>
    <w:rPr>
      <w:rFonts w:ascii="Times New Roman" w:hAnsi="Times New Roman"/>
      <w:kern w:val="0"/>
      <w:sz w:val="24"/>
    </w:rPr>
  </w:style>
  <w:style w:type="paragraph" w:customStyle="1" w:styleId="98">
    <w:name w:val="普通(网站)3"/>
    <w:basedOn w:val="1"/>
    <w:qFormat/>
    <w:uiPriority w:val="0"/>
    <w:pPr>
      <w:jc w:val="left"/>
    </w:pPr>
    <w:rPr>
      <w:kern w:val="0"/>
      <w:sz w:val="24"/>
    </w:rPr>
  </w:style>
  <w:style w:type="paragraph" w:customStyle="1" w:styleId="9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0">
    <w:name w:val="题注5"/>
    <w:basedOn w:val="1"/>
    <w:next w:val="7"/>
    <w:qFormat/>
    <w:uiPriority w:val="0"/>
    <w:pPr>
      <w:numPr>
        <w:ilvl w:val="1"/>
        <w:numId w:val="3"/>
      </w:numPr>
      <w:tabs>
        <w:tab w:val="left" w:pos="0"/>
        <w:tab w:val="left" w:pos="720"/>
      </w:tabs>
      <w:spacing w:line="360" w:lineRule="auto"/>
      <w:ind w:left="720" w:hanging="720"/>
    </w:pPr>
    <w:rPr>
      <w:b/>
      <w:color w:val="000000"/>
      <w:sz w:val="28"/>
      <w:szCs w:val="28"/>
    </w:rPr>
  </w:style>
  <w:style w:type="character" w:customStyle="1" w:styleId="101">
    <w:name w:val="ft7"/>
    <w:basedOn w:val="31"/>
    <w:qFormat/>
    <w:uiPriority w:val="0"/>
  </w:style>
  <w:style w:type="character" w:customStyle="1" w:styleId="102">
    <w:name w:val="ft35"/>
    <w:basedOn w:val="31"/>
    <w:qFormat/>
    <w:uiPriority w:val="0"/>
  </w:style>
  <w:style w:type="paragraph" w:customStyle="1" w:styleId="103">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104">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05">
    <w:name w:val="p0"/>
    <w:basedOn w:val="1"/>
    <w:qFormat/>
    <w:uiPriority w:val="0"/>
    <w:pPr>
      <w:widowControl/>
    </w:pPr>
    <w:rPr>
      <w:rFonts w:ascii="Times New Roman" w:hAnsi="Times New Roman" w:eastAsia="宋体" w:cs="Times New Roman"/>
      <w:kern w:val="0"/>
      <w:szCs w:val="21"/>
    </w:rPr>
  </w:style>
  <w:style w:type="paragraph" w:customStyle="1" w:styleId="106">
    <w:name w:val="样式2"/>
    <w:basedOn w:val="1"/>
    <w:qFormat/>
    <w:uiPriority w:val="0"/>
    <w:pPr>
      <w:spacing w:before="120" w:after="120"/>
    </w:pPr>
  </w:style>
  <w:style w:type="paragraph" w:customStyle="1" w:styleId="107">
    <w:name w:val="样式 微软雅黑 小四 行距: 固定值 22 磅 首行缩进:  2 字符"/>
    <w:basedOn w:val="1"/>
    <w:qFormat/>
    <w:uiPriority w:val="0"/>
    <w:pPr>
      <w:spacing w:line="440" w:lineRule="exact"/>
      <w:jc w:val="both"/>
    </w:pPr>
    <w:rPr>
      <w:rFonts w:eastAsia="微软雅黑"/>
      <w:sz w:val="24"/>
      <w:szCs w:val="20"/>
    </w:rPr>
  </w:style>
  <w:style w:type="paragraph" w:customStyle="1" w:styleId="108">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Normal (Web)_89412de9-eabe-45fd-80f8-9d59422cc8be"/>
    <w:basedOn w:val="1"/>
    <w:qFormat/>
    <w:uiPriority w:val="0"/>
    <w:pPr>
      <w:spacing w:before="0" w:beforeAutospacing="0" w:after="0" w:afterAutospacing="0"/>
      <w:ind w:left="0" w:right="0"/>
      <w:jc w:val="left"/>
    </w:pPr>
    <w:rPr>
      <w:kern w:val="0"/>
      <w:sz w:val="24"/>
      <w:lang w:val="en-US" w:eastAsia="zh-CN"/>
    </w:rPr>
  </w:style>
  <w:style w:type="table" w:customStyle="1" w:styleId="110">
    <w:name w:val="Table Normal"/>
    <w:qFormat/>
    <w:uiPriority w:val="0"/>
    <w:tblPr>
      <w:tblStyle w:val="29"/>
      <w:tblCellMar>
        <w:top w:w="0" w:type="dxa"/>
        <w:left w:w="0" w:type="dxa"/>
        <w:bottom w:w="0" w:type="dxa"/>
        <w:right w:w="0" w:type="dxa"/>
      </w:tblCellMar>
    </w:tblPr>
  </w:style>
  <w:style w:type="paragraph" w:customStyle="1" w:styleId="111">
    <w:name w:val="Table Text"/>
    <w:basedOn w:val="1"/>
    <w:qFormat/>
    <w:uiPriority w:val="0"/>
    <w:rPr>
      <w:rFonts w:ascii="Arial" w:hAnsi="Arial" w:eastAsia="Arial" w:cs="Arial"/>
      <w:sz w:val="24"/>
      <w:szCs w:val="24"/>
      <w:lang w:val="en-US" w:eastAsia="en-US" w:bidi="ar-SA"/>
    </w:rPr>
  </w:style>
  <w:style w:type="paragraph" w:customStyle="1" w:styleId="112">
    <w:name w:val="表格"/>
    <w:basedOn w:val="1"/>
    <w:qFormat/>
    <w:uiPriority w:val="0"/>
    <w:pPr>
      <w:spacing w:line="400" w:lineRule="exact"/>
    </w:pPr>
    <w:rPr>
      <w:rFonts w:ascii="Times New Roman" w:hAnsi="Times New Roman" w:eastAsia="宋体" w:cs="Times New Roman"/>
      <w:sz w:val="24"/>
    </w:rPr>
  </w:style>
  <w:style w:type="character" w:customStyle="1" w:styleId="113">
    <w:name w:val="font31"/>
    <w:basedOn w:val="31"/>
    <w:qFormat/>
    <w:uiPriority w:val="0"/>
    <w:rPr>
      <w:rFonts w:hint="eastAsia" w:ascii="宋体" w:hAnsi="宋体" w:eastAsia="宋体" w:cs="宋体"/>
      <w:color w:val="000000"/>
      <w:sz w:val="24"/>
      <w:szCs w:val="24"/>
      <w:u w:val="none"/>
    </w:rPr>
  </w:style>
  <w:style w:type="character" w:customStyle="1" w:styleId="114">
    <w:name w:val="font41"/>
    <w:basedOn w:val="31"/>
    <w:qFormat/>
    <w:uiPriority w:val="0"/>
    <w:rPr>
      <w:rFonts w:hint="eastAsia" w:ascii="宋体" w:hAnsi="宋体" w:eastAsia="宋体" w:cs="宋体"/>
      <w:color w:val="000000"/>
      <w:sz w:val="24"/>
      <w:szCs w:val="24"/>
      <w:u w:val="none"/>
    </w:rPr>
  </w:style>
  <w:style w:type="character" w:customStyle="1" w:styleId="115">
    <w:name w:val="font61"/>
    <w:basedOn w:val="31"/>
    <w:qFormat/>
    <w:uiPriority w:val="0"/>
    <w:rPr>
      <w:rFonts w:hint="eastAsia" w:ascii="宋体" w:hAnsi="宋体" w:eastAsia="宋体" w:cs="宋体"/>
      <w:color w:val="000000"/>
      <w:sz w:val="24"/>
      <w:szCs w:val="24"/>
      <w:u w:val="none"/>
    </w:rPr>
  </w:style>
  <w:style w:type="paragraph" w:customStyle="1" w:styleId="116">
    <w:name w:val="Other|1"/>
    <w:basedOn w:val="1"/>
    <w:qFormat/>
    <w:uiPriority w:val="0"/>
    <w:pPr>
      <w:jc w:val="center"/>
    </w:pPr>
    <w:rPr>
      <w:rFonts w:ascii="宋体" w:hAnsi="宋体" w:eastAsia="宋体" w:cs="宋体"/>
      <w:sz w:val="16"/>
      <w:szCs w:val="16"/>
      <w:lang w:val="zh-TW" w:eastAsia="zh-TW" w:bidi="zh-TW"/>
    </w:rPr>
  </w:style>
  <w:style w:type="paragraph" w:customStyle="1" w:styleId="117">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18">
    <w:name w:val="ui-provider"/>
    <w:basedOn w:val="31"/>
    <w:qFormat/>
    <w:uiPriority w:val="0"/>
  </w:style>
  <w:style w:type="character" w:customStyle="1" w:styleId="119">
    <w:name w:val="font11"/>
    <w:basedOn w:val="31"/>
    <w:qFormat/>
    <w:uiPriority w:val="0"/>
    <w:rPr>
      <w:rFonts w:hint="eastAsia" w:ascii="宋体" w:hAnsi="宋体" w:eastAsia="宋体" w:cs="宋体"/>
      <w:color w:val="FF0000"/>
      <w:sz w:val="24"/>
      <w:szCs w:val="24"/>
      <w:u w:val="none"/>
    </w:rPr>
  </w:style>
  <w:style w:type="paragraph" w:customStyle="1" w:styleId="120">
    <w:name w:val="_Style 1"/>
    <w:basedOn w:val="1"/>
    <w:qFormat/>
    <w:uiPriority w:val="34"/>
    <w:pPr>
      <w:ind w:firstLine="420" w:firstLineChars="200"/>
    </w:pPr>
  </w:style>
  <w:style w:type="character" w:customStyle="1" w:styleId="121">
    <w:name w:val="Font Style12"/>
    <w:qFormat/>
    <w:uiPriority w:val="0"/>
    <w:rPr>
      <w:rFonts w:ascii="宋体" w:eastAsia="宋体" w:cs="宋体"/>
      <w:b/>
      <w:bCs/>
      <w:spacing w:val="-10"/>
      <w:sz w:val="22"/>
      <w:szCs w:val="22"/>
    </w:rPr>
  </w:style>
  <w:style w:type="character" w:customStyle="1" w:styleId="122">
    <w:name w:val="Font Style21"/>
    <w:basedOn w:val="31"/>
    <w:qFormat/>
    <w:uiPriority w:val="0"/>
    <w:rPr>
      <w:rFonts w:ascii="宋体" w:eastAsia="宋体" w:cs="宋体"/>
      <w:sz w:val="22"/>
      <w:szCs w:val="22"/>
    </w:rPr>
  </w:style>
  <w:style w:type="character" w:customStyle="1" w:styleId="123">
    <w:name w:val="Font Style14"/>
    <w:basedOn w:val="31"/>
    <w:qFormat/>
    <w:uiPriority w:val="0"/>
    <w:rPr>
      <w:rFonts w:ascii="宋体" w:eastAsia="宋体" w:cs="宋体"/>
    </w:rPr>
  </w:style>
  <w:style w:type="character" w:customStyle="1" w:styleId="124">
    <w:name w:val="Font Style15"/>
    <w:basedOn w:val="31"/>
    <w:qFormat/>
    <w:uiPriority w:val="0"/>
    <w:rPr>
      <w:rFonts w:ascii="黑体" w:hAnsi="黑体" w:eastAsia="黑体" w:cs="黑体"/>
      <w:b/>
      <w:bCs/>
      <w:sz w:val="16"/>
      <w:szCs w:val="16"/>
    </w:rPr>
  </w:style>
  <w:style w:type="character" w:customStyle="1" w:styleId="125">
    <w:name w:val="Font Style11"/>
    <w:basedOn w:val="31"/>
    <w:qFormat/>
    <w:uiPriority w:val="0"/>
    <w:rPr>
      <w:rFonts w:ascii="宋体" w:eastAsia="宋体" w:cs="宋体"/>
      <w:b/>
      <w:bCs/>
      <w:spacing w:val="-10"/>
      <w:sz w:val="22"/>
      <w:szCs w:val="22"/>
    </w:rPr>
  </w:style>
  <w:style w:type="character" w:customStyle="1" w:styleId="126">
    <w:name w:val="font21"/>
    <w:basedOn w:val="31"/>
    <w:qFormat/>
    <w:uiPriority w:val="0"/>
    <w:rPr>
      <w:rFonts w:hint="eastAsia" w:ascii="宋体" w:hAnsi="宋体" w:eastAsia="宋体" w:cs="宋体"/>
      <w:color w:val="000000"/>
      <w:sz w:val="21"/>
      <w:szCs w:val="21"/>
      <w:u w:val="none"/>
    </w:rPr>
  </w:style>
  <w:style w:type="character" w:customStyle="1" w:styleId="127">
    <w:name w:val="15"/>
    <w:basedOn w:val="31"/>
    <w:qFormat/>
    <w:uiPriority w:val="0"/>
    <w:rPr>
      <w:rFonts w:hint="default" w:ascii="Times New Roman" w:hAnsi="Times New Roman" w:cs="Times New Roman"/>
    </w:rPr>
  </w:style>
  <w:style w:type="paragraph" w:customStyle="1" w:styleId="128">
    <w:name w:val="答复表头"/>
    <w:basedOn w:val="129"/>
    <w:next w:val="1"/>
    <w:qFormat/>
    <w:uiPriority w:val="0"/>
    <w:pPr>
      <w:tabs>
        <w:tab w:val="left" w:pos="480"/>
      </w:tabs>
    </w:pPr>
    <w:rPr>
      <w:b/>
    </w:rPr>
  </w:style>
  <w:style w:type="paragraph" w:customStyle="1" w:styleId="129">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paragraph" w:customStyle="1" w:styleId="130">
    <w:name w:val="BodyText1I"/>
    <w:basedOn w:val="131"/>
    <w:qFormat/>
    <w:uiPriority w:val="0"/>
    <w:pPr>
      <w:widowControl/>
      <w:spacing w:before="156" w:line="360" w:lineRule="auto"/>
      <w:ind w:firstLine="200" w:firstLineChars="200"/>
      <w:textAlignment w:val="baseline"/>
    </w:pPr>
    <w:rPr>
      <w:rFonts w:ascii="仿宋_GB2312" w:hAnsi="Times New Roman" w:eastAsia="仿宋_GB2312"/>
      <w:kern w:val="2"/>
      <w:sz w:val="30"/>
      <w:szCs w:val="30"/>
      <w:lang w:val="en-US" w:eastAsia="zh-CN" w:bidi="ar-SA"/>
    </w:rPr>
  </w:style>
  <w:style w:type="paragraph" w:customStyle="1" w:styleId="131">
    <w:name w:val="BodyText"/>
    <w:basedOn w:val="1"/>
    <w:next w:val="132"/>
    <w:qFormat/>
    <w:uiPriority w:val="0"/>
    <w:pPr>
      <w:widowControl/>
      <w:spacing w:before="156"/>
      <w:ind w:firstLine="200" w:firstLineChars="200"/>
      <w:textAlignment w:val="baseline"/>
    </w:pPr>
    <w:rPr>
      <w:rFonts w:ascii="楷体_GB2312" w:hAnsi="Arial" w:eastAsia="楷体_GB2312"/>
      <w:kern w:val="2"/>
      <w:sz w:val="28"/>
      <w:szCs w:val="28"/>
      <w:lang w:val="en-US" w:eastAsia="zh-CN" w:bidi="ar-SA"/>
    </w:rPr>
  </w:style>
  <w:style w:type="paragraph" w:customStyle="1" w:styleId="132">
    <w:name w:val="180"/>
    <w:basedOn w:val="1"/>
    <w:next w:val="1"/>
    <w:qFormat/>
    <w:uiPriority w:val="0"/>
    <w:pPr>
      <w:spacing w:after="160" w:line="259" w:lineRule="auto"/>
      <w:jc w:val="both"/>
      <w:textAlignment w:val="baseline"/>
    </w:pPr>
    <w:rPr>
      <w:rFonts w:ascii="Calibri" w:hAnsi="Calibri" w:eastAsia="宋体"/>
      <w:i/>
      <w:iCs/>
      <w:color w:val="000000"/>
      <w:kern w:val="2"/>
      <w:sz w:val="21"/>
      <w:szCs w:val="24"/>
      <w:lang w:val="en-US" w:eastAsia="zh-CN" w:bidi="ar-SA"/>
    </w:rPr>
  </w:style>
  <w:style w:type="character" w:customStyle="1" w:styleId="133">
    <w:name w:val="font51"/>
    <w:basedOn w:val="31"/>
    <w:qFormat/>
    <w:uiPriority w:val="0"/>
    <w:rPr>
      <w:rFonts w:hint="eastAsia" w:ascii="宋体" w:hAnsi="宋体" w:eastAsia="宋体" w:cs="宋体"/>
      <w:color w:val="FF0000"/>
      <w:sz w:val="22"/>
      <w:szCs w:val="22"/>
      <w:u w:val="none"/>
    </w:rPr>
  </w:style>
  <w:style w:type="character" w:customStyle="1" w:styleId="134">
    <w:name w:val="font01"/>
    <w:basedOn w:val="3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6848</Words>
  <Characters>7446</Characters>
  <Paragraphs>1891</Paragraphs>
  <TotalTime>24</TotalTime>
  <ScaleCrop>false</ScaleCrop>
  <LinksUpToDate>false</LinksUpToDate>
  <CharactersWithSpaces>7551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2023-02-26T09:34:00Z</dcterms:created>
  <dc:creator>lenovo</dc:creator>
  <cp:lastModifiedBy>SPF-ei</cp:lastModifiedBy>
  <cp:lastPrinted>2024-06-14T03:57:00Z</cp:lastPrinted>
  <dcterms:modified xsi:type="dcterms:W3CDTF">2025-01-03T09:29:34Z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27A2D8F70F174CEF95F1FD40A0FF04AF_13</vt:lpwstr>
  </property>
  <property fmtid="{D5CDD505-2E9C-101B-9397-08002B2CF9AE}" pid="4" name="KSOTemplateDocerSaveRecord">
    <vt:lpwstr>eyJoZGlkIjoiMzUzNWI2MTRlZTI5MjhkOTc3ZDllYmM0ODlmYTUyN2YiLCJ1c2VySWQiOiI1Mzc2NTA0MTIifQ==</vt:lpwstr>
  </property>
</Properties>
</file>