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14AD4">
      <w:pPr>
        <w:spacing w:line="360" w:lineRule="auto"/>
        <w:jc w:val="center"/>
        <w:rPr>
          <w:rFonts w:hAnsi="宋体"/>
          <w:b/>
          <w:color w:val="000000"/>
          <w:kern w:val="0"/>
          <w:sz w:val="24"/>
          <w:szCs w:val="21"/>
        </w:rPr>
      </w:pPr>
    </w:p>
    <w:p w14:paraId="68F5CF6C">
      <w:pPr>
        <w:rPr>
          <w:rFonts w:hint="eastAsia" w:ascii="宋体" w:hAnsi="宋体" w:cs="宋体"/>
          <w:b/>
          <w:kern w:val="0"/>
          <w:sz w:val="28"/>
          <w:szCs w:val="28"/>
        </w:rPr>
      </w:pPr>
    </w:p>
    <w:p w14:paraId="42B79CDD">
      <w:pPr>
        <w:rPr>
          <w:rFonts w:hint="eastAsia" w:ascii="宋体" w:hAnsi="宋体" w:eastAsia="宋体" w:cs="宋体"/>
          <w:b/>
          <w:kern w:val="0"/>
          <w:sz w:val="28"/>
          <w:szCs w:val="28"/>
          <w:lang w:eastAsia="zh-CN"/>
        </w:rPr>
      </w:pPr>
      <w:r>
        <w:rPr>
          <w:rFonts w:hint="eastAsia" w:ascii="宋体" w:hAnsi="宋体" w:cs="宋体"/>
          <w:b/>
          <w:kern w:val="0"/>
          <w:sz w:val="28"/>
          <w:szCs w:val="28"/>
        </w:rPr>
        <w:t>项目编号：</w:t>
      </w:r>
      <w:r>
        <w:rPr>
          <w:rFonts w:hint="eastAsia" w:ascii="宋体" w:hAnsi="宋体" w:cs="宋体"/>
          <w:b/>
          <w:kern w:val="0"/>
          <w:sz w:val="28"/>
          <w:szCs w:val="28"/>
          <w:lang w:eastAsia="zh-CN"/>
        </w:rPr>
        <w:t>ZFCGHY-202400122</w:t>
      </w:r>
    </w:p>
    <w:p w14:paraId="0B62BD15">
      <w:pPr>
        <w:autoSpaceDE w:val="0"/>
        <w:autoSpaceDN w:val="0"/>
        <w:adjustRightInd w:val="0"/>
        <w:spacing w:line="360" w:lineRule="auto"/>
        <w:jc w:val="center"/>
        <w:rPr>
          <w:rFonts w:ascii="宋体" w:hAnsi="宋体" w:cs="宋体"/>
          <w:b/>
          <w:bCs/>
          <w:kern w:val="0"/>
          <w:sz w:val="32"/>
          <w:szCs w:val="32"/>
        </w:rPr>
      </w:pPr>
    </w:p>
    <w:p w14:paraId="65E48372">
      <w:pPr>
        <w:autoSpaceDE w:val="0"/>
        <w:autoSpaceDN w:val="0"/>
        <w:adjustRightInd w:val="0"/>
        <w:spacing w:line="360" w:lineRule="auto"/>
        <w:jc w:val="center"/>
        <w:rPr>
          <w:rFonts w:hint="eastAsia" w:ascii="宋体" w:hAnsi="宋体" w:eastAsia="宋体" w:cs="宋体"/>
          <w:b/>
          <w:bCs/>
          <w:kern w:val="0"/>
          <w:sz w:val="44"/>
          <w:szCs w:val="44"/>
          <w:highlight w:val="none"/>
          <w:lang w:eastAsia="zh-CN"/>
        </w:rPr>
      </w:pPr>
      <w:r>
        <w:rPr>
          <w:rFonts w:hint="eastAsia" w:ascii="宋体" w:hAnsi="宋体" w:cs="宋体"/>
          <w:b/>
          <w:bCs/>
          <w:kern w:val="0"/>
          <w:sz w:val="44"/>
          <w:szCs w:val="44"/>
          <w:highlight w:val="none"/>
          <w:lang w:eastAsia="zh-CN"/>
        </w:rPr>
        <w:t>自治区第二济困医院（自治区中西医结合医院、自治区第五人民医院）电子病历应用水平四级建设项目</w:t>
      </w:r>
    </w:p>
    <w:p w14:paraId="2125012A">
      <w:pPr>
        <w:pStyle w:val="52"/>
      </w:pPr>
    </w:p>
    <w:p w14:paraId="116DE110">
      <w:pPr>
        <w:autoSpaceDE w:val="0"/>
        <w:autoSpaceDN w:val="0"/>
        <w:adjustRightInd w:val="0"/>
        <w:spacing w:line="360" w:lineRule="auto"/>
        <w:jc w:val="center"/>
        <w:rPr>
          <w:rFonts w:ascii="宋体" w:hAnsi="宋体" w:cs="宋体"/>
          <w:b/>
          <w:bCs/>
          <w:kern w:val="0"/>
          <w:sz w:val="52"/>
          <w:szCs w:val="48"/>
        </w:rPr>
      </w:pPr>
      <w:r>
        <w:rPr>
          <w:rFonts w:hint="eastAsia" w:ascii="宋体" w:hAnsi="宋体" w:cs="宋体"/>
          <w:b/>
          <w:bCs/>
          <w:kern w:val="0"/>
          <w:sz w:val="52"/>
          <w:szCs w:val="48"/>
          <w:lang w:eastAsia="zh-CN"/>
        </w:rPr>
        <w:t>公开招标</w:t>
      </w:r>
      <w:r>
        <w:rPr>
          <w:rFonts w:hint="eastAsia" w:ascii="宋体" w:hAnsi="宋体" w:cs="宋体"/>
          <w:b/>
          <w:bCs/>
          <w:kern w:val="0"/>
          <w:sz w:val="52"/>
          <w:szCs w:val="48"/>
        </w:rPr>
        <w:t>文件</w:t>
      </w:r>
    </w:p>
    <w:p w14:paraId="6AE39898"/>
    <w:p w14:paraId="57E7F216">
      <w:pPr>
        <w:pStyle w:val="5"/>
        <w:ind w:left="720" w:hanging="720"/>
        <w:jc w:val="center"/>
        <w:rPr>
          <w:sz w:val="30"/>
          <w:szCs w:val="30"/>
        </w:rPr>
      </w:pPr>
      <w:r>
        <w:fldChar w:fldCharType="begin"/>
      </w:r>
      <w:r>
        <w:instrText xml:space="preserve"> INCLUDEPICTURE "D:\\新建文件夹\\WeChat Files\\wxid_6rym0jncas0j21\\FileStorage\\Documents\\WeChat Files\\wxid_ga5f4sv5mq8e22\\FileStorage\\Documents%2520and%2520Settings\\Administrator\\My%2520Documents\\Tencent%2520Files\\348424112\\Image\\C2C\\%255b35@IDDQEUL@STM3E(G$%257bUT.jpg" \* MERGEFORMAT </w:instrText>
      </w:r>
      <w:r>
        <w:fldChar w:fldCharType="separate"/>
      </w:r>
      <w:r>
        <w:rPr>
          <w:b/>
        </w:rPr>
        <w:drawing>
          <wp:inline distT="0" distB="0" distL="114300" distR="114300">
            <wp:extent cx="1530985" cy="2065020"/>
            <wp:effectExtent l="0" t="0" r="5715"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1530985" cy="2065020"/>
                    </a:xfrm>
                    <a:prstGeom prst="rect">
                      <a:avLst/>
                    </a:prstGeom>
                    <a:noFill/>
                    <a:ln>
                      <a:noFill/>
                    </a:ln>
                  </pic:spPr>
                </pic:pic>
              </a:graphicData>
            </a:graphic>
          </wp:inline>
        </w:drawing>
      </w:r>
      <w:r>
        <w:fldChar w:fldCharType="end"/>
      </w:r>
    </w:p>
    <w:p w14:paraId="33EAC78E">
      <w:pPr>
        <w:widowControl/>
        <w:spacing w:line="700" w:lineRule="exact"/>
        <w:ind w:firstLine="410" w:firstLineChars="146"/>
        <w:jc w:val="left"/>
        <w:rPr>
          <w:rFonts w:ascii="宋体" w:hAnsi="宋体" w:cs="宋体"/>
          <w:b/>
          <w:sz w:val="28"/>
          <w:szCs w:val="28"/>
        </w:rPr>
      </w:pPr>
    </w:p>
    <w:p w14:paraId="1268EB81">
      <w:pPr>
        <w:spacing w:line="520" w:lineRule="exact"/>
        <w:ind w:left="2593" w:leftChars="532" w:hanging="1476" w:hangingChars="525"/>
        <w:rPr>
          <w:rFonts w:hint="eastAsia" w:ascii="宋体" w:hAnsi="宋体" w:eastAsia="宋体" w:cs="宋体"/>
          <w:b/>
          <w:kern w:val="0"/>
          <w:sz w:val="28"/>
          <w:szCs w:val="28"/>
          <w:lang w:eastAsia="zh-CN"/>
        </w:rPr>
      </w:pPr>
      <w:r>
        <w:rPr>
          <w:rFonts w:hint="eastAsia" w:ascii="宋体" w:hAnsi="宋体" w:cs="宋体"/>
          <w:b/>
          <w:sz w:val="28"/>
          <w:szCs w:val="28"/>
        </w:rPr>
        <w:t>采 购 人：</w:t>
      </w:r>
      <w:r>
        <w:rPr>
          <w:rFonts w:hint="eastAsia" w:ascii="宋体" w:hAnsi="宋体" w:cs="宋体"/>
          <w:b/>
          <w:kern w:val="0"/>
          <w:sz w:val="28"/>
          <w:szCs w:val="28"/>
          <w:lang w:eastAsia="zh-CN"/>
        </w:rPr>
        <w:t>新疆维吾尔自治区第二济困医院（新疆维吾尔自治 区中西医结合医院、新疆维吾尔自治区第五人民医院）</w:t>
      </w:r>
    </w:p>
    <w:p w14:paraId="21D3BA8E">
      <w:pPr>
        <w:spacing w:line="520" w:lineRule="exact"/>
        <w:ind w:firstLine="1063" w:firstLineChars="378"/>
        <w:rPr>
          <w:rFonts w:ascii="宋体" w:hAnsi="宋体" w:cs="宋体"/>
          <w:b/>
          <w:sz w:val="28"/>
          <w:szCs w:val="28"/>
        </w:rPr>
      </w:pPr>
      <w:r>
        <w:rPr>
          <w:rFonts w:hint="eastAsia" w:ascii="宋体" w:hAnsi="宋体" w:cs="宋体"/>
          <w:b/>
          <w:sz w:val="28"/>
          <w:szCs w:val="28"/>
        </w:rPr>
        <w:t>代理机构：新疆华域建设工程项目管理咨询有限公司</w:t>
      </w:r>
    </w:p>
    <w:p w14:paraId="70D06B89">
      <w:pPr>
        <w:spacing w:line="520" w:lineRule="exact"/>
        <w:ind w:firstLine="1063" w:firstLineChars="378"/>
        <w:rPr>
          <w:rFonts w:hint="default" w:ascii="宋体" w:hAnsi="宋体" w:eastAsia="宋体" w:cs="宋体"/>
          <w:b/>
          <w:bCs/>
          <w:sz w:val="28"/>
          <w:szCs w:val="28"/>
          <w:lang w:val="en-US" w:eastAsia="zh-CN"/>
        </w:rPr>
      </w:pPr>
      <w:r>
        <w:rPr>
          <w:rFonts w:hint="eastAsia" w:ascii="宋体" w:hAnsi="宋体" w:cs="宋体"/>
          <w:b/>
          <w:sz w:val="28"/>
          <w:szCs w:val="28"/>
        </w:rPr>
        <w:t>联 系 人：王鹤宇</w:t>
      </w:r>
      <w:r>
        <w:rPr>
          <w:rFonts w:hint="eastAsia" w:ascii="宋体" w:hAnsi="宋体" w:cs="宋体"/>
          <w:b/>
          <w:sz w:val="28"/>
          <w:szCs w:val="28"/>
          <w:lang w:eastAsia="zh-CN"/>
        </w:rPr>
        <w:t>、</w:t>
      </w:r>
      <w:r>
        <w:rPr>
          <w:rFonts w:hint="eastAsia" w:ascii="宋体" w:hAnsi="宋体" w:cs="宋体"/>
          <w:b/>
          <w:sz w:val="28"/>
          <w:szCs w:val="28"/>
          <w:lang w:val="en-US" w:eastAsia="zh-CN"/>
        </w:rPr>
        <w:t>李娟娟</w:t>
      </w:r>
    </w:p>
    <w:p w14:paraId="3BBA905C">
      <w:pPr>
        <w:spacing w:line="520" w:lineRule="exact"/>
        <w:ind w:firstLine="1063" w:firstLineChars="378"/>
        <w:rPr>
          <w:rFonts w:hint="default" w:ascii="宋体" w:hAnsi="宋体" w:eastAsia="宋体" w:cs="宋体"/>
          <w:b/>
          <w:sz w:val="28"/>
          <w:szCs w:val="28"/>
          <w:lang w:val="en-US" w:eastAsia="zh-CN"/>
        </w:rPr>
      </w:pPr>
      <w:r>
        <w:rPr>
          <w:rFonts w:hint="eastAsia" w:ascii="宋体" w:hAnsi="宋体" w:cs="宋体"/>
          <w:b/>
          <w:sz w:val="28"/>
          <w:szCs w:val="28"/>
        </w:rPr>
        <w:t>电    话：</w:t>
      </w:r>
      <w:r>
        <w:rPr>
          <w:rFonts w:hint="eastAsia" w:ascii="宋体" w:hAnsi="宋体" w:cs="宋体"/>
          <w:b/>
          <w:sz w:val="28"/>
          <w:szCs w:val="28"/>
          <w:lang w:val="en-US" w:eastAsia="zh-CN"/>
        </w:rPr>
        <w:t>0991-4630336</w:t>
      </w:r>
    </w:p>
    <w:p w14:paraId="219435CB">
      <w:pPr>
        <w:autoSpaceDE w:val="0"/>
        <w:autoSpaceDN w:val="0"/>
        <w:adjustRightInd w:val="0"/>
        <w:spacing w:line="520" w:lineRule="exact"/>
        <w:ind w:firstLine="1063" w:firstLineChars="378"/>
        <w:rPr>
          <w:rFonts w:ascii="宋体" w:hAnsi="宋体"/>
          <w:b/>
          <w:sz w:val="28"/>
          <w:szCs w:val="28"/>
        </w:rPr>
      </w:pPr>
      <w:r>
        <w:rPr>
          <w:rFonts w:hint="eastAsia" w:ascii="宋体" w:hAnsi="宋体" w:cs="宋体"/>
          <w:b/>
          <w:sz w:val="28"/>
          <w:szCs w:val="28"/>
        </w:rPr>
        <w:t xml:space="preserve">联系地址：乌鲁木齐市五星北路194号新地园大厦13楼 </w:t>
      </w:r>
    </w:p>
    <w:p w14:paraId="272B9268">
      <w:pPr>
        <w:spacing w:line="400" w:lineRule="exact"/>
        <w:jc w:val="center"/>
        <w:rPr>
          <w:rFonts w:ascii="仿宋" w:hAnsi="仿宋" w:eastAsia="仿宋" w:cs="仿宋"/>
          <w:b/>
          <w:color w:val="000000" w:themeColor="text1"/>
          <w:sz w:val="32"/>
          <w:szCs w:val="32"/>
          <w14:textFill>
            <w14:solidFill>
              <w14:schemeClr w14:val="tx1"/>
            </w14:solidFill>
          </w14:textFill>
        </w:rPr>
        <w:sectPr>
          <w:headerReference r:id="rId4" w:type="first"/>
          <w:headerReference r:id="rId3" w:type="default"/>
          <w:footerReference r:id="rId5" w:type="even"/>
          <w:pgSz w:w="11907" w:h="16840"/>
          <w:pgMar w:top="1077" w:right="1417" w:bottom="1417" w:left="1417" w:header="680" w:footer="799" w:gutter="0"/>
          <w:pgBorders>
            <w:top w:val="none" w:sz="0" w:space="0"/>
            <w:left w:val="none" w:sz="0" w:space="0"/>
            <w:bottom w:val="none" w:sz="0" w:space="0"/>
            <w:right w:val="none" w:sz="0" w:space="0"/>
          </w:pgBorders>
          <w:pgNumType w:start="1"/>
          <w:cols w:space="720" w:num="1"/>
          <w:titlePg/>
          <w:docGrid w:type="lines" w:linePitch="409" w:charSpace="0"/>
        </w:sectPr>
      </w:pPr>
    </w:p>
    <w:p w14:paraId="28B0DF60">
      <w:pPr>
        <w:spacing w:line="400" w:lineRule="exact"/>
        <w:jc w:val="center"/>
        <w:rPr>
          <w:rFonts w:hint="eastAsia" w:ascii="仿宋" w:hAnsi="仿宋" w:eastAsia="仿宋" w:cs="仿宋"/>
          <w:b/>
          <w:color w:val="000000" w:themeColor="text1"/>
          <w:sz w:val="32"/>
          <w:szCs w:val="32"/>
          <w14:textFill>
            <w14:solidFill>
              <w14:schemeClr w14:val="tx1"/>
            </w14:solidFill>
          </w14:textFill>
        </w:rPr>
      </w:pPr>
    </w:p>
    <w:p w14:paraId="25523EF1">
      <w:pPr>
        <w:spacing w:line="400" w:lineRule="exact"/>
        <w:jc w:val="center"/>
        <w:rPr>
          <w:rFonts w:hint="eastAsia" w:ascii="仿宋" w:hAnsi="仿宋" w:eastAsia="仿宋" w:cs="仿宋"/>
          <w:b/>
          <w:color w:val="000000" w:themeColor="text1"/>
          <w:sz w:val="32"/>
          <w:szCs w:val="32"/>
          <w14:textFill>
            <w14:solidFill>
              <w14:schemeClr w14:val="tx1"/>
            </w14:solidFill>
          </w14:textFill>
        </w:rPr>
      </w:pPr>
    </w:p>
    <w:p w14:paraId="1D38E294">
      <w:pPr>
        <w:spacing w:line="400" w:lineRule="exact"/>
        <w:jc w:val="center"/>
        <w:rPr>
          <w:rFonts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目  录</w:t>
      </w:r>
    </w:p>
    <w:p w14:paraId="1E2F9A5D">
      <w:pPr>
        <w:pStyle w:val="30"/>
        <w:tabs>
          <w:tab w:val="right" w:leader="dot" w:pos="9073"/>
        </w:tabs>
        <w:rPr>
          <w:sz w:val="28"/>
          <w:szCs w:val="24"/>
        </w:rPr>
      </w:pPr>
      <w:r>
        <w:rPr>
          <w:rFonts w:hint="eastAsia" w:ascii="仿宋" w:hAnsi="仿宋" w:eastAsia="仿宋" w:cs="仿宋"/>
          <w:b/>
          <w:color w:val="000000" w:themeColor="text1"/>
          <w:sz w:val="36"/>
          <w:szCs w:val="36"/>
          <w14:textFill>
            <w14:solidFill>
              <w14:schemeClr w14:val="tx1"/>
            </w14:solidFill>
          </w14:textFill>
        </w:rPr>
        <w:fldChar w:fldCharType="begin"/>
      </w:r>
      <w:r>
        <w:rPr>
          <w:rFonts w:hint="eastAsia" w:ascii="仿宋" w:hAnsi="仿宋" w:eastAsia="仿宋" w:cs="仿宋"/>
          <w:b/>
          <w:color w:val="000000" w:themeColor="text1"/>
          <w:sz w:val="36"/>
          <w:szCs w:val="36"/>
          <w14:textFill>
            <w14:solidFill>
              <w14:schemeClr w14:val="tx1"/>
            </w14:solidFill>
          </w14:textFill>
        </w:rPr>
        <w:instrText xml:space="preserve"> TOC \o "1-2" \h \z \u </w:instrText>
      </w:r>
      <w:r>
        <w:rPr>
          <w:rFonts w:hint="eastAsia" w:ascii="仿宋" w:hAnsi="仿宋" w:eastAsia="仿宋" w:cs="仿宋"/>
          <w:b/>
          <w:color w:val="000000" w:themeColor="text1"/>
          <w:sz w:val="36"/>
          <w:szCs w:val="36"/>
          <w14:textFill>
            <w14:solidFill>
              <w14:schemeClr w14:val="tx1"/>
            </w14:solidFill>
          </w14:textFill>
        </w:rPr>
        <w:fldChar w:fldCharType="separate"/>
      </w:r>
      <w:r>
        <w:rPr>
          <w:sz w:val="28"/>
          <w:szCs w:val="24"/>
        </w:rPr>
        <w:fldChar w:fldCharType="begin"/>
      </w:r>
      <w:r>
        <w:rPr>
          <w:sz w:val="28"/>
          <w:szCs w:val="24"/>
        </w:rPr>
        <w:instrText xml:space="preserve"> HYPERLINK \l "_Toc6281" </w:instrText>
      </w:r>
      <w:r>
        <w:rPr>
          <w:sz w:val="28"/>
          <w:szCs w:val="24"/>
        </w:rPr>
        <w:fldChar w:fldCharType="separate"/>
      </w:r>
      <w:r>
        <w:rPr>
          <w:rFonts w:hint="eastAsia" w:ascii="仿宋" w:hAnsi="仿宋" w:eastAsia="仿宋" w:cs="仿宋"/>
          <w:sz w:val="28"/>
          <w:szCs w:val="36"/>
        </w:rPr>
        <w:t>第一章  招标公告</w:t>
      </w:r>
      <w:r>
        <w:rPr>
          <w:sz w:val="28"/>
          <w:szCs w:val="24"/>
        </w:rPr>
        <w:tab/>
      </w:r>
      <w:r>
        <w:rPr>
          <w:sz w:val="28"/>
          <w:szCs w:val="24"/>
        </w:rPr>
        <w:fldChar w:fldCharType="begin"/>
      </w:r>
      <w:r>
        <w:rPr>
          <w:sz w:val="28"/>
          <w:szCs w:val="24"/>
        </w:rPr>
        <w:instrText xml:space="preserve"> PAGEREF _Toc6281 </w:instrText>
      </w:r>
      <w:r>
        <w:rPr>
          <w:sz w:val="28"/>
          <w:szCs w:val="24"/>
        </w:rPr>
        <w:fldChar w:fldCharType="separate"/>
      </w:r>
      <w:r>
        <w:rPr>
          <w:sz w:val="28"/>
          <w:szCs w:val="24"/>
        </w:rPr>
        <w:t>1</w:t>
      </w:r>
      <w:r>
        <w:rPr>
          <w:sz w:val="28"/>
          <w:szCs w:val="24"/>
        </w:rPr>
        <w:fldChar w:fldCharType="end"/>
      </w:r>
      <w:r>
        <w:rPr>
          <w:sz w:val="28"/>
          <w:szCs w:val="24"/>
        </w:rPr>
        <w:fldChar w:fldCharType="end"/>
      </w:r>
    </w:p>
    <w:p w14:paraId="66D480F1">
      <w:pPr>
        <w:pStyle w:val="30"/>
        <w:tabs>
          <w:tab w:val="right" w:leader="dot" w:pos="9073"/>
        </w:tabs>
        <w:rPr>
          <w:sz w:val="28"/>
          <w:szCs w:val="24"/>
        </w:rPr>
      </w:pPr>
      <w:r>
        <w:rPr>
          <w:sz w:val="28"/>
          <w:szCs w:val="24"/>
        </w:rPr>
        <w:fldChar w:fldCharType="begin"/>
      </w:r>
      <w:r>
        <w:rPr>
          <w:sz w:val="28"/>
          <w:szCs w:val="24"/>
        </w:rPr>
        <w:instrText xml:space="preserve"> HYPERLINK \l "_Toc21866" </w:instrText>
      </w:r>
      <w:r>
        <w:rPr>
          <w:sz w:val="28"/>
          <w:szCs w:val="24"/>
        </w:rPr>
        <w:fldChar w:fldCharType="separate"/>
      </w:r>
      <w:r>
        <w:rPr>
          <w:rFonts w:hint="eastAsia" w:ascii="仿宋" w:hAnsi="仿宋" w:eastAsia="仿宋" w:cs="仿宋"/>
          <w:sz w:val="28"/>
          <w:szCs w:val="36"/>
        </w:rPr>
        <w:t>第二章  供应商须知</w:t>
      </w:r>
      <w:r>
        <w:rPr>
          <w:sz w:val="28"/>
          <w:szCs w:val="24"/>
        </w:rPr>
        <w:tab/>
      </w:r>
      <w:r>
        <w:rPr>
          <w:sz w:val="28"/>
          <w:szCs w:val="24"/>
        </w:rPr>
        <w:fldChar w:fldCharType="begin"/>
      </w:r>
      <w:r>
        <w:rPr>
          <w:sz w:val="28"/>
          <w:szCs w:val="24"/>
        </w:rPr>
        <w:instrText xml:space="preserve"> PAGEREF _Toc21866 </w:instrText>
      </w:r>
      <w:r>
        <w:rPr>
          <w:sz w:val="28"/>
          <w:szCs w:val="24"/>
        </w:rPr>
        <w:fldChar w:fldCharType="separate"/>
      </w:r>
      <w:r>
        <w:rPr>
          <w:sz w:val="28"/>
          <w:szCs w:val="24"/>
        </w:rPr>
        <w:t>4</w:t>
      </w:r>
      <w:r>
        <w:rPr>
          <w:sz w:val="28"/>
          <w:szCs w:val="24"/>
        </w:rPr>
        <w:fldChar w:fldCharType="end"/>
      </w:r>
      <w:r>
        <w:rPr>
          <w:sz w:val="28"/>
          <w:szCs w:val="24"/>
        </w:rPr>
        <w:fldChar w:fldCharType="end"/>
      </w:r>
    </w:p>
    <w:p w14:paraId="773BD98A">
      <w:pPr>
        <w:pStyle w:val="30"/>
        <w:tabs>
          <w:tab w:val="right" w:leader="dot" w:pos="9073"/>
        </w:tabs>
        <w:rPr>
          <w:sz w:val="28"/>
          <w:szCs w:val="24"/>
        </w:rPr>
      </w:pPr>
      <w:r>
        <w:rPr>
          <w:sz w:val="28"/>
          <w:szCs w:val="24"/>
        </w:rPr>
        <w:fldChar w:fldCharType="begin"/>
      </w:r>
      <w:r>
        <w:rPr>
          <w:sz w:val="28"/>
          <w:szCs w:val="24"/>
        </w:rPr>
        <w:instrText xml:space="preserve"> HYPERLINK \l "_Toc13930" </w:instrText>
      </w:r>
      <w:r>
        <w:rPr>
          <w:sz w:val="28"/>
          <w:szCs w:val="24"/>
        </w:rPr>
        <w:fldChar w:fldCharType="separate"/>
      </w:r>
      <w:r>
        <w:rPr>
          <w:rFonts w:hint="eastAsia" w:ascii="仿宋" w:hAnsi="仿宋" w:eastAsia="仿宋" w:cs="仿宋"/>
          <w:sz w:val="28"/>
          <w:szCs w:val="36"/>
        </w:rPr>
        <w:t xml:space="preserve">第三章 </w:t>
      </w:r>
      <w:r>
        <w:rPr>
          <w:rFonts w:hint="eastAsia" w:ascii="仿宋" w:hAnsi="仿宋" w:eastAsia="仿宋" w:cs="仿宋"/>
          <w:bCs/>
          <w:sz w:val="28"/>
          <w:szCs w:val="36"/>
        </w:rPr>
        <w:t>项目需求</w:t>
      </w:r>
      <w:r>
        <w:rPr>
          <w:sz w:val="28"/>
          <w:szCs w:val="24"/>
        </w:rPr>
        <w:tab/>
      </w:r>
      <w:r>
        <w:rPr>
          <w:sz w:val="28"/>
          <w:szCs w:val="24"/>
        </w:rPr>
        <w:fldChar w:fldCharType="begin"/>
      </w:r>
      <w:r>
        <w:rPr>
          <w:sz w:val="28"/>
          <w:szCs w:val="24"/>
        </w:rPr>
        <w:instrText xml:space="preserve"> PAGEREF _Toc13930 </w:instrText>
      </w:r>
      <w:r>
        <w:rPr>
          <w:sz w:val="28"/>
          <w:szCs w:val="24"/>
        </w:rPr>
        <w:fldChar w:fldCharType="separate"/>
      </w:r>
      <w:r>
        <w:rPr>
          <w:sz w:val="28"/>
          <w:szCs w:val="24"/>
        </w:rPr>
        <w:t>20</w:t>
      </w:r>
      <w:r>
        <w:rPr>
          <w:sz w:val="28"/>
          <w:szCs w:val="24"/>
        </w:rPr>
        <w:fldChar w:fldCharType="end"/>
      </w:r>
      <w:r>
        <w:rPr>
          <w:sz w:val="28"/>
          <w:szCs w:val="24"/>
        </w:rPr>
        <w:fldChar w:fldCharType="end"/>
      </w:r>
    </w:p>
    <w:p w14:paraId="15FE3A74">
      <w:pPr>
        <w:pStyle w:val="30"/>
        <w:tabs>
          <w:tab w:val="right" w:leader="dot" w:pos="9073"/>
        </w:tabs>
        <w:rPr>
          <w:rFonts w:hint="eastAsia" w:eastAsia="宋体"/>
          <w:sz w:val="28"/>
          <w:szCs w:val="24"/>
          <w:lang w:val="en-US" w:eastAsia="zh-CN"/>
        </w:rPr>
      </w:pPr>
      <w:r>
        <w:rPr>
          <w:sz w:val="28"/>
          <w:szCs w:val="24"/>
        </w:rPr>
        <w:fldChar w:fldCharType="begin"/>
      </w:r>
      <w:r>
        <w:rPr>
          <w:sz w:val="28"/>
          <w:szCs w:val="24"/>
        </w:rPr>
        <w:instrText xml:space="preserve"> HYPERLINK \l "_Toc13728" </w:instrText>
      </w:r>
      <w:r>
        <w:rPr>
          <w:sz w:val="28"/>
          <w:szCs w:val="24"/>
        </w:rPr>
        <w:fldChar w:fldCharType="separate"/>
      </w:r>
      <w:r>
        <w:rPr>
          <w:rFonts w:hint="eastAsia" w:ascii="仿宋" w:hAnsi="仿宋" w:eastAsia="仿宋" w:cs="仿宋"/>
          <w:bCs/>
          <w:sz w:val="28"/>
          <w:szCs w:val="36"/>
        </w:rPr>
        <w:t>第四章 合同条款</w:t>
      </w:r>
      <w:r>
        <w:rPr>
          <w:sz w:val="28"/>
          <w:szCs w:val="24"/>
        </w:rPr>
        <w:tab/>
      </w:r>
      <w:r>
        <w:rPr>
          <w:rFonts w:hint="eastAsia"/>
          <w:sz w:val="28"/>
          <w:szCs w:val="24"/>
          <w:lang w:val="en-US" w:eastAsia="zh-CN"/>
        </w:rPr>
        <w:t>2</w:t>
      </w:r>
      <w:r>
        <w:rPr>
          <w:sz w:val="28"/>
          <w:szCs w:val="24"/>
        </w:rPr>
        <w:fldChar w:fldCharType="end"/>
      </w:r>
      <w:r>
        <w:rPr>
          <w:rFonts w:hint="eastAsia"/>
          <w:sz w:val="28"/>
          <w:szCs w:val="24"/>
          <w:lang w:val="en-US" w:eastAsia="zh-CN"/>
        </w:rPr>
        <w:t>3</w:t>
      </w:r>
    </w:p>
    <w:p w14:paraId="59443529">
      <w:pPr>
        <w:pStyle w:val="30"/>
        <w:tabs>
          <w:tab w:val="right" w:leader="dot" w:pos="9073"/>
        </w:tabs>
        <w:rPr>
          <w:sz w:val="28"/>
          <w:szCs w:val="24"/>
        </w:rPr>
      </w:pPr>
      <w:r>
        <w:rPr>
          <w:sz w:val="28"/>
          <w:szCs w:val="24"/>
        </w:rPr>
        <w:fldChar w:fldCharType="begin"/>
      </w:r>
      <w:r>
        <w:rPr>
          <w:sz w:val="28"/>
          <w:szCs w:val="24"/>
        </w:rPr>
        <w:instrText xml:space="preserve"> HYPERLINK \l "_Toc5463" </w:instrText>
      </w:r>
      <w:r>
        <w:rPr>
          <w:sz w:val="28"/>
          <w:szCs w:val="24"/>
        </w:rPr>
        <w:fldChar w:fldCharType="separate"/>
      </w:r>
      <w:r>
        <w:rPr>
          <w:rFonts w:hint="eastAsia" w:ascii="仿宋" w:hAnsi="仿宋" w:eastAsia="仿宋" w:cs="仿宋"/>
          <w:bCs/>
          <w:sz w:val="28"/>
          <w:szCs w:val="36"/>
        </w:rPr>
        <w:t>第五章 附件</w:t>
      </w:r>
      <w:r>
        <w:rPr>
          <w:sz w:val="28"/>
          <w:szCs w:val="24"/>
        </w:rPr>
        <w:tab/>
      </w:r>
      <w:r>
        <w:rPr>
          <w:sz w:val="28"/>
          <w:szCs w:val="24"/>
        </w:rPr>
        <w:fldChar w:fldCharType="begin"/>
      </w:r>
      <w:r>
        <w:rPr>
          <w:sz w:val="28"/>
          <w:szCs w:val="24"/>
        </w:rPr>
        <w:instrText xml:space="preserve"> PAGEREF _Toc5463 </w:instrText>
      </w:r>
      <w:r>
        <w:rPr>
          <w:sz w:val="28"/>
          <w:szCs w:val="24"/>
        </w:rPr>
        <w:fldChar w:fldCharType="separate"/>
      </w:r>
      <w:r>
        <w:rPr>
          <w:sz w:val="28"/>
          <w:szCs w:val="24"/>
        </w:rPr>
        <w:t>57</w:t>
      </w:r>
      <w:r>
        <w:rPr>
          <w:sz w:val="28"/>
          <w:szCs w:val="24"/>
        </w:rPr>
        <w:fldChar w:fldCharType="end"/>
      </w:r>
      <w:r>
        <w:rPr>
          <w:sz w:val="28"/>
          <w:szCs w:val="24"/>
        </w:rPr>
        <w:fldChar w:fldCharType="end"/>
      </w:r>
    </w:p>
    <w:p w14:paraId="75D7B3D9">
      <w:pPr>
        <w:pStyle w:val="30"/>
        <w:tabs>
          <w:tab w:val="right" w:leader="dot" w:pos="9683"/>
        </w:tabs>
        <w:spacing w:line="400" w:lineRule="exac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fldChar w:fldCharType="end"/>
      </w:r>
    </w:p>
    <w:p w14:paraId="21E12885">
      <w:pPr>
        <w:widowControl/>
        <w:spacing w:line="400" w:lineRule="exact"/>
        <w:jc w:val="center"/>
        <w:rPr>
          <w:rFonts w:ascii="仿宋" w:hAnsi="仿宋" w:eastAsia="仿宋" w:cs="仿宋"/>
          <w:b/>
          <w:color w:val="000000" w:themeColor="text1"/>
          <w:sz w:val="24"/>
          <w:szCs w:val="24"/>
          <w14:textFill>
            <w14:solidFill>
              <w14:schemeClr w14:val="tx1"/>
            </w14:solidFill>
          </w14:textFill>
        </w:rPr>
        <w:sectPr>
          <w:footerReference r:id="rId7" w:type="first"/>
          <w:footerReference r:id="rId6" w:type="default"/>
          <w:pgSz w:w="11907" w:h="16840"/>
          <w:pgMar w:top="1077" w:right="1417" w:bottom="1417" w:left="1417" w:header="680" w:footer="799" w:gutter="0"/>
          <w:pgBorders>
            <w:top w:val="none" w:sz="0" w:space="0"/>
            <w:left w:val="none" w:sz="0" w:space="0"/>
            <w:bottom w:val="none" w:sz="0" w:space="0"/>
            <w:right w:val="none" w:sz="0" w:space="0"/>
          </w:pgBorders>
          <w:pgNumType w:start="1"/>
          <w:cols w:space="720" w:num="1"/>
          <w:docGrid w:type="lines" w:linePitch="409" w:charSpace="0"/>
        </w:sectPr>
      </w:pPr>
      <w:bookmarkStart w:id="0" w:name="_Toc298240402"/>
      <w:bookmarkStart w:id="1" w:name="_Toc349637917"/>
      <w:bookmarkStart w:id="2" w:name="_Toc349573118"/>
    </w:p>
    <w:p w14:paraId="005DEC7E">
      <w:pPr>
        <w:widowControl/>
        <w:spacing w:line="400" w:lineRule="exact"/>
        <w:jc w:val="center"/>
        <w:outlineLvl w:val="0"/>
        <w:rPr>
          <w:rFonts w:ascii="仿宋" w:hAnsi="仿宋" w:eastAsia="仿宋" w:cs="仿宋"/>
          <w:color w:val="000000" w:themeColor="text1"/>
          <w:sz w:val="24"/>
          <w:szCs w:val="24"/>
          <w14:textFill>
            <w14:solidFill>
              <w14:schemeClr w14:val="tx1"/>
            </w14:solidFill>
          </w14:textFill>
        </w:rPr>
      </w:pPr>
      <w:bookmarkStart w:id="3" w:name="_Toc6281"/>
      <w:r>
        <w:rPr>
          <w:rFonts w:hint="eastAsia" w:ascii="仿宋" w:hAnsi="仿宋" w:eastAsia="仿宋" w:cs="仿宋"/>
          <w:b/>
          <w:color w:val="000000" w:themeColor="text1"/>
          <w:sz w:val="24"/>
          <w:szCs w:val="24"/>
          <w14:textFill>
            <w14:solidFill>
              <w14:schemeClr w14:val="tx1"/>
            </w14:solidFill>
          </w14:textFill>
        </w:rPr>
        <w:t>第一章</w:t>
      </w:r>
      <w:bookmarkEnd w:id="0"/>
      <w:bookmarkEnd w:id="1"/>
      <w:bookmarkEnd w:id="2"/>
      <w:bookmarkStart w:id="4" w:name="_Toc267301280"/>
      <w:bookmarkStart w:id="5" w:name="_Toc349637918"/>
      <w:bookmarkStart w:id="6" w:name="_Toc298240403"/>
      <w:bookmarkStart w:id="7" w:name="_Toc349573119"/>
      <w:r>
        <w:rPr>
          <w:rFonts w:hint="eastAsia" w:ascii="仿宋" w:hAnsi="仿宋" w:eastAsia="仿宋" w:cs="仿宋"/>
          <w:b/>
          <w:color w:val="000000" w:themeColor="text1"/>
          <w:sz w:val="24"/>
          <w:szCs w:val="24"/>
          <w14:textFill>
            <w14:solidFill>
              <w14:schemeClr w14:val="tx1"/>
            </w14:solidFill>
          </w14:textFill>
        </w:rPr>
        <w:t xml:space="preserve">  招标公告</w:t>
      </w:r>
      <w:bookmarkEnd w:id="3"/>
    </w:p>
    <w:p w14:paraId="2ADE6316">
      <w:pPr>
        <w:widowControl/>
        <w:spacing w:line="500" w:lineRule="exact"/>
        <w:jc w:val="center"/>
        <w:rPr>
          <w:rFonts w:ascii="仿宋" w:hAnsi="仿宋" w:eastAsia="仿宋" w:cs="仿宋"/>
          <w:b/>
          <w:color w:val="000000" w:themeColor="text1"/>
          <w:sz w:val="24"/>
          <w:szCs w:val="24"/>
          <w14:textFill>
            <w14:solidFill>
              <w14:schemeClr w14:val="tx1"/>
            </w14:solidFill>
          </w14:textFill>
        </w:rPr>
      </w:pPr>
    </w:p>
    <w:p w14:paraId="400F1B7E">
      <w:pPr>
        <w:pBdr>
          <w:top w:val="single" w:color="auto" w:sz="4" w:space="1"/>
          <w:left w:val="single" w:color="auto" w:sz="4" w:space="4"/>
          <w:bottom w:val="single" w:color="auto" w:sz="4" w:space="1"/>
          <w:right w:val="single" w:color="auto" w:sz="4" w:space="4"/>
        </w:pBdr>
        <w:spacing w:line="5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项目概况</w:t>
      </w:r>
    </w:p>
    <w:p w14:paraId="6C7D3100">
      <w:pPr>
        <w:pBdr>
          <w:top w:val="single" w:color="auto" w:sz="4" w:space="1"/>
          <w:left w:val="single" w:color="auto" w:sz="4" w:space="4"/>
          <w:bottom w:val="single" w:color="auto" w:sz="4" w:space="1"/>
          <w:right w:val="single" w:color="auto" w:sz="4" w:space="4"/>
        </w:pBdr>
        <w:spacing w:line="440" w:lineRule="exact"/>
        <w:ind w:firstLine="480" w:firstLineChars="200"/>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lang w:eastAsia="zh-CN"/>
          <w14:textFill>
            <w14:solidFill>
              <w14:schemeClr w14:val="tx1"/>
            </w14:solidFill>
          </w14:textFill>
        </w:rPr>
        <w:t>自治区第二济困医院（自治区中西医结合医院、自治区第五人民医院）电子病历应用水平四级建设项目</w:t>
      </w:r>
      <w:r>
        <w:rPr>
          <w:rFonts w:hint="eastAsia" w:ascii="仿宋" w:hAnsi="仿宋" w:eastAsia="仿宋" w:cs="仿宋"/>
          <w:color w:val="000000" w:themeColor="text1"/>
          <w:sz w:val="24"/>
          <w:szCs w:val="24"/>
          <w14:textFill>
            <w14:solidFill>
              <w14:schemeClr w14:val="tx1"/>
            </w14:solidFill>
          </w14:textFill>
        </w:rPr>
        <w:t>的潜在投标人</w:t>
      </w:r>
      <w:r>
        <w:rPr>
          <w:rFonts w:hint="eastAsia" w:ascii="仿宋" w:hAnsi="仿宋" w:eastAsia="仿宋" w:cs="仿宋"/>
          <w:color w:val="000000" w:themeColor="text1"/>
          <w:sz w:val="24"/>
          <w:szCs w:val="24"/>
          <w:u w:val="single"/>
          <w14:textFill>
            <w14:solidFill>
              <w14:schemeClr w14:val="tx1"/>
            </w14:solidFill>
          </w14:textFill>
        </w:rPr>
        <w:t>在政采云平台获取招标文件，并于2024年</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11</w:t>
      </w:r>
      <w:r>
        <w:rPr>
          <w:rFonts w:hint="eastAsia" w:ascii="仿宋" w:hAnsi="仿宋" w:eastAsia="仿宋" w:cs="仿宋"/>
          <w:color w:val="000000" w:themeColor="text1"/>
          <w:sz w:val="24"/>
          <w:szCs w:val="24"/>
          <w:u w:val="single"/>
          <w14:textFill>
            <w14:solidFill>
              <w14:schemeClr w14:val="tx1"/>
            </w14:solidFill>
          </w14:textFill>
        </w:rPr>
        <w:t>月</w:t>
      </w:r>
      <w:r>
        <w:rPr>
          <w:rFonts w:hint="eastAsia" w:ascii="仿宋" w:hAnsi="仿宋" w:eastAsia="仿宋" w:cs="仿宋"/>
          <w:color w:val="000000" w:themeColor="text1"/>
          <w:sz w:val="24"/>
          <w:szCs w:val="24"/>
          <w:u w:val="single"/>
          <w:lang w:val="en-US" w:eastAsia="zh-CN"/>
          <w14:textFill>
            <w14:solidFill>
              <w14:schemeClr w14:val="tx1"/>
            </w14:solidFill>
          </w14:textFill>
        </w:rPr>
        <w:t>1</w:t>
      </w:r>
      <w:r>
        <w:rPr>
          <w:rFonts w:hint="eastAsia" w:ascii="仿宋" w:hAnsi="仿宋" w:eastAsia="仿宋" w:cs="仿宋"/>
          <w:color w:val="000000" w:themeColor="text1"/>
          <w:sz w:val="24"/>
          <w:szCs w:val="24"/>
          <w:u w:val="single"/>
          <w14:textFill>
            <w14:solidFill>
              <w14:schemeClr w14:val="tx1"/>
            </w14:solidFill>
          </w14:textFill>
        </w:rPr>
        <w:t>日</w:t>
      </w:r>
      <w:r>
        <w:rPr>
          <w:rFonts w:hint="eastAsia" w:ascii="仿宋" w:hAnsi="仿宋" w:eastAsia="仿宋" w:cs="仿宋"/>
          <w:color w:val="000000" w:themeColor="text1"/>
          <w:sz w:val="24"/>
          <w:szCs w:val="24"/>
          <w:u w:val="single"/>
          <w:lang w:val="en-US" w:eastAsia="zh-CN"/>
          <w14:textFill>
            <w14:solidFill>
              <w14:schemeClr w14:val="tx1"/>
            </w14:solidFill>
          </w14:textFill>
        </w:rPr>
        <w:t>11</w:t>
      </w:r>
      <w:r>
        <w:rPr>
          <w:rFonts w:hint="eastAsia" w:ascii="仿宋" w:hAnsi="仿宋" w:eastAsia="仿宋" w:cs="仿宋"/>
          <w:color w:val="000000" w:themeColor="text1"/>
          <w:sz w:val="24"/>
          <w:szCs w:val="24"/>
          <w:u w:val="single"/>
          <w14:textFill>
            <w14:solidFill>
              <w14:schemeClr w14:val="tx1"/>
            </w14:solidFill>
          </w14:textFill>
        </w:rPr>
        <w:t>点00分（北京时间）前将投标文件提交至政采云客户端。</w:t>
      </w:r>
    </w:p>
    <w:p w14:paraId="29635C97">
      <w:pPr>
        <w:pBdr>
          <w:top w:val="single" w:color="auto" w:sz="4" w:space="1"/>
          <w:left w:val="single" w:color="auto" w:sz="4" w:space="4"/>
          <w:bottom w:val="single" w:color="auto" w:sz="4" w:space="1"/>
          <w:right w:val="single" w:color="auto" w:sz="4" w:space="4"/>
        </w:pBdr>
        <w:spacing w:line="500" w:lineRule="exact"/>
        <w:ind w:firstLine="480" w:firstLineChars="200"/>
        <w:rPr>
          <w:rFonts w:ascii="仿宋" w:hAnsi="仿宋" w:eastAsia="仿宋" w:cs="仿宋"/>
          <w:color w:val="000000" w:themeColor="text1"/>
          <w:sz w:val="24"/>
          <w:szCs w:val="24"/>
          <w14:textFill>
            <w14:solidFill>
              <w14:schemeClr w14:val="tx1"/>
            </w14:solidFill>
          </w14:textFill>
        </w:rPr>
      </w:pPr>
    </w:p>
    <w:p w14:paraId="5621A25F">
      <w:pPr>
        <w:pStyle w:val="37"/>
        <w:spacing w:before="0" w:beforeAutospacing="0" w:after="0" w:afterAutospacing="0" w:line="400" w:lineRule="exact"/>
        <w:ind w:left="210"/>
        <w:outlineLvl w:val="1"/>
        <w:rPr>
          <w:rFonts w:ascii="仿宋" w:hAnsi="仿宋" w:eastAsia="仿宋" w:cs="仿宋"/>
          <w:b/>
          <w:bCs/>
          <w:color w:val="000000" w:themeColor="text1"/>
          <w14:textFill>
            <w14:solidFill>
              <w14:schemeClr w14:val="tx1"/>
            </w14:solidFill>
          </w14:textFill>
        </w:rPr>
      </w:pPr>
      <w:bookmarkStart w:id="8" w:name="_Toc28359079"/>
      <w:bookmarkStart w:id="9" w:name="_Toc35393790"/>
      <w:bookmarkStart w:id="10" w:name="_Toc20388"/>
      <w:bookmarkStart w:id="11" w:name="_Toc35393621"/>
      <w:bookmarkStart w:id="12" w:name="_Toc28359002"/>
      <w:bookmarkStart w:id="13" w:name="_Toc28237"/>
      <w:bookmarkStart w:id="14" w:name="_Toc86229022"/>
      <w:bookmarkStart w:id="15" w:name="_Hlk24379207"/>
      <w:r>
        <w:rPr>
          <w:rFonts w:hint="eastAsia" w:ascii="仿宋" w:hAnsi="仿宋" w:eastAsia="仿宋" w:cs="仿宋"/>
          <w:b/>
          <w:bCs/>
          <w:color w:val="000000" w:themeColor="text1"/>
          <w14:textFill>
            <w14:solidFill>
              <w14:schemeClr w14:val="tx1"/>
            </w14:solidFill>
          </w14:textFill>
        </w:rPr>
        <w:t>一、项目基本情况</w:t>
      </w:r>
      <w:bookmarkEnd w:id="8"/>
      <w:bookmarkEnd w:id="9"/>
      <w:bookmarkEnd w:id="10"/>
      <w:bookmarkEnd w:id="11"/>
      <w:bookmarkEnd w:id="12"/>
      <w:bookmarkEnd w:id="13"/>
      <w:bookmarkEnd w:id="14"/>
    </w:p>
    <w:p w14:paraId="3E46C758">
      <w:pPr>
        <w:pStyle w:val="37"/>
        <w:spacing w:before="0" w:beforeAutospacing="0" w:after="0" w:afterAutospacing="0" w:line="400" w:lineRule="exact"/>
        <w:ind w:left="426" w:leftChars="203" w:firstLine="50" w:firstLineChars="21"/>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采购项目名称：</w:t>
      </w:r>
      <w:r>
        <w:rPr>
          <w:rFonts w:hint="eastAsia" w:ascii="仿宋" w:hAnsi="仿宋" w:eastAsia="仿宋" w:cs="仿宋"/>
          <w:color w:val="000000" w:themeColor="text1"/>
          <w:highlight w:val="none"/>
          <w:lang w:eastAsia="zh-CN"/>
          <w14:textFill>
            <w14:solidFill>
              <w14:schemeClr w14:val="tx1"/>
            </w14:solidFill>
          </w14:textFill>
        </w:rPr>
        <w:t>自治区第二济困医院（自治区中西医结合医院、自治区第五人民医院）电子病历应用水平四级建设项目</w:t>
      </w:r>
    </w:p>
    <w:p w14:paraId="1B67BDA1">
      <w:pPr>
        <w:pStyle w:val="37"/>
        <w:spacing w:before="0" w:beforeAutospacing="0" w:after="0" w:afterAutospacing="0" w:line="400" w:lineRule="exact"/>
        <w:ind w:left="728" w:leftChars="228" w:hanging="249" w:hangingChars="104"/>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采购项目编号：</w:t>
      </w:r>
      <w:r>
        <w:rPr>
          <w:rFonts w:hint="eastAsia" w:ascii="仿宋" w:hAnsi="仿宋" w:eastAsia="仿宋" w:cs="仿宋"/>
          <w:color w:val="000000" w:themeColor="text1"/>
          <w:highlight w:val="none"/>
          <w:lang w:eastAsia="zh-CN"/>
          <w14:textFill>
            <w14:solidFill>
              <w14:schemeClr w14:val="tx1"/>
            </w14:solidFill>
          </w14:textFill>
        </w:rPr>
        <w:t>ZFCGHY-202400122</w:t>
      </w:r>
    </w:p>
    <w:p w14:paraId="0DF62F77">
      <w:pPr>
        <w:pStyle w:val="37"/>
        <w:spacing w:before="0" w:beforeAutospacing="0" w:after="0" w:afterAutospacing="0" w:line="400" w:lineRule="exact"/>
        <w:ind w:left="728" w:leftChars="228" w:hanging="249" w:hangingChars="104"/>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采购方式：</w:t>
      </w:r>
      <w:r>
        <w:rPr>
          <w:rFonts w:hint="eastAsia" w:ascii="仿宋" w:hAnsi="仿宋" w:eastAsia="仿宋" w:cs="仿宋"/>
          <w:color w:val="000000" w:themeColor="text1"/>
          <w:highlight w:val="none"/>
          <w:lang w:eastAsia="zh-CN"/>
          <w14:textFill>
            <w14:solidFill>
              <w14:schemeClr w14:val="tx1"/>
            </w14:solidFill>
          </w14:textFill>
        </w:rPr>
        <w:t>公开招标</w:t>
      </w:r>
    </w:p>
    <w:bookmarkEnd w:id="15"/>
    <w:p w14:paraId="7ED06FA7">
      <w:pPr>
        <w:pStyle w:val="37"/>
        <w:spacing w:before="0" w:beforeAutospacing="0" w:after="0" w:afterAutospacing="0" w:line="400" w:lineRule="exact"/>
        <w:ind w:left="728" w:leftChars="228" w:hanging="249" w:hangingChars="104"/>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预算金额：</w:t>
      </w:r>
      <w:r>
        <w:rPr>
          <w:rFonts w:hint="eastAsia" w:ascii="仿宋" w:hAnsi="仿宋" w:eastAsia="仿宋" w:cs="仿宋"/>
          <w:color w:val="000000" w:themeColor="text1"/>
          <w:highlight w:val="none"/>
          <w:lang w:val="en-US" w:eastAsia="zh-CN"/>
          <w14:textFill>
            <w14:solidFill>
              <w14:schemeClr w14:val="tx1"/>
            </w14:solidFill>
          </w14:textFill>
        </w:rPr>
        <w:t>314</w:t>
      </w:r>
      <w:r>
        <w:rPr>
          <w:rFonts w:hint="eastAsia" w:ascii="仿宋" w:hAnsi="仿宋" w:eastAsia="仿宋" w:cs="仿宋"/>
          <w:color w:val="000000" w:themeColor="text1"/>
          <w:highlight w:val="none"/>
          <w14:textFill>
            <w14:solidFill>
              <w14:schemeClr w14:val="tx1"/>
            </w14:solidFill>
          </w14:textFill>
        </w:rPr>
        <w:t>万元</w:t>
      </w:r>
    </w:p>
    <w:p w14:paraId="125A8711">
      <w:pPr>
        <w:pStyle w:val="37"/>
        <w:spacing w:before="0" w:beforeAutospacing="0" w:after="0" w:afterAutospacing="0" w:line="400" w:lineRule="exact"/>
        <w:ind w:left="728" w:leftChars="228" w:hanging="249" w:hangingChars="104"/>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最高限价：</w:t>
      </w:r>
      <w:r>
        <w:rPr>
          <w:rFonts w:hint="eastAsia" w:ascii="仿宋" w:hAnsi="仿宋" w:eastAsia="仿宋" w:cs="仿宋"/>
          <w:color w:val="000000" w:themeColor="text1"/>
          <w:highlight w:val="none"/>
          <w:lang w:val="en-US" w:eastAsia="zh-CN"/>
          <w14:textFill>
            <w14:solidFill>
              <w14:schemeClr w14:val="tx1"/>
            </w14:solidFill>
          </w14:textFill>
        </w:rPr>
        <w:t>314</w:t>
      </w:r>
      <w:r>
        <w:rPr>
          <w:rFonts w:hint="eastAsia" w:ascii="仿宋" w:hAnsi="仿宋" w:eastAsia="仿宋" w:cs="仿宋"/>
          <w:color w:val="000000" w:themeColor="text1"/>
          <w:highlight w:val="none"/>
          <w14:textFill>
            <w14:solidFill>
              <w14:schemeClr w14:val="tx1"/>
            </w14:solidFill>
          </w14:textFill>
        </w:rPr>
        <w:t>万元</w:t>
      </w:r>
    </w:p>
    <w:p w14:paraId="2356755D">
      <w:pPr>
        <w:pStyle w:val="37"/>
        <w:spacing w:before="0" w:beforeAutospacing="0" w:after="0" w:afterAutospacing="0" w:line="400" w:lineRule="exact"/>
        <w:ind w:left="426" w:leftChars="203" w:firstLine="50" w:firstLineChars="21"/>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合同履约期限：</w:t>
      </w:r>
      <w:r>
        <w:rPr>
          <w:rFonts w:hint="eastAsia" w:ascii="仿宋" w:hAnsi="仿宋" w:eastAsia="仿宋" w:cs="仿宋"/>
          <w:color w:val="000000" w:themeColor="text1"/>
          <w:sz w:val="24"/>
          <w:szCs w:val="24"/>
          <w:highlight w:val="none"/>
          <w14:textFill>
            <w14:solidFill>
              <w14:schemeClr w14:val="tx1"/>
            </w14:solidFill>
          </w14:textFill>
        </w:rPr>
        <w:t>自合同签订之日起，</w:t>
      </w:r>
      <w:r>
        <w:rPr>
          <w:rFonts w:hint="eastAsia" w:ascii="仿宋" w:hAnsi="仿宋" w:eastAsia="仿宋" w:cs="仿宋"/>
          <w:color w:val="000000" w:themeColor="text1"/>
          <w:sz w:val="24"/>
          <w:szCs w:val="24"/>
          <w:highlight w:val="none"/>
          <w:lang w:val="en-US" w:eastAsia="zh-CN"/>
          <w14:textFill>
            <w14:solidFill>
              <w14:schemeClr w14:val="tx1"/>
            </w14:solidFill>
          </w14:textFill>
        </w:rPr>
        <w:t>60天</w:t>
      </w:r>
      <w:r>
        <w:rPr>
          <w:rFonts w:hint="eastAsia" w:ascii="仿宋" w:hAnsi="仿宋" w:eastAsia="仿宋" w:cs="仿宋"/>
          <w:color w:val="000000" w:themeColor="text1"/>
          <w:sz w:val="24"/>
          <w:szCs w:val="24"/>
          <w:highlight w:val="none"/>
          <w14:textFill>
            <w14:solidFill>
              <w14:schemeClr w14:val="tx1"/>
            </w14:solidFill>
          </w14:textFill>
        </w:rPr>
        <w:t>内完成</w:t>
      </w:r>
      <w:r>
        <w:rPr>
          <w:rFonts w:hint="eastAsia" w:ascii="仿宋" w:hAnsi="仿宋" w:eastAsia="仿宋" w:cs="仿宋"/>
          <w:color w:val="000000" w:themeColor="text1"/>
          <w:sz w:val="24"/>
          <w:szCs w:val="24"/>
          <w:highlight w:val="none"/>
          <w:lang w:val="en-US" w:eastAsia="zh-CN"/>
          <w14:textFill>
            <w14:solidFill>
              <w14:schemeClr w14:val="tx1"/>
            </w14:solidFill>
          </w14:textFill>
        </w:rPr>
        <w:t>项目建设</w:t>
      </w:r>
      <w:r>
        <w:rPr>
          <w:rFonts w:hint="eastAsia" w:ascii="仿宋" w:hAnsi="仿宋" w:eastAsia="仿宋" w:cs="仿宋"/>
          <w:color w:val="000000" w:themeColor="text1"/>
          <w:sz w:val="24"/>
          <w:szCs w:val="24"/>
          <w:highlight w:val="none"/>
          <w14:textFill>
            <w14:solidFill>
              <w14:schemeClr w14:val="tx1"/>
            </w14:solidFill>
          </w14:textFill>
        </w:rPr>
        <w:t>。</w:t>
      </w:r>
    </w:p>
    <w:tbl>
      <w:tblPr>
        <w:tblStyle w:val="42"/>
        <w:tblW w:w="9116"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96"/>
        <w:gridCol w:w="2759"/>
        <w:gridCol w:w="599"/>
        <w:gridCol w:w="1491"/>
        <w:gridCol w:w="625"/>
        <w:gridCol w:w="2746"/>
      </w:tblGrid>
      <w:tr w14:paraId="079C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96" w:type="dxa"/>
            <w:tcMar>
              <w:top w:w="75" w:type="dxa"/>
              <w:left w:w="150" w:type="dxa"/>
              <w:bottom w:w="75" w:type="dxa"/>
              <w:right w:w="150" w:type="dxa"/>
            </w:tcMar>
            <w:vAlign w:val="center"/>
          </w:tcPr>
          <w:p w14:paraId="73EAAF34">
            <w:pPr>
              <w:widowControl/>
              <w:spacing w:line="40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标项序号</w:t>
            </w:r>
          </w:p>
        </w:tc>
        <w:tc>
          <w:tcPr>
            <w:tcW w:w="2759" w:type="dxa"/>
            <w:tcMar>
              <w:top w:w="75" w:type="dxa"/>
              <w:left w:w="150" w:type="dxa"/>
              <w:bottom w:w="75" w:type="dxa"/>
              <w:right w:w="150" w:type="dxa"/>
            </w:tcMar>
            <w:vAlign w:val="center"/>
          </w:tcPr>
          <w:p w14:paraId="26F071AA">
            <w:pPr>
              <w:widowControl/>
              <w:spacing w:line="40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标项名称</w:t>
            </w:r>
          </w:p>
        </w:tc>
        <w:tc>
          <w:tcPr>
            <w:tcW w:w="599" w:type="dxa"/>
            <w:tcMar>
              <w:top w:w="75" w:type="dxa"/>
              <w:left w:w="150" w:type="dxa"/>
              <w:bottom w:w="75" w:type="dxa"/>
              <w:right w:w="150" w:type="dxa"/>
            </w:tcMar>
            <w:vAlign w:val="center"/>
          </w:tcPr>
          <w:p w14:paraId="56199DAE">
            <w:pPr>
              <w:widowControl/>
              <w:spacing w:line="40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数量</w:t>
            </w:r>
          </w:p>
        </w:tc>
        <w:tc>
          <w:tcPr>
            <w:tcW w:w="1491" w:type="dxa"/>
            <w:tcMar>
              <w:top w:w="75" w:type="dxa"/>
              <w:left w:w="150" w:type="dxa"/>
              <w:bottom w:w="75" w:type="dxa"/>
              <w:right w:w="150" w:type="dxa"/>
            </w:tcMar>
            <w:vAlign w:val="center"/>
          </w:tcPr>
          <w:p w14:paraId="6ADA70DE">
            <w:pPr>
              <w:widowControl/>
              <w:spacing w:line="400" w:lineRule="exact"/>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预算金额(元)</w:t>
            </w:r>
          </w:p>
        </w:tc>
        <w:tc>
          <w:tcPr>
            <w:tcW w:w="625" w:type="dxa"/>
            <w:tcMar>
              <w:top w:w="75" w:type="dxa"/>
              <w:left w:w="150" w:type="dxa"/>
              <w:bottom w:w="75" w:type="dxa"/>
              <w:right w:w="150" w:type="dxa"/>
            </w:tcMar>
            <w:vAlign w:val="center"/>
          </w:tcPr>
          <w:p w14:paraId="2C4092F1">
            <w:pPr>
              <w:widowControl/>
              <w:spacing w:line="40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单位</w:t>
            </w:r>
          </w:p>
        </w:tc>
        <w:tc>
          <w:tcPr>
            <w:tcW w:w="2746" w:type="dxa"/>
            <w:tcMar>
              <w:top w:w="75" w:type="dxa"/>
              <w:left w:w="150" w:type="dxa"/>
              <w:bottom w:w="75" w:type="dxa"/>
              <w:right w:w="150" w:type="dxa"/>
            </w:tcMar>
            <w:vAlign w:val="center"/>
          </w:tcPr>
          <w:p w14:paraId="62A862BB">
            <w:pPr>
              <w:widowControl/>
              <w:spacing w:line="40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简要规格描述</w:t>
            </w:r>
          </w:p>
        </w:tc>
      </w:tr>
      <w:tr w14:paraId="12DF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0" w:hRule="atLeast"/>
        </w:trPr>
        <w:tc>
          <w:tcPr>
            <w:tcW w:w="896" w:type="dxa"/>
            <w:tcMar>
              <w:top w:w="75" w:type="dxa"/>
              <w:left w:w="150" w:type="dxa"/>
              <w:bottom w:w="75" w:type="dxa"/>
              <w:right w:w="150" w:type="dxa"/>
            </w:tcMar>
            <w:vAlign w:val="center"/>
          </w:tcPr>
          <w:p w14:paraId="2EFFF590">
            <w:pPr>
              <w:widowControl/>
              <w:spacing w:line="40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w:t>
            </w:r>
          </w:p>
        </w:tc>
        <w:tc>
          <w:tcPr>
            <w:tcW w:w="2759" w:type="dxa"/>
            <w:tcMar>
              <w:top w:w="75" w:type="dxa"/>
              <w:left w:w="150" w:type="dxa"/>
              <w:bottom w:w="75" w:type="dxa"/>
              <w:right w:w="150" w:type="dxa"/>
            </w:tcMar>
            <w:vAlign w:val="center"/>
          </w:tcPr>
          <w:p w14:paraId="454964BB">
            <w:pPr>
              <w:pStyle w:val="37"/>
              <w:spacing w:before="0" w:beforeAutospacing="0" w:after="0" w:afterAutospacing="0" w:line="400" w:lineRule="exact"/>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自治区第二济困医院（自治区中西医结合医院、自治区第五人民医院）电子病历应用水平四级建设项目</w:t>
            </w:r>
          </w:p>
        </w:tc>
        <w:tc>
          <w:tcPr>
            <w:tcW w:w="599" w:type="dxa"/>
            <w:tcMar>
              <w:top w:w="75" w:type="dxa"/>
              <w:left w:w="150" w:type="dxa"/>
              <w:bottom w:w="75" w:type="dxa"/>
              <w:right w:w="150" w:type="dxa"/>
            </w:tcMar>
            <w:vAlign w:val="center"/>
          </w:tcPr>
          <w:p w14:paraId="3889E8EF">
            <w:pPr>
              <w:widowControl/>
              <w:spacing w:line="400" w:lineRule="exact"/>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不限</w:t>
            </w:r>
          </w:p>
        </w:tc>
        <w:tc>
          <w:tcPr>
            <w:tcW w:w="1491" w:type="dxa"/>
            <w:tcMar>
              <w:top w:w="75" w:type="dxa"/>
              <w:left w:w="150" w:type="dxa"/>
              <w:bottom w:w="75" w:type="dxa"/>
              <w:right w:w="150" w:type="dxa"/>
            </w:tcMar>
            <w:vAlign w:val="center"/>
          </w:tcPr>
          <w:p w14:paraId="2831D406">
            <w:pPr>
              <w:spacing w:line="40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3140000</w:t>
            </w:r>
            <w:r>
              <w:rPr>
                <w:rFonts w:hint="eastAsia" w:ascii="仿宋" w:hAnsi="仿宋" w:eastAsia="仿宋" w:cs="仿宋"/>
                <w:color w:val="000000" w:themeColor="text1"/>
                <w:szCs w:val="21"/>
                <w:highlight w:val="none"/>
                <w14:textFill>
                  <w14:solidFill>
                    <w14:schemeClr w14:val="tx1"/>
                  </w14:solidFill>
                </w14:textFill>
              </w:rPr>
              <w:t>元</w:t>
            </w:r>
          </w:p>
        </w:tc>
        <w:tc>
          <w:tcPr>
            <w:tcW w:w="625" w:type="dxa"/>
            <w:tcMar>
              <w:top w:w="75" w:type="dxa"/>
              <w:left w:w="150" w:type="dxa"/>
              <w:bottom w:w="75" w:type="dxa"/>
              <w:right w:w="150" w:type="dxa"/>
            </w:tcMar>
            <w:vAlign w:val="center"/>
          </w:tcPr>
          <w:p w14:paraId="13238616">
            <w:pPr>
              <w:widowControl/>
              <w:spacing w:line="400" w:lineRule="exact"/>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批</w:t>
            </w:r>
          </w:p>
        </w:tc>
        <w:tc>
          <w:tcPr>
            <w:tcW w:w="2746" w:type="dxa"/>
            <w:tcMar>
              <w:top w:w="75" w:type="dxa"/>
              <w:left w:w="150" w:type="dxa"/>
              <w:bottom w:w="75" w:type="dxa"/>
              <w:right w:w="150" w:type="dxa"/>
            </w:tcMar>
            <w:vAlign w:val="center"/>
          </w:tcPr>
          <w:p w14:paraId="448B1056">
            <w:pPr>
              <w:widowControl/>
              <w:spacing w:line="400" w:lineRule="exact"/>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电子病历（移动护理、知识库）应用水平四级建设改造，</w:t>
            </w:r>
            <w:r>
              <w:rPr>
                <w:rFonts w:hint="eastAsia" w:ascii="仿宋" w:hAnsi="仿宋" w:eastAsia="仿宋" w:cs="仿宋"/>
                <w:color w:val="000000" w:themeColor="text1"/>
                <w:sz w:val="24"/>
                <w:szCs w:val="24"/>
                <w:highlight w:val="none"/>
                <w:lang w:val="en-US" w:eastAsia="zh-CN"/>
                <w14:textFill>
                  <w14:solidFill>
                    <w14:schemeClr w14:val="tx1"/>
                  </w14:solidFill>
                </w14:textFill>
              </w:rPr>
              <w:t>详见招标文件</w:t>
            </w:r>
          </w:p>
        </w:tc>
      </w:tr>
    </w:tbl>
    <w:p w14:paraId="4193774A">
      <w:pPr>
        <w:pStyle w:val="37"/>
        <w:spacing w:before="0" w:beforeAutospacing="0" w:after="0" w:afterAutospacing="0" w:line="400" w:lineRule="exact"/>
        <w:outlineLvl w:val="1"/>
        <w:rPr>
          <w:rFonts w:ascii="仿宋" w:hAnsi="仿宋" w:eastAsia="仿宋" w:cs="仿宋"/>
          <w:b/>
          <w:bCs/>
          <w:color w:val="000000" w:themeColor="text1"/>
          <w:highlight w:val="none"/>
          <w14:textFill>
            <w14:solidFill>
              <w14:schemeClr w14:val="tx1"/>
            </w14:solidFill>
          </w14:textFill>
        </w:rPr>
      </w:pPr>
      <w:bookmarkStart w:id="16" w:name="_Toc11547"/>
      <w:bookmarkStart w:id="17" w:name="_Toc2182"/>
      <w:r>
        <w:rPr>
          <w:rFonts w:hint="eastAsia" w:ascii="仿宋" w:hAnsi="仿宋" w:eastAsia="仿宋" w:cs="仿宋"/>
          <w:b/>
          <w:bCs/>
          <w:color w:val="000000" w:themeColor="text1"/>
          <w:highlight w:val="none"/>
          <w14:textFill>
            <w14:solidFill>
              <w14:schemeClr w14:val="tx1"/>
            </w14:solidFill>
          </w14:textFill>
        </w:rPr>
        <w:t>二、供应商资格要求： </w:t>
      </w:r>
      <w:bookmarkEnd w:id="16"/>
      <w:bookmarkEnd w:id="17"/>
    </w:p>
    <w:p w14:paraId="36DD8E8D">
      <w:pPr>
        <w:pStyle w:val="37"/>
        <w:spacing w:before="0" w:beforeAutospacing="0" w:after="0" w:afterAutospacing="0" w:line="400" w:lineRule="exact"/>
        <w:ind w:firstLine="470" w:firstLineChars="196"/>
        <w:rPr>
          <w:rStyle w:val="45"/>
          <w:rFonts w:ascii="仿宋" w:hAnsi="仿宋" w:eastAsia="仿宋" w:cs="仿宋"/>
          <w:b w:val="0"/>
          <w:bCs w:val="0"/>
          <w:color w:val="000000" w:themeColor="text1"/>
          <w:highlight w:val="none"/>
          <w14:textFill>
            <w14:solidFill>
              <w14:schemeClr w14:val="tx1"/>
            </w14:solidFill>
          </w14:textFill>
        </w:rPr>
      </w:pPr>
      <w:r>
        <w:rPr>
          <w:rStyle w:val="45"/>
          <w:rFonts w:hint="eastAsia" w:ascii="仿宋" w:hAnsi="仿宋" w:eastAsia="仿宋" w:cs="仿宋"/>
          <w:b w:val="0"/>
          <w:bCs w:val="0"/>
          <w:color w:val="000000" w:themeColor="text1"/>
          <w:highlight w:val="none"/>
          <w14:textFill>
            <w14:solidFill>
              <w14:schemeClr w14:val="tx1"/>
            </w14:solidFill>
          </w14:textFill>
        </w:rPr>
        <w:t>1.满足《中华人民共和国政府采购法》第二十二条规定；</w:t>
      </w:r>
    </w:p>
    <w:p w14:paraId="5B3DFEE0">
      <w:pPr>
        <w:pStyle w:val="37"/>
        <w:spacing w:before="0" w:beforeAutospacing="0" w:after="0" w:afterAutospacing="0" w:line="400" w:lineRule="exact"/>
        <w:ind w:firstLine="470" w:firstLineChars="196"/>
        <w:rPr>
          <w:rStyle w:val="45"/>
          <w:rFonts w:ascii="仿宋" w:hAnsi="仿宋" w:eastAsia="仿宋" w:cs="仿宋"/>
          <w:b w:val="0"/>
          <w:bCs w:val="0"/>
          <w:color w:val="000000" w:themeColor="text1"/>
          <w:highlight w:val="none"/>
          <w14:textFill>
            <w14:solidFill>
              <w14:schemeClr w14:val="tx1"/>
            </w14:solidFill>
          </w14:textFill>
        </w:rPr>
      </w:pPr>
      <w:r>
        <w:rPr>
          <w:rStyle w:val="45"/>
          <w:rFonts w:hint="eastAsia" w:ascii="仿宋" w:hAnsi="仿宋" w:eastAsia="仿宋" w:cs="仿宋"/>
          <w:b w:val="0"/>
          <w:bCs w:val="0"/>
          <w:color w:val="000000" w:themeColor="text1"/>
          <w:highlight w:val="none"/>
          <w14:textFill>
            <w14:solidFill>
              <w14:schemeClr w14:val="tx1"/>
            </w14:solidFill>
          </w14:textFill>
        </w:rPr>
        <w:t>2.落实政府采购政策需满足的资格要求：本项目专门面向中小企业采购的项目；</w:t>
      </w:r>
    </w:p>
    <w:p w14:paraId="5093D54C">
      <w:pPr>
        <w:pStyle w:val="37"/>
        <w:spacing w:before="0" w:beforeAutospacing="0" w:after="0" w:afterAutospacing="0" w:line="400" w:lineRule="exact"/>
        <w:ind w:firstLine="470" w:firstLineChars="196"/>
        <w:rPr>
          <w:rStyle w:val="45"/>
          <w:rFonts w:ascii="仿宋" w:hAnsi="仿宋" w:eastAsia="仿宋" w:cs="仿宋"/>
          <w:b w:val="0"/>
          <w:bCs w:val="0"/>
          <w:color w:val="000000" w:themeColor="text1"/>
          <w14:textFill>
            <w14:solidFill>
              <w14:schemeClr w14:val="tx1"/>
            </w14:solidFill>
          </w14:textFill>
        </w:rPr>
      </w:pPr>
      <w:r>
        <w:rPr>
          <w:rStyle w:val="45"/>
          <w:rFonts w:hint="eastAsia" w:ascii="仿宋" w:hAnsi="仿宋" w:eastAsia="仿宋" w:cs="仿宋"/>
          <w:b w:val="0"/>
          <w:bCs w:val="0"/>
          <w:color w:val="000000" w:themeColor="text1"/>
          <w14:textFill>
            <w14:solidFill>
              <w14:schemeClr w14:val="tx1"/>
            </w14:solidFill>
          </w14:textFill>
        </w:rPr>
        <w:t>3.本项目的特定资格要求：/</w:t>
      </w:r>
    </w:p>
    <w:p w14:paraId="71D6736E">
      <w:pPr>
        <w:pStyle w:val="37"/>
        <w:spacing w:before="0" w:beforeAutospacing="0" w:after="0" w:afterAutospacing="0" w:line="400" w:lineRule="exact"/>
        <w:outlineLvl w:val="1"/>
        <w:rPr>
          <w:rFonts w:ascii="仿宋" w:hAnsi="仿宋" w:eastAsia="仿宋" w:cs="仿宋"/>
          <w:b/>
          <w:bCs/>
          <w:color w:val="000000" w:themeColor="text1"/>
          <w14:textFill>
            <w14:solidFill>
              <w14:schemeClr w14:val="tx1"/>
            </w14:solidFill>
          </w14:textFill>
        </w:rPr>
      </w:pPr>
      <w:bookmarkStart w:id="18" w:name="_Toc21391"/>
      <w:bookmarkStart w:id="19" w:name="_Toc22457"/>
      <w:r>
        <w:rPr>
          <w:rFonts w:hint="eastAsia" w:ascii="仿宋" w:hAnsi="仿宋" w:eastAsia="仿宋" w:cs="仿宋"/>
          <w:b/>
          <w:bCs/>
          <w:color w:val="000000" w:themeColor="text1"/>
          <w14:textFill>
            <w14:solidFill>
              <w14:schemeClr w14:val="tx1"/>
            </w14:solidFill>
          </w14:textFill>
        </w:rPr>
        <w:t>三、获取招标文件</w:t>
      </w:r>
      <w:bookmarkEnd w:id="18"/>
      <w:bookmarkEnd w:id="19"/>
    </w:p>
    <w:p w14:paraId="5A2939AF">
      <w:pPr>
        <w:pStyle w:val="37"/>
        <w:spacing w:before="0" w:beforeAutospacing="0" w:after="0" w:afterAutospacing="0" w:line="400" w:lineRule="exact"/>
        <w:ind w:firstLine="480" w:firstLineChars="200"/>
        <w:rPr>
          <w:rFonts w:ascii="仿宋" w:hAnsi="仿宋" w:eastAsia="仿宋" w:cs="仿宋"/>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t>获取投标文件时</w:t>
      </w:r>
      <w:r>
        <w:rPr>
          <w:rStyle w:val="45"/>
          <w:rFonts w:hint="eastAsia" w:ascii="仿宋" w:hAnsi="仿宋" w:eastAsia="仿宋" w:cs="仿宋"/>
          <w:b w:val="0"/>
          <w:bCs w:val="0"/>
          <w:color w:val="000000" w:themeColor="text1"/>
          <w14:textFill>
            <w14:solidFill>
              <w14:schemeClr w14:val="tx1"/>
            </w14:solidFill>
          </w14:textFill>
        </w:rPr>
        <w:t>间：2024年</w:t>
      </w:r>
      <w:r>
        <w:rPr>
          <w:rStyle w:val="45"/>
          <w:rFonts w:hint="eastAsia" w:ascii="仿宋" w:hAnsi="仿宋" w:eastAsia="仿宋" w:cs="仿宋"/>
          <w:b w:val="0"/>
          <w:bCs w:val="0"/>
          <w:color w:val="000000" w:themeColor="text1"/>
          <w:lang w:val="en-US" w:eastAsia="zh-CN"/>
          <w14:textFill>
            <w14:solidFill>
              <w14:schemeClr w14:val="tx1"/>
            </w14:solidFill>
          </w14:textFill>
        </w:rPr>
        <w:t>10</w:t>
      </w:r>
      <w:r>
        <w:rPr>
          <w:rStyle w:val="45"/>
          <w:rFonts w:hint="eastAsia" w:ascii="仿宋" w:hAnsi="仿宋" w:eastAsia="仿宋" w:cs="仿宋"/>
          <w:b w:val="0"/>
          <w:bCs w:val="0"/>
          <w:color w:val="000000" w:themeColor="text1"/>
          <w14:textFill>
            <w14:solidFill>
              <w14:schemeClr w14:val="tx1"/>
            </w14:solidFill>
          </w14:textFill>
        </w:rPr>
        <w:t>月</w:t>
      </w:r>
      <w:r>
        <w:rPr>
          <w:rStyle w:val="45"/>
          <w:rFonts w:hint="eastAsia" w:ascii="仿宋" w:hAnsi="仿宋" w:eastAsia="仿宋" w:cs="仿宋"/>
          <w:b w:val="0"/>
          <w:bCs w:val="0"/>
          <w:color w:val="000000" w:themeColor="text1"/>
          <w:lang w:val="en-US" w:eastAsia="zh-CN"/>
          <w14:textFill>
            <w14:solidFill>
              <w14:schemeClr w14:val="tx1"/>
            </w14:solidFill>
          </w14:textFill>
        </w:rPr>
        <w:t>11</w:t>
      </w:r>
      <w:r>
        <w:rPr>
          <w:rStyle w:val="45"/>
          <w:rFonts w:hint="eastAsia" w:ascii="仿宋" w:hAnsi="仿宋" w:eastAsia="仿宋" w:cs="仿宋"/>
          <w:b w:val="0"/>
          <w:bCs w:val="0"/>
          <w:color w:val="000000" w:themeColor="text1"/>
          <w14:textFill>
            <w14:solidFill>
              <w14:schemeClr w14:val="tx1"/>
            </w14:solidFill>
          </w14:textFill>
        </w:rPr>
        <w:t>日至2024年</w:t>
      </w:r>
      <w:r>
        <w:rPr>
          <w:rStyle w:val="45"/>
          <w:rFonts w:hint="eastAsia" w:ascii="仿宋" w:hAnsi="仿宋" w:eastAsia="仿宋" w:cs="仿宋"/>
          <w:b w:val="0"/>
          <w:bCs w:val="0"/>
          <w:color w:val="000000" w:themeColor="text1"/>
          <w:lang w:val="en-US" w:eastAsia="zh-CN"/>
          <w14:textFill>
            <w14:solidFill>
              <w14:schemeClr w14:val="tx1"/>
            </w14:solidFill>
          </w14:textFill>
        </w:rPr>
        <w:t>10</w:t>
      </w:r>
      <w:r>
        <w:rPr>
          <w:rStyle w:val="45"/>
          <w:rFonts w:hint="eastAsia" w:ascii="仿宋" w:hAnsi="仿宋" w:eastAsia="仿宋" w:cs="仿宋"/>
          <w:b w:val="0"/>
          <w:bCs w:val="0"/>
          <w:color w:val="000000" w:themeColor="text1"/>
          <w14:textFill>
            <w14:solidFill>
              <w14:schemeClr w14:val="tx1"/>
            </w14:solidFill>
          </w14:textFill>
        </w:rPr>
        <w:t>月</w:t>
      </w:r>
      <w:r>
        <w:rPr>
          <w:rStyle w:val="45"/>
          <w:rFonts w:hint="eastAsia" w:ascii="仿宋" w:hAnsi="仿宋" w:eastAsia="仿宋" w:cs="仿宋"/>
          <w:b w:val="0"/>
          <w:bCs w:val="0"/>
          <w:color w:val="000000" w:themeColor="text1"/>
          <w:lang w:val="en-US" w:eastAsia="zh-CN"/>
          <w14:textFill>
            <w14:solidFill>
              <w14:schemeClr w14:val="tx1"/>
            </w14:solidFill>
          </w14:textFill>
        </w:rPr>
        <w:t>17</w:t>
      </w:r>
      <w:r>
        <w:rPr>
          <w:rStyle w:val="45"/>
          <w:rFonts w:hint="eastAsia" w:ascii="仿宋" w:hAnsi="仿宋" w:eastAsia="仿宋" w:cs="仿宋"/>
          <w:b w:val="0"/>
          <w:bCs w:val="0"/>
          <w:color w:val="000000" w:themeColor="text1"/>
          <w14:textFill>
            <w14:solidFill>
              <w14:schemeClr w14:val="tx1"/>
            </w14:solidFill>
          </w14:textFill>
        </w:rPr>
        <w:t>日，每天上午10:00至14:00，下午15:30至19:30（北京时间，法定节假日除外）</w:t>
      </w:r>
    </w:p>
    <w:p w14:paraId="1D07C6A2">
      <w:pPr>
        <w:pStyle w:val="37"/>
        <w:spacing w:before="0" w:beforeAutospacing="0" w:after="0" w:afterAutospacing="0" w:line="400" w:lineRule="exac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2.获取投标文件地址：政采云平台http://www.zcygov.cn</w:t>
      </w:r>
    </w:p>
    <w:p w14:paraId="43198EBE">
      <w:pPr>
        <w:pStyle w:val="37"/>
        <w:spacing w:before="0" w:beforeAutospacing="0" w:after="0" w:afterAutospacing="0" w:line="400" w:lineRule="exact"/>
        <w:ind w:firstLine="470" w:firstLineChars="196"/>
        <w:rPr>
          <w:rStyle w:val="45"/>
          <w:rFonts w:ascii="仿宋" w:hAnsi="仿宋" w:eastAsia="仿宋" w:cs="仿宋"/>
          <w:b w:val="0"/>
          <w:bCs w:val="0"/>
          <w:color w:val="000000" w:themeColor="text1"/>
          <w14:textFill>
            <w14:solidFill>
              <w14:schemeClr w14:val="tx1"/>
            </w14:solidFill>
          </w14:textFill>
        </w:rPr>
      </w:pPr>
      <w:r>
        <w:rPr>
          <w:rStyle w:val="45"/>
          <w:rFonts w:hint="eastAsia" w:ascii="仿宋" w:hAnsi="仿宋" w:eastAsia="仿宋" w:cs="仿宋"/>
          <w:b w:val="0"/>
          <w:bCs w:val="0"/>
          <w:color w:val="000000" w:themeColor="text1"/>
          <w14:textFill>
            <w14:solidFill>
              <w14:schemeClr w14:val="tx1"/>
            </w14:solidFill>
          </w14:textFill>
        </w:rPr>
        <w:t>3.获取采购文件方式：线上获取。供应商登录政采云平台https://www.zcygov.cn/在线申请获取招标文件（进入“项目采购”应用，在获取采购文件菜单中选择项目，申请获取采购文件，如有操作性问题，可与政采云在线客服进行咨询，咨询电话：95763）。</w:t>
      </w:r>
    </w:p>
    <w:p w14:paraId="001C8876">
      <w:pPr>
        <w:pStyle w:val="37"/>
        <w:tabs>
          <w:tab w:val="center" w:pos="4536"/>
        </w:tabs>
        <w:spacing w:before="0" w:beforeAutospacing="0" w:after="0" w:afterAutospacing="0" w:line="400" w:lineRule="exact"/>
        <w:ind w:firstLine="480" w:firstLineChars="200"/>
        <w:outlineLvl w:val="2"/>
        <w:rPr>
          <w:rStyle w:val="45"/>
          <w:rFonts w:ascii="仿宋" w:hAnsi="仿宋" w:eastAsia="仿宋" w:cs="仿宋"/>
          <w:b w:val="0"/>
          <w:bCs w:val="0"/>
          <w:color w:val="000000" w:themeColor="text1"/>
          <w14:textFill>
            <w14:solidFill>
              <w14:schemeClr w14:val="tx1"/>
            </w14:solidFill>
          </w14:textFill>
        </w:rPr>
      </w:pPr>
      <w:r>
        <w:rPr>
          <w:rStyle w:val="45"/>
          <w:rFonts w:hint="eastAsia" w:ascii="仿宋" w:hAnsi="仿宋" w:eastAsia="仿宋" w:cs="仿宋"/>
          <w:b w:val="0"/>
          <w:bCs w:val="0"/>
          <w:color w:val="000000" w:themeColor="text1"/>
          <w14:textFill>
            <w14:solidFill>
              <w14:schemeClr w14:val="tx1"/>
            </w14:solidFill>
          </w14:textFill>
        </w:rPr>
        <w:t>4.采购标文件售价（元）：0元/份</w:t>
      </w:r>
      <w:r>
        <w:rPr>
          <w:rStyle w:val="45"/>
          <w:rFonts w:hint="eastAsia" w:ascii="仿宋" w:hAnsi="仿宋" w:eastAsia="仿宋" w:cs="仿宋"/>
          <w:b w:val="0"/>
          <w:bCs w:val="0"/>
          <w:color w:val="000000" w:themeColor="text1"/>
          <w14:textFill>
            <w14:solidFill>
              <w14:schemeClr w14:val="tx1"/>
            </w14:solidFill>
          </w14:textFill>
        </w:rPr>
        <w:tab/>
      </w:r>
    </w:p>
    <w:p w14:paraId="342CE0A3">
      <w:pPr>
        <w:pStyle w:val="5"/>
        <w:spacing w:line="400" w:lineRule="exact"/>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四、提交投标文件截止时间、开标时间和地点</w:t>
      </w:r>
    </w:p>
    <w:p w14:paraId="05E26719">
      <w:pPr>
        <w:spacing w:line="400" w:lineRule="exact"/>
        <w:ind w:firstLine="480" w:firstLineChars="200"/>
        <w:rPr>
          <w:rStyle w:val="45"/>
          <w:rFonts w:ascii="仿宋" w:hAnsi="仿宋" w:eastAsia="仿宋" w:cs="仿宋"/>
          <w:b w:val="0"/>
          <w:bCs w:val="0"/>
          <w:color w:val="000000" w:themeColor="text1"/>
          <w:kern w:val="0"/>
          <w:sz w:val="24"/>
          <w:szCs w:val="24"/>
          <w14:textFill>
            <w14:solidFill>
              <w14:schemeClr w14:val="tx1"/>
            </w14:solidFill>
          </w14:textFill>
        </w:rPr>
      </w:pPr>
      <w:r>
        <w:rPr>
          <w:rStyle w:val="45"/>
          <w:rFonts w:hint="eastAsia" w:ascii="仿宋" w:hAnsi="仿宋" w:eastAsia="仿宋" w:cs="仿宋"/>
          <w:b w:val="0"/>
          <w:bCs w:val="0"/>
          <w:color w:val="000000" w:themeColor="text1"/>
          <w:kern w:val="0"/>
          <w:sz w:val="24"/>
          <w:szCs w:val="24"/>
          <w14:textFill>
            <w14:solidFill>
              <w14:schemeClr w14:val="tx1"/>
            </w14:solidFill>
          </w14:textFill>
        </w:rPr>
        <w:t>1.提交投标文件截止时间、开标时间：</w:t>
      </w:r>
      <w:r>
        <w:rPr>
          <w:rFonts w:hint="eastAsia" w:ascii="仿宋" w:hAnsi="仿宋" w:eastAsia="仿宋" w:cs="仿宋"/>
          <w:color w:val="000000" w:themeColor="text1"/>
          <w:sz w:val="24"/>
          <w:szCs w:val="24"/>
          <w14:textFill>
            <w14:solidFill>
              <w14:schemeClr w14:val="tx1"/>
            </w14:solidFill>
          </w14:textFill>
        </w:rPr>
        <w:t>2024年</w:t>
      </w:r>
      <w:r>
        <w:rPr>
          <w:rFonts w:hint="eastAsia" w:ascii="仿宋" w:hAnsi="仿宋" w:eastAsia="仿宋" w:cs="仿宋"/>
          <w:color w:val="000000" w:themeColor="text1"/>
          <w:sz w:val="24"/>
          <w:szCs w:val="24"/>
          <w:lang w:val="en-US" w:eastAsia="zh-CN"/>
          <w14:textFill>
            <w14:solidFill>
              <w14:schemeClr w14:val="tx1"/>
            </w14:solidFill>
          </w14:textFill>
        </w:rPr>
        <w:t>11</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日</w:t>
      </w:r>
      <w:r>
        <w:rPr>
          <w:rFonts w:hint="eastAsia" w:ascii="仿宋" w:hAnsi="仿宋" w:eastAsia="仿宋" w:cs="仿宋"/>
          <w:color w:val="000000" w:themeColor="text1"/>
          <w:sz w:val="24"/>
          <w:szCs w:val="24"/>
          <w:lang w:val="en-US" w:eastAsia="zh-CN"/>
          <w14:textFill>
            <w14:solidFill>
              <w14:schemeClr w14:val="tx1"/>
            </w14:solidFill>
          </w14:textFill>
        </w:rPr>
        <w:t>11</w:t>
      </w:r>
      <w:r>
        <w:rPr>
          <w:rFonts w:hint="eastAsia" w:ascii="仿宋" w:hAnsi="仿宋" w:eastAsia="仿宋" w:cs="仿宋"/>
          <w:color w:val="000000" w:themeColor="text1"/>
          <w:sz w:val="24"/>
          <w:szCs w:val="24"/>
          <w14:textFill>
            <w14:solidFill>
              <w14:schemeClr w14:val="tx1"/>
            </w14:solidFill>
          </w14:textFill>
        </w:rPr>
        <w:t>点00分</w:t>
      </w:r>
      <w:r>
        <w:rPr>
          <w:rStyle w:val="45"/>
          <w:rFonts w:hint="eastAsia" w:ascii="仿宋" w:hAnsi="仿宋" w:eastAsia="仿宋" w:cs="仿宋"/>
          <w:b w:val="0"/>
          <w:bCs w:val="0"/>
          <w:color w:val="000000" w:themeColor="text1"/>
          <w:kern w:val="0"/>
          <w:sz w:val="24"/>
          <w:szCs w:val="24"/>
          <w14:textFill>
            <w14:solidFill>
              <w14:schemeClr w14:val="tx1"/>
            </w14:solidFill>
          </w14:textFill>
        </w:rPr>
        <w:t>（北京时间）</w:t>
      </w:r>
    </w:p>
    <w:p w14:paraId="642C6F27">
      <w:pPr>
        <w:pStyle w:val="37"/>
        <w:spacing w:before="0" w:beforeAutospacing="0" w:after="0" w:afterAutospacing="0" w:line="400" w:lineRule="exact"/>
        <w:ind w:firstLine="480" w:firstLineChars="200"/>
        <w:rPr>
          <w:rFonts w:ascii="仿宋" w:hAnsi="仿宋" w:eastAsia="仿宋" w:cs="仿宋"/>
          <w:color w:val="000000" w:themeColor="text1"/>
          <w14:textFill>
            <w14:solidFill>
              <w14:schemeClr w14:val="tx1"/>
            </w14:solidFill>
          </w14:textFill>
        </w:rPr>
      </w:pPr>
      <w:r>
        <w:rPr>
          <w:rStyle w:val="45"/>
          <w:rFonts w:hint="eastAsia" w:ascii="仿宋" w:hAnsi="仿宋" w:eastAsia="仿宋" w:cs="仿宋"/>
          <w:b w:val="0"/>
          <w:bCs w:val="0"/>
          <w:color w:val="000000" w:themeColor="text1"/>
          <w14:textFill>
            <w14:solidFill>
              <w14:schemeClr w14:val="tx1"/>
            </w14:solidFill>
          </w14:textFill>
        </w:rPr>
        <w:t>2.地点：</w:t>
      </w:r>
      <w:r>
        <w:rPr>
          <w:rFonts w:hint="eastAsia" w:ascii="仿宋" w:hAnsi="仿宋" w:eastAsia="仿宋" w:cs="仿宋"/>
          <w:color w:val="000000" w:themeColor="text1"/>
          <w14:textFill>
            <w14:solidFill>
              <w14:schemeClr w14:val="tx1"/>
            </w14:solidFill>
          </w14:textFill>
        </w:rPr>
        <w:t>政采云平台http://www.zcygov.cn</w:t>
      </w:r>
    </w:p>
    <w:p w14:paraId="0BC3EF90">
      <w:pPr>
        <w:pStyle w:val="5"/>
        <w:spacing w:line="400" w:lineRule="exact"/>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五、公告期限</w:t>
      </w:r>
    </w:p>
    <w:p w14:paraId="2D54E1D9">
      <w:pPr>
        <w:pStyle w:val="5"/>
        <w:spacing w:line="400" w:lineRule="exact"/>
        <w:ind w:firstLine="480" w:firstLineChars="200"/>
        <w:rPr>
          <w:rFonts w:ascii="仿宋" w:hAnsi="仿宋" w:eastAsia="仿宋" w:cs="仿宋"/>
          <w:bCs w:val="0"/>
          <w:color w:val="000000" w:themeColor="text1"/>
          <w:kern w:val="0"/>
          <w:sz w:val="24"/>
          <w:szCs w:val="24"/>
          <w14:textFill>
            <w14:solidFill>
              <w14:schemeClr w14:val="tx1"/>
            </w14:solidFill>
          </w14:textFill>
        </w:rPr>
      </w:pPr>
      <w:r>
        <w:rPr>
          <w:rFonts w:hint="eastAsia" w:ascii="仿宋" w:hAnsi="仿宋" w:eastAsia="仿宋" w:cs="仿宋"/>
          <w:bCs w:val="0"/>
          <w:color w:val="000000" w:themeColor="text1"/>
          <w:kern w:val="0"/>
          <w:sz w:val="24"/>
          <w:szCs w:val="24"/>
          <w14:textFill>
            <w14:solidFill>
              <w14:schemeClr w14:val="tx1"/>
            </w14:solidFill>
          </w14:textFill>
        </w:rPr>
        <w:t>招标公告及招标文件公告期限为自本公告发布之日起5个工作日。</w:t>
      </w:r>
    </w:p>
    <w:p w14:paraId="34A7CD80">
      <w:pPr>
        <w:pStyle w:val="5"/>
        <w:spacing w:line="400" w:lineRule="exact"/>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六、其他补充事宜</w:t>
      </w:r>
    </w:p>
    <w:p w14:paraId="2513D26C">
      <w:pPr>
        <w:spacing w:line="400" w:lineRule="exact"/>
        <w:ind w:firstLine="480" w:firstLineChars="200"/>
        <w:outlineLvl w:val="2"/>
        <w:rPr>
          <w:rStyle w:val="45"/>
          <w:rFonts w:eastAsia="仿宋"/>
          <w:b w:val="0"/>
          <w:bCs w:val="0"/>
          <w:color w:val="000000" w:themeColor="text1"/>
          <w:kern w:val="0"/>
          <w:sz w:val="24"/>
          <w:szCs w:val="24"/>
          <w14:textFill>
            <w14:solidFill>
              <w14:schemeClr w14:val="tx1"/>
            </w14:solidFill>
          </w14:textFill>
        </w:rPr>
      </w:pPr>
      <w:r>
        <w:rPr>
          <w:rStyle w:val="45"/>
          <w:rFonts w:eastAsia="仿宋"/>
          <w:b w:val="0"/>
          <w:bCs w:val="0"/>
          <w:color w:val="000000" w:themeColor="text1"/>
          <w:kern w:val="0"/>
          <w:sz w:val="24"/>
          <w:szCs w:val="24"/>
          <w14:textFill>
            <w14:solidFill>
              <w14:schemeClr w14:val="tx1"/>
            </w14:solidFill>
          </w14:textFill>
        </w:rPr>
        <w:t xml:space="preserve"> 1、各供应商应在开标前确保成为新疆维吾尔自治区政府采购网正式注册入库供应商，并完成CA数字证书申领。因未注册入库、未办理CA数字证书等原因造成无法投标或投标失败等后果由供应商自行承担。</w:t>
      </w:r>
    </w:p>
    <w:p w14:paraId="21AB6542">
      <w:pPr>
        <w:spacing w:line="400" w:lineRule="exact"/>
        <w:ind w:firstLine="480" w:firstLineChars="200"/>
        <w:outlineLvl w:val="2"/>
        <w:rPr>
          <w:rStyle w:val="45"/>
          <w:rFonts w:eastAsia="仿宋"/>
          <w:b w:val="0"/>
          <w:bCs w:val="0"/>
          <w:color w:val="000000" w:themeColor="text1"/>
          <w:kern w:val="0"/>
          <w:sz w:val="24"/>
          <w:szCs w:val="24"/>
          <w14:textFill>
            <w14:solidFill>
              <w14:schemeClr w14:val="tx1"/>
            </w14:solidFill>
          </w14:textFill>
        </w:rPr>
      </w:pPr>
      <w:r>
        <w:rPr>
          <w:rStyle w:val="45"/>
          <w:rFonts w:eastAsia="仿宋"/>
          <w:b w:val="0"/>
          <w:bCs w:val="0"/>
          <w:color w:val="000000" w:themeColor="text1"/>
          <w:kern w:val="0"/>
          <w:sz w:val="24"/>
          <w:szCs w:val="24"/>
          <w14:textFill>
            <w14:solidFill>
              <w14:schemeClr w14:val="tx1"/>
            </w14:solidFill>
          </w14:textFill>
        </w:rPr>
        <w:t>2、有意向参与新疆区域电子开评标的投标人，可访问新疆数字证书认证中心官方网站（https://www.xjca.com.cn/）或下载“新疆政务通”APP自行进行申领。如需咨询，请联系新疆CA服务热线0991-2819290。</w:t>
      </w:r>
    </w:p>
    <w:p w14:paraId="5D769CE2">
      <w:pPr>
        <w:spacing w:line="400" w:lineRule="exact"/>
        <w:ind w:firstLine="480" w:firstLineChars="200"/>
        <w:outlineLvl w:val="2"/>
        <w:rPr>
          <w:rStyle w:val="45"/>
          <w:rFonts w:eastAsia="仿宋"/>
          <w:b w:val="0"/>
          <w:bCs w:val="0"/>
          <w:color w:val="000000" w:themeColor="text1"/>
          <w:kern w:val="0"/>
          <w:sz w:val="24"/>
          <w:szCs w:val="24"/>
          <w14:textFill>
            <w14:solidFill>
              <w14:schemeClr w14:val="tx1"/>
            </w14:solidFill>
          </w14:textFill>
        </w:rPr>
      </w:pPr>
      <w:r>
        <w:rPr>
          <w:rStyle w:val="45"/>
          <w:rFonts w:eastAsia="仿宋"/>
          <w:b w:val="0"/>
          <w:bCs w:val="0"/>
          <w:color w:val="000000" w:themeColor="text1"/>
          <w:kern w:val="0"/>
          <w:sz w:val="24"/>
          <w:szCs w:val="24"/>
          <w14:textFill>
            <w14:solidFill>
              <w14:schemeClr w14:val="tx1"/>
            </w14:solidFill>
          </w14:textFill>
        </w:rPr>
        <w:t>3、供应商可前往新疆政府采购网（http://www.ccgp-xinjiang.gov.cn/）下载专区，下载政采云电子投标客户端，安装完成后，可通过账号密码或CA登录客户端进行响应文件制作。如有问题可拨打政采云客户服务热线400-881-7190进行咨询。</w:t>
      </w:r>
    </w:p>
    <w:p w14:paraId="6D538B05">
      <w:pPr>
        <w:spacing w:line="400" w:lineRule="exact"/>
        <w:ind w:firstLine="480" w:firstLineChars="200"/>
        <w:outlineLvl w:val="2"/>
        <w:rPr>
          <w:rStyle w:val="45"/>
          <w:rFonts w:eastAsia="仿宋"/>
          <w:b w:val="0"/>
          <w:bCs w:val="0"/>
          <w:color w:val="000000" w:themeColor="text1"/>
          <w:kern w:val="0"/>
          <w:sz w:val="24"/>
          <w:szCs w:val="24"/>
          <w14:textFill>
            <w14:solidFill>
              <w14:schemeClr w14:val="tx1"/>
            </w14:solidFill>
          </w14:textFill>
        </w:rPr>
      </w:pPr>
      <w:r>
        <w:rPr>
          <w:rStyle w:val="45"/>
          <w:rFonts w:eastAsia="仿宋"/>
          <w:b w:val="0"/>
          <w:bCs w:val="0"/>
          <w:color w:val="000000" w:themeColor="text1"/>
          <w:kern w:val="0"/>
          <w:sz w:val="24"/>
          <w:szCs w:val="24"/>
          <w14:textFill>
            <w14:solidFill>
              <w14:schemeClr w14:val="tx1"/>
            </w14:solidFill>
          </w14:textFill>
        </w:rPr>
        <w:t>4、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001F5374">
      <w:pPr>
        <w:spacing w:line="400" w:lineRule="exact"/>
        <w:ind w:firstLine="480" w:firstLineChars="200"/>
        <w:outlineLvl w:val="2"/>
        <w:rPr>
          <w:rStyle w:val="45"/>
          <w:rFonts w:eastAsia="仿宋"/>
          <w:b w:val="0"/>
          <w:bCs w:val="0"/>
          <w:color w:val="000000" w:themeColor="text1"/>
          <w:kern w:val="0"/>
          <w:sz w:val="24"/>
          <w:szCs w:val="24"/>
          <w14:textFill>
            <w14:solidFill>
              <w14:schemeClr w14:val="tx1"/>
            </w14:solidFill>
          </w14:textFill>
        </w:rPr>
      </w:pPr>
      <w:r>
        <w:rPr>
          <w:rStyle w:val="45"/>
          <w:rFonts w:eastAsia="仿宋"/>
          <w:b w:val="0"/>
          <w:bCs w:val="0"/>
          <w:color w:val="000000" w:themeColor="text1"/>
          <w:kern w:val="0"/>
          <w:sz w:val="24"/>
          <w:szCs w:val="24"/>
          <w14:textFill>
            <w14:solidFill>
              <w14:schemeClr w14:val="tx1"/>
            </w14:solidFill>
          </w14:textFill>
        </w:rPr>
        <w:t>5、供应商在开标前须提前配置好电脑浏览器（建议使用360浏览器或谷歌浏览器），开标时请使用制作加密电子响应文件的CA锁进行解密及报价确认。本项目响应文件解密时间定为</w:t>
      </w:r>
      <w:r>
        <w:rPr>
          <w:rStyle w:val="45"/>
          <w:rFonts w:hint="eastAsia" w:eastAsia="仿宋"/>
          <w:b w:val="0"/>
          <w:bCs w:val="0"/>
          <w:color w:val="000000" w:themeColor="text1"/>
          <w:kern w:val="0"/>
          <w:sz w:val="24"/>
          <w:szCs w:val="24"/>
          <w14:textFill>
            <w14:solidFill>
              <w14:schemeClr w14:val="tx1"/>
            </w14:solidFill>
          </w14:textFill>
        </w:rPr>
        <w:t>3</w:t>
      </w:r>
      <w:r>
        <w:rPr>
          <w:rStyle w:val="45"/>
          <w:rFonts w:eastAsia="仿宋"/>
          <w:b w:val="0"/>
          <w:bCs w:val="0"/>
          <w:color w:val="000000" w:themeColor="text1"/>
          <w:kern w:val="0"/>
          <w:sz w:val="24"/>
          <w:szCs w:val="24"/>
          <w14:textFill>
            <w14:solidFill>
              <w14:schemeClr w14:val="tx1"/>
            </w14:solidFill>
          </w14:textFill>
        </w:rPr>
        <w:t>0分钟，如因自身原因（如：浏览器故障、未安装相关驱动、网络故障、加密CA与解密CA不一致等）导致无法正常解密，后果由供应商自行承担。</w:t>
      </w:r>
    </w:p>
    <w:p w14:paraId="4F1D0CEE">
      <w:pPr>
        <w:spacing w:line="400" w:lineRule="exact"/>
        <w:ind w:firstLine="480" w:firstLineChars="200"/>
        <w:outlineLvl w:val="2"/>
      </w:pPr>
      <w:r>
        <w:rPr>
          <w:rStyle w:val="45"/>
          <w:rFonts w:eastAsia="仿宋"/>
          <w:b w:val="0"/>
          <w:bCs w:val="0"/>
          <w:color w:val="000000" w:themeColor="text1"/>
          <w:kern w:val="0"/>
          <w:sz w:val="24"/>
          <w:szCs w:val="24"/>
          <w14:textFill>
            <w14:solidFill>
              <w14:schemeClr w14:val="tx1"/>
            </w14:solidFill>
          </w14:textFill>
        </w:rPr>
        <w:t>6、为了保证开评标顺利进行，投标人开标所使用的电脑设备须具有视频及语音功能。</w:t>
      </w:r>
    </w:p>
    <w:p w14:paraId="4FFAA600">
      <w:pPr>
        <w:pStyle w:val="37"/>
        <w:spacing w:before="0" w:beforeAutospacing="0" w:after="0" w:afterAutospacing="0" w:line="400" w:lineRule="exact"/>
        <w:outlineLvl w:val="1"/>
        <w:rPr>
          <w:rFonts w:ascii="仿宋" w:hAnsi="仿宋" w:eastAsia="仿宋" w:cs="仿宋"/>
          <w:b/>
          <w:bCs/>
          <w:color w:val="000000" w:themeColor="text1"/>
          <w14:textFill>
            <w14:solidFill>
              <w14:schemeClr w14:val="tx1"/>
            </w14:solidFill>
          </w14:textFill>
        </w:rPr>
      </w:pPr>
      <w:bookmarkStart w:id="20" w:name="_Toc3612"/>
      <w:bookmarkStart w:id="21" w:name="_Toc2170"/>
      <w:r>
        <w:rPr>
          <w:rFonts w:hint="eastAsia" w:ascii="仿宋" w:hAnsi="仿宋" w:eastAsia="仿宋" w:cs="仿宋"/>
          <w:b/>
          <w:bCs/>
          <w:color w:val="000000" w:themeColor="text1"/>
          <w14:textFill>
            <w14:solidFill>
              <w14:schemeClr w14:val="tx1"/>
            </w14:solidFill>
          </w14:textFill>
        </w:rPr>
        <w:t>七、联系方式</w:t>
      </w:r>
      <w:bookmarkEnd w:id="20"/>
      <w:bookmarkEnd w:id="21"/>
    </w:p>
    <w:p w14:paraId="18A100F7">
      <w:pPr>
        <w:widowControl/>
        <w:shd w:val="clear" w:color="auto" w:fill="FFFFFF"/>
        <w:spacing w:line="400" w:lineRule="exact"/>
        <w:ind w:firstLine="480" w:firstLineChars="200"/>
        <w:jc w:val="left"/>
        <w:outlineLvl w:val="2"/>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1.名 称：</w:t>
      </w:r>
      <w:r>
        <w:rPr>
          <w:rFonts w:hint="eastAsia" w:ascii="仿宋" w:hAnsi="仿宋" w:eastAsia="仿宋" w:cs="仿宋"/>
          <w:color w:val="000000" w:themeColor="text1"/>
          <w:sz w:val="24"/>
          <w:szCs w:val="24"/>
          <w:lang w:eastAsia="zh-CN"/>
          <w14:textFill>
            <w14:solidFill>
              <w14:schemeClr w14:val="tx1"/>
            </w14:solidFill>
          </w14:textFill>
        </w:rPr>
        <w:t>新疆维吾尔自治区第二济困医院（新疆维吾尔自治 区中西医结合医院、新疆维吾尔自治区第五人民医院）</w:t>
      </w:r>
    </w:p>
    <w:p w14:paraId="47804B38">
      <w:pPr>
        <w:pStyle w:val="37"/>
        <w:spacing w:before="0" w:beforeAutospacing="0" w:after="0" w:afterAutospacing="0" w:line="400" w:lineRule="exact"/>
        <w:ind w:firstLine="470" w:firstLineChars="196"/>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联系人：</w:t>
      </w:r>
      <w:r>
        <w:rPr>
          <w:rFonts w:hint="eastAsia" w:ascii="仿宋" w:hAnsi="仿宋" w:eastAsia="仿宋" w:cs="仿宋"/>
          <w:color w:val="000000" w:themeColor="text1"/>
          <w:highlight w:val="none"/>
          <w:lang w:val="en-US" w:eastAsia="zh-CN"/>
          <w14:textFill>
            <w14:solidFill>
              <w14:schemeClr w14:val="tx1"/>
            </w14:solidFill>
          </w14:textFill>
        </w:rPr>
        <w:t>刘艳萍</w:t>
      </w:r>
    </w:p>
    <w:p w14:paraId="24D2F17E">
      <w:pPr>
        <w:pStyle w:val="37"/>
        <w:spacing w:before="0" w:beforeAutospacing="0" w:after="0" w:afterAutospacing="0" w:line="400" w:lineRule="exact"/>
        <w:ind w:firstLine="470" w:firstLineChars="196"/>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联系电话：</w:t>
      </w:r>
      <w:r>
        <w:rPr>
          <w:rFonts w:hint="eastAsia" w:ascii="仿宋" w:hAnsi="仿宋" w:eastAsia="仿宋" w:cs="仿宋"/>
          <w:color w:val="000000" w:themeColor="text1"/>
          <w:highlight w:val="none"/>
          <w:lang w:val="en-US" w:eastAsia="zh-CN"/>
          <w14:textFill>
            <w14:solidFill>
              <w14:schemeClr w14:val="tx1"/>
            </w14:solidFill>
          </w14:textFill>
        </w:rPr>
        <w:t xml:space="preserve"> 0991-5269101</w:t>
      </w:r>
    </w:p>
    <w:p w14:paraId="2B039BBE">
      <w:pPr>
        <w:pStyle w:val="37"/>
        <w:spacing w:before="0" w:beforeAutospacing="0" w:after="0" w:afterAutospacing="0" w:line="400" w:lineRule="exact"/>
        <w:ind w:firstLine="468" w:firstLineChars="195"/>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地址：</w:t>
      </w:r>
      <w:r>
        <w:rPr>
          <w:rFonts w:hint="eastAsia" w:ascii="仿宋" w:hAnsi="仿宋" w:eastAsia="仿宋" w:cs="仿宋"/>
          <w:color w:val="000000" w:themeColor="text1"/>
          <w:lang w:eastAsia="zh-CN"/>
          <w14:textFill>
            <w14:solidFill>
              <w14:schemeClr w14:val="tx1"/>
            </w14:solidFill>
          </w14:textFill>
        </w:rPr>
        <w:t xml:space="preserve">乌鲁木齐市新市区喀什西路159号 </w:t>
      </w:r>
    </w:p>
    <w:p w14:paraId="63C35316">
      <w:pPr>
        <w:widowControl/>
        <w:shd w:val="clear" w:color="auto" w:fill="FFFFFF"/>
        <w:spacing w:line="400" w:lineRule="exact"/>
        <w:ind w:firstLine="480" w:firstLineChars="200"/>
        <w:jc w:val="left"/>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2.采购代理机构名称：新疆华域建设工程项目管理咨询有限公司</w:t>
      </w:r>
    </w:p>
    <w:p w14:paraId="2EF2DCC1">
      <w:pPr>
        <w:pStyle w:val="37"/>
        <w:spacing w:before="0" w:beforeAutospacing="0" w:after="0" w:afterAutospacing="0" w:line="400" w:lineRule="exact"/>
        <w:ind w:firstLine="468" w:firstLineChars="195"/>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联系人：王鹤宇、李娟娟</w:t>
      </w:r>
    </w:p>
    <w:p w14:paraId="70369A3D">
      <w:pPr>
        <w:pStyle w:val="37"/>
        <w:spacing w:before="0" w:beforeAutospacing="0" w:after="0" w:afterAutospacing="0" w:line="400" w:lineRule="exact"/>
        <w:ind w:firstLine="470" w:firstLineChars="196"/>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联系电话：18997972745、0991-4630336</w:t>
      </w:r>
    </w:p>
    <w:p w14:paraId="31879629">
      <w:pPr>
        <w:pStyle w:val="37"/>
        <w:spacing w:before="0" w:beforeAutospacing="0" w:after="0" w:afterAutospacing="0" w:line="400" w:lineRule="exact"/>
        <w:ind w:firstLine="468" w:firstLineChars="195"/>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地址：乌鲁木齐市五星北路194号新地园大厦13楼</w:t>
      </w:r>
    </w:p>
    <w:p w14:paraId="311140DF">
      <w:pPr>
        <w:widowControl/>
        <w:shd w:val="clear" w:color="auto" w:fill="FFFFFF"/>
        <w:spacing w:line="400" w:lineRule="exact"/>
        <w:ind w:firstLine="352" w:firstLineChars="147"/>
        <w:jc w:val="left"/>
        <w:rPr>
          <w:rFonts w:ascii="仿宋" w:hAnsi="仿宋" w:eastAsia="仿宋" w:cs="仿宋"/>
          <w:color w:val="000000" w:themeColor="text1"/>
          <w:kern w:val="0"/>
          <w:sz w:val="24"/>
          <w:szCs w:val="24"/>
          <w14:textFill>
            <w14:solidFill>
              <w14:schemeClr w14:val="tx1"/>
            </w14:solidFill>
          </w14:textFill>
        </w:rPr>
      </w:pPr>
    </w:p>
    <w:p w14:paraId="266BBB43">
      <w:pP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br w:type="page"/>
      </w:r>
    </w:p>
    <w:p w14:paraId="39A236E2">
      <w:pPr>
        <w:jc w:val="center"/>
        <w:outlineLvl w:val="0"/>
        <w:rPr>
          <w:rFonts w:ascii="仿宋" w:hAnsi="仿宋" w:eastAsia="仿宋" w:cs="仿宋"/>
          <w:b/>
          <w:color w:val="000000" w:themeColor="text1"/>
          <w:sz w:val="24"/>
          <w:szCs w:val="24"/>
          <w14:textFill>
            <w14:solidFill>
              <w14:schemeClr w14:val="tx1"/>
            </w14:solidFill>
          </w14:textFill>
        </w:rPr>
      </w:pPr>
      <w:bookmarkStart w:id="22" w:name="_Toc21866"/>
      <w:r>
        <w:rPr>
          <w:rFonts w:hint="eastAsia" w:ascii="仿宋" w:hAnsi="仿宋" w:eastAsia="仿宋" w:cs="仿宋"/>
          <w:b/>
          <w:color w:val="000000" w:themeColor="text1"/>
          <w:sz w:val="24"/>
          <w:szCs w:val="24"/>
          <w14:textFill>
            <w14:solidFill>
              <w14:schemeClr w14:val="tx1"/>
            </w14:solidFill>
          </w14:textFill>
        </w:rPr>
        <w:t>第二章  供应商须知</w:t>
      </w:r>
      <w:bookmarkEnd w:id="4"/>
      <w:bookmarkEnd w:id="5"/>
      <w:bookmarkEnd w:id="6"/>
      <w:bookmarkEnd w:id="7"/>
      <w:bookmarkEnd w:id="22"/>
      <w:bookmarkStart w:id="23" w:name="_Toc349637919"/>
      <w:bookmarkStart w:id="24" w:name="_Toc349573120"/>
      <w:bookmarkStart w:id="25" w:name="_Toc267301281"/>
      <w:bookmarkStart w:id="26" w:name="_Toc298240404"/>
    </w:p>
    <w:p w14:paraId="408AE780">
      <w:pPr>
        <w:spacing w:line="400" w:lineRule="exact"/>
        <w:jc w:val="center"/>
        <w:rPr>
          <w:rFonts w:ascii="仿宋" w:hAnsi="仿宋" w:eastAsia="仿宋" w:cs="仿宋"/>
          <w:b/>
          <w:color w:val="000000" w:themeColor="text1"/>
          <w:sz w:val="24"/>
          <w:szCs w:val="24"/>
          <w14:textFill>
            <w14:solidFill>
              <w14:schemeClr w14:val="tx1"/>
            </w14:solidFill>
          </w14:textFill>
        </w:rPr>
      </w:pPr>
      <w:bookmarkStart w:id="27" w:name="_Toc462223631"/>
      <w:r>
        <w:rPr>
          <w:rFonts w:hint="eastAsia" w:ascii="仿宋" w:hAnsi="仿宋" w:eastAsia="仿宋" w:cs="仿宋"/>
          <w:b/>
          <w:color w:val="000000" w:themeColor="text1"/>
          <w:sz w:val="24"/>
          <w:szCs w:val="24"/>
          <w14:textFill>
            <w14:solidFill>
              <w14:schemeClr w14:val="tx1"/>
            </w14:solidFill>
          </w14:textFill>
        </w:rPr>
        <w:t>供应商须知前附表</w:t>
      </w:r>
      <w:bookmarkEnd w:id="23"/>
      <w:bookmarkEnd w:id="24"/>
      <w:bookmarkEnd w:id="25"/>
      <w:bookmarkEnd w:id="26"/>
      <w:bookmarkEnd w:id="27"/>
    </w:p>
    <w:tbl>
      <w:tblPr>
        <w:tblStyle w:val="42"/>
        <w:tblW w:w="976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121"/>
        <w:gridCol w:w="2512"/>
        <w:gridCol w:w="6130"/>
      </w:tblGrid>
      <w:tr w14:paraId="456754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822" w:hRule="atLeast"/>
          <w:tblHeader/>
          <w:jc w:val="center"/>
        </w:trPr>
        <w:tc>
          <w:tcPr>
            <w:tcW w:w="1121" w:type="dxa"/>
            <w:shd w:val="clear" w:color="auto" w:fill="auto"/>
            <w:vAlign w:val="center"/>
          </w:tcPr>
          <w:p w14:paraId="690E6386">
            <w:pPr>
              <w:adjustRightInd w:val="0"/>
              <w:snapToGrid w:val="0"/>
              <w:spacing w:before="120" w:beforeLines="50"/>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序列号</w:t>
            </w:r>
          </w:p>
        </w:tc>
        <w:tc>
          <w:tcPr>
            <w:tcW w:w="2512" w:type="dxa"/>
            <w:shd w:val="clear" w:color="auto" w:fill="auto"/>
            <w:vAlign w:val="center"/>
          </w:tcPr>
          <w:p w14:paraId="4FAB96C6">
            <w:pPr>
              <w:adjustRightInd w:val="0"/>
              <w:snapToGrid w:val="0"/>
              <w:spacing w:before="120" w:beforeLines="50"/>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条款名称</w:t>
            </w:r>
          </w:p>
        </w:tc>
        <w:tc>
          <w:tcPr>
            <w:tcW w:w="6130" w:type="dxa"/>
            <w:shd w:val="clear" w:color="auto" w:fill="auto"/>
            <w:vAlign w:val="center"/>
          </w:tcPr>
          <w:p w14:paraId="7FE46FB5">
            <w:pPr>
              <w:adjustRightInd w:val="0"/>
              <w:snapToGrid w:val="0"/>
              <w:spacing w:before="120" w:beforeLines="50"/>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编列内容规定</w:t>
            </w:r>
          </w:p>
        </w:tc>
      </w:tr>
      <w:tr w14:paraId="5B7BDB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80" w:hRule="atLeast"/>
          <w:jc w:val="center"/>
        </w:trPr>
        <w:tc>
          <w:tcPr>
            <w:tcW w:w="1121" w:type="dxa"/>
            <w:shd w:val="clear" w:color="auto" w:fill="auto"/>
            <w:vAlign w:val="center"/>
          </w:tcPr>
          <w:p w14:paraId="2020A035">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w:t>
            </w:r>
          </w:p>
        </w:tc>
        <w:tc>
          <w:tcPr>
            <w:tcW w:w="2512" w:type="dxa"/>
            <w:shd w:val="clear" w:color="auto" w:fill="auto"/>
            <w:vAlign w:val="center"/>
          </w:tcPr>
          <w:p w14:paraId="02B5CD56">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项目名称</w:t>
            </w:r>
          </w:p>
        </w:tc>
        <w:tc>
          <w:tcPr>
            <w:tcW w:w="6130" w:type="dxa"/>
            <w:shd w:val="clear" w:color="auto" w:fill="auto"/>
            <w:vAlign w:val="center"/>
          </w:tcPr>
          <w:p w14:paraId="38CD0478">
            <w:pPr>
              <w:pStyle w:val="37"/>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kern w:val="2"/>
                <w:highlight w:val="none"/>
                <w:lang w:eastAsia="zh-CN"/>
                <w14:textFill>
                  <w14:solidFill>
                    <w14:schemeClr w14:val="tx1"/>
                  </w14:solidFill>
                </w14:textFill>
              </w:rPr>
              <w:t>自治区第二济困医院（自治区中西医结合医院、自治区第五人民医院）电子病历应用水平四级建设项目</w:t>
            </w:r>
          </w:p>
        </w:tc>
      </w:tr>
      <w:tr w14:paraId="089FE5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892" w:hRule="atLeast"/>
          <w:jc w:val="center"/>
        </w:trPr>
        <w:tc>
          <w:tcPr>
            <w:tcW w:w="1121" w:type="dxa"/>
            <w:shd w:val="clear" w:color="auto" w:fill="auto"/>
            <w:vAlign w:val="center"/>
          </w:tcPr>
          <w:p w14:paraId="3EC65C78">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w:t>
            </w:r>
          </w:p>
        </w:tc>
        <w:tc>
          <w:tcPr>
            <w:tcW w:w="2512" w:type="dxa"/>
            <w:shd w:val="clear" w:color="auto" w:fill="auto"/>
            <w:vAlign w:val="center"/>
          </w:tcPr>
          <w:p w14:paraId="12057E7E">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采购人</w:t>
            </w:r>
          </w:p>
        </w:tc>
        <w:tc>
          <w:tcPr>
            <w:tcW w:w="6130" w:type="dxa"/>
            <w:shd w:val="clear" w:color="auto" w:fill="auto"/>
            <w:vAlign w:val="center"/>
          </w:tcPr>
          <w:p w14:paraId="0BDDCD0D">
            <w:pPr>
              <w:spacing w:line="440" w:lineRule="exact"/>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名 称：</w:t>
            </w:r>
            <w:r>
              <w:rPr>
                <w:rFonts w:hint="eastAsia" w:ascii="仿宋" w:hAnsi="仿宋" w:eastAsia="仿宋" w:cs="仿宋"/>
                <w:color w:val="000000" w:themeColor="text1"/>
                <w:sz w:val="24"/>
                <w:szCs w:val="24"/>
                <w:highlight w:val="none"/>
                <w:lang w:eastAsia="zh-CN"/>
                <w14:textFill>
                  <w14:solidFill>
                    <w14:schemeClr w14:val="tx1"/>
                  </w14:solidFill>
                </w14:textFill>
              </w:rPr>
              <w:t>新疆维吾尔自治区第二济困医院（新疆维吾尔自治 区中西医结合医院、新疆维吾尔自治区第五人民医院）</w:t>
            </w:r>
          </w:p>
          <w:p w14:paraId="27C65586">
            <w:pPr>
              <w:spacing w:line="440" w:lineRule="exact"/>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乌鲁木齐市新市区喀什西路159号 </w:t>
            </w:r>
          </w:p>
          <w:p w14:paraId="22086694">
            <w:pPr>
              <w:spacing w:line="440" w:lineRule="exact"/>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w:t>
            </w:r>
            <w:r>
              <w:rPr>
                <w:rFonts w:hint="eastAsia" w:ascii="仿宋" w:hAnsi="仿宋" w:eastAsia="仿宋" w:cs="仿宋"/>
                <w:color w:val="000000" w:themeColor="text1"/>
                <w:sz w:val="24"/>
                <w:szCs w:val="24"/>
                <w:highlight w:val="none"/>
                <w:lang w:eastAsia="zh-CN"/>
                <w14:textFill>
                  <w14:solidFill>
                    <w14:schemeClr w14:val="tx1"/>
                  </w14:solidFill>
                </w14:textFill>
              </w:rPr>
              <w:t>刘艳萍</w:t>
            </w:r>
          </w:p>
          <w:p w14:paraId="70B7302C">
            <w:pPr>
              <w:spacing w:line="440" w:lineRule="exact"/>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联系电话： </w:t>
            </w:r>
            <w:r>
              <w:rPr>
                <w:rFonts w:hint="eastAsia" w:ascii="仿宋" w:hAnsi="仿宋" w:eastAsia="仿宋" w:cs="仿宋"/>
                <w:color w:val="000000" w:themeColor="text1"/>
                <w:sz w:val="24"/>
                <w:szCs w:val="24"/>
                <w:highlight w:val="none"/>
                <w:lang w:eastAsia="zh-CN"/>
                <w14:textFill>
                  <w14:solidFill>
                    <w14:schemeClr w14:val="tx1"/>
                  </w14:solidFill>
                </w14:textFill>
              </w:rPr>
              <w:t>0991-5269101</w:t>
            </w:r>
          </w:p>
        </w:tc>
      </w:tr>
      <w:tr w14:paraId="4E56BE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33" w:hRule="atLeast"/>
          <w:jc w:val="center"/>
        </w:trPr>
        <w:tc>
          <w:tcPr>
            <w:tcW w:w="1121" w:type="dxa"/>
            <w:shd w:val="clear" w:color="auto" w:fill="auto"/>
            <w:vAlign w:val="center"/>
          </w:tcPr>
          <w:p w14:paraId="546F99A8">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3</w:t>
            </w:r>
          </w:p>
        </w:tc>
        <w:tc>
          <w:tcPr>
            <w:tcW w:w="2512" w:type="dxa"/>
            <w:shd w:val="clear" w:color="auto" w:fill="auto"/>
            <w:vAlign w:val="center"/>
          </w:tcPr>
          <w:p w14:paraId="374A4A61">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采购代理机构</w:t>
            </w:r>
          </w:p>
        </w:tc>
        <w:tc>
          <w:tcPr>
            <w:tcW w:w="6130" w:type="dxa"/>
            <w:shd w:val="clear" w:color="auto" w:fill="auto"/>
            <w:vAlign w:val="center"/>
          </w:tcPr>
          <w:p w14:paraId="3B6DCFF3">
            <w:pPr>
              <w:spacing w:line="440" w:lineRule="exact"/>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名称：新疆华域建设工程项目管理咨询有限公司</w:t>
            </w:r>
          </w:p>
          <w:p w14:paraId="3A957039">
            <w:pPr>
              <w:spacing w:line="440" w:lineRule="exact"/>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址：乌鲁木齐市五星北路194号新地园大厦13楼</w:t>
            </w:r>
          </w:p>
          <w:p w14:paraId="1CBC0E84">
            <w:pPr>
              <w:spacing w:line="440" w:lineRule="exact"/>
              <w:jc w:val="left"/>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联系人：王鹤宇</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李娟娟</w:t>
            </w:r>
          </w:p>
          <w:p w14:paraId="086F1D4D">
            <w:pPr>
              <w:spacing w:line="440" w:lineRule="exact"/>
              <w:jc w:val="left"/>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联系电话：18997972745</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0991-4630336</w:t>
            </w:r>
          </w:p>
        </w:tc>
      </w:tr>
      <w:tr w14:paraId="2C35CB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812" w:hRule="atLeast"/>
          <w:jc w:val="center"/>
        </w:trPr>
        <w:tc>
          <w:tcPr>
            <w:tcW w:w="1121" w:type="dxa"/>
            <w:shd w:val="clear" w:color="auto" w:fill="auto"/>
            <w:vAlign w:val="center"/>
          </w:tcPr>
          <w:p w14:paraId="47ECF416">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4</w:t>
            </w:r>
          </w:p>
        </w:tc>
        <w:tc>
          <w:tcPr>
            <w:tcW w:w="2512" w:type="dxa"/>
            <w:shd w:val="clear" w:color="auto" w:fill="auto"/>
            <w:vAlign w:val="center"/>
          </w:tcPr>
          <w:p w14:paraId="1EECDB2B">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资金来源</w:t>
            </w:r>
          </w:p>
        </w:tc>
        <w:tc>
          <w:tcPr>
            <w:tcW w:w="6130" w:type="dxa"/>
            <w:shd w:val="clear" w:color="auto" w:fill="auto"/>
            <w:vAlign w:val="center"/>
          </w:tcPr>
          <w:p w14:paraId="03C8D2CE">
            <w:pPr>
              <w:spacing w:line="440" w:lineRule="exact"/>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财政资金</w:t>
            </w:r>
          </w:p>
        </w:tc>
      </w:tr>
      <w:tr w14:paraId="3E16C1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8" w:hRule="atLeast"/>
          <w:jc w:val="center"/>
        </w:trPr>
        <w:tc>
          <w:tcPr>
            <w:tcW w:w="1121" w:type="dxa"/>
            <w:shd w:val="clear" w:color="auto" w:fill="auto"/>
            <w:vAlign w:val="center"/>
          </w:tcPr>
          <w:p w14:paraId="7E348C8F">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5</w:t>
            </w:r>
          </w:p>
        </w:tc>
        <w:tc>
          <w:tcPr>
            <w:tcW w:w="2512" w:type="dxa"/>
            <w:shd w:val="clear" w:color="auto" w:fill="auto"/>
            <w:vAlign w:val="center"/>
          </w:tcPr>
          <w:p w14:paraId="7D6C085D">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项目预算（最高限价）</w:t>
            </w:r>
          </w:p>
        </w:tc>
        <w:tc>
          <w:tcPr>
            <w:tcW w:w="6130" w:type="dxa"/>
            <w:shd w:val="clear" w:color="auto" w:fill="auto"/>
            <w:vAlign w:val="center"/>
          </w:tcPr>
          <w:p w14:paraId="3B54E804">
            <w:pPr>
              <w:adjustRightInd w:val="0"/>
              <w:snapToGrid w:val="0"/>
              <w:spacing w:before="120" w:beforeLines="50" w:line="276" w:lineRule="auto"/>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金额（小写）</w:t>
            </w:r>
            <w:r>
              <w:rPr>
                <w:rFonts w:hint="eastAsia" w:ascii="仿宋" w:hAnsi="仿宋" w:eastAsia="仿宋" w:cs="仿宋"/>
                <w:color w:val="000000" w:themeColor="text1"/>
                <w:kern w:val="0"/>
                <w:sz w:val="24"/>
                <w:szCs w:val="24"/>
                <w:highlight w:val="none"/>
                <w:lang w:val="zh-CN" w:eastAsia="zh-CN" w:bidi="ar-SA"/>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314万元</w:t>
            </w:r>
          </w:p>
        </w:tc>
      </w:tr>
      <w:tr w14:paraId="4CFBCC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038" w:hRule="atLeast"/>
          <w:jc w:val="center"/>
        </w:trPr>
        <w:tc>
          <w:tcPr>
            <w:tcW w:w="1121" w:type="dxa"/>
            <w:shd w:val="clear" w:color="auto" w:fill="auto"/>
            <w:vAlign w:val="center"/>
          </w:tcPr>
          <w:p w14:paraId="02A5A173">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6</w:t>
            </w:r>
          </w:p>
        </w:tc>
        <w:tc>
          <w:tcPr>
            <w:tcW w:w="2512" w:type="dxa"/>
            <w:shd w:val="clear" w:color="auto" w:fill="auto"/>
            <w:vAlign w:val="center"/>
          </w:tcPr>
          <w:p w14:paraId="21C34FE0">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供应商资格条件</w:t>
            </w:r>
          </w:p>
        </w:tc>
        <w:tc>
          <w:tcPr>
            <w:tcW w:w="6130" w:type="dxa"/>
            <w:shd w:val="clear" w:color="auto" w:fill="auto"/>
            <w:vAlign w:val="center"/>
          </w:tcPr>
          <w:p w14:paraId="4A7357E3">
            <w:pPr>
              <w:pStyle w:val="37"/>
              <w:spacing w:before="0" w:beforeAutospacing="0" w:after="0" w:afterAutospacing="0" w:line="400" w:lineRule="exact"/>
              <w:jc w:val="both"/>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1.满足《中华人民共和国政府采购法》第二十二条规定；</w:t>
            </w:r>
          </w:p>
          <w:p w14:paraId="1A5753C9">
            <w:pPr>
              <w:pStyle w:val="37"/>
              <w:spacing w:before="0" w:beforeAutospacing="0" w:after="0" w:afterAutospacing="0" w:line="400" w:lineRule="exact"/>
              <w:jc w:val="both"/>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2.落实政府采购政策需满足的资格要求：本项目</w:t>
            </w:r>
            <w:r>
              <w:rPr>
                <w:rFonts w:hint="eastAsia" w:ascii="仿宋" w:hAnsi="仿宋" w:eastAsia="仿宋" w:cs="仿宋"/>
                <w:color w:val="000000" w:themeColor="text1"/>
                <w:highlight w:val="none"/>
                <w:lang w:eastAsia="zh-CN"/>
                <w14:textFill>
                  <w14:solidFill>
                    <w14:schemeClr w14:val="tx1"/>
                  </w14:solidFill>
                </w14:textFill>
              </w:rPr>
              <w:t>专门</w:t>
            </w:r>
            <w:r>
              <w:rPr>
                <w:rFonts w:hint="eastAsia" w:ascii="仿宋" w:hAnsi="仿宋" w:eastAsia="仿宋" w:cs="仿宋"/>
                <w:color w:val="000000" w:themeColor="text1"/>
                <w:highlight w:val="none"/>
                <w14:textFill>
                  <w14:solidFill>
                    <w14:schemeClr w14:val="tx1"/>
                  </w14:solidFill>
                </w14:textFill>
              </w:rPr>
              <w:t>面向中小企业采购</w:t>
            </w:r>
            <w:r>
              <w:rPr>
                <w:rFonts w:hint="eastAsia" w:ascii="仿宋" w:hAnsi="仿宋" w:eastAsia="仿宋" w:cs="仿宋"/>
                <w:color w:val="000000" w:themeColor="text1"/>
                <w:highlight w:val="none"/>
                <w:lang w:val="en-US" w:eastAsia="zh-CN"/>
                <w14:textFill>
                  <w14:solidFill>
                    <w14:schemeClr w14:val="tx1"/>
                  </w14:solidFill>
                </w14:textFill>
              </w:rPr>
              <w:t>的项目</w:t>
            </w:r>
            <w:r>
              <w:rPr>
                <w:rFonts w:hint="eastAsia" w:ascii="仿宋" w:hAnsi="仿宋" w:eastAsia="仿宋" w:cs="仿宋"/>
                <w:color w:val="000000" w:themeColor="text1"/>
                <w:highlight w:val="none"/>
                <w14:textFill>
                  <w14:solidFill>
                    <w14:schemeClr w14:val="tx1"/>
                  </w14:solidFill>
                </w14:textFill>
              </w:rPr>
              <w:t>；</w:t>
            </w:r>
          </w:p>
          <w:p w14:paraId="09D92161">
            <w:pPr>
              <w:pStyle w:val="37"/>
              <w:spacing w:before="0" w:beforeAutospacing="0" w:after="0" w:afterAutospacing="0" w:line="400" w:lineRule="exact"/>
              <w:jc w:val="both"/>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3.本项目的特定资格要求：/</w:t>
            </w:r>
          </w:p>
        </w:tc>
      </w:tr>
      <w:tr w14:paraId="00E719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16" w:hRule="atLeast"/>
          <w:jc w:val="center"/>
        </w:trPr>
        <w:tc>
          <w:tcPr>
            <w:tcW w:w="1121" w:type="dxa"/>
            <w:shd w:val="clear" w:color="auto" w:fill="auto"/>
            <w:vAlign w:val="center"/>
          </w:tcPr>
          <w:p w14:paraId="17CDFC35">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7</w:t>
            </w:r>
          </w:p>
        </w:tc>
        <w:tc>
          <w:tcPr>
            <w:tcW w:w="2512" w:type="dxa"/>
            <w:shd w:val="clear" w:color="auto" w:fill="auto"/>
            <w:vAlign w:val="center"/>
          </w:tcPr>
          <w:p w14:paraId="22CB821F">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 xml:space="preserve">联合体投标    </w:t>
            </w:r>
          </w:p>
        </w:tc>
        <w:tc>
          <w:tcPr>
            <w:tcW w:w="6130" w:type="dxa"/>
            <w:shd w:val="clear" w:color="auto" w:fill="auto"/>
            <w:vAlign w:val="center"/>
          </w:tcPr>
          <w:p w14:paraId="257BA1F5">
            <w:pPr>
              <w:spacing w:line="440" w:lineRule="exact"/>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√不接受 </w:t>
            </w:r>
          </w:p>
          <w:p w14:paraId="3F100AFF">
            <w:pPr>
              <w:spacing w:line="440" w:lineRule="exact"/>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□接受                                 </w:t>
            </w:r>
          </w:p>
        </w:tc>
      </w:tr>
      <w:tr w14:paraId="1B1AF7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347" w:hRule="atLeast"/>
          <w:jc w:val="center"/>
        </w:trPr>
        <w:tc>
          <w:tcPr>
            <w:tcW w:w="1121" w:type="dxa"/>
            <w:shd w:val="clear" w:color="auto" w:fill="auto"/>
            <w:vAlign w:val="center"/>
          </w:tcPr>
          <w:p w14:paraId="241DD68E">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8</w:t>
            </w:r>
          </w:p>
        </w:tc>
        <w:tc>
          <w:tcPr>
            <w:tcW w:w="2512" w:type="dxa"/>
            <w:shd w:val="clear" w:color="auto" w:fill="auto"/>
            <w:vAlign w:val="center"/>
          </w:tcPr>
          <w:p w14:paraId="5C58A1C2">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备选方案</w:t>
            </w:r>
          </w:p>
        </w:tc>
        <w:tc>
          <w:tcPr>
            <w:tcW w:w="6130" w:type="dxa"/>
            <w:shd w:val="clear" w:color="auto" w:fill="auto"/>
            <w:vAlign w:val="center"/>
          </w:tcPr>
          <w:p w14:paraId="097F1FD1">
            <w:pPr>
              <w:spacing w:line="440" w:lineRule="exact"/>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不接受</w:t>
            </w:r>
          </w:p>
          <w:p w14:paraId="10221363">
            <w:pPr>
              <w:spacing w:line="440" w:lineRule="exact"/>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接受</w:t>
            </w:r>
          </w:p>
        </w:tc>
      </w:tr>
      <w:tr w14:paraId="35A892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059" w:hRule="atLeast"/>
          <w:jc w:val="center"/>
        </w:trPr>
        <w:tc>
          <w:tcPr>
            <w:tcW w:w="1121" w:type="dxa"/>
            <w:shd w:val="clear" w:color="auto" w:fill="auto"/>
            <w:vAlign w:val="center"/>
          </w:tcPr>
          <w:p w14:paraId="49C88D79">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10</w:t>
            </w:r>
          </w:p>
        </w:tc>
        <w:tc>
          <w:tcPr>
            <w:tcW w:w="2512" w:type="dxa"/>
            <w:shd w:val="clear" w:color="auto" w:fill="auto"/>
            <w:vAlign w:val="center"/>
          </w:tcPr>
          <w:p w14:paraId="1F7DA714">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响应文件递交截止时间</w:t>
            </w:r>
          </w:p>
        </w:tc>
        <w:tc>
          <w:tcPr>
            <w:tcW w:w="6130" w:type="dxa"/>
            <w:shd w:val="clear" w:color="auto" w:fill="auto"/>
            <w:vAlign w:val="center"/>
          </w:tcPr>
          <w:p w14:paraId="2D616124">
            <w:pPr>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2024年</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11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日1</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点00分</w:t>
            </w:r>
            <w:r>
              <w:rPr>
                <w:rStyle w:val="45"/>
                <w:rFonts w:hint="eastAsia" w:ascii="仿宋" w:hAnsi="仿宋" w:eastAsia="仿宋" w:cs="仿宋"/>
                <w:b w:val="0"/>
                <w:bCs w:val="0"/>
                <w:color w:val="000000" w:themeColor="text1"/>
                <w:kern w:val="0"/>
                <w:sz w:val="24"/>
                <w:szCs w:val="24"/>
                <w:highlight w:val="none"/>
                <w14:textFill>
                  <w14:solidFill>
                    <w14:schemeClr w14:val="tx1"/>
                  </w14:solidFill>
                </w14:textFill>
              </w:rPr>
              <w:t>（北京时间）</w:t>
            </w:r>
          </w:p>
        </w:tc>
      </w:tr>
      <w:tr w14:paraId="5260B0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412" w:hRule="atLeast"/>
          <w:jc w:val="center"/>
        </w:trPr>
        <w:tc>
          <w:tcPr>
            <w:tcW w:w="1121" w:type="dxa"/>
            <w:shd w:val="clear" w:color="auto" w:fill="auto"/>
            <w:vAlign w:val="center"/>
          </w:tcPr>
          <w:p w14:paraId="14C37A4A">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11</w:t>
            </w:r>
          </w:p>
        </w:tc>
        <w:tc>
          <w:tcPr>
            <w:tcW w:w="2512" w:type="dxa"/>
            <w:shd w:val="clear" w:color="auto" w:fill="auto"/>
            <w:vAlign w:val="center"/>
          </w:tcPr>
          <w:p w14:paraId="7183C667">
            <w:pPr>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投标时间、地点</w:t>
            </w:r>
          </w:p>
        </w:tc>
        <w:tc>
          <w:tcPr>
            <w:tcW w:w="6130" w:type="dxa"/>
            <w:shd w:val="clear" w:color="auto" w:fill="auto"/>
            <w:vAlign w:val="center"/>
          </w:tcPr>
          <w:p w14:paraId="3EB7A8A6">
            <w:pPr>
              <w:spacing w:line="440" w:lineRule="exact"/>
              <w:jc w:val="left"/>
              <w:rPr>
                <w:rStyle w:val="45"/>
                <w:rFonts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2024年</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11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日1</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点00分</w:t>
            </w:r>
            <w:r>
              <w:rPr>
                <w:rStyle w:val="45"/>
                <w:rFonts w:hint="eastAsia" w:ascii="仿宋" w:hAnsi="仿宋" w:eastAsia="仿宋" w:cs="仿宋"/>
                <w:b w:val="0"/>
                <w:bCs w:val="0"/>
                <w:color w:val="000000" w:themeColor="text1"/>
                <w:kern w:val="0"/>
                <w:sz w:val="24"/>
                <w:szCs w:val="24"/>
                <w:highlight w:val="none"/>
                <w14:textFill>
                  <w14:solidFill>
                    <w14:schemeClr w14:val="tx1"/>
                  </w14:solidFill>
                </w14:textFill>
              </w:rPr>
              <w:t>（北京时间）</w:t>
            </w:r>
          </w:p>
          <w:p w14:paraId="523F9ACE">
            <w:pPr>
              <w:spacing w:line="440" w:lineRule="exact"/>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投标地点：政采云客户端        </w:t>
            </w:r>
          </w:p>
        </w:tc>
      </w:tr>
      <w:tr w14:paraId="188298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344" w:hRule="atLeast"/>
          <w:jc w:val="center"/>
        </w:trPr>
        <w:tc>
          <w:tcPr>
            <w:tcW w:w="1121" w:type="dxa"/>
            <w:shd w:val="clear" w:color="auto" w:fill="auto"/>
            <w:vAlign w:val="center"/>
          </w:tcPr>
          <w:p w14:paraId="2B88CD3E">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12</w:t>
            </w:r>
          </w:p>
        </w:tc>
        <w:tc>
          <w:tcPr>
            <w:tcW w:w="2512" w:type="dxa"/>
            <w:shd w:val="clear" w:color="auto" w:fill="auto"/>
            <w:vAlign w:val="center"/>
          </w:tcPr>
          <w:p w14:paraId="54B943B3">
            <w:pPr>
              <w:adjustRightInd w:val="0"/>
              <w:snapToGrid w:val="0"/>
              <w:spacing w:before="120" w:beforeLines="50"/>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评标小组的组建及评审专家的确定方式</w:t>
            </w:r>
          </w:p>
        </w:tc>
        <w:tc>
          <w:tcPr>
            <w:tcW w:w="6130" w:type="dxa"/>
            <w:shd w:val="clear" w:color="auto" w:fill="auto"/>
            <w:vAlign w:val="center"/>
          </w:tcPr>
          <w:p w14:paraId="4B56A9FE">
            <w:pPr>
              <w:adjustRightInd w:val="0"/>
              <w:snapToGrid w:val="0"/>
              <w:spacing w:before="120" w:beforeLines="50"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招标采购单位依法组建评标小组共</w:t>
            </w:r>
            <w:r>
              <w:rPr>
                <w:rFonts w:hint="eastAsia" w:ascii="仿宋" w:hAnsi="仿宋" w:eastAsia="仿宋" w:cs="仿宋"/>
                <w:color w:val="000000" w:themeColor="text1"/>
                <w:sz w:val="24"/>
                <w:szCs w:val="24"/>
                <w:highlight w:val="none"/>
                <w:u w:val="single"/>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人组成，其中采购人代表不得超过评标小组的三分之一。</w:t>
            </w:r>
          </w:p>
          <w:p w14:paraId="4719E48D">
            <w:pPr>
              <w:adjustRightInd w:val="0"/>
              <w:snapToGrid w:val="0"/>
              <w:spacing w:before="120" w:beforeLines="5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小组确定方式：从采购专家库中随机抽取</w:t>
            </w:r>
            <w:r>
              <w:rPr>
                <w:rFonts w:hint="eastAsia" w:ascii="仿宋" w:hAnsi="仿宋" w:eastAsia="仿宋" w:cs="仿宋"/>
                <w:bCs/>
                <w:color w:val="000000" w:themeColor="text1"/>
                <w:sz w:val="24"/>
                <w:szCs w:val="24"/>
                <w:highlight w:val="none"/>
                <w14:textFill>
                  <w14:solidFill>
                    <w14:schemeClr w14:val="tx1"/>
                  </w14:solidFill>
                </w14:textFill>
              </w:rPr>
              <w:t>确定。</w:t>
            </w:r>
            <w:r>
              <w:rPr>
                <w:rFonts w:hint="eastAsia" w:ascii="仿宋" w:hAnsi="仿宋" w:eastAsia="仿宋" w:cs="仿宋"/>
                <w:color w:val="000000" w:themeColor="text1"/>
                <w:sz w:val="24"/>
                <w:szCs w:val="24"/>
                <w:highlight w:val="none"/>
                <w14:textFill>
                  <w14:solidFill>
                    <w14:schemeClr w14:val="tx1"/>
                  </w14:solidFill>
                </w14:textFill>
              </w:rPr>
              <w:t xml:space="preserve">                      </w:t>
            </w:r>
          </w:p>
        </w:tc>
      </w:tr>
      <w:tr w14:paraId="0165B6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38" w:hRule="atLeast"/>
          <w:jc w:val="center"/>
        </w:trPr>
        <w:tc>
          <w:tcPr>
            <w:tcW w:w="1121" w:type="dxa"/>
            <w:vMerge w:val="restart"/>
            <w:shd w:val="clear" w:color="auto" w:fill="auto"/>
            <w:vAlign w:val="center"/>
          </w:tcPr>
          <w:p w14:paraId="4ACD7139">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13</w:t>
            </w:r>
          </w:p>
        </w:tc>
        <w:tc>
          <w:tcPr>
            <w:tcW w:w="2512" w:type="dxa"/>
            <w:vMerge w:val="restart"/>
            <w:shd w:val="clear" w:color="auto" w:fill="auto"/>
            <w:vAlign w:val="center"/>
          </w:tcPr>
          <w:p w14:paraId="7FACB923">
            <w:pPr>
              <w:ind w:firstLine="482" w:firstLineChars="200"/>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投标保证金</w:t>
            </w:r>
          </w:p>
        </w:tc>
        <w:tc>
          <w:tcPr>
            <w:tcW w:w="6130" w:type="dxa"/>
            <w:shd w:val="clear" w:color="auto" w:fill="auto"/>
            <w:vAlign w:val="center"/>
          </w:tcPr>
          <w:p w14:paraId="40B20640">
            <w:pPr>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缴纳方式：电汇、网银转账</w:t>
            </w:r>
          </w:p>
        </w:tc>
      </w:tr>
      <w:tr w14:paraId="24F2E2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716" w:hRule="atLeast"/>
          <w:jc w:val="center"/>
        </w:trPr>
        <w:tc>
          <w:tcPr>
            <w:tcW w:w="1121" w:type="dxa"/>
            <w:vMerge w:val="continue"/>
            <w:shd w:val="clear" w:color="auto" w:fill="auto"/>
            <w:vAlign w:val="center"/>
          </w:tcPr>
          <w:p w14:paraId="7166F088">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p>
        </w:tc>
        <w:tc>
          <w:tcPr>
            <w:tcW w:w="2512" w:type="dxa"/>
            <w:vMerge w:val="continue"/>
            <w:shd w:val="clear" w:color="auto" w:fill="auto"/>
            <w:vAlign w:val="center"/>
          </w:tcPr>
          <w:p w14:paraId="59D46B49">
            <w:pPr>
              <w:rPr>
                <w:rFonts w:ascii="仿宋" w:hAnsi="仿宋" w:eastAsia="仿宋" w:cs="仿宋"/>
                <w:bCs/>
                <w:color w:val="000000" w:themeColor="text1"/>
                <w:sz w:val="24"/>
                <w:szCs w:val="24"/>
                <w:highlight w:val="none"/>
                <w14:textFill>
                  <w14:solidFill>
                    <w14:schemeClr w14:val="tx1"/>
                  </w14:solidFill>
                </w14:textFill>
              </w:rPr>
            </w:pPr>
          </w:p>
        </w:tc>
        <w:tc>
          <w:tcPr>
            <w:tcW w:w="6130" w:type="dxa"/>
            <w:shd w:val="clear" w:color="auto" w:fill="auto"/>
            <w:vAlign w:val="center"/>
          </w:tcPr>
          <w:p w14:paraId="2F2852B7">
            <w:pPr>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投标保证金：</w:t>
            </w:r>
          </w:p>
          <w:p w14:paraId="7CBCBCC4">
            <w:pPr>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金额（小写）：</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62800</w:t>
            </w:r>
            <w:r>
              <w:rPr>
                <w:rFonts w:hint="eastAsia" w:ascii="仿宋" w:hAnsi="仿宋" w:eastAsia="仿宋" w:cs="仿宋"/>
                <w:bCs/>
                <w:color w:val="000000" w:themeColor="text1"/>
                <w:sz w:val="24"/>
                <w:szCs w:val="24"/>
                <w:highlight w:val="none"/>
                <w14:textFill>
                  <w14:solidFill>
                    <w14:schemeClr w14:val="tx1"/>
                  </w14:solidFill>
                </w14:textFill>
              </w:rPr>
              <w:t xml:space="preserve">.00元                                    </w:t>
            </w:r>
          </w:p>
          <w:p w14:paraId="49E5452F">
            <w:pPr>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金额（大写）：</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陆万贰仟捌佰元整</w:t>
            </w:r>
            <w:r>
              <w:rPr>
                <w:rFonts w:hint="eastAsia" w:ascii="仿宋" w:hAnsi="仿宋" w:eastAsia="仿宋" w:cs="仿宋"/>
                <w:bCs/>
                <w:color w:val="000000" w:themeColor="text1"/>
                <w:sz w:val="24"/>
                <w:szCs w:val="24"/>
                <w:highlight w:val="none"/>
                <w14:textFill>
                  <w14:solidFill>
                    <w14:schemeClr w14:val="tx1"/>
                  </w14:solidFill>
                </w14:textFill>
              </w:rPr>
              <w:t>；（备注项目编号、项目名称</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可简写</w:t>
            </w:r>
            <w:r>
              <w:rPr>
                <w:rFonts w:hint="eastAsia" w:ascii="仿宋" w:hAnsi="仿宋" w:eastAsia="仿宋" w:cs="仿宋"/>
                <w:bCs/>
                <w:color w:val="000000" w:themeColor="text1"/>
                <w:sz w:val="24"/>
                <w:szCs w:val="24"/>
                <w:highlight w:val="none"/>
                <w14:textFill>
                  <w14:solidFill>
                    <w14:schemeClr w14:val="tx1"/>
                  </w14:solidFill>
                </w14:textFill>
              </w:rPr>
              <w:t xml:space="preserve"> ）                                    </w:t>
            </w:r>
          </w:p>
        </w:tc>
      </w:tr>
      <w:tr w14:paraId="2ABD16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74" w:hRule="atLeast"/>
          <w:jc w:val="center"/>
        </w:trPr>
        <w:tc>
          <w:tcPr>
            <w:tcW w:w="1121" w:type="dxa"/>
            <w:vMerge w:val="continue"/>
            <w:shd w:val="clear" w:color="auto" w:fill="auto"/>
            <w:vAlign w:val="center"/>
          </w:tcPr>
          <w:p w14:paraId="2E3E248F">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p>
        </w:tc>
        <w:tc>
          <w:tcPr>
            <w:tcW w:w="2512" w:type="dxa"/>
            <w:vMerge w:val="continue"/>
            <w:shd w:val="clear" w:color="auto" w:fill="auto"/>
            <w:vAlign w:val="center"/>
          </w:tcPr>
          <w:p w14:paraId="18B2DA46">
            <w:pPr>
              <w:rPr>
                <w:rFonts w:ascii="仿宋" w:hAnsi="仿宋" w:eastAsia="仿宋" w:cs="仿宋"/>
                <w:bCs/>
                <w:color w:val="000000" w:themeColor="text1"/>
                <w:sz w:val="24"/>
                <w:szCs w:val="24"/>
                <w:highlight w:val="none"/>
                <w14:textFill>
                  <w14:solidFill>
                    <w14:schemeClr w14:val="tx1"/>
                  </w14:solidFill>
                </w14:textFill>
              </w:rPr>
            </w:pPr>
          </w:p>
        </w:tc>
        <w:tc>
          <w:tcPr>
            <w:tcW w:w="6130" w:type="dxa"/>
            <w:shd w:val="clear" w:color="auto" w:fill="auto"/>
            <w:vAlign w:val="center"/>
          </w:tcPr>
          <w:p w14:paraId="3CD43DD6">
            <w:pPr>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收款单位：</w:t>
            </w:r>
          </w:p>
          <w:p w14:paraId="29E60678">
            <w:pPr>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递交形式：单位账户转账或电汇、保函；</w:t>
            </w:r>
          </w:p>
          <w:p w14:paraId="54E79D94">
            <w:pPr>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递交时间：在投标截止时间前递交（以到账时间为准）；</w:t>
            </w:r>
          </w:p>
          <w:p w14:paraId="7452D8C8">
            <w:pPr>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账户信息：</w:t>
            </w:r>
          </w:p>
          <w:p w14:paraId="1AB220C0">
            <w:pPr>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单位名称：新疆华域建设工程项目管理咨询有限公司</w:t>
            </w:r>
          </w:p>
          <w:p w14:paraId="4B5B977A">
            <w:pPr>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开户行：中国银行乌鲁木齐市南湖东路支行</w:t>
            </w:r>
          </w:p>
          <w:p w14:paraId="0FB63A06">
            <w:pPr>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账    号：107083025521</w:t>
            </w:r>
          </w:p>
          <w:p w14:paraId="724D6E7C">
            <w:pPr>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行    号：104881006151</w:t>
            </w:r>
          </w:p>
        </w:tc>
      </w:tr>
      <w:tr w14:paraId="545FF2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11" w:hRule="atLeast"/>
          <w:jc w:val="center"/>
        </w:trPr>
        <w:tc>
          <w:tcPr>
            <w:tcW w:w="1121" w:type="dxa"/>
            <w:shd w:val="clear" w:color="auto" w:fill="auto"/>
            <w:vAlign w:val="center"/>
          </w:tcPr>
          <w:p w14:paraId="3034A690">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14</w:t>
            </w:r>
          </w:p>
        </w:tc>
        <w:tc>
          <w:tcPr>
            <w:tcW w:w="2512" w:type="dxa"/>
            <w:shd w:val="clear" w:color="auto" w:fill="auto"/>
            <w:vAlign w:val="center"/>
          </w:tcPr>
          <w:p w14:paraId="6835BC3F">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评审办法</w:t>
            </w:r>
          </w:p>
        </w:tc>
        <w:tc>
          <w:tcPr>
            <w:tcW w:w="6130" w:type="dxa"/>
            <w:shd w:val="clear" w:color="auto" w:fill="auto"/>
            <w:vAlign w:val="center"/>
          </w:tcPr>
          <w:p w14:paraId="669B7790">
            <w:pPr>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综合评分法，即指响应文件满足投标文件全部实质性要求且按照评审因素的量化指标评审得分最高的供应商为中标候选人的评标方法。每一供应商的最终得分为所有评委评分的算术平均值。得分相同的，报价较低的一方为中标人。得分且投标报价相同的，技术指标较优的一方为中标人。</w:t>
            </w:r>
          </w:p>
        </w:tc>
      </w:tr>
      <w:tr w14:paraId="154BE1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99" w:hRule="atLeast"/>
          <w:jc w:val="center"/>
        </w:trPr>
        <w:tc>
          <w:tcPr>
            <w:tcW w:w="1121" w:type="dxa"/>
            <w:shd w:val="clear" w:color="auto" w:fill="auto"/>
            <w:vAlign w:val="center"/>
          </w:tcPr>
          <w:p w14:paraId="09CAD92E">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15</w:t>
            </w:r>
          </w:p>
        </w:tc>
        <w:tc>
          <w:tcPr>
            <w:tcW w:w="2512" w:type="dxa"/>
            <w:shd w:val="clear" w:color="auto" w:fill="auto"/>
            <w:vAlign w:val="center"/>
          </w:tcPr>
          <w:p w14:paraId="79CD242A">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投标有效期</w:t>
            </w:r>
          </w:p>
        </w:tc>
        <w:tc>
          <w:tcPr>
            <w:tcW w:w="6130" w:type="dxa"/>
            <w:shd w:val="clear" w:color="auto" w:fill="auto"/>
            <w:vAlign w:val="center"/>
          </w:tcPr>
          <w:p w14:paraId="5975A0CD">
            <w:pPr>
              <w:adjustRightInd w:val="0"/>
              <w:snapToGrid w:val="0"/>
              <w:spacing w:before="120" w:beforeLines="50"/>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 xml:space="preserve">  90 </w:t>
            </w:r>
            <w:r>
              <w:rPr>
                <w:rFonts w:hint="eastAsia" w:ascii="仿宋" w:hAnsi="仿宋" w:eastAsia="仿宋" w:cs="仿宋"/>
                <w:color w:val="000000" w:themeColor="text1"/>
                <w:sz w:val="24"/>
                <w:szCs w:val="24"/>
                <w:highlight w:val="none"/>
                <w14:textFill>
                  <w14:solidFill>
                    <w14:schemeClr w14:val="tx1"/>
                  </w14:solidFill>
                </w14:textFill>
              </w:rPr>
              <w:t xml:space="preserve"> 日（日历日）</w:t>
            </w:r>
          </w:p>
        </w:tc>
      </w:tr>
      <w:tr w14:paraId="5033B0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07" w:hRule="atLeast"/>
          <w:jc w:val="center"/>
        </w:trPr>
        <w:tc>
          <w:tcPr>
            <w:tcW w:w="1121" w:type="dxa"/>
            <w:shd w:val="clear" w:color="auto" w:fill="auto"/>
            <w:vAlign w:val="center"/>
          </w:tcPr>
          <w:p w14:paraId="52051DAE">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16</w:t>
            </w:r>
          </w:p>
        </w:tc>
        <w:tc>
          <w:tcPr>
            <w:tcW w:w="2512" w:type="dxa"/>
            <w:shd w:val="clear" w:color="auto" w:fill="auto"/>
            <w:vAlign w:val="center"/>
          </w:tcPr>
          <w:p w14:paraId="23A8CB86">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投标文件份数</w:t>
            </w:r>
          </w:p>
        </w:tc>
        <w:tc>
          <w:tcPr>
            <w:tcW w:w="6130" w:type="dxa"/>
            <w:shd w:val="clear" w:color="auto" w:fill="auto"/>
            <w:vAlign w:val="center"/>
          </w:tcPr>
          <w:p w14:paraId="2A717CEB">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本次开标：政采云线上开标。</w:t>
            </w:r>
          </w:p>
          <w:p w14:paraId="506A00BA">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投标人编制、提交的投标文件，须符合本项目采购文件要求的投标文件编制和提交要求。</w:t>
            </w:r>
          </w:p>
          <w:p w14:paraId="7775A5FF">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响应文件为加盖公章的响应文件扫描件</w:t>
            </w:r>
          </w:p>
          <w:p w14:paraId="0CEF1CBC">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按政采云平台要求。</w:t>
            </w:r>
          </w:p>
          <w:p w14:paraId="6BC99027">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中标公告公示期结束后，中标供应商须在 3 个工作日内，将纸质版投标文件和电子版投标文件送至或邮寄至代理机构备案；文件份数要求：纸质版投标文件正本一份，副本二份。</w:t>
            </w:r>
          </w:p>
          <w:p w14:paraId="2FFE862E">
            <w:pPr>
              <w:rPr>
                <w:highlight w:val="none"/>
              </w:rPr>
            </w:pPr>
            <w:r>
              <w:rPr>
                <w:rFonts w:hint="eastAsia" w:ascii="仿宋" w:hAnsi="仿宋" w:eastAsia="仿宋" w:cs="仿宋"/>
                <w:bCs/>
                <w:color w:val="000000" w:themeColor="text1"/>
                <w:sz w:val="24"/>
                <w:szCs w:val="24"/>
                <w:highlight w:val="none"/>
                <w14:textFill>
                  <w14:solidFill>
                    <w14:schemeClr w14:val="tx1"/>
                  </w14:solidFill>
                </w14:textFill>
              </w:rPr>
              <w:t xml:space="preserve">送达或邮寄至：乌鲁木齐市五星北路194号新地园大厦13楼 </w:t>
            </w:r>
          </w:p>
        </w:tc>
      </w:tr>
      <w:tr w14:paraId="014DC1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011" w:hRule="atLeast"/>
          <w:jc w:val="center"/>
        </w:trPr>
        <w:tc>
          <w:tcPr>
            <w:tcW w:w="1121" w:type="dxa"/>
            <w:shd w:val="clear" w:color="auto" w:fill="auto"/>
            <w:vAlign w:val="center"/>
          </w:tcPr>
          <w:p w14:paraId="34EC18FF">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17</w:t>
            </w:r>
          </w:p>
        </w:tc>
        <w:tc>
          <w:tcPr>
            <w:tcW w:w="2512" w:type="dxa"/>
            <w:shd w:val="clear" w:color="auto" w:fill="auto"/>
            <w:vAlign w:val="center"/>
          </w:tcPr>
          <w:p w14:paraId="1F7CBFE7">
            <w:pPr>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投标预备会</w:t>
            </w:r>
          </w:p>
        </w:tc>
        <w:tc>
          <w:tcPr>
            <w:tcW w:w="6130" w:type="dxa"/>
            <w:shd w:val="clear" w:color="auto" w:fill="auto"/>
            <w:vAlign w:val="center"/>
          </w:tcPr>
          <w:p w14:paraId="7A43A56E">
            <w:pPr>
              <w:autoSpaceDE w:val="0"/>
              <w:autoSpaceDN w:val="0"/>
              <w:adjustRightInd w:val="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□是</w:t>
            </w:r>
          </w:p>
          <w:p w14:paraId="72181D1E">
            <w:pPr>
              <w:autoSpaceDE w:val="0"/>
              <w:autoSpaceDN w:val="0"/>
              <w:adjustRightInd w:val="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√否                                             </w:t>
            </w:r>
          </w:p>
        </w:tc>
      </w:tr>
      <w:tr w14:paraId="4153D7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81" w:hRule="atLeast"/>
          <w:jc w:val="center"/>
        </w:trPr>
        <w:tc>
          <w:tcPr>
            <w:tcW w:w="1121" w:type="dxa"/>
            <w:shd w:val="clear" w:color="auto" w:fill="auto"/>
            <w:vAlign w:val="center"/>
          </w:tcPr>
          <w:p w14:paraId="69255DA6">
            <w:pPr>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18</w:t>
            </w:r>
          </w:p>
        </w:tc>
        <w:tc>
          <w:tcPr>
            <w:tcW w:w="2512" w:type="dxa"/>
            <w:shd w:val="clear" w:color="auto" w:fill="auto"/>
            <w:vAlign w:val="center"/>
          </w:tcPr>
          <w:p w14:paraId="3DDEF0F6">
            <w:pPr>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踏勘现场</w:t>
            </w:r>
          </w:p>
        </w:tc>
        <w:tc>
          <w:tcPr>
            <w:tcW w:w="6130" w:type="dxa"/>
            <w:shd w:val="clear" w:color="auto" w:fill="auto"/>
            <w:vAlign w:val="center"/>
          </w:tcPr>
          <w:p w14:paraId="409E6D95">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不组织</w:t>
            </w:r>
          </w:p>
        </w:tc>
      </w:tr>
      <w:tr w14:paraId="2D59E1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88" w:hRule="atLeast"/>
          <w:jc w:val="center"/>
        </w:trPr>
        <w:tc>
          <w:tcPr>
            <w:tcW w:w="1121" w:type="dxa"/>
            <w:shd w:val="clear" w:color="auto" w:fill="auto"/>
            <w:vAlign w:val="center"/>
          </w:tcPr>
          <w:p w14:paraId="4EF7F05B">
            <w:pPr>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19</w:t>
            </w:r>
          </w:p>
        </w:tc>
        <w:tc>
          <w:tcPr>
            <w:tcW w:w="2512" w:type="dxa"/>
            <w:shd w:val="clear" w:color="auto" w:fill="auto"/>
            <w:vAlign w:val="center"/>
          </w:tcPr>
          <w:p w14:paraId="36F885E7">
            <w:pPr>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代理服务费</w:t>
            </w:r>
          </w:p>
        </w:tc>
        <w:tc>
          <w:tcPr>
            <w:tcW w:w="6130" w:type="dxa"/>
            <w:shd w:val="clear" w:color="auto" w:fill="auto"/>
            <w:vAlign w:val="center"/>
          </w:tcPr>
          <w:p w14:paraId="29552868">
            <w:p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代理服务费</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及专家评标费</w:t>
            </w:r>
            <w:r>
              <w:rPr>
                <w:rFonts w:hint="eastAsia" w:ascii="仿宋" w:hAnsi="仿宋" w:eastAsia="仿宋" w:cs="仿宋"/>
                <w:bCs/>
                <w:color w:val="000000" w:themeColor="text1"/>
                <w:sz w:val="24"/>
                <w:szCs w:val="24"/>
                <w:highlight w:val="none"/>
                <w14:textFill>
                  <w14:solidFill>
                    <w14:schemeClr w14:val="tx1"/>
                  </w14:solidFill>
                </w14:textFill>
              </w:rPr>
              <w:t>由中标人向新疆华域建设工程项目管理咨询有限公司支付</w:t>
            </w:r>
            <w:r>
              <w:rPr>
                <w:rFonts w:hint="eastAsia" w:ascii="仿宋" w:hAnsi="仿宋" w:eastAsia="仿宋" w:cs="仿宋"/>
                <w:bCs/>
                <w:color w:val="000000" w:themeColor="text1"/>
                <w:sz w:val="24"/>
                <w:szCs w:val="24"/>
                <w:highlight w:val="none"/>
                <w:lang w:eastAsia="zh-CN"/>
                <w14:textFill>
                  <w14:solidFill>
                    <w14:schemeClr w14:val="tx1"/>
                  </w14:solidFill>
                </w14:textFill>
              </w:rPr>
              <w:t>。</w:t>
            </w:r>
          </w:p>
        </w:tc>
      </w:tr>
      <w:tr w14:paraId="35C83F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831" w:hRule="atLeast"/>
          <w:jc w:val="center"/>
        </w:trPr>
        <w:tc>
          <w:tcPr>
            <w:tcW w:w="1121" w:type="dxa"/>
            <w:shd w:val="clear" w:color="auto" w:fill="auto"/>
            <w:vAlign w:val="center"/>
          </w:tcPr>
          <w:p w14:paraId="482F55E4">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20</w:t>
            </w:r>
          </w:p>
        </w:tc>
        <w:tc>
          <w:tcPr>
            <w:tcW w:w="2512" w:type="dxa"/>
            <w:shd w:val="clear" w:color="auto" w:fill="auto"/>
            <w:vAlign w:val="center"/>
          </w:tcPr>
          <w:p w14:paraId="33ABA6FD">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履约保证金</w:t>
            </w:r>
          </w:p>
        </w:tc>
        <w:tc>
          <w:tcPr>
            <w:tcW w:w="6130" w:type="dxa"/>
            <w:shd w:val="clear" w:color="auto" w:fill="auto"/>
            <w:vAlign w:val="center"/>
          </w:tcPr>
          <w:p w14:paraId="027A2230">
            <w:pPr>
              <w:spacing w:line="240" w:lineRule="atLeas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履约保证金金额：/</w:t>
            </w:r>
          </w:p>
          <w:p w14:paraId="1088F682">
            <w:pPr>
              <w:spacing w:line="240" w:lineRule="atLeas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履约保证金递交：中标单位收到《中标通知书》，签订合同前缴纳。</w:t>
            </w:r>
          </w:p>
          <w:p w14:paraId="3CF9F6B7">
            <w:pPr>
              <w:spacing w:line="240" w:lineRule="atLeas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履约保证金形式：银行转账形式或保函（中标单位未按采购文件规定缴纳履约保证金的，其投标保证金将不予退还）</w:t>
            </w:r>
          </w:p>
          <w:p w14:paraId="5BAEBA0F">
            <w:p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履约保证金（质保金）退还：（1）履约保证金的有效期为该项目</w:t>
            </w:r>
            <w:r>
              <w:rPr>
                <w:rFonts w:hint="eastAsia" w:ascii="仿宋" w:hAnsi="仿宋" w:eastAsia="仿宋" w:cs="仿宋"/>
                <w:color w:val="000000" w:themeColor="text1"/>
                <w:sz w:val="24"/>
                <w:szCs w:val="24"/>
                <w:highlight w:val="none"/>
                <w14:textFill>
                  <w14:solidFill>
                    <w14:schemeClr w14:val="tx1"/>
                  </w14:solidFill>
                </w14:textFill>
              </w:rPr>
              <w:t>完成供货且通过采购人组织的项目验收</w:t>
            </w:r>
            <w:r>
              <w:rPr>
                <w:rFonts w:hint="eastAsia" w:ascii="仿宋" w:hAnsi="仿宋" w:eastAsia="仿宋" w:cs="仿宋"/>
                <w:color w:val="000000" w:themeColor="text1"/>
                <w:sz w:val="24"/>
                <w:szCs w:val="24"/>
                <w:highlight w:val="none"/>
                <w:lang w:val="zh-CN"/>
                <w14:textFill>
                  <w14:solidFill>
                    <w14:schemeClr w14:val="tx1"/>
                  </w14:solidFill>
                </w14:textFill>
              </w:rPr>
              <w:t>止。（2）供应商在</w:t>
            </w:r>
            <w:r>
              <w:rPr>
                <w:rFonts w:hint="eastAsia" w:ascii="仿宋" w:hAnsi="仿宋" w:eastAsia="仿宋" w:cs="仿宋"/>
                <w:color w:val="000000" w:themeColor="text1"/>
                <w:sz w:val="24"/>
                <w:szCs w:val="24"/>
                <w:highlight w:val="none"/>
                <w14:textFill>
                  <w14:solidFill>
                    <w14:schemeClr w14:val="tx1"/>
                  </w14:solidFill>
                </w14:textFill>
              </w:rPr>
              <w:t>产品</w:t>
            </w:r>
            <w:r>
              <w:rPr>
                <w:rFonts w:hint="eastAsia" w:ascii="仿宋" w:hAnsi="仿宋" w:eastAsia="仿宋" w:cs="仿宋"/>
                <w:color w:val="000000" w:themeColor="text1"/>
                <w:sz w:val="24"/>
                <w:szCs w:val="24"/>
                <w:highlight w:val="none"/>
                <w:lang w:val="zh-CN"/>
                <w14:textFill>
                  <w14:solidFill>
                    <w14:schemeClr w14:val="tx1"/>
                  </w14:solidFill>
                </w14:textFill>
              </w:rPr>
              <w:t>验收合格未发生违约行为，采购人七个工作日内予以退还。（如乙方未能履行合同规定的义务，甲方有权从履约保证金中取得补偿；履约保证金扣除甲方应得的补偿后的余额在有效期满后七工作日内无息退还给乙方）</w:t>
            </w:r>
          </w:p>
        </w:tc>
      </w:tr>
      <w:tr w14:paraId="56E36A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99" w:hRule="atLeast"/>
          <w:jc w:val="center"/>
        </w:trPr>
        <w:tc>
          <w:tcPr>
            <w:tcW w:w="1121" w:type="dxa"/>
            <w:shd w:val="clear" w:color="auto" w:fill="auto"/>
            <w:vAlign w:val="center"/>
          </w:tcPr>
          <w:p w14:paraId="37C93F2A">
            <w:pPr>
              <w:tabs>
                <w:tab w:val="left" w:pos="265"/>
              </w:tabs>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21</w:t>
            </w:r>
          </w:p>
        </w:tc>
        <w:tc>
          <w:tcPr>
            <w:tcW w:w="2512" w:type="dxa"/>
            <w:shd w:val="clear" w:color="auto" w:fill="auto"/>
            <w:vAlign w:val="center"/>
          </w:tcPr>
          <w:p w14:paraId="18DE1F51">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交付期要求</w:t>
            </w:r>
          </w:p>
        </w:tc>
        <w:tc>
          <w:tcPr>
            <w:tcW w:w="6130" w:type="dxa"/>
            <w:shd w:val="clear" w:color="auto" w:fill="auto"/>
            <w:vAlign w:val="center"/>
          </w:tcPr>
          <w:p w14:paraId="62131A29">
            <w:pPr>
              <w:spacing w:line="40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自合同签订之日起，</w:t>
            </w:r>
            <w:r>
              <w:rPr>
                <w:rFonts w:hint="eastAsia" w:ascii="仿宋" w:hAnsi="仿宋" w:eastAsia="仿宋" w:cs="仿宋"/>
                <w:color w:val="000000" w:themeColor="text1"/>
                <w:sz w:val="24"/>
                <w:szCs w:val="24"/>
                <w:highlight w:val="none"/>
                <w:lang w:val="en-US" w:eastAsia="zh-CN"/>
                <w14:textFill>
                  <w14:solidFill>
                    <w14:schemeClr w14:val="tx1"/>
                  </w14:solidFill>
                </w14:textFill>
              </w:rPr>
              <w:t>60天</w:t>
            </w:r>
            <w:r>
              <w:rPr>
                <w:rFonts w:hint="eastAsia" w:ascii="仿宋" w:hAnsi="仿宋" w:eastAsia="仿宋" w:cs="仿宋"/>
                <w:color w:val="000000" w:themeColor="text1"/>
                <w:sz w:val="24"/>
                <w:szCs w:val="24"/>
                <w:highlight w:val="none"/>
                <w14:textFill>
                  <w14:solidFill>
                    <w14:schemeClr w14:val="tx1"/>
                  </w14:solidFill>
                </w14:textFill>
              </w:rPr>
              <w:t>内完成</w:t>
            </w:r>
            <w:r>
              <w:rPr>
                <w:rFonts w:hint="eastAsia" w:ascii="仿宋" w:hAnsi="仿宋" w:eastAsia="仿宋" w:cs="仿宋"/>
                <w:color w:val="000000" w:themeColor="text1"/>
                <w:sz w:val="24"/>
                <w:szCs w:val="24"/>
                <w:highlight w:val="none"/>
                <w:lang w:val="en-US" w:eastAsia="zh-CN"/>
                <w14:textFill>
                  <w14:solidFill>
                    <w14:schemeClr w14:val="tx1"/>
                  </w14:solidFill>
                </w14:textFill>
              </w:rPr>
              <w:t>项目建设</w:t>
            </w:r>
            <w:r>
              <w:rPr>
                <w:rFonts w:hint="eastAsia" w:ascii="仿宋" w:hAnsi="仿宋" w:eastAsia="仿宋" w:cs="仿宋"/>
                <w:color w:val="000000" w:themeColor="text1"/>
                <w:sz w:val="24"/>
                <w:szCs w:val="24"/>
                <w:highlight w:val="none"/>
                <w14:textFill>
                  <w14:solidFill>
                    <w14:schemeClr w14:val="tx1"/>
                  </w14:solidFill>
                </w14:textFill>
              </w:rPr>
              <w:t>。</w:t>
            </w:r>
          </w:p>
        </w:tc>
      </w:tr>
      <w:tr w14:paraId="6A9290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99" w:hRule="atLeast"/>
          <w:jc w:val="center"/>
        </w:trPr>
        <w:tc>
          <w:tcPr>
            <w:tcW w:w="1121" w:type="dxa"/>
            <w:shd w:val="clear" w:color="auto" w:fill="auto"/>
            <w:vAlign w:val="center"/>
          </w:tcPr>
          <w:p w14:paraId="649D5218">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24</w:t>
            </w:r>
          </w:p>
        </w:tc>
        <w:tc>
          <w:tcPr>
            <w:tcW w:w="2512" w:type="dxa"/>
            <w:shd w:val="clear" w:color="auto" w:fill="auto"/>
            <w:vAlign w:val="center"/>
          </w:tcPr>
          <w:p w14:paraId="31C4AD4A">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质保</w:t>
            </w:r>
            <w:r>
              <w:rPr>
                <w:rFonts w:hint="eastAsia" w:ascii="仿宋" w:hAnsi="仿宋" w:eastAsia="仿宋" w:cs="仿宋"/>
                <w:b/>
                <w:bCs/>
                <w:color w:val="000000" w:themeColor="text1"/>
                <w:sz w:val="24"/>
                <w:szCs w:val="24"/>
                <w:highlight w:val="none"/>
                <w14:textFill>
                  <w14:solidFill>
                    <w14:schemeClr w14:val="tx1"/>
                  </w14:solidFill>
                </w14:textFill>
              </w:rPr>
              <w:t>期</w:t>
            </w:r>
          </w:p>
        </w:tc>
        <w:tc>
          <w:tcPr>
            <w:tcW w:w="6130" w:type="dxa"/>
            <w:shd w:val="clear" w:color="auto" w:fill="auto"/>
            <w:vAlign w:val="center"/>
          </w:tcPr>
          <w:p w14:paraId="63653BD8">
            <w:pPr>
              <w:spacing w:line="400" w:lineRule="exac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投标人应对交付采购人的应用系统提供项目通过终验后</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年的运维售后服务</w:t>
            </w:r>
          </w:p>
        </w:tc>
      </w:tr>
      <w:tr w14:paraId="4CB827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59" w:hRule="atLeast"/>
          <w:jc w:val="center"/>
        </w:trPr>
        <w:tc>
          <w:tcPr>
            <w:tcW w:w="1121" w:type="dxa"/>
            <w:shd w:val="clear" w:color="auto" w:fill="auto"/>
            <w:vAlign w:val="center"/>
          </w:tcPr>
          <w:p w14:paraId="36195CAF">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25</w:t>
            </w:r>
          </w:p>
        </w:tc>
        <w:tc>
          <w:tcPr>
            <w:tcW w:w="2512" w:type="dxa"/>
            <w:shd w:val="clear" w:color="auto" w:fill="auto"/>
            <w:vAlign w:val="center"/>
          </w:tcPr>
          <w:p w14:paraId="31925A67">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付款方式</w:t>
            </w:r>
          </w:p>
        </w:tc>
        <w:tc>
          <w:tcPr>
            <w:tcW w:w="6130" w:type="dxa"/>
            <w:shd w:val="clear" w:color="auto" w:fill="auto"/>
            <w:vAlign w:val="center"/>
          </w:tcPr>
          <w:p w14:paraId="25BFEFE4">
            <w:p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以双方签订合同为准</w:t>
            </w:r>
          </w:p>
        </w:tc>
      </w:tr>
      <w:tr w14:paraId="165BCC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71" w:hRule="atLeast"/>
          <w:jc w:val="center"/>
        </w:trPr>
        <w:tc>
          <w:tcPr>
            <w:tcW w:w="1121" w:type="dxa"/>
            <w:shd w:val="clear" w:color="auto" w:fill="auto"/>
            <w:vAlign w:val="center"/>
          </w:tcPr>
          <w:p w14:paraId="1E24857A">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26</w:t>
            </w:r>
          </w:p>
        </w:tc>
        <w:tc>
          <w:tcPr>
            <w:tcW w:w="2512" w:type="dxa"/>
            <w:shd w:val="clear" w:color="auto" w:fill="auto"/>
            <w:vAlign w:val="center"/>
          </w:tcPr>
          <w:p w14:paraId="5D92B206">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质量标准</w:t>
            </w:r>
          </w:p>
        </w:tc>
        <w:tc>
          <w:tcPr>
            <w:tcW w:w="6130" w:type="dxa"/>
            <w:shd w:val="clear" w:color="auto" w:fill="auto"/>
            <w:vAlign w:val="center"/>
          </w:tcPr>
          <w:p w14:paraId="3F796986">
            <w:pPr>
              <w:wordWrap w:val="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合格</w:t>
            </w:r>
          </w:p>
        </w:tc>
      </w:tr>
      <w:tr w14:paraId="2EED68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58" w:hRule="atLeast"/>
          <w:jc w:val="center"/>
        </w:trPr>
        <w:tc>
          <w:tcPr>
            <w:tcW w:w="1121" w:type="dxa"/>
            <w:shd w:val="clear" w:color="auto" w:fill="auto"/>
            <w:vAlign w:val="center"/>
          </w:tcPr>
          <w:p w14:paraId="37F5606C">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27</w:t>
            </w:r>
          </w:p>
        </w:tc>
        <w:tc>
          <w:tcPr>
            <w:tcW w:w="2512" w:type="dxa"/>
            <w:shd w:val="clear" w:color="auto" w:fill="auto"/>
            <w:vAlign w:val="center"/>
          </w:tcPr>
          <w:p w14:paraId="283B332C">
            <w:pPr>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资格审查标准</w:t>
            </w:r>
          </w:p>
        </w:tc>
        <w:tc>
          <w:tcPr>
            <w:tcW w:w="6130" w:type="dxa"/>
            <w:shd w:val="clear" w:color="auto" w:fill="auto"/>
            <w:vAlign w:val="center"/>
          </w:tcPr>
          <w:p w14:paraId="5E0B44F2">
            <w:pPr>
              <w:spacing w:line="4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各供应商政采云客户端需提供以下资料备查，备查资料为加盖公章的PDF扫描件。</w:t>
            </w:r>
          </w:p>
          <w:p w14:paraId="2BF48B82">
            <w:pPr>
              <w:spacing w:line="4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（1）具有独立承担民事责任的能力，具有有效的营业执照或证明文件；</w:t>
            </w:r>
          </w:p>
          <w:p w14:paraId="74333C6F">
            <w:pPr>
              <w:spacing w:line="4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（2）投标方为法人投标需上传法人授权委托书原件及被授权人身份证原件或法人身份证明书；</w:t>
            </w:r>
          </w:p>
          <w:p w14:paraId="71054C10">
            <w:pPr>
              <w:spacing w:line="400" w:lineRule="exac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（3）投标保证金交纳凭证</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1DC73AF3">
            <w:pPr>
              <w:pStyle w:val="2"/>
              <w:rPr>
                <w:rFonts w:hint="default" w:eastAsia="仿宋"/>
                <w:highlight w:val="none"/>
                <w:lang w:val="en-US" w:eastAsia="zh-CN"/>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lang w:eastAsia="zh-CN"/>
                <w14:textFill>
                  <w14:solidFill>
                    <w14:schemeClr w14:val="tx1"/>
                  </w14:solidFill>
                </w14:textFill>
              </w:rPr>
              <w:t>）本项目专门面向中小企业采购，供应商为中小供应商且须提供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有效的</w:t>
            </w:r>
            <w:r>
              <w:rPr>
                <w:rFonts w:hint="eastAsia" w:ascii="仿宋" w:hAnsi="仿宋" w:eastAsia="仿宋" w:cs="仿宋"/>
                <w:color w:val="000000" w:themeColor="text1"/>
                <w:sz w:val="24"/>
                <w:szCs w:val="24"/>
                <w:highlight w:val="none"/>
                <w:lang w:eastAsia="zh-CN"/>
                <w14:textFill>
                  <w14:solidFill>
                    <w14:schemeClr w14:val="tx1"/>
                  </w14:solidFill>
                </w14:textFill>
              </w:rPr>
              <w:t>《中小企业声明函》</w:t>
            </w:r>
          </w:p>
        </w:tc>
      </w:tr>
      <w:tr w14:paraId="46A21B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125" w:hRule="atLeast"/>
          <w:jc w:val="center"/>
        </w:trPr>
        <w:tc>
          <w:tcPr>
            <w:tcW w:w="1121" w:type="dxa"/>
            <w:shd w:val="clear" w:color="auto" w:fill="auto"/>
            <w:vAlign w:val="center"/>
          </w:tcPr>
          <w:p w14:paraId="72F85B0E">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28</w:t>
            </w:r>
          </w:p>
        </w:tc>
        <w:tc>
          <w:tcPr>
            <w:tcW w:w="2512" w:type="dxa"/>
            <w:shd w:val="clear" w:color="auto" w:fill="auto"/>
            <w:vAlign w:val="center"/>
          </w:tcPr>
          <w:p w14:paraId="6421915B">
            <w:pPr>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付款币种</w:t>
            </w:r>
          </w:p>
        </w:tc>
        <w:tc>
          <w:tcPr>
            <w:tcW w:w="6130" w:type="dxa"/>
            <w:shd w:val="clear" w:color="auto" w:fill="auto"/>
            <w:vAlign w:val="center"/>
          </w:tcPr>
          <w:p w14:paraId="32FD4076">
            <w:pPr>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1、付款币种：</w:t>
            </w:r>
          </w:p>
          <w:p w14:paraId="186593B4">
            <w:pP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本次采购所述的项目资金均以人民币支付</w:t>
            </w:r>
          </w:p>
        </w:tc>
      </w:tr>
      <w:tr w14:paraId="42E792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870" w:hRule="atLeast"/>
          <w:jc w:val="center"/>
        </w:trPr>
        <w:tc>
          <w:tcPr>
            <w:tcW w:w="1121" w:type="dxa"/>
            <w:shd w:val="clear" w:color="auto" w:fill="auto"/>
            <w:vAlign w:val="center"/>
          </w:tcPr>
          <w:p w14:paraId="002C4FC5">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29</w:t>
            </w:r>
          </w:p>
        </w:tc>
        <w:tc>
          <w:tcPr>
            <w:tcW w:w="2512" w:type="dxa"/>
            <w:shd w:val="clear" w:color="auto" w:fill="auto"/>
            <w:vAlign w:val="center"/>
          </w:tcPr>
          <w:p w14:paraId="2F23311A">
            <w:pPr>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封套上应载明的信息</w:t>
            </w:r>
          </w:p>
        </w:tc>
        <w:tc>
          <w:tcPr>
            <w:tcW w:w="6130" w:type="dxa"/>
            <w:shd w:val="clear" w:color="auto" w:fill="auto"/>
            <w:vAlign w:val="center"/>
          </w:tcPr>
          <w:p w14:paraId="4E8F59A4">
            <w:pPr>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项目名称：</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p>
          <w:p w14:paraId="1727EF19">
            <w:pPr>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项目编号：</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p>
          <w:p w14:paraId="1D664595">
            <w:pPr>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采购人名称：</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p>
          <w:p w14:paraId="2E9A4837">
            <w:pPr>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供应商名称：</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p>
          <w:p w14:paraId="6D53E97C">
            <w:pPr>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供应商地址：</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p>
          <w:p w14:paraId="51FB0062">
            <w:pPr>
              <w:pStyle w:val="13"/>
              <w:ind w:firstLine="0" w:firstLineChars="0"/>
              <w:rPr>
                <w:rFonts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联系人：</w:t>
            </w:r>
            <w:r>
              <w:rPr>
                <w:rFonts w:hint="eastAsia" w:ascii="仿宋" w:hAnsi="仿宋" w:eastAsia="仿宋" w:cs="仿宋"/>
                <w:bCs/>
                <w:color w:val="000000" w:themeColor="text1"/>
                <w:sz w:val="24"/>
                <w:highlight w:val="none"/>
                <w:u w:val="single"/>
                <w14:textFill>
                  <w14:solidFill>
                    <w14:schemeClr w14:val="tx1"/>
                  </w14:solidFill>
                </w14:textFill>
              </w:rPr>
              <w:t xml:space="preserve">                                   </w:t>
            </w:r>
          </w:p>
          <w:p w14:paraId="119E07EB">
            <w:pPr>
              <w:pStyle w:val="13"/>
              <w:ind w:firstLine="0" w:firstLineChars="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联系电话：</w:t>
            </w:r>
            <w:r>
              <w:rPr>
                <w:rFonts w:hint="eastAsia" w:ascii="仿宋" w:hAnsi="仿宋" w:eastAsia="仿宋" w:cs="仿宋"/>
                <w:bCs/>
                <w:color w:val="000000" w:themeColor="text1"/>
                <w:sz w:val="24"/>
                <w:highlight w:val="none"/>
                <w:u w:val="single"/>
                <w14:textFill>
                  <w14:solidFill>
                    <w14:schemeClr w14:val="tx1"/>
                  </w14:solidFill>
                </w14:textFill>
              </w:rPr>
              <w:t xml:space="preserve">                                 </w:t>
            </w:r>
          </w:p>
          <w:p w14:paraId="31E2A11D">
            <w:pPr>
              <w:rPr>
                <w:rFonts w:ascii="仿宋" w:hAnsi="仿宋" w:eastAsia="仿宋" w:cs="仿宋"/>
                <w:bCs/>
                <w:color w:val="000000" w:themeColor="text1"/>
                <w:kern w:val="0"/>
                <w:sz w:val="24"/>
                <w:szCs w:val="24"/>
                <w:highlight w:val="none"/>
                <w:lang w:val="zh-CN"/>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在</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szCs w:val="24"/>
                <w:highlight w:val="none"/>
                <w14:textFill>
                  <w14:solidFill>
                    <w14:schemeClr w14:val="tx1"/>
                  </w14:solidFill>
                </w14:textFill>
              </w:rPr>
              <w:t>年</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szCs w:val="24"/>
                <w:highlight w:val="none"/>
                <w14:textFill>
                  <w14:solidFill>
                    <w14:schemeClr w14:val="tx1"/>
                  </w14:solidFill>
                </w14:textFill>
              </w:rPr>
              <w:t>月</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szCs w:val="24"/>
                <w:highlight w:val="none"/>
                <w14:textFill>
                  <w14:solidFill>
                    <w14:schemeClr w14:val="tx1"/>
                  </w14:solidFill>
                </w14:textFill>
              </w:rPr>
              <w:t>日</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szCs w:val="24"/>
                <w:highlight w:val="none"/>
                <w14:textFill>
                  <w14:solidFill>
                    <w14:schemeClr w14:val="tx1"/>
                  </w14:solidFill>
                </w14:textFill>
              </w:rPr>
              <w:t>时</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szCs w:val="24"/>
                <w:highlight w:val="none"/>
                <w14:textFill>
                  <w14:solidFill>
                    <w14:schemeClr w14:val="tx1"/>
                  </w14:solidFill>
                </w14:textFill>
              </w:rPr>
              <w:t>分前不得开启</w:t>
            </w:r>
          </w:p>
        </w:tc>
      </w:tr>
      <w:tr w14:paraId="1A53C2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831" w:hRule="atLeast"/>
          <w:jc w:val="center"/>
        </w:trPr>
        <w:tc>
          <w:tcPr>
            <w:tcW w:w="1121" w:type="dxa"/>
            <w:shd w:val="clear" w:color="auto" w:fill="auto"/>
            <w:vAlign w:val="center"/>
          </w:tcPr>
          <w:p w14:paraId="2DF75A96">
            <w:pPr>
              <w:pStyle w:val="13"/>
              <w:ind w:left="482" w:hanging="482" w:hangingChars="200"/>
              <w:contextualSpacing/>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注意</w:t>
            </w:r>
          </w:p>
          <w:p w14:paraId="14C4A8E0">
            <w:pPr>
              <w:pStyle w:val="13"/>
              <w:ind w:left="482" w:hanging="482" w:hangingChars="200"/>
              <w:contextualSpacing/>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事项</w:t>
            </w:r>
          </w:p>
        </w:tc>
        <w:tc>
          <w:tcPr>
            <w:tcW w:w="8642" w:type="dxa"/>
            <w:gridSpan w:val="2"/>
            <w:shd w:val="clear" w:color="auto" w:fill="auto"/>
            <w:vAlign w:val="center"/>
          </w:tcPr>
          <w:p w14:paraId="1C20402C">
            <w:pPr>
              <w:pStyle w:val="13"/>
              <w:ind w:firstLine="0" w:firstLineChars="0"/>
              <w:contextualSpacing/>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各供应商应在本项目采购公告发布之日起到响应文件递交截止时间期间，通过“信用中国”网站（</w:t>
            </w:r>
            <w:r>
              <w:rPr>
                <w:highlight w:val="none"/>
              </w:rPr>
              <w:fldChar w:fldCharType="begin"/>
            </w:r>
            <w:r>
              <w:rPr>
                <w:highlight w:val="none"/>
              </w:rPr>
              <w:instrText xml:space="preserve"> HYPERLINK "qq://txfile/" </w:instrText>
            </w:r>
            <w:r>
              <w:rPr>
                <w:highlight w:val="none"/>
              </w:rPr>
              <w:fldChar w:fldCharType="separate"/>
            </w:r>
            <w:r>
              <w:rPr>
                <w:rFonts w:hint="eastAsia" w:ascii="仿宋" w:hAnsi="仿宋" w:eastAsia="仿宋" w:cs="仿宋"/>
                <w:color w:val="000000" w:themeColor="text1"/>
                <w:sz w:val="24"/>
                <w:highlight w:val="none"/>
                <w14:textFill>
                  <w14:solidFill>
                    <w14:schemeClr w14:val="tx1"/>
                  </w14:solidFill>
                </w14:textFill>
              </w:rPr>
              <w:t>www.creditchina.Sov.cn</w:t>
            </w:r>
            <w:r>
              <w:rPr>
                <w:rFonts w:hint="eastAsia" w:ascii="仿宋" w:hAnsi="仿宋" w:eastAsia="仿宋" w:cs="仿宋"/>
                <w:color w:val="000000" w:themeColor="text1"/>
                <w:sz w:val="24"/>
                <w:highlight w:val="none"/>
                <w14:textFill>
                  <w14:solidFill>
                    <w14:schemeClr w14:val="tx1"/>
                  </w14:solidFill>
                </w14:textFill>
              </w:rPr>
              <w:fldChar w:fldCharType="end"/>
            </w:r>
            <w:r>
              <w:rPr>
                <w:rFonts w:hint="eastAsia" w:ascii="仿宋" w:hAnsi="仿宋" w:eastAsia="仿宋" w:cs="仿宋"/>
                <w:color w:val="000000" w:themeColor="text1"/>
                <w:sz w:val="24"/>
                <w:highlight w:val="none"/>
                <w14:textFill>
                  <w14:solidFill>
                    <w14:schemeClr w14:val="tx1"/>
                  </w14:solidFill>
                </w14:textFill>
              </w:rPr>
              <w:t>）、中国政府采购网（</w:t>
            </w:r>
            <w:r>
              <w:rPr>
                <w:highlight w:val="none"/>
              </w:rPr>
              <w:fldChar w:fldCharType="begin"/>
            </w:r>
            <w:r>
              <w:rPr>
                <w:highlight w:val="none"/>
              </w:rPr>
              <w:instrText xml:space="preserve"> HYPERLINK "qq://txfile/" </w:instrText>
            </w:r>
            <w:r>
              <w:rPr>
                <w:highlight w:val="none"/>
              </w:rPr>
              <w:fldChar w:fldCharType="separate"/>
            </w:r>
            <w:r>
              <w:rPr>
                <w:rFonts w:hint="eastAsia" w:ascii="仿宋" w:hAnsi="仿宋" w:eastAsia="仿宋" w:cs="仿宋"/>
                <w:color w:val="000000" w:themeColor="text1"/>
                <w:sz w:val="24"/>
                <w:highlight w:val="none"/>
                <w14:textFill>
                  <w14:solidFill>
                    <w14:schemeClr w14:val="tx1"/>
                  </w14:solidFill>
                </w14:textFill>
              </w:rPr>
              <w:t>www.ccSp.Sov.cn</w:t>
            </w:r>
            <w:r>
              <w:rPr>
                <w:rFonts w:hint="eastAsia" w:ascii="仿宋" w:hAnsi="仿宋" w:eastAsia="仿宋" w:cs="仿宋"/>
                <w:color w:val="000000" w:themeColor="text1"/>
                <w:sz w:val="24"/>
                <w:highlight w:val="none"/>
                <w14:textFill>
                  <w14:solidFill>
                    <w14:schemeClr w14:val="tx1"/>
                  </w14:solidFill>
                </w14:textFill>
              </w:rPr>
              <w:fldChar w:fldCharType="end"/>
            </w:r>
            <w:r>
              <w:rPr>
                <w:rFonts w:hint="eastAsia" w:ascii="仿宋" w:hAnsi="仿宋" w:eastAsia="仿宋" w:cs="仿宋"/>
                <w:color w:val="000000" w:themeColor="text1"/>
                <w:sz w:val="24"/>
                <w:highlight w:val="none"/>
                <w14:textFill>
                  <w14:solidFill>
                    <w14:schemeClr w14:val="tx1"/>
                  </w14:solidFill>
                </w14:textFill>
              </w:rPr>
              <w:t>）等渠道查询主体信用记录，并将信用信息查询记录作为响应文件组成部分。</w:t>
            </w:r>
          </w:p>
        </w:tc>
      </w:tr>
      <w:tr w14:paraId="1B044A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573" w:hRule="atLeast"/>
          <w:jc w:val="center"/>
        </w:trPr>
        <w:tc>
          <w:tcPr>
            <w:tcW w:w="1121" w:type="dxa"/>
            <w:shd w:val="clear" w:color="auto" w:fill="auto"/>
            <w:vAlign w:val="center"/>
          </w:tcPr>
          <w:p w14:paraId="6C9C69C1">
            <w:pPr>
              <w:adjustRightInd w:val="0"/>
              <w:snapToGrid w:val="0"/>
              <w:spacing w:before="120" w:beforeLines="5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其他要求</w:t>
            </w:r>
          </w:p>
        </w:tc>
        <w:tc>
          <w:tcPr>
            <w:tcW w:w="8642" w:type="dxa"/>
            <w:gridSpan w:val="2"/>
            <w:shd w:val="clear" w:color="auto" w:fill="auto"/>
            <w:vAlign w:val="center"/>
          </w:tcPr>
          <w:p w14:paraId="7ADBF53F">
            <w:pPr>
              <w:pStyle w:val="16"/>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1、签字盖章要求：</w:t>
            </w:r>
          </w:p>
          <w:p w14:paraId="4502F723">
            <w:pPr>
              <w:pStyle w:val="16"/>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(1)供应商资格证明材料、法定代表人身份证明或授权书应加盖公章；</w:t>
            </w:r>
          </w:p>
          <w:p w14:paraId="45AA5CB3">
            <w:pPr>
              <w:pStyle w:val="16"/>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(2)其他证明供应商资格的文件或证明材料应为加盖单位公章，样式可参照“投标文件格式”编制；</w:t>
            </w:r>
          </w:p>
          <w:p w14:paraId="3E23DD33">
            <w:pPr>
              <w:pStyle w:val="16"/>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(3)本文件中明确要求盖章或签字的，须盖章或签字。</w:t>
            </w:r>
          </w:p>
          <w:p w14:paraId="5EA82575">
            <w:pPr>
              <w:pStyle w:val="16"/>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2、供应商提供的响应文件应当使用投标文件所提供响应文件格式（表格可按照同样格式扩展）。未提供格式的，需要时由供应商用文字或者表格、图片等其它形式提供。</w:t>
            </w:r>
          </w:p>
        </w:tc>
      </w:tr>
      <w:tr w14:paraId="5F9E44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8" w:hRule="atLeast"/>
          <w:jc w:val="center"/>
        </w:trPr>
        <w:tc>
          <w:tcPr>
            <w:tcW w:w="1121" w:type="dxa"/>
            <w:shd w:val="clear" w:color="auto" w:fill="auto"/>
            <w:vAlign w:val="center"/>
          </w:tcPr>
          <w:p w14:paraId="4677CB91">
            <w:pPr>
              <w:adjustRightInd w:val="0"/>
              <w:snapToGrid w:val="0"/>
              <w:spacing w:before="120" w:beforeLines="5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其他</w:t>
            </w:r>
          </w:p>
        </w:tc>
        <w:tc>
          <w:tcPr>
            <w:tcW w:w="8642" w:type="dxa"/>
            <w:gridSpan w:val="2"/>
            <w:shd w:val="clear" w:color="auto" w:fill="auto"/>
            <w:vAlign w:val="center"/>
          </w:tcPr>
          <w:p w14:paraId="29027B10">
            <w:pPr>
              <w:pStyle w:val="16"/>
              <w:rPr>
                <w:rFonts w:ascii="仿宋" w:hAnsi="仿宋" w:eastAsia="仿宋" w:cs="仿宋"/>
                <w:bCs/>
                <w:color w:val="000000" w:themeColor="text1"/>
                <w:szCs w:val="24"/>
                <w:highlight w:val="none"/>
                <w14:textFill>
                  <w14:solidFill>
                    <w14:schemeClr w14:val="tx1"/>
                  </w14:solidFill>
                </w14:textFill>
              </w:rPr>
            </w:pPr>
            <w:r>
              <w:rPr>
                <w:rFonts w:hint="eastAsia" w:ascii="仿宋" w:hAnsi="仿宋" w:eastAsia="仿宋" w:cs="仿宋"/>
                <w:bCs/>
                <w:color w:val="000000" w:themeColor="text1"/>
                <w:szCs w:val="24"/>
                <w:highlight w:val="none"/>
                <w14:textFill>
                  <w14:solidFill>
                    <w14:schemeClr w14:val="tx1"/>
                  </w14:solidFill>
                </w14:textFill>
              </w:rPr>
              <w:t>1.本项目采购标的对应的中小企业划分标准所属行业为“软件和信息技术服务业”。行业划分标准按《国民经济行业分类》执行。中小企业划分标准按《中小企业划型标准规定》（工信部联企业[2011]300号）文件规定执行。须按文件要求有效的提供证明材料《中小企业声明函》。</w:t>
            </w:r>
          </w:p>
        </w:tc>
      </w:tr>
    </w:tbl>
    <w:p w14:paraId="67046581">
      <w:pPr>
        <w:pStyle w:val="40"/>
        <w:ind w:firstLine="241"/>
        <w:rPr>
          <w:rFonts w:ascii="仿宋" w:hAnsi="仿宋" w:eastAsia="仿宋" w:cs="仿宋"/>
          <w:b/>
          <w:color w:val="000000" w:themeColor="text1"/>
          <w:szCs w:val="24"/>
          <w14:textFill>
            <w14:solidFill>
              <w14:schemeClr w14:val="tx1"/>
            </w14:solidFill>
          </w14:textFill>
        </w:rPr>
      </w:pPr>
    </w:p>
    <w:p w14:paraId="6725A032">
      <w:pPr>
        <w:pStyle w:val="41"/>
        <w:rPr>
          <w:rFonts w:ascii="仿宋" w:hAnsi="仿宋" w:eastAsia="仿宋" w:cs="仿宋"/>
          <w:b/>
          <w:color w:val="000000" w:themeColor="text1"/>
          <w:sz w:val="24"/>
          <w:szCs w:val="24"/>
          <w14:textFill>
            <w14:solidFill>
              <w14:schemeClr w14:val="tx1"/>
            </w14:solidFill>
          </w14:textFill>
        </w:rPr>
      </w:pPr>
    </w:p>
    <w:p w14:paraId="2B3E2E9E">
      <w:pPr>
        <w:pStyle w:val="4"/>
        <w:spacing w:before="0" w:after="0" w:line="400" w:lineRule="exact"/>
        <w:jc w:val="center"/>
        <w:rPr>
          <w:rFonts w:ascii="仿宋" w:hAnsi="仿宋" w:eastAsia="仿宋" w:cs="仿宋"/>
          <w:color w:val="000000" w:themeColor="text1"/>
          <w:sz w:val="24"/>
          <w:szCs w:val="24"/>
          <w14:textFill>
            <w14:solidFill>
              <w14:schemeClr w14:val="tx1"/>
            </w14:solidFill>
          </w14:textFill>
        </w:rPr>
      </w:pPr>
      <w:bookmarkStart w:id="28" w:name="_Toc349637920"/>
      <w:bookmarkStart w:id="29" w:name="_Toc349573121"/>
      <w:bookmarkStart w:id="30" w:name="_Toc462223632"/>
      <w:bookmarkStart w:id="31" w:name="_Toc22667"/>
      <w:bookmarkStart w:id="32" w:name="_Toc267301282"/>
      <w:bookmarkStart w:id="33" w:name="_Toc29360"/>
      <w:bookmarkStart w:id="34" w:name="_Toc298240405"/>
      <w:r>
        <w:rPr>
          <w:rFonts w:hint="eastAsia" w:ascii="仿宋" w:hAnsi="仿宋" w:eastAsia="仿宋" w:cs="仿宋"/>
          <w:color w:val="000000" w:themeColor="text1"/>
          <w:sz w:val="24"/>
          <w:szCs w:val="24"/>
          <w14:textFill>
            <w14:solidFill>
              <w14:schemeClr w14:val="tx1"/>
            </w14:solidFill>
          </w14:textFill>
        </w:rPr>
        <w:t>（一）说　明</w:t>
      </w:r>
      <w:bookmarkEnd w:id="28"/>
      <w:bookmarkEnd w:id="29"/>
      <w:bookmarkEnd w:id="30"/>
      <w:bookmarkEnd w:id="31"/>
      <w:bookmarkEnd w:id="32"/>
      <w:bookmarkEnd w:id="33"/>
      <w:bookmarkEnd w:id="34"/>
    </w:p>
    <w:p w14:paraId="79E464E3">
      <w:pPr>
        <w:spacing w:line="400" w:lineRule="exact"/>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1、适用范围</w:t>
      </w:r>
    </w:p>
    <w:p w14:paraId="7ADEFEDB">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 本文件仅适用于本次</w:t>
      </w:r>
      <w:r>
        <w:rPr>
          <w:rFonts w:hint="eastAsia" w:ascii="仿宋" w:hAnsi="仿宋" w:eastAsia="仿宋" w:cs="仿宋"/>
          <w:color w:val="000000" w:themeColor="text1"/>
          <w:sz w:val="24"/>
          <w:szCs w:val="24"/>
          <w:lang w:eastAsia="zh-CN"/>
          <w14:textFill>
            <w14:solidFill>
              <w14:schemeClr w14:val="tx1"/>
            </w14:solidFill>
          </w14:textFill>
        </w:rPr>
        <w:t>招标文件</w:t>
      </w:r>
      <w:r>
        <w:rPr>
          <w:rFonts w:hint="eastAsia" w:ascii="仿宋" w:hAnsi="仿宋" w:eastAsia="仿宋" w:cs="仿宋"/>
          <w:color w:val="000000" w:themeColor="text1"/>
          <w:sz w:val="24"/>
          <w:szCs w:val="24"/>
          <w14:textFill>
            <w14:solidFill>
              <w14:schemeClr w14:val="tx1"/>
            </w14:solidFill>
          </w14:textFill>
        </w:rPr>
        <w:t>中所叙述采购的项目。</w:t>
      </w:r>
    </w:p>
    <w:p w14:paraId="294A8440">
      <w:pPr>
        <w:spacing w:line="400" w:lineRule="exact"/>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2、定义</w:t>
      </w:r>
    </w:p>
    <w:p w14:paraId="07F7CA93">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 “招标代理机构”系指新疆华域建设工程项目管理咨询有限公司；</w:t>
      </w:r>
    </w:p>
    <w:p w14:paraId="757EFA6C">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 “采购人”系指</w:t>
      </w:r>
      <w:r>
        <w:rPr>
          <w:rFonts w:hint="eastAsia" w:ascii="仿宋" w:hAnsi="仿宋" w:eastAsia="仿宋" w:cs="仿宋"/>
          <w:color w:val="000000" w:themeColor="text1"/>
          <w:sz w:val="24"/>
          <w:szCs w:val="24"/>
          <w:lang w:eastAsia="zh-CN"/>
          <w14:textFill>
            <w14:solidFill>
              <w14:schemeClr w14:val="tx1"/>
            </w14:solidFill>
          </w14:textFill>
        </w:rPr>
        <w:t>新疆维吾尔自治区第二济困医院（新疆维吾尔自治 区中西医结合医院、新疆维吾尔自治区第五人民医院）</w:t>
      </w:r>
      <w:r>
        <w:rPr>
          <w:rFonts w:hint="eastAsia" w:ascii="仿宋" w:hAnsi="仿宋" w:eastAsia="仿宋" w:cs="仿宋"/>
          <w:color w:val="000000" w:themeColor="text1"/>
          <w:sz w:val="24"/>
          <w:szCs w:val="24"/>
          <w14:textFill>
            <w14:solidFill>
              <w14:schemeClr w14:val="tx1"/>
            </w14:solidFill>
          </w14:textFill>
        </w:rPr>
        <w:t>;</w:t>
      </w:r>
    </w:p>
    <w:p w14:paraId="1D644958">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 “投标供应商”系指向招标代理机构提交投标性文件的制造商或代理商或服务商；</w:t>
      </w:r>
    </w:p>
    <w:p w14:paraId="24B4E59F">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 “成交方”系指在本次投标中成交，将被授予合同的供应商，即成为“成交方”。</w:t>
      </w:r>
    </w:p>
    <w:p w14:paraId="2173EF7E">
      <w:pPr>
        <w:spacing w:line="400" w:lineRule="exact"/>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3、合格的供应商</w:t>
      </w:r>
    </w:p>
    <w:p w14:paraId="3CB239EB">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 有能力提供投标文件中所要求的服务、资格审查合格的制造商或代理商为合格的供应商；</w:t>
      </w:r>
    </w:p>
    <w:p w14:paraId="2B9E269F">
      <w:pPr>
        <w:spacing w:line="400" w:lineRule="exact"/>
        <w:ind w:firstLine="480" w:firstLineChars="200"/>
        <w:outlineLvl w:val="3"/>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 供应商必须遵守有关的国内法律和规章条例。</w:t>
      </w:r>
    </w:p>
    <w:p w14:paraId="2D14B6D9">
      <w:pPr>
        <w:spacing w:line="400" w:lineRule="exact"/>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4、供应商资格</w:t>
      </w:r>
    </w:p>
    <w:p w14:paraId="006240BB">
      <w:pPr>
        <w:pStyle w:val="37"/>
        <w:spacing w:before="0" w:beforeAutospacing="0" w:after="0" w:afterAutospacing="0" w:line="400" w:lineRule="exact"/>
        <w:ind w:firstLine="468" w:firstLineChars="195"/>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4.1 、落实政府采购政策需满足的资格要求：详见政府采购法。 </w:t>
      </w:r>
    </w:p>
    <w:p w14:paraId="43E3B6A5">
      <w:pPr>
        <w:pStyle w:val="37"/>
        <w:spacing w:before="0" w:beforeAutospacing="0" w:after="0" w:afterAutospacing="0" w:line="400" w:lineRule="exact"/>
        <w:ind w:firstLine="468" w:firstLineChars="195"/>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4.2 、供应商须符合《中华人民共和国政府采购法》第二十二条规定,并提供《中华人民共和国政府采购法实施条例》第十七条所要求的材料； </w:t>
      </w:r>
    </w:p>
    <w:p w14:paraId="08FD6F29">
      <w:pPr>
        <w:pStyle w:val="37"/>
        <w:spacing w:before="0" w:beforeAutospacing="0" w:after="0" w:afterAutospacing="0" w:line="400" w:lineRule="exact"/>
        <w:ind w:firstLine="468" w:firstLineChars="195"/>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①供应商提供有效的统一社会信用代码的营业执照，供应商必须是中华人民共和国境内注册的，具有独立承担民事责任的能力；</w:t>
      </w:r>
    </w:p>
    <w:p w14:paraId="03ABA26B">
      <w:pPr>
        <w:pStyle w:val="37"/>
        <w:spacing w:before="0" w:beforeAutospacing="0" w:after="0" w:afterAutospacing="0" w:line="400" w:lineRule="exact"/>
        <w:ind w:firstLine="468" w:firstLineChars="195"/>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② 财务状况报告：供应商提供上年度经第三方权威机构出具的完整的财务审计报告（当上一年度审计报告未出来时，</w:t>
      </w:r>
      <w:r>
        <w:rPr>
          <w:rFonts w:ascii="仿宋" w:hAnsi="仿宋" w:eastAsia="仿宋" w:cs="仿宋"/>
          <w:color w:val="000000" w:themeColor="text1"/>
          <w:kern w:val="2"/>
          <w14:textFill>
            <w14:solidFill>
              <w14:schemeClr w14:val="tx1"/>
            </w14:solidFill>
          </w14:textFill>
        </w:rPr>
        <w:t>可提供</w:t>
      </w:r>
      <w:r>
        <w:rPr>
          <w:rFonts w:hint="eastAsia" w:ascii="仿宋" w:hAnsi="仿宋" w:eastAsia="仿宋" w:cs="仿宋"/>
          <w:color w:val="000000" w:themeColor="text1"/>
          <w:kern w:val="2"/>
          <w14:textFill>
            <w14:solidFill>
              <w14:schemeClr w14:val="tx1"/>
            </w14:solidFill>
          </w14:textFill>
        </w:rPr>
        <w:t>前一年度审计报告</w:t>
      </w:r>
      <w:r>
        <w:rPr>
          <w:rFonts w:ascii="仿宋" w:hAnsi="仿宋" w:eastAsia="仿宋" w:cs="仿宋"/>
          <w:color w:val="000000" w:themeColor="text1"/>
          <w:kern w:val="2"/>
          <w14:textFill>
            <w14:solidFill>
              <w14:schemeClr w14:val="tx1"/>
            </w14:solidFill>
          </w14:textFill>
        </w:rPr>
        <w:t>）</w:t>
      </w:r>
      <w:r>
        <w:rPr>
          <w:rFonts w:hint="eastAsia" w:ascii="仿宋" w:hAnsi="仿宋" w:eastAsia="仿宋" w:cs="仿宋"/>
          <w:color w:val="000000" w:themeColor="text1"/>
          <w:kern w:val="2"/>
          <w14:textFill>
            <w14:solidFill>
              <w14:schemeClr w14:val="tx1"/>
            </w14:solidFill>
          </w14:textFill>
        </w:rPr>
        <w:t>或自发布公告之日起基本开户银行出具的资信证明； </w:t>
      </w:r>
    </w:p>
    <w:p w14:paraId="0FD7F325">
      <w:pPr>
        <w:pStyle w:val="37"/>
        <w:spacing w:before="0" w:beforeAutospacing="0" w:after="0" w:afterAutospacing="0" w:line="400" w:lineRule="exact"/>
        <w:ind w:firstLine="468" w:firstLineChars="195"/>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③ 依法缴纳税收：供应商提供自投标截止之日前半年内任意一个月依法缴纳税收的凭据，依法免税的供应商，应提供充足的证明材料；</w:t>
      </w:r>
    </w:p>
    <w:p w14:paraId="390012BE">
      <w:pPr>
        <w:pStyle w:val="37"/>
        <w:spacing w:before="0" w:beforeAutospacing="0" w:after="0" w:afterAutospacing="0" w:line="400" w:lineRule="exact"/>
        <w:ind w:firstLine="468" w:firstLineChars="195"/>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 xml:space="preserve">④ 供应商逐月缴纳社会保障资金的，提供自投标截止之日前半年内任意一个月缴纳社会保障资金的凭证；供应商逐年缴纳社会保障资金的，提供上年度缴纳社会保障资金的凭证； </w:t>
      </w:r>
    </w:p>
    <w:p w14:paraId="47347833">
      <w:pPr>
        <w:pStyle w:val="37"/>
        <w:spacing w:before="0" w:beforeAutospacing="0" w:after="0" w:afterAutospacing="0" w:line="400" w:lineRule="exact"/>
        <w:ind w:firstLine="468" w:firstLineChars="195"/>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 xml:space="preserve">⑤ 供应商具备履行合同所必需的设备和专业技术能力的证明材料； </w:t>
      </w:r>
    </w:p>
    <w:p w14:paraId="5206015A">
      <w:pPr>
        <w:pStyle w:val="37"/>
        <w:spacing w:before="0" w:beforeAutospacing="0" w:after="0" w:afterAutospacing="0" w:line="400" w:lineRule="exact"/>
        <w:ind w:firstLine="468" w:firstLineChars="195"/>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⑥ 供应商提供参加政府采购活动前 3 年内在经营活动中没有重大违法记录的书面声明（截至开标日成立不满 3 年的供应商，可提供自成立以来无重大违法记录的书面声明）；</w:t>
      </w:r>
    </w:p>
    <w:p w14:paraId="534F519E">
      <w:pPr>
        <w:pStyle w:val="37"/>
        <w:spacing w:before="0" w:beforeAutospacing="0" w:after="0" w:afterAutospacing="0" w:line="400" w:lineRule="exact"/>
        <w:ind w:firstLine="480" w:firstLineChars="200"/>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⑦本项目专门面向中小企业采购，</w:t>
      </w:r>
      <w:r>
        <w:rPr>
          <w:rFonts w:hint="eastAsia" w:ascii="仿宋" w:hAnsi="仿宋" w:eastAsia="仿宋" w:cs="仿宋"/>
          <w:color w:val="000000" w:themeColor="text1"/>
          <w:kern w:val="2"/>
          <w:lang w:val="en-US" w:eastAsia="zh-CN"/>
          <w14:textFill>
            <w14:solidFill>
              <w14:schemeClr w14:val="tx1"/>
            </w14:solidFill>
          </w14:textFill>
        </w:rPr>
        <w:t>供应商为</w:t>
      </w:r>
      <w:r>
        <w:rPr>
          <w:rFonts w:hint="eastAsia" w:ascii="仿宋" w:hAnsi="仿宋" w:eastAsia="仿宋" w:cs="仿宋"/>
          <w:color w:val="000000" w:themeColor="text1"/>
          <w:kern w:val="2"/>
          <w14:textFill>
            <w14:solidFill>
              <w14:schemeClr w14:val="tx1"/>
            </w14:solidFill>
          </w14:textFill>
        </w:rPr>
        <w:t>中小供应商</w:t>
      </w:r>
      <w:r>
        <w:rPr>
          <w:rFonts w:hint="eastAsia" w:ascii="仿宋" w:hAnsi="仿宋" w:eastAsia="仿宋" w:cs="仿宋"/>
          <w:color w:val="000000" w:themeColor="text1"/>
          <w:kern w:val="2"/>
          <w:lang w:val="en-US" w:eastAsia="zh-CN"/>
          <w14:textFill>
            <w14:solidFill>
              <w14:schemeClr w14:val="tx1"/>
            </w14:solidFill>
          </w14:textFill>
        </w:rPr>
        <w:t>且</w:t>
      </w:r>
      <w:r>
        <w:rPr>
          <w:rFonts w:hint="eastAsia" w:ascii="仿宋" w:hAnsi="仿宋" w:eastAsia="仿宋" w:cs="仿宋"/>
          <w:color w:val="000000" w:themeColor="text1"/>
          <w:kern w:val="2"/>
          <w14:textFill>
            <w14:solidFill>
              <w14:schemeClr w14:val="tx1"/>
            </w14:solidFill>
          </w14:textFill>
        </w:rPr>
        <w:t>须提供《中小企业声明函》。监狱企业、残疾人福利性单位，视同为小型和微型企业，须提供《声明函》。</w:t>
      </w:r>
    </w:p>
    <w:p w14:paraId="67855CF6">
      <w:pPr>
        <w:pStyle w:val="37"/>
        <w:spacing w:before="0" w:beforeAutospacing="0" w:after="0" w:afterAutospacing="0" w:line="400" w:lineRule="exact"/>
        <w:ind w:firstLine="468" w:firstLineChars="195"/>
        <w:outlineLvl w:val="3"/>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4.3、供应商提供法人授权委托书及被授权人身份证明原件；</w:t>
      </w:r>
    </w:p>
    <w:p w14:paraId="48207DC4">
      <w:pPr>
        <w:pStyle w:val="37"/>
        <w:spacing w:before="0" w:beforeAutospacing="0" w:after="0" w:afterAutospacing="0" w:line="400" w:lineRule="exact"/>
        <w:ind w:firstLine="468" w:firstLineChars="195"/>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4.4、在“信用中国”网站被列入失信被执行人、重大税收违法失信主体，在中国裁判文书网有行贿犯罪记录的（尚在处罚期内的），在中国政府采购网被列入政府采购严重违法失信行为记录名单的（尚在处罚期内的），将拒绝本次政府采购活动,须提供网站查询结果截图。  </w:t>
      </w:r>
    </w:p>
    <w:p w14:paraId="68FE465B">
      <w:pPr>
        <w:pStyle w:val="37"/>
        <w:spacing w:before="0" w:beforeAutospacing="0" w:after="0" w:afterAutospacing="0" w:line="400" w:lineRule="exact"/>
        <w:ind w:firstLine="468" w:firstLineChars="195"/>
        <w:outlineLvl w:val="3"/>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4.5、本项目不接受联合体投标；</w:t>
      </w:r>
    </w:p>
    <w:p w14:paraId="7FB768F8">
      <w:pPr>
        <w:pStyle w:val="37"/>
        <w:spacing w:before="0" w:beforeAutospacing="0" w:after="0" w:afterAutospacing="0" w:line="400" w:lineRule="exact"/>
        <w:ind w:firstLine="468" w:firstLineChars="195"/>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4.6、单位负责人为同一人或者存在直接控股、管理关系的不同投标人，不得同时参加本项目的竞争。</w:t>
      </w:r>
      <w:r>
        <w:rPr>
          <w:rFonts w:hint="eastAsia" w:ascii="仿宋" w:hAnsi="仿宋" w:eastAsia="仿宋" w:cs="仿宋"/>
          <w:color w:val="000000" w:themeColor="text1"/>
          <w14:textFill>
            <w14:solidFill>
              <w14:schemeClr w14:val="tx1"/>
            </w14:solidFill>
          </w14:textFill>
        </w:rPr>
        <w:t xml:space="preserve">        </w:t>
      </w:r>
    </w:p>
    <w:p w14:paraId="4B09B70B">
      <w:pPr>
        <w:spacing w:line="400" w:lineRule="exact"/>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5、投标费用</w:t>
      </w:r>
    </w:p>
    <w:p w14:paraId="6DCE1542">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 无论投标过程中的作法和结果如何，供应商将自行承担所有与参加投标有关的全部费用。</w:t>
      </w:r>
      <w:bookmarkStart w:id="35" w:name="_Toc298240406"/>
      <w:bookmarkStart w:id="36" w:name="_Toc267301283"/>
      <w:bookmarkStart w:id="37" w:name="_Toc349573122"/>
      <w:bookmarkStart w:id="38" w:name="_Toc349637921"/>
    </w:p>
    <w:p w14:paraId="19F05846">
      <w:pPr>
        <w:pStyle w:val="4"/>
        <w:pageBreakBefore/>
        <w:widowControl/>
        <w:spacing w:before="0" w:after="0" w:line="400" w:lineRule="exact"/>
        <w:jc w:val="center"/>
        <w:rPr>
          <w:rFonts w:ascii="仿宋" w:hAnsi="仿宋" w:eastAsia="仿宋" w:cs="仿宋"/>
          <w:color w:val="000000" w:themeColor="text1"/>
          <w:sz w:val="24"/>
          <w:szCs w:val="24"/>
          <w14:textFill>
            <w14:solidFill>
              <w14:schemeClr w14:val="tx1"/>
            </w14:solidFill>
          </w14:textFill>
        </w:rPr>
      </w:pPr>
      <w:bookmarkStart w:id="39" w:name="_Toc462223633"/>
      <w:bookmarkStart w:id="40" w:name="_Toc20086"/>
      <w:bookmarkStart w:id="41" w:name="_Toc18998"/>
      <w:r>
        <w:rPr>
          <w:rFonts w:hint="eastAsia" w:ascii="仿宋" w:hAnsi="仿宋" w:eastAsia="仿宋" w:cs="仿宋"/>
          <w:color w:val="000000" w:themeColor="text1"/>
          <w:sz w:val="24"/>
          <w:szCs w:val="24"/>
          <w14:textFill>
            <w14:solidFill>
              <w14:schemeClr w14:val="tx1"/>
            </w14:solidFill>
          </w14:textFill>
        </w:rPr>
        <w:t>（二）  投标文件</w:t>
      </w:r>
      <w:bookmarkEnd w:id="35"/>
      <w:bookmarkEnd w:id="36"/>
      <w:bookmarkEnd w:id="37"/>
      <w:bookmarkEnd w:id="38"/>
      <w:bookmarkEnd w:id="39"/>
      <w:bookmarkEnd w:id="40"/>
      <w:bookmarkEnd w:id="41"/>
    </w:p>
    <w:p w14:paraId="1D59E04D">
      <w:pPr>
        <w:spacing w:line="400" w:lineRule="exact"/>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6、投标文件构成</w:t>
      </w:r>
    </w:p>
    <w:p w14:paraId="13BA2BA7">
      <w:pPr>
        <w:spacing w:line="400" w:lineRule="exact"/>
        <w:ind w:firstLine="480" w:firstLineChars="200"/>
        <w:outlineLvl w:val="3"/>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6.1投标文件包括：</w:t>
      </w:r>
    </w:p>
    <w:p w14:paraId="3C2414E9">
      <w:pPr>
        <w:spacing w:line="400" w:lineRule="exact"/>
        <w:ind w:firstLine="753" w:firstLineChars="314"/>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6.1.1 投标公告；</w:t>
      </w:r>
    </w:p>
    <w:p w14:paraId="456E7A0A">
      <w:pPr>
        <w:spacing w:line="400" w:lineRule="exact"/>
        <w:ind w:firstLine="753" w:firstLineChars="314"/>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6.1.2 供应商须知；</w:t>
      </w:r>
    </w:p>
    <w:p w14:paraId="79A23A97">
      <w:pPr>
        <w:spacing w:line="400" w:lineRule="exact"/>
        <w:ind w:firstLine="753" w:firstLineChars="314"/>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6.1.3 项目需求；</w:t>
      </w:r>
    </w:p>
    <w:p w14:paraId="49E1D271">
      <w:pPr>
        <w:spacing w:line="400" w:lineRule="exact"/>
        <w:ind w:firstLine="753" w:firstLineChars="314"/>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6.1.4 合同条款；</w:t>
      </w:r>
    </w:p>
    <w:p w14:paraId="7698CF2A">
      <w:pPr>
        <w:spacing w:line="400" w:lineRule="exact"/>
        <w:ind w:firstLine="753" w:firstLineChars="314"/>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6.1.5 投标文件格式。</w:t>
      </w:r>
    </w:p>
    <w:p w14:paraId="6610AC3D">
      <w:pPr>
        <w:spacing w:line="400" w:lineRule="exact"/>
        <w:ind w:firstLine="480" w:firstLineChars="200"/>
        <w:outlineLvl w:val="3"/>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6.2 投标文件以中文编写。</w:t>
      </w:r>
    </w:p>
    <w:p w14:paraId="4710ADDB">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6.3 供应商应认真阅读投标文件中所有的事项、格式、条款和规范等要求，从而对投标文件作出实质性响应。如果没有按照投标文件要求提交全部投标文件或资料，没有对投标文件作出实质性响应，其风险应由供应商自行承担。</w:t>
      </w:r>
    </w:p>
    <w:p w14:paraId="73263550">
      <w:pPr>
        <w:spacing w:line="400" w:lineRule="exact"/>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7、投标文件澄清</w:t>
      </w:r>
    </w:p>
    <w:p w14:paraId="574A31B0">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7.1 供应商对投标文件有疑问的，可以向招标代理机构提出询问，招标代理机构将及时做出答复；</w:t>
      </w:r>
    </w:p>
    <w:p w14:paraId="489A429D">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7.2 供应商对投标文件有质疑，须在得到招标文件之日起至质疑截止时间止，以书面形式向招标机构提出质疑；招标机构在收到书面质疑后7个工作日内做出答复，并以书面形式通知质疑投标人。</w:t>
      </w:r>
    </w:p>
    <w:p w14:paraId="52254209">
      <w:pPr>
        <w:spacing w:line="400" w:lineRule="exact"/>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 投标文件的修改</w:t>
      </w:r>
    </w:p>
    <w:p w14:paraId="65893785">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8.1 投标人对招标文件有疑问的，可以向招标代理机构提出询问，招标代理机构将及时做出答复；</w:t>
      </w:r>
    </w:p>
    <w:p w14:paraId="20F224D6">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8.2 供应商在规定的时间内未对投标文件提出澄清要求的，招标代理机构将视其为同意。</w:t>
      </w:r>
    </w:p>
    <w:p w14:paraId="2C09CABA">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8.3 在投标截止时间前，招标机构可视具体情况延长投标截止时间，并将变更时间书面通知所有购买投标文件的供应商。</w:t>
      </w:r>
    </w:p>
    <w:p w14:paraId="6AC2E163">
      <w:pPr>
        <w:pStyle w:val="4"/>
        <w:spacing w:before="0" w:after="0" w:line="400" w:lineRule="exact"/>
        <w:jc w:val="center"/>
        <w:rPr>
          <w:rFonts w:ascii="仿宋" w:hAnsi="仿宋" w:eastAsia="仿宋" w:cs="仿宋"/>
          <w:color w:val="000000" w:themeColor="text1"/>
          <w:sz w:val="24"/>
          <w:szCs w:val="24"/>
          <w14:textFill>
            <w14:solidFill>
              <w14:schemeClr w14:val="tx1"/>
            </w14:solidFill>
          </w14:textFill>
        </w:rPr>
      </w:pPr>
      <w:bookmarkStart w:id="42" w:name="_Toc349573123"/>
      <w:bookmarkStart w:id="43" w:name="_Toc462223634"/>
      <w:bookmarkStart w:id="44" w:name="_Toc298240407"/>
      <w:bookmarkStart w:id="45" w:name="_Toc267301284"/>
      <w:bookmarkStart w:id="46" w:name="_Toc349637922"/>
    </w:p>
    <w:p w14:paraId="66451EAD">
      <w:pPr>
        <w:pStyle w:val="4"/>
        <w:spacing w:before="0" w:after="0" w:line="400" w:lineRule="exact"/>
        <w:jc w:val="center"/>
        <w:rPr>
          <w:rFonts w:ascii="仿宋" w:hAnsi="仿宋" w:eastAsia="仿宋" w:cs="仿宋"/>
          <w:color w:val="000000" w:themeColor="text1"/>
          <w:sz w:val="24"/>
          <w:szCs w:val="24"/>
          <w14:textFill>
            <w14:solidFill>
              <w14:schemeClr w14:val="tx1"/>
            </w14:solidFill>
          </w14:textFill>
        </w:rPr>
      </w:pPr>
      <w:bookmarkStart w:id="47" w:name="_Toc12673"/>
      <w:bookmarkStart w:id="48" w:name="_Toc8402"/>
      <w:r>
        <w:rPr>
          <w:rFonts w:hint="eastAsia" w:ascii="仿宋" w:hAnsi="仿宋" w:eastAsia="仿宋" w:cs="仿宋"/>
          <w:color w:val="000000" w:themeColor="text1"/>
          <w:sz w:val="24"/>
          <w:szCs w:val="24"/>
          <w14:textFill>
            <w14:solidFill>
              <w14:schemeClr w14:val="tx1"/>
            </w14:solidFill>
          </w14:textFill>
        </w:rPr>
        <w:t>（三） 投标性文件的编写</w:t>
      </w:r>
      <w:bookmarkEnd w:id="42"/>
      <w:bookmarkEnd w:id="43"/>
      <w:bookmarkEnd w:id="44"/>
      <w:bookmarkEnd w:id="45"/>
      <w:bookmarkEnd w:id="46"/>
      <w:bookmarkEnd w:id="47"/>
      <w:bookmarkEnd w:id="48"/>
    </w:p>
    <w:p w14:paraId="5033F071">
      <w:pPr>
        <w:spacing w:line="400" w:lineRule="exact"/>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9、要求</w:t>
      </w:r>
    </w:p>
    <w:p w14:paraId="118121A8">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9.1 供应商应仔细阅读投标文件的所有内容，按投标文件的要求提供投标性文件，并保证所提供的全部资料的真实性，以使其投标对投标文件作出实质性响应，否则，其投标可能被拒绝。</w:t>
      </w:r>
    </w:p>
    <w:p w14:paraId="3FA9872E">
      <w:pPr>
        <w:spacing w:line="400" w:lineRule="exact"/>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10、投标语言</w:t>
      </w:r>
    </w:p>
    <w:p w14:paraId="3D228611">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10.1投标性文件及供应商与招标代理机构就投标交换的文件和来往信件，应以中文书写（投标供应商提交的支持文件和印刷的文献可以使用别的语言，但其相应内容必须附有中文翻译文本，在解释投标文件时以翻译文本为主）。</w:t>
      </w:r>
    </w:p>
    <w:p w14:paraId="3F069614">
      <w:pPr>
        <w:spacing w:line="400" w:lineRule="exact"/>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11、投标性文件的构成</w:t>
      </w:r>
    </w:p>
    <w:p w14:paraId="2CF4AFF9">
      <w:pPr>
        <w:spacing w:line="400" w:lineRule="exact"/>
        <w:ind w:firstLine="480" w:firstLineChars="200"/>
        <w:outlineLvl w:val="3"/>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11.1 供应商编写的投标性文件应包括下列内容：</w:t>
      </w:r>
    </w:p>
    <w:p w14:paraId="3E23671E">
      <w:pPr>
        <w:spacing w:line="400" w:lineRule="exact"/>
        <w:ind w:firstLine="480" w:firstLineChars="200"/>
        <w:outlineLvl w:val="3"/>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一、投标函（附件1）</w:t>
      </w:r>
    </w:p>
    <w:p w14:paraId="734ED394">
      <w:pPr>
        <w:spacing w:line="400" w:lineRule="exact"/>
        <w:ind w:firstLine="480" w:firstLineChars="200"/>
        <w:outlineLvl w:val="3"/>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二、法定代表人身份证明（附件2）</w:t>
      </w:r>
    </w:p>
    <w:p w14:paraId="548DFA95">
      <w:pPr>
        <w:spacing w:line="400" w:lineRule="exact"/>
        <w:ind w:firstLine="480" w:firstLineChars="200"/>
        <w:outlineLvl w:val="3"/>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三、法定代表人授权委托书（附件3）</w:t>
      </w:r>
    </w:p>
    <w:p w14:paraId="54C455DF">
      <w:pPr>
        <w:spacing w:line="400" w:lineRule="exact"/>
        <w:ind w:firstLine="480" w:firstLineChars="200"/>
        <w:outlineLvl w:val="3"/>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四、投标报价表（开标一览表）（附件4）</w:t>
      </w:r>
    </w:p>
    <w:p w14:paraId="4303EC62">
      <w:pPr>
        <w:spacing w:line="400" w:lineRule="exact"/>
        <w:ind w:firstLine="480" w:firstLineChars="200"/>
        <w:outlineLvl w:val="3"/>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五、商务偏离表（附件5）</w:t>
      </w:r>
    </w:p>
    <w:p w14:paraId="4637DF50">
      <w:pPr>
        <w:spacing w:line="400" w:lineRule="exact"/>
        <w:ind w:firstLine="480" w:firstLineChars="200"/>
        <w:outlineLvl w:val="3"/>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六、资格证明文件</w:t>
      </w:r>
    </w:p>
    <w:p w14:paraId="779D9E02">
      <w:pPr>
        <w:spacing w:line="400" w:lineRule="exact"/>
        <w:ind w:firstLine="480" w:firstLineChars="200"/>
        <w:outlineLvl w:val="3"/>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七、类似业绩（附件6）</w:t>
      </w:r>
    </w:p>
    <w:p w14:paraId="6C44CEAD">
      <w:pPr>
        <w:spacing w:line="400" w:lineRule="exact"/>
        <w:ind w:firstLine="480" w:firstLineChars="200"/>
        <w:outlineLvl w:val="3"/>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八、技术偏离表（附件7）</w:t>
      </w:r>
    </w:p>
    <w:p w14:paraId="6BF27B9A">
      <w:pPr>
        <w:spacing w:line="400" w:lineRule="exact"/>
        <w:ind w:firstLine="480" w:firstLineChars="200"/>
        <w:outlineLvl w:val="3"/>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九、技术部分</w:t>
      </w:r>
    </w:p>
    <w:p w14:paraId="637A9FCC">
      <w:pPr>
        <w:spacing w:line="400" w:lineRule="exact"/>
        <w:ind w:firstLine="480" w:firstLineChars="200"/>
        <w:outlineLvl w:val="3"/>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十、中小微企业证明文件等（附件11）</w:t>
      </w:r>
    </w:p>
    <w:p w14:paraId="66795F05">
      <w:pPr>
        <w:spacing w:line="400" w:lineRule="exact"/>
        <w:ind w:firstLine="480" w:firstLineChars="200"/>
        <w:outlineLvl w:val="3"/>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十一、投标人认为有必要提交的其他相关证明材料</w:t>
      </w:r>
    </w:p>
    <w:p w14:paraId="3D601BC3">
      <w:pPr>
        <w:spacing w:line="400" w:lineRule="exact"/>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12、投标文件格式</w:t>
      </w:r>
    </w:p>
    <w:p w14:paraId="16E2199E">
      <w:pPr>
        <w:spacing w:line="400" w:lineRule="exact"/>
        <w:ind w:firstLine="480" w:firstLineChars="200"/>
        <w:outlineLvl w:val="3"/>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12.1 供应商应按投标文件的范本格式中提供的文件格式填写。</w:t>
      </w:r>
    </w:p>
    <w:p w14:paraId="7441EC07">
      <w:pPr>
        <w:spacing w:line="400" w:lineRule="exact"/>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13、投标报价</w:t>
      </w:r>
    </w:p>
    <w:p w14:paraId="6D565E62">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13.1 供应商应在投标报价表上标明单价和总价。单价和总价要相符。小写和大写要相符。供应商应在投标报价表中标明其提供的所有服务及其相关工作范围内所有费用的总价，不接受有任何选择性投标报价。</w:t>
      </w:r>
    </w:p>
    <w:p w14:paraId="5D76A447">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13.2 算术性修正。算术性修正是指对投标文件的报价明细进行校核，并对其算术上和运算上的差错给予修正。修正的原则如下：</w:t>
      </w:r>
    </w:p>
    <w:p w14:paraId="7BED76E8">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13.2.1 当以数字表示的金额与文字表示的金额有差异时，以文字表示的金额为准；</w:t>
      </w:r>
    </w:p>
    <w:p w14:paraId="1A57EE62">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13.2.2 当单价与数量相乘不等于合价时，以单价计算为准。如果单价有明显的小数点位置差错，应以标出的合价为准，同时对单价予以修正；</w:t>
      </w:r>
    </w:p>
    <w:p w14:paraId="70CBE437">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13.2.3 当各明细部分的价格累计不等于合价时，应以各明细的累计计数为准，修正合价。</w:t>
      </w:r>
    </w:p>
    <w:p w14:paraId="1316D770">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13.2.4 按以上原则对算术性差错修正，应取得供应商的同意，并确认修正后最终投标报价。如果供应商拒绝确认，则其投标文件将不予以评审并按废标处理，没收其投标担保。</w:t>
      </w:r>
    </w:p>
    <w:p w14:paraId="1200F698">
      <w:pPr>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14、投标货币</w:t>
      </w:r>
    </w:p>
    <w:p w14:paraId="05C6A2CB">
      <w:pPr>
        <w:spacing w:line="400" w:lineRule="exact"/>
        <w:ind w:firstLine="480" w:firstLineChars="200"/>
        <w:outlineLvl w:val="3"/>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14.1人民币报价。</w:t>
      </w:r>
    </w:p>
    <w:p w14:paraId="2201070A">
      <w:pPr>
        <w:spacing w:line="400" w:lineRule="exact"/>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15、供应商的证明文件：</w:t>
      </w:r>
    </w:p>
    <w:p w14:paraId="37F58EA9">
      <w:pPr>
        <w:spacing w:line="400" w:lineRule="exact"/>
        <w:ind w:firstLine="480" w:firstLineChars="200"/>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供应商必须提交证明其有资格进行投标和有能力履行合同的文件（范本格式），作为投标文件的一部分。（</w:t>
      </w:r>
      <w:r>
        <w:rPr>
          <w:rFonts w:hint="eastAsia" w:ascii="仿宋" w:hAnsi="仿宋" w:eastAsia="仿宋" w:cs="仿宋"/>
          <w:color w:val="000000" w:themeColor="text1"/>
          <w:spacing w:val="8"/>
          <w:sz w:val="24"/>
          <w:szCs w:val="24"/>
          <w14:textFill>
            <w14:solidFill>
              <w14:schemeClr w14:val="tx1"/>
            </w14:solidFill>
          </w14:textFill>
        </w:rPr>
        <w:t>如不满足以下条款将导致废标）</w:t>
      </w:r>
    </w:p>
    <w:p w14:paraId="7A9C537F">
      <w:pPr>
        <w:pStyle w:val="37"/>
        <w:spacing w:before="0" w:beforeAutospacing="0" w:after="0" w:afterAutospacing="0" w:line="400" w:lineRule="exact"/>
        <w:ind w:firstLine="480" w:firstLineChars="200"/>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15.1 、落实政府采购政策需满足的资格要求：详见政府采购法。 </w:t>
      </w:r>
    </w:p>
    <w:p w14:paraId="4C642876">
      <w:pPr>
        <w:pStyle w:val="37"/>
        <w:spacing w:before="0" w:beforeAutospacing="0" w:after="0" w:afterAutospacing="0" w:line="400" w:lineRule="exact"/>
        <w:ind w:firstLine="480" w:firstLineChars="200"/>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15.2、供应商须符合《中华人民共和国政府采购法》第二十二条规定,并提供《中华人民共和国政府采购法实施条例》第十七条所要求的材料； </w:t>
      </w:r>
    </w:p>
    <w:p w14:paraId="3D797886">
      <w:pPr>
        <w:pStyle w:val="37"/>
        <w:spacing w:before="0" w:beforeAutospacing="0" w:after="0" w:afterAutospacing="0" w:line="400" w:lineRule="exact"/>
        <w:ind w:firstLine="468" w:firstLineChars="195"/>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①供应商提供有效的统一社会信用代码的营业执照，供应商必须是中华人民共和国境内注册的，具有独立承担民事责任的能力；</w:t>
      </w:r>
    </w:p>
    <w:p w14:paraId="044BBD0E">
      <w:pPr>
        <w:pStyle w:val="37"/>
        <w:spacing w:before="0" w:beforeAutospacing="0" w:after="0" w:afterAutospacing="0" w:line="400" w:lineRule="exact"/>
        <w:ind w:firstLine="468" w:firstLineChars="195"/>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② 财务状况报告：供应商提供上年度经第三方权威机构出具的完整的财务审计报告（当上一年度审计报告未出来时，</w:t>
      </w:r>
      <w:r>
        <w:rPr>
          <w:rFonts w:ascii="仿宋" w:hAnsi="仿宋" w:eastAsia="仿宋" w:cs="仿宋"/>
          <w:color w:val="000000" w:themeColor="text1"/>
          <w:kern w:val="2"/>
          <w14:textFill>
            <w14:solidFill>
              <w14:schemeClr w14:val="tx1"/>
            </w14:solidFill>
          </w14:textFill>
        </w:rPr>
        <w:t>可提供</w:t>
      </w:r>
      <w:r>
        <w:rPr>
          <w:rFonts w:hint="eastAsia" w:ascii="仿宋" w:hAnsi="仿宋" w:eastAsia="仿宋" w:cs="仿宋"/>
          <w:color w:val="000000" w:themeColor="text1"/>
          <w:kern w:val="2"/>
          <w14:textFill>
            <w14:solidFill>
              <w14:schemeClr w14:val="tx1"/>
            </w14:solidFill>
          </w14:textFill>
        </w:rPr>
        <w:t>前一年度审计报告</w:t>
      </w:r>
      <w:r>
        <w:rPr>
          <w:rFonts w:ascii="仿宋" w:hAnsi="仿宋" w:eastAsia="仿宋" w:cs="仿宋"/>
          <w:color w:val="000000" w:themeColor="text1"/>
          <w:kern w:val="2"/>
          <w14:textFill>
            <w14:solidFill>
              <w14:schemeClr w14:val="tx1"/>
            </w14:solidFill>
          </w14:textFill>
        </w:rPr>
        <w:t>）</w:t>
      </w:r>
      <w:r>
        <w:rPr>
          <w:rFonts w:hint="eastAsia" w:ascii="仿宋" w:hAnsi="仿宋" w:eastAsia="仿宋" w:cs="仿宋"/>
          <w:color w:val="000000" w:themeColor="text1"/>
          <w:kern w:val="2"/>
          <w14:textFill>
            <w14:solidFill>
              <w14:schemeClr w14:val="tx1"/>
            </w14:solidFill>
          </w14:textFill>
        </w:rPr>
        <w:t>或自发布公告之日起基本开户银行出具的资信证明； </w:t>
      </w:r>
    </w:p>
    <w:p w14:paraId="59C8A6F2">
      <w:pPr>
        <w:pStyle w:val="37"/>
        <w:spacing w:before="0" w:beforeAutospacing="0" w:after="0" w:afterAutospacing="0" w:line="400" w:lineRule="exact"/>
        <w:ind w:firstLine="468" w:firstLineChars="195"/>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③ 依法缴纳税收：供应商提供自投标截止之日前半年内任意一个月依法缴纳税收的凭据，依法免税的供应商，应提供充足的证明材料； </w:t>
      </w:r>
    </w:p>
    <w:p w14:paraId="3C80AFF2">
      <w:pPr>
        <w:pStyle w:val="37"/>
        <w:spacing w:before="0" w:beforeAutospacing="0" w:after="0" w:afterAutospacing="0" w:line="400" w:lineRule="exact"/>
        <w:ind w:firstLine="468" w:firstLineChars="195"/>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④ 供应商逐月缴纳社会保障资金的，提供自投标截止之日前半年内任意一个月缴纳社会保障资金的凭证；供应商逐年缴纳社会保障资金的，提供上年度缴纳社会保障资金的凭证； </w:t>
      </w:r>
    </w:p>
    <w:p w14:paraId="08E9CC3F">
      <w:pPr>
        <w:pStyle w:val="37"/>
        <w:spacing w:before="0" w:beforeAutospacing="0" w:after="0" w:afterAutospacing="0" w:line="400" w:lineRule="exact"/>
        <w:ind w:firstLine="468" w:firstLineChars="195"/>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⑤ 供应商具备履行合同所必需的设备和专业技术能力的证明材料； </w:t>
      </w:r>
    </w:p>
    <w:p w14:paraId="6EAC4E46">
      <w:pPr>
        <w:pStyle w:val="37"/>
        <w:spacing w:before="0" w:beforeAutospacing="0" w:after="0" w:afterAutospacing="0" w:line="400" w:lineRule="exact"/>
        <w:ind w:firstLine="468" w:firstLineChars="195"/>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⑥ 供应商提供参加政府采购活动前 3 年内在经营活动中没有重大违法记录的书面声明（截至开标日成立不满 3 年的供应商，可提供自成立以来无重大违法记录的书面声明）；</w:t>
      </w:r>
    </w:p>
    <w:p w14:paraId="1D7DFC83">
      <w:pPr>
        <w:pStyle w:val="37"/>
        <w:spacing w:before="0" w:beforeAutospacing="0" w:after="0" w:afterAutospacing="0" w:line="400" w:lineRule="exact"/>
        <w:ind w:firstLine="480" w:firstLineChars="200"/>
        <w:jc w:val="both"/>
        <w:rPr>
          <w:rFonts w:hint="eastAsia" w:ascii="仿宋" w:hAnsi="仿宋" w:eastAsia="仿宋" w:cs="仿宋"/>
          <w:color w:val="000000" w:themeColor="text1"/>
          <w:kern w:val="2"/>
          <w:lang w:eastAsia="zh-CN"/>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⑦本项目专门面向中小企业采购，</w:t>
      </w:r>
      <w:r>
        <w:rPr>
          <w:rFonts w:hint="eastAsia" w:ascii="仿宋" w:hAnsi="仿宋" w:eastAsia="仿宋" w:cs="仿宋"/>
          <w:color w:val="000000" w:themeColor="text1"/>
          <w:kern w:val="2"/>
          <w:lang w:val="en-US" w:eastAsia="zh-CN"/>
          <w14:textFill>
            <w14:solidFill>
              <w14:schemeClr w14:val="tx1"/>
            </w14:solidFill>
          </w14:textFill>
        </w:rPr>
        <w:t>供应商为</w:t>
      </w:r>
      <w:r>
        <w:rPr>
          <w:rFonts w:hint="eastAsia" w:ascii="仿宋" w:hAnsi="仿宋" w:eastAsia="仿宋" w:cs="仿宋"/>
          <w:color w:val="000000" w:themeColor="text1"/>
          <w:kern w:val="2"/>
          <w14:textFill>
            <w14:solidFill>
              <w14:schemeClr w14:val="tx1"/>
            </w14:solidFill>
          </w14:textFill>
        </w:rPr>
        <w:t>中小供应商</w:t>
      </w:r>
      <w:r>
        <w:rPr>
          <w:rFonts w:hint="eastAsia" w:ascii="仿宋" w:hAnsi="仿宋" w:eastAsia="仿宋" w:cs="仿宋"/>
          <w:color w:val="000000" w:themeColor="text1"/>
          <w:kern w:val="2"/>
          <w:lang w:val="en-US" w:eastAsia="zh-CN"/>
          <w14:textFill>
            <w14:solidFill>
              <w14:schemeClr w14:val="tx1"/>
            </w14:solidFill>
          </w14:textFill>
        </w:rPr>
        <w:t>且</w:t>
      </w:r>
      <w:r>
        <w:rPr>
          <w:rFonts w:hint="eastAsia" w:ascii="仿宋" w:hAnsi="仿宋" w:eastAsia="仿宋" w:cs="仿宋"/>
          <w:color w:val="000000" w:themeColor="text1"/>
          <w:kern w:val="2"/>
          <w14:textFill>
            <w14:solidFill>
              <w14:schemeClr w14:val="tx1"/>
            </w14:solidFill>
          </w14:textFill>
        </w:rPr>
        <w:t>须提供《中小企业声明函》</w:t>
      </w:r>
      <w:r>
        <w:rPr>
          <w:rFonts w:hint="eastAsia" w:ascii="仿宋" w:hAnsi="仿宋" w:eastAsia="仿宋" w:cs="仿宋"/>
          <w:color w:val="000000" w:themeColor="text1"/>
          <w:kern w:val="2"/>
          <w:lang w:eastAsia="zh-CN"/>
          <w14:textFill>
            <w14:solidFill>
              <w14:schemeClr w14:val="tx1"/>
            </w14:solidFill>
          </w14:textFill>
        </w:rPr>
        <w:t>。</w:t>
      </w:r>
    </w:p>
    <w:p w14:paraId="7C114E02">
      <w:pPr>
        <w:pStyle w:val="37"/>
        <w:spacing w:before="0" w:beforeAutospacing="0" w:after="0" w:afterAutospacing="0" w:line="400" w:lineRule="exact"/>
        <w:ind w:firstLine="468" w:firstLineChars="195"/>
        <w:outlineLvl w:val="3"/>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15.3、供应商提供法人授权委托书及被授权人身份证明原件； </w:t>
      </w:r>
    </w:p>
    <w:p w14:paraId="1CB6542F">
      <w:pPr>
        <w:pStyle w:val="37"/>
        <w:spacing w:before="0" w:beforeAutospacing="0" w:after="0" w:afterAutospacing="0" w:line="400" w:lineRule="exact"/>
        <w:ind w:firstLine="468" w:firstLineChars="195"/>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15.4、在“信用中国”网站被列入失信被执行人、重大税收违法失信主体，在中国裁判文书网有行贿犯罪记录的（尚在处罚期内的），在中国政府采购网被列入政府采购严重违法失信行为记录名单的（尚在处罚期内的），将拒绝本次政府采购活动,须提供网站查询结果截图。  </w:t>
      </w:r>
    </w:p>
    <w:p w14:paraId="7DAF4C6B">
      <w:pPr>
        <w:pStyle w:val="37"/>
        <w:spacing w:before="0" w:beforeAutospacing="0" w:after="0" w:afterAutospacing="0" w:line="400" w:lineRule="exact"/>
        <w:ind w:firstLine="468" w:firstLineChars="195"/>
        <w:outlineLvl w:val="3"/>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15.5、本项目不接受联合体投标；</w:t>
      </w:r>
    </w:p>
    <w:p w14:paraId="4E058CEA">
      <w:pPr>
        <w:pStyle w:val="37"/>
        <w:spacing w:before="0" w:beforeAutospacing="0" w:after="0" w:afterAutospacing="0" w:line="400" w:lineRule="exact"/>
        <w:ind w:firstLine="468" w:firstLineChars="195"/>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15.6、单位负责人为同一人或者存在直接控股、管理关系的不同投标人，不得同时参加本项目的竞争。</w:t>
      </w:r>
    </w:p>
    <w:p w14:paraId="21B33482">
      <w:pPr>
        <w:tabs>
          <w:tab w:val="left" w:pos="252"/>
          <w:tab w:val="left" w:pos="671"/>
        </w:tabs>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注：①投标性文件中，所有供应商签字、法人代表签字、法人代表授权人签字和其它签字处须同时加盖有关有法律效力的印章方为有效；</w:t>
      </w:r>
    </w:p>
    <w:p w14:paraId="512E0FB2">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②所有资格证明文件必须满足投标文件要求，否则将导致废标。</w:t>
      </w:r>
    </w:p>
    <w:p w14:paraId="389C762F">
      <w:pPr>
        <w:spacing w:line="400" w:lineRule="exact"/>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16、参数符合投标文件规定的技术要求</w:t>
      </w:r>
    </w:p>
    <w:p w14:paraId="6AA4C620">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16.1供应商提交的成果资料符合投标文件规定的要求，作为投标文件的一部分。</w:t>
      </w:r>
    </w:p>
    <w:p w14:paraId="454BD00A">
      <w:pPr>
        <w:spacing w:line="400" w:lineRule="exact"/>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17、投标的有效期</w:t>
      </w:r>
    </w:p>
    <w:p w14:paraId="761792CC">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17.1 投标文件从投标之日起，投标有效期为90天。（如不满足将导致废标）</w:t>
      </w:r>
    </w:p>
    <w:p w14:paraId="719A596F">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17.2 在特殊情况下，招标代理机构可与供应商商量延长投标文件的有效期。</w:t>
      </w:r>
    </w:p>
    <w:p w14:paraId="5CE78F97">
      <w:pPr>
        <w:spacing w:line="400" w:lineRule="exact"/>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18、投标性文件的书写要求。</w:t>
      </w:r>
    </w:p>
    <w:p w14:paraId="6425E7A1">
      <w:pPr>
        <w:spacing w:line="400" w:lineRule="exact"/>
        <w:ind w:firstLine="480" w:firstLineChars="200"/>
        <w:outlineLvl w:val="3"/>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18.1 投标性文件须是打印后加盖公章的扫描件。</w:t>
      </w:r>
    </w:p>
    <w:p w14:paraId="03768D19">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18.2 投标性文件应清楚工整，修改处应由投标供应商全权代表签章。</w:t>
      </w:r>
    </w:p>
    <w:p w14:paraId="69A44DB4">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18.3 </w:t>
      </w:r>
      <w:r>
        <w:rPr>
          <w:rFonts w:hint="eastAsia" w:ascii="仿宋" w:hAnsi="仿宋" w:eastAsia="仿宋" w:cs="仿宋"/>
          <w:b/>
          <w:color w:val="000000" w:themeColor="text1"/>
          <w:sz w:val="24"/>
          <w:szCs w:val="24"/>
          <w14:textFill>
            <w14:solidFill>
              <w14:schemeClr w14:val="tx1"/>
            </w14:solidFill>
          </w14:textFill>
        </w:rPr>
        <w:t>投标性文件中要求由投标人法定代表人或被授权人签字的内容必须签字、盖章的内容必须盖章，否则视为无效投标。</w:t>
      </w:r>
    </w:p>
    <w:p w14:paraId="1B807013">
      <w:pPr>
        <w:spacing w:line="400" w:lineRule="exact"/>
        <w:ind w:firstLine="480" w:firstLineChars="200"/>
        <w:outlineLvl w:val="3"/>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18.4电报、电话、传真形式的投标概不接受。</w:t>
      </w:r>
    </w:p>
    <w:p w14:paraId="7B8DEDD9">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18.5投标文件的份数：按政采云客户端要求提供。</w:t>
      </w:r>
    </w:p>
    <w:p w14:paraId="1AFD01E8">
      <w:pPr>
        <w:spacing w:line="400" w:lineRule="exact"/>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19、投标保证金</w:t>
      </w:r>
    </w:p>
    <w:p w14:paraId="46F31119">
      <w:pPr>
        <w:spacing w:line="400" w:lineRule="exact"/>
        <w:ind w:firstLine="480" w:firstLineChars="200"/>
        <w:outlineLvl w:val="3"/>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19.1供应商按照供应商须知附表中要求缴纳投标保证金。</w:t>
      </w:r>
    </w:p>
    <w:p w14:paraId="48D805C0">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19.2 本次招标仅接受网银或电汇作为投标保证金，投标保证金有效期应当与投标有效期一致。</w:t>
      </w:r>
    </w:p>
    <w:p w14:paraId="44AA8225">
      <w:pPr>
        <w:spacing w:line="400" w:lineRule="exact"/>
        <w:ind w:firstLine="480" w:firstLineChars="200"/>
        <w:outlineLvl w:val="3"/>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19.3投标保证金的退还时间：</w:t>
      </w:r>
    </w:p>
    <w:p w14:paraId="07086B26">
      <w:pPr>
        <w:spacing w:line="400" w:lineRule="exact"/>
        <w:ind w:firstLine="720" w:firstLineChars="3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19.3.1中标供应商的投标保证金，将在合同签订后的5个工作日内予以退还；未中标供应商的投标保证金在中标通知书发出后5个工作日内予以退还。</w:t>
      </w:r>
    </w:p>
    <w:p w14:paraId="23F3751F">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19.4未按规定提交投标保证金的投标，将被视为投标无效。</w:t>
      </w:r>
    </w:p>
    <w:p w14:paraId="1BEED56C">
      <w:pPr>
        <w:pStyle w:val="24"/>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19.5下列任何情况发生时，投标保证金将被没收：</w:t>
      </w:r>
    </w:p>
    <w:p w14:paraId="2AD1C682">
      <w:pPr>
        <w:pStyle w:val="24"/>
        <w:spacing w:line="400" w:lineRule="exact"/>
        <w:ind w:firstLine="720" w:firstLineChars="3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19.5.1供应商在投标文件规定的投标有效期内撤回其投标；</w:t>
      </w:r>
    </w:p>
    <w:p w14:paraId="3F3DF01F">
      <w:pPr>
        <w:pStyle w:val="24"/>
        <w:spacing w:line="400" w:lineRule="exact"/>
        <w:ind w:firstLine="720" w:firstLineChars="3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19.5.2成交方在规定期限内未能向招标代理机构交纳代理服务费。</w:t>
      </w:r>
    </w:p>
    <w:p w14:paraId="4F0E5598">
      <w:pPr>
        <w:pStyle w:val="4"/>
        <w:spacing w:before="0" w:after="0" w:line="400" w:lineRule="exact"/>
        <w:jc w:val="center"/>
        <w:rPr>
          <w:rFonts w:ascii="仿宋" w:hAnsi="仿宋" w:eastAsia="仿宋" w:cs="仿宋"/>
          <w:color w:val="000000" w:themeColor="text1"/>
          <w:sz w:val="24"/>
          <w:szCs w:val="24"/>
          <w14:textFill>
            <w14:solidFill>
              <w14:schemeClr w14:val="tx1"/>
            </w14:solidFill>
          </w14:textFill>
        </w:rPr>
      </w:pPr>
      <w:bookmarkStart w:id="49" w:name="_Toc298240408"/>
      <w:bookmarkStart w:id="50" w:name="_Toc349637923"/>
      <w:bookmarkStart w:id="51" w:name="_Toc267301285"/>
      <w:bookmarkStart w:id="52" w:name="_Toc462223635"/>
      <w:bookmarkStart w:id="53" w:name="_Toc349573124"/>
    </w:p>
    <w:p w14:paraId="520246D1">
      <w:pPr>
        <w:pStyle w:val="4"/>
        <w:spacing w:before="0" w:after="0" w:line="400" w:lineRule="exact"/>
        <w:jc w:val="center"/>
        <w:rPr>
          <w:rFonts w:ascii="仿宋" w:hAnsi="仿宋" w:eastAsia="仿宋" w:cs="仿宋"/>
          <w:color w:val="000000" w:themeColor="text1"/>
          <w:sz w:val="24"/>
          <w:szCs w:val="24"/>
          <w14:textFill>
            <w14:solidFill>
              <w14:schemeClr w14:val="tx1"/>
            </w14:solidFill>
          </w14:textFill>
        </w:rPr>
      </w:pPr>
      <w:bookmarkStart w:id="54" w:name="_Toc24542"/>
      <w:bookmarkStart w:id="55" w:name="_Toc32369"/>
      <w:r>
        <w:rPr>
          <w:rFonts w:hint="eastAsia" w:ascii="仿宋" w:hAnsi="仿宋" w:eastAsia="仿宋" w:cs="仿宋"/>
          <w:color w:val="000000" w:themeColor="text1"/>
          <w:sz w:val="24"/>
          <w:szCs w:val="24"/>
          <w14:textFill>
            <w14:solidFill>
              <w14:schemeClr w14:val="tx1"/>
            </w14:solidFill>
          </w14:textFill>
        </w:rPr>
        <w:t>（四）  投标文件的递交</w:t>
      </w:r>
      <w:bookmarkEnd w:id="49"/>
      <w:bookmarkEnd w:id="50"/>
      <w:bookmarkEnd w:id="51"/>
      <w:bookmarkEnd w:id="52"/>
      <w:bookmarkEnd w:id="53"/>
      <w:bookmarkEnd w:id="54"/>
      <w:bookmarkEnd w:id="55"/>
    </w:p>
    <w:p w14:paraId="292B6B29">
      <w:pPr>
        <w:spacing w:line="400" w:lineRule="exact"/>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20、投标性文件的密封与标记</w:t>
      </w:r>
    </w:p>
    <w:p w14:paraId="48A0DD75">
      <w:pPr>
        <w:spacing w:line="400" w:lineRule="exact"/>
        <w:ind w:left="120" w:hanging="120" w:hangingChars="5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20.1 </w:t>
      </w:r>
      <w:r>
        <w:rPr>
          <w:rFonts w:hint="eastAsia" w:ascii="仿宋" w:hAnsi="仿宋" w:eastAsia="仿宋" w:cs="仿宋"/>
          <w:bCs/>
          <w:color w:val="000000" w:themeColor="text1"/>
          <w:sz w:val="24"/>
          <w:szCs w:val="24"/>
          <w14:textFill>
            <w14:solidFill>
              <w14:schemeClr w14:val="tx1"/>
            </w14:solidFill>
          </w14:textFill>
        </w:rPr>
        <w:t>按政采云客户端要求提供。</w:t>
      </w:r>
    </w:p>
    <w:p w14:paraId="60D7F764">
      <w:pPr>
        <w:spacing w:line="400" w:lineRule="exact"/>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 投标文件递交截止时间</w:t>
      </w:r>
    </w:p>
    <w:p w14:paraId="39B85D45">
      <w:pPr>
        <w:spacing w:line="400" w:lineRule="exact"/>
        <w:ind w:firstLine="480" w:firstLineChars="200"/>
        <w:outlineLvl w:val="3"/>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21.1 投标文件的递交截止时间见公告。</w:t>
      </w:r>
    </w:p>
    <w:p w14:paraId="3E8283AE">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投标文件以密封形式递交至：政采云投标客户端。</w:t>
      </w:r>
    </w:p>
    <w:p w14:paraId="2F59C239">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21.2 所有投标文件都必须按招标代理机构在投标邀请中规定的投标截止时间之前送到投标文件规定的地点。</w:t>
      </w:r>
    </w:p>
    <w:p w14:paraId="504A079E">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21.3 出现第8.3款因投标文件的修改推迟投标截止时间时，则按招标代理机构修改通知规定的时间递交。</w:t>
      </w:r>
    </w:p>
    <w:p w14:paraId="7187AB76">
      <w:pPr>
        <w:spacing w:line="400" w:lineRule="exact"/>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22、投标文件的修改和撤销</w:t>
      </w:r>
    </w:p>
    <w:p w14:paraId="5BC6FF16">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22.1 供应商在提交投标文件后可对其投标文件进行修改或撤销，但招标代理机构须在投标截止时间之前收到该修改或撤销的书面通知，该通知须有经正式授权的供应商代表签字。</w:t>
      </w:r>
    </w:p>
    <w:p w14:paraId="4E9B96FF">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22.2 供应商不得在投标时间起至投标有效期期满前撤销投标文件。否则招标代理机构将没收其投标保证金。</w:t>
      </w:r>
    </w:p>
    <w:p w14:paraId="789401A9">
      <w:pPr>
        <w:pStyle w:val="4"/>
        <w:spacing w:before="0" w:after="0" w:line="400" w:lineRule="exact"/>
        <w:jc w:val="center"/>
        <w:rPr>
          <w:rFonts w:ascii="仿宋" w:hAnsi="仿宋" w:eastAsia="仿宋" w:cs="仿宋"/>
          <w:color w:val="000000" w:themeColor="text1"/>
          <w:sz w:val="24"/>
          <w:szCs w:val="24"/>
          <w14:textFill>
            <w14:solidFill>
              <w14:schemeClr w14:val="tx1"/>
            </w14:solidFill>
          </w14:textFill>
        </w:rPr>
      </w:pPr>
      <w:bookmarkStart w:id="56" w:name="_Toc349637924"/>
      <w:bookmarkStart w:id="57" w:name="_Toc267301286"/>
      <w:bookmarkStart w:id="58" w:name="_Toc462223636"/>
      <w:bookmarkStart w:id="59" w:name="_Toc298240409"/>
      <w:bookmarkStart w:id="60" w:name="_Toc349573125"/>
      <w:bookmarkStart w:id="61" w:name="_Toc2763"/>
      <w:bookmarkStart w:id="62" w:name="_Toc10268"/>
      <w:r>
        <w:rPr>
          <w:rFonts w:hint="eastAsia" w:ascii="仿宋" w:hAnsi="仿宋" w:eastAsia="仿宋" w:cs="仿宋"/>
          <w:color w:val="000000" w:themeColor="text1"/>
          <w:sz w:val="24"/>
          <w:szCs w:val="24"/>
          <w14:textFill>
            <w14:solidFill>
              <w14:schemeClr w14:val="tx1"/>
            </w14:solidFill>
          </w14:textFill>
        </w:rPr>
        <w:t>（五） 投标程序</w:t>
      </w:r>
      <w:bookmarkEnd w:id="56"/>
      <w:bookmarkEnd w:id="57"/>
      <w:bookmarkEnd w:id="58"/>
      <w:bookmarkEnd w:id="59"/>
      <w:bookmarkEnd w:id="60"/>
      <w:bookmarkEnd w:id="61"/>
      <w:bookmarkEnd w:id="62"/>
    </w:p>
    <w:p w14:paraId="55A0C54F">
      <w:pPr>
        <w:spacing w:line="400" w:lineRule="exact"/>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23、投标</w:t>
      </w:r>
    </w:p>
    <w:p w14:paraId="5B932195">
      <w:pPr>
        <w:spacing w:line="400" w:lineRule="exact"/>
        <w:ind w:left="239" w:leftChars="114" w:firstLine="120" w:firstLineChars="5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23.1投标时，相关人员将对供应商进行资格初审。</w:t>
      </w:r>
    </w:p>
    <w:p w14:paraId="1D6CE837">
      <w:pPr>
        <w:spacing w:line="400" w:lineRule="exact"/>
        <w:ind w:firstLine="482" w:firstLineChars="200"/>
        <w:rPr>
          <w:rFonts w:ascii="仿宋" w:hAnsi="仿宋" w:eastAsia="仿宋" w:cs="仿宋"/>
          <w:sz w:val="24"/>
          <w:szCs w:val="24"/>
        </w:rPr>
      </w:pPr>
      <w:r>
        <w:rPr>
          <w:rFonts w:hint="eastAsia" w:ascii="仿宋" w:hAnsi="仿宋" w:eastAsia="仿宋" w:cs="仿宋"/>
          <w:b/>
          <w:sz w:val="24"/>
          <w:szCs w:val="24"/>
        </w:rPr>
        <w:t>各供应商在政采云平台上传以下资料备查：</w:t>
      </w:r>
    </w:p>
    <w:p w14:paraId="5D835FBC">
      <w:pPr>
        <w:spacing w:line="400" w:lineRule="exact"/>
        <w:ind w:firstLine="482" w:firstLineChars="200"/>
        <w:rPr>
          <w:rFonts w:ascii="仿宋" w:hAnsi="仿宋" w:eastAsia="仿宋" w:cs="仿宋"/>
          <w:b/>
          <w:sz w:val="24"/>
          <w:szCs w:val="24"/>
        </w:rPr>
      </w:pPr>
      <w:r>
        <w:rPr>
          <w:rFonts w:hint="eastAsia" w:ascii="仿宋" w:hAnsi="仿宋" w:eastAsia="仿宋" w:cs="仿宋"/>
          <w:b/>
          <w:sz w:val="24"/>
          <w:szCs w:val="24"/>
        </w:rPr>
        <w:t>（1）具有独立承担民事责任的能力，具有有效的营业执照或证明文件；</w:t>
      </w:r>
    </w:p>
    <w:p w14:paraId="6E983EEC">
      <w:pPr>
        <w:spacing w:line="400" w:lineRule="exact"/>
        <w:ind w:firstLine="482" w:firstLineChars="200"/>
        <w:rPr>
          <w:rFonts w:ascii="仿宋" w:hAnsi="仿宋" w:eastAsia="仿宋" w:cs="仿宋"/>
          <w:b/>
          <w:sz w:val="24"/>
          <w:szCs w:val="24"/>
        </w:rPr>
      </w:pPr>
      <w:r>
        <w:rPr>
          <w:rFonts w:hint="eastAsia" w:ascii="仿宋" w:hAnsi="仿宋" w:eastAsia="仿宋" w:cs="仿宋"/>
          <w:b/>
          <w:sz w:val="24"/>
          <w:szCs w:val="24"/>
        </w:rPr>
        <w:t>（2）投标方为法人投标需上传法人授权委托书原件及被授权人身份证原件或法人身份证明书；</w:t>
      </w:r>
    </w:p>
    <w:p w14:paraId="7897E6B0">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（3）投标保证金交纳凭证。</w:t>
      </w:r>
    </w:p>
    <w:p w14:paraId="1A9EE767">
      <w:pPr>
        <w:spacing w:line="400" w:lineRule="exact"/>
        <w:ind w:firstLine="482" w:firstLineChars="200"/>
        <w:rPr>
          <w:rFonts w:hint="default" w:ascii="仿宋" w:hAnsi="仿宋" w:eastAsia="仿宋" w:cs="仿宋"/>
          <w:b/>
          <w:sz w:val="24"/>
          <w:szCs w:val="24"/>
          <w:lang w:val="en-US" w:eastAsia="zh-CN"/>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4</w:t>
      </w:r>
      <w:r>
        <w:rPr>
          <w:rFonts w:hint="eastAsia" w:ascii="仿宋" w:hAnsi="仿宋" w:eastAsia="仿宋" w:cs="仿宋"/>
          <w:b/>
          <w:sz w:val="24"/>
          <w:szCs w:val="24"/>
          <w:lang w:eastAsia="zh-CN"/>
        </w:rPr>
        <w:t>）本项目专门面向中小企业采购，供应商为中小供应商且须提供《中小企业声明函》。</w:t>
      </w:r>
    </w:p>
    <w:p w14:paraId="728440A4">
      <w:pPr>
        <w:spacing w:line="400" w:lineRule="exact"/>
        <w:ind w:firstLine="482"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sz w:val="24"/>
          <w:szCs w:val="24"/>
        </w:rPr>
        <w:t>注：以上查验资料均按政采云客户端要求单独提交审核，不合格或缺少一项将被认为资格审查不合格，将取消其竞标资格。</w:t>
      </w:r>
    </w:p>
    <w:p w14:paraId="2F7B43CB">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23.2 本次投标按投标文件中投标邀请规定的时间地点进行投标，将邀请供应商的法定代表人或其授权委托人准时参加投标会。</w:t>
      </w:r>
    </w:p>
    <w:p w14:paraId="79591A8B">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23.3宣布投标文件开启顺序。</w:t>
      </w:r>
    </w:p>
    <w:p w14:paraId="0E10CDD5">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23.4投标原则在投标会议上宣布。</w:t>
      </w:r>
    </w:p>
    <w:p w14:paraId="4D788FC9">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23.5对采购方的纪律要求</w:t>
      </w:r>
    </w:p>
    <w:p w14:paraId="6E045407">
      <w:pPr>
        <w:spacing w:line="400" w:lineRule="exact"/>
        <w:ind w:firstLine="360" w:firstLineChars="15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采购方不得泄露投标活动中应当保密的情况和资料，不得与供应商串通损害国家利益、社会公共利益或者他人合法权益。</w:t>
      </w:r>
    </w:p>
    <w:p w14:paraId="7B61BFA2">
      <w:pPr>
        <w:spacing w:line="400" w:lineRule="exact"/>
        <w:ind w:firstLine="480" w:firstLineChars="200"/>
        <w:outlineLvl w:val="3"/>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23.6对供应商的纪律要求</w:t>
      </w:r>
    </w:p>
    <w:p w14:paraId="38D5FB60">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供应商不得互相串通投标或者与采购人串通投标，不得向采购人或者评审小组成员行贿谋取成交，不得以他人名义投标或者以其他方式弄虚作假骗取成交；供应商不得以任何方式干扰、影响投标工作。</w:t>
      </w:r>
    </w:p>
    <w:p w14:paraId="4457D909">
      <w:pPr>
        <w:spacing w:line="400" w:lineRule="exact"/>
        <w:ind w:firstLine="480" w:firstLineChars="200"/>
        <w:outlineLvl w:val="3"/>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23.7对与投标活动有关的工作人员的纪律要求</w:t>
      </w:r>
    </w:p>
    <w:p w14:paraId="5F080EA9">
      <w:pPr>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与投标活动有关的工作人员不得收受他人的财物或者好处，不得向其他人透露对投标文件的评审和比较、成交候选人的推荐情况及投标有关其他情况。在投标活动中，与投标活动有关的工作人员不得擅离职守，影响投标程序正常进行。</w:t>
      </w:r>
    </w:p>
    <w:p w14:paraId="32FE55EB">
      <w:pPr>
        <w:spacing w:line="400" w:lineRule="exact"/>
        <w:ind w:firstLine="480" w:firstLineChars="200"/>
        <w:outlineLvl w:val="3"/>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23.8对评审小组成员要求投标纪律</w:t>
      </w:r>
    </w:p>
    <w:p w14:paraId="077EEAE2">
      <w:pPr>
        <w:spacing w:line="400" w:lineRule="exact"/>
        <w:ind w:firstLine="720" w:firstLineChars="3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23.8.1评审小组应当依照有关法律法规的规定，按照投标文件确定的投标标准和办法客观、公正的对投标文件提出评审意见。投标文件设有规定的投标标准和方法不得作为投标依据。</w:t>
      </w:r>
    </w:p>
    <w:p w14:paraId="4B67502B">
      <w:pPr>
        <w:spacing w:line="400" w:lineRule="exact"/>
        <w:ind w:firstLine="720" w:firstLineChars="300"/>
        <w:rPr>
          <w:rFonts w:ascii="仿宋" w:hAnsi="仿宋" w:eastAsia="仿宋" w:cs="仿宋"/>
          <w:color w:val="000000" w:themeColor="text1"/>
          <w:sz w:val="24"/>
          <w:szCs w:val="24"/>
          <w:highlight w:val="red"/>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23.8.2评审小组成员不得私下接触供应商，不得收受供应商给予的财务或者其他好处，不得向采购方征询确定成交方意向。</w:t>
      </w:r>
    </w:p>
    <w:p w14:paraId="38A7246D">
      <w:pPr>
        <w:spacing w:line="400" w:lineRule="exact"/>
        <w:ind w:firstLine="720" w:firstLineChars="3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23.8.3不得接受任何单位或个人明示或暗示提出的倾向或排斥特定供应商的要求。</w:t>
      </w:r>
    </w:p>
    <w:p w14:paraId="793F9571">
      <w:pPr>
        <w:spacing w:line="400" w:lineRule="exact"/>
        <w:ind w:firstLine="720" w:firstLineChars="300"/>
        <w:outlineLvl w:val="4"/>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23.8.4不得有其他不客观，不公正履行职务的行为。</w:t>
      </w:r>
    </w:p>
    <w:p w14:paraId="686CFF86">
      <w:pPr>
        <w:spacing w:line="400" w:lineRule="exact"/>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24、投标过程</w:t>
      </w:r>
    </w:p>
    <w:p w14:paraId="29600EB0">
      <w:pPr>
        <w:spacing w:line="400" w:lineRule="exact"/>
        <w:ind w:firstLine="480" w:firstLineChars="200"/>
        <w:outlineLvl w:val="3"/>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24.1 投标的依据为投标文件和投标文件。</w:t>
      </w:r>
    </w:p>
    <w:p w14:paraId="2DDDE687">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24.2 投标后评审小组审查投标文件是否完整，是否有计算错误，要求的保证金是否提供，文件是否恰当地签署。</w:t>
      </w:r>
    </w:p>
    <w:p w14:paraId="70469CFA">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初步评审（符合性审查）</w:t>
      </w:r>
    </w:p>
    <w:tbl>
      <w:tblPr>
        <w:tblStyle w:val="42"/>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21"/>
        <w:gridCol w:w="4340"/>
        <w:gridCol w:w="732"/>
        <w:gridCol w:w="720"/>
        <w:gridCol w:w="789"/>
        <w:gridCol w:w="962"/>
      </w:tblGrid>
      <w:tr w14:paraId="23B38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817" w:type="dxa"/>
            <w:tcBorders>
              <w:bottom w:val="single" w:color="auto" w:sz="4" w:space="0"/>
            </w:tcBorders>
            <w:vAlign w:val="center"/>
          </w:tcPr>
          <w:p w14:paraId="58BEC1EC">
            <w:pPr>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w:t>
            </w:r>
          </w:p>
        </w:tc>
        <w:tc>
          <w:tcPr>
            <w:tcW w:w="4961" w:type="dxa"/>
            <w:gridSpan w:val="2"/>
            <w:tcBorders>
              <w:bottom w:val="single" w:color="auto" w:sz="4" w:space="0"/>
            </w:tcBorders>
            <w:vAlign w:val="center"/>
          </w:tcPr>
          <w:p w14:paraId="1CCC7A2E">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  审  内  容</w:t>
            </w:r>
          </w:p>
        </w:tc>
        <w:tc>
          <w:tcPr>
            <w:tcW w:w="732" w:type="dxa"/>
            <w:tcBorders>
              <w:bottom w:val="single" w:color="auto" w:sz="4" w:space="0"/>
            </w:tcBorders>
            <w:vAlign w:val="center"/>
          </w:tcPr>
          <w:p w14:paraId="37FBD799">
            <w:pPr>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投标人1</w:t>
            </w:r>
          </w:p>
        </w:tc>
        <w:tc>
          <w:tcPr>
            <w:tcW w:w="720" w:type="dxa"/>
            <w:tcBorders>
              <w:bottom w:val="single" w:color="auto" w:sz="4" w:space="0"/>
            </w:tcBorders>
            <w:vAlign w:val="center"/>
          </w:tcPr>
          <w:p w14:paraId="7902EEC8">
            <w:pPr>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投标人2</w:t>
            </w:r>
          </w:p>
        </w:tc>
        <w:tc>
          <w:tcPr>
            <w:tcW w:w="789" w:type="dxa"/>
            <w:tcBorders>
              <w:bottom w:val="single" w:color="auto" w:sz="4" w:space="0"/>
            </w:tcBorders>
            <w:vAlign w:val="center"/>
          </w:tcPr>
          <w:p w14:paraId="2E1F2C4B">
            <w:pPr>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投标人3</w:t>
            </w:r>
          </w:p>
        </w:tc>
        <w:tc>
          <w:tcPr>
            <w:tcW w:w="962" w:type="dxa"/>
            <w:tcBorders>
              <w:bottom w:val="single" w:color="auto" w:sz="4" w:space="0"/>
            </w:tcBorders>
            <w:vAlign w:val="center"/>
          </w:tcPr>
          <w:p w14:paraId="71B1CEEE">
            <w:pPr>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投标人N</w:t>
            </w:r>
          </w:p>
        </w:tc>
      </w:tr>
      <w:tr w14:paraId="7459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17" w:type="dxa"/>
            <w:vMerge w:val="restart"/>
            <w:vAlign w:val="center"/>
          </w:tcPr>
          <w:p w14:paraId="01A74449">
            <w:pPr>
              <w:spacing w:line="3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初</w:t>
            </w:r>
          </w:p>
          <w:p w14:paraId="1ABDE4E8">
            <w:pPr>
              <w:spacing w:line="3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步</w:t>
            </w:r>
          </w:p>
          <w:p w14:paraId="2BAACDD2">
            <w:pPr>
              <w:spacing w:line="3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w:t>
            </w:r>
          </w:p>
          <w:p w14:paraId="614810F1">
            <w:pPr>
              <w:spacing w:line="3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审</w:t>
            </w:r>
          </w:p>
          <w:p w14:paraId="32C72D51">
            <w:pPr>
              <w:spacing w:line="3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p w14:paraId="79FDF809">
            <w:pPr>
              <w:spacing w:line="3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符</w:t>
            </w:r>
          </w:p>
          <w:p w14:paraId="0234BD7D">
            <w:pPr>
              <w:spacing w:line="3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w:t>
            </w:r>
          </w:p>
          <w:p w14:paraId="74D6E016">
            <w:pPr>
              <w:spacing w:line="3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性</w:t>
            </w:r>
          </w:p>
          <w:p w14:paraId="1030410F">
            <w:pPr>
              <w:spacing w:line="3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审</w:t>
            </w:r>
          </w:p>
          <w:p w14:paraId="0DE05372">
            <w:pPr>
              <w:spacing w:line="3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查</w:t>
            </w:r>
          </w:p>
          <w:p w14:paraId="4D69E4BF">
            <w:pPr>
              <w:spacing w:line="3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表</w:t>
            </w:r>
          </w:p>
          <w:p w14:paraId="03B0376D">
            <w:pPr>
              <w:spacing w:line="3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621" w:type="dxa"/>
            <w:vAlign w:val="center"/>
          </w:tcPr>
          <w:p w14:paraId="71DF9D33">
            <w:pPr>
              <w:spacing w:line="3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4340" w:type="dxa"/>
            <w:vAlign w:val="center"/>
          </w:tcPr>
          <w:p w14:paraId="32F9A512">
            <w:pPr>
              <w:spacing w:line="3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供应商须符合《中华人民共和国政府采购法》第二十二条规定；</w:t>
            </w:r>
          </w:p>
        </w:tc>
        <w:tc>
          <w:tcPr>
            <w:tcW w:w="732" w:type="dxa"/>
            <w:vAlign w:val="center"/>
          </w:tcPr>
          <w:p w14:paraId="6DB42AAE">
            <w:pPr>
              <w:spacing w:line="300" w:lineRule="exact"/>
              <w:ind w:firstLine="480" w:firstLineChars="200"/>
              <w:rPr>
                <w:rFonts w:ascii="仿宋" w:hAnsi="仿宋" w:eastAsia="仿宋" w:cs="仿宋"/>
                <w:color w:val="000000" w:themeColor="text1"/>
                <w:sz w:val="24"/>
                <w:szCs w:val="24"/>
                <w14:textFill>
                  <w14:solidFill>
                    <w14:schemeClr w14:val="tx1"/>
                  </w14:solidFill>
                </w14:textFill>
              </w:rPr>
            </w:pPr>
          </w:p>
        </w:tc>
        <w:tc>
          <w:tcPr>
            <w:tcW w:w="720" w:type="dxa"/>
            <w:vAlign w:val="center"/>
          </w:tcPr>
          <w:p w14:paraId="1C1B558B">
            <w:pPr>
              <w:spacing w:line="300" w:lineRule="exact"/>
              <w:ind w:firstLine="480" w:firstLineChars="200"/>
              <w:rPr>
                <w:rFonts w:ascii="仿宋" w:hAnsi="仿宋" w:eastAsia="仿宋" w:cs="仿宋"/>
                <w:color w:val="000000" w:themeColor="text1"/>
                <w:sz w:val="24"/>
                <w:szCs w:val="24"/>
                <w14:textFill>
                  <w14:solidFill>
                    <w14:schemeClr w14:val="tx1"/>
                  </w14:solidFill>
                </w14:textFill>
              </w:rPr>
            </w:pPr>
          </w:p>
        </w:tc>
        <w:tc>
          <w:tcPr>
            <w:tcW w:w="789" w:type="dxa"/>
            <w:vAlign w:val="center"/>
          </w:tcPr>
          <w:p w14:paraId="3A1C5E9D">
            <w:pPr>
              <w:spacing w:line="300" w:lineRule="exact"/>
              <w:ind w:firstLine="480" w:firstLineChars="200"/>
              <w:rPr>
                <w:rFonts w:ascii="仿宋" w:hAnsi="仿宋" w:eastAsia="仿宋" w:cs="仿宋"/>
                <w:color w:val="000000" w:themeColor="text1"/>
                <w:sz w:val="24"/>
                <w:szCs w:val="24"/>
                <w14:textFill>
                  <w14:solidFill>
                    <w14:schemeClr w14:val="tx1"/>
                  </w14:solidFill>
                </w14:textFill>
              </w:rPr>
            </w:pPr>
          </w:p>
        </w:tc>
        <w:tc>
          <w:tcPr>
            <w:tcW w:w="962" w:type="dxa"/>
            <w:vAlign w:val="center"/>
          </w:tcPr>
          <w:p w14:paraId="5F6F7072">
            <w:pPr>
              <w:spacing w:line="300" w:lineRule="exact"/>
              <w:ind w:firstLine="480" w:firstLineChars="200"/>
              <w:rPr>
                <w:rFonts w:ascii="仿宋" w:hAnsi="仿宋" w:eastAsia="仿宋" w:cs="仿宋"/>
                <w:color w:val="000000" w:themeColor="text1"/>
                <w:sz w:val="24"/>
                <w:szCs w:val="24"/>
                <w14:textFill>
                  <w14:solidFill>
                    <w14:schemeClr w14:val="tx1"/>
                  </w14:solidFill>
                </w14:textFill>
              </w:rPr>
            </w:pPr>
          </w:p>
        </w:tc>
      </w:tr>
      <w:tr w14:paraId="42FA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817" w:type="dxa"/>
            <w:vMerge w:val="continue"/>
            <w:vAlign w:val="center"/>
          </w:tcPr>
          <w:p w14:paraId="4E6B4AED">
            <w:pPr>
              <w:spacing w:line="300" w:lineRule="exact"/>
              <w:jc w:val="center"/>
              <w:rPr>
                <w:rFonts w:ascii="仿宋" w:hAnsi="仿宋" w:eastAsia="仿宋" w:cs="仿宋"/>
                <w:color w:val="000000" w:themeColor="text1"/>
                <w:sz w:val="24"/>
                <w:szCs w:val="24"/>
                <w14:textFill>
                  <w14:solidFill>
                    <w14:schemeClr w14:val="tx1"/>
                  </w14:solidFill>
                </w14:textFill>
              </w:rPr>
            </w:pPr>
          </w:p>
        </w:tc>
        <w:tc>
          <w:tcPr>
            <w:tcW w:w="621" w:type="dxa"/>
            <w:vAlign w:val="center"/>
          </w:tcPr>
          <w:p w14:paraId="27C7D33A">
            <w:pPr>
              <w:spacing w:line="3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4340" w:type="dxa"/>
            <w:vAlign w:val="center"/>
          </w:tcPr>
          <w:p w14:paraId="433B8E81">
            <w:pPr>
              <w:spacing w:line="3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投标报价是否高于本项目的最高限价；</w:t>
            </w:r>
          </w:p>
        </w:tc>
        <w:tc>
          <w:tcPr>
            <w:tcW w:w="732" w:type="dxa"/>
            <w:vAlign w:val="center"/>
          </w:tcPr>
          <w:p w14:paraId="78BE3046">
            <w:pPr>
              <w:spacing w:line="300" w:lineRule="exact"/>
              <w:ind w:firstLine="480" w:firstLineChars="200"/>
              <w:rPr>
                <w:rFonts w:ascii="仿宋" w:hAnsi="仿宋" w:eastAsia="仿宋" w:cs="仿宋"/>
                <w:color w:val="000000" w:themeColor="text1"/>
                <w:sz w:val="24"/>
                <w:szCs w:val="24"/>
                <w14:textFill>
                  <w14:solidFill>
                    <w14:schemeClr w14:val="tx1"/>
                  </w14:solidFill>
                </w14:textFill>
              </w:rPr>
            </w:pPr>
          </w:p>
        </w:tc>
        <w:tc>
          <w:tcPr>
            <w:tcW w:w="720" w:type="dxa"/>
            <w:vAlign w:val="center"/>
          </w:tcPr>
          <w:p w14:paraId="0A4B1699">
            <w:pPr>
              <w:spacing w:line="300" w:lineRule="exact"/>
              <w:ind w:firstLine="480" w:firstLineChars="200"/>
              <w:rPr>
                <w:rFonts w:ascii="仿宋" w:hAnsi="仿宋" w:eastAsia="仿宋" w:cs="仿宋"/>
                <w:color w:val="000000" w:themeColor="text1"/>
                <w:sz w:val="24"/>
                <w:szCs w:val="24"/>
                <w14:textFill>
                  <w14:solidFill>
                    <w14:schemeClr w14:val="tx1"/>
                  </w14:solidFill>
                </w14:textFill>
              </w:rPr>
            </w:pPr>
          </w:p>
        </w:tc>
        <w:tc>
          <w:tcPr>
            <w:tcW w:w="789" w:type="dxa"/>
            <w:vAlign w:val="center"/>
          </w:tcPr>
          <w:p w14:paraId="656C14B9">
            <w:pPr>
              <w:spacing w:line="300" w:lineRule="exact"/>
              <w:ind w:firstLine="480" w:firstLineChars="200"/>
              <w:rPr>
                <w:rFonts w:ascii="仿宋" w:hAnsi="仿宋" w:eastAsia="仿宋" w:cs="仿宋"/>
                <w:color w:val="000000" w:themeColor="text1"/>
                <w:sz w:val="24"/>
                <w:szCs w:val="24"/>
                <w14:textFill>
                  <w14:solidFill>
                    <w14:schemeClr w14:val="tx1"/>
                  </w14:solidFill>
                </w14:textFill>
              </w:rPr>
            </w:pPr>
          </w:p>
        </w:tc>
        <w:tc>
          <w:tcPr>
            <w:tcW w:w="962" w:type="dxa"/>
            <w:vAlign w:val="center"/>
          </w:tcPr>
          <w:p w14:paraId="0F18CA9A">
            <w:pPr>
              <w:spacing w:line="300" w:lineRule="exact"/>
              <w:ind w:firstLine="480" w:firstLineChars="200"/>
              <w:rPr>
                <w:rFonts w:ascii="仿宋" w:hAnsi="仿宋" w:eastAsia="仿宋" w:cs="仿宋"/>
                <w:color w:val="000000" w:themeColor="text1"/>
                <w:sz w:val="24"/>
                <w:szCs w:val="24"/>
                <w14:textFill>
                  <w14:solidFill>
                    <w14:schemeClr w14:val="tx1"/>
                  </w14:solidFill>
                </w14:textFill>
              </w:rPr>
            </w:pPr>
          </w:p>
        </w:tc>
      </w:tr>
      <w:tr w14:paraId="1503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817" w:type="dxa"/>
            <w:vMerge w:val="continue"/>
            <w:vAlign w:val="center"/>
          </w:tcPr>
          <w:p w14:paraId="336B6110">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p>
        </w:tc>
        <w:tc>
          <w:tcPr>
            <w:tcW w:w="621" w:type="dxa"/>
            <w:vAlign w:val="center"/>
          </w:tcPr>
          <w:p w14:paraId="52DCC159">
            <w:pPr>
              <w:spacing w:line="3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4340" w:type="dxa"/>
            <w:vAlign w:val="center"/>
          </w:tcPr>
          <w:p w14:paraId="26E193C6">
            <w:pPr>
              <w:spacing w:line="3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投标保证金的缴纳主体是否与投标人一致、提供投标担保或者所提供的投标担保不符合采购文件要求；</w:t>
            </w:r>
          </w:p>
        </w:tc>
        <w:tc>
          <w:tcPr>
            <w:tcW w:w="732" w:type="dxa"/>
            <w:vAlign w:val="center"/>
          </w:tcPr>
          <w:p w14:paraId="59448C98">
            <w:pPr>
              <w:spacing w:line="300" w:lineRule="exact"/>
              <w:ind w:firstLine="480" w:firstLineChars="200"/>
              <w:rPr>
                <w:rFonts w:ascii="仿宋" w:hAnsi="仿宋" w:eastAsia="仿宋" w:cs="仿宋"/>
                <w:color w:val="000000" w:themeColor="text1"/>
                <w:sz w:val="24"/>
                <w:szCs w:val="24"/>
                <w14:textFill>
                  <w14:solidFill>
                    <w14:schemeClr w14:val="tx1"/>
                  </w14:solidFill>
                </w14:textFill>
              </w:rPr>
            </w:pPr>
          </w:p>
        </w:tc>
        <w:tc>
          <w:tcPr>
            <w:tcW w:w="720" w:type="dxa"/>
            <w:vAlign w:val="center"/>
          </w:tcPr>
          <w:p w14:paraId="462E8E1E">
            <w:pPr>
              <w:spacing w:line="300" w:lineRule="exact"/>
              <w:ind w:firstLine="480" w:firstLineChars="200"/>
              <w:rPr>
                <w:rFonts w:ascii="仿宋" w:hAnsi="仿宋" w:eastAsia="仿宋" w:cs="仿宋"/>
                <w:color w:val="000000" w:themeColor="text1"/>
                <w:sz w:val="24"/>
                <w:szCs w:val="24"/>
                <w14:textFill>
                  <w14:solidFill>
                    <w14:schemeClr w14:val="tx1"/>
                  </w14:solidFill>
                </w14:textFill>
              </w:rPr>
            </w:pPr>
          </w:p>
        </w:tc>
        <w:tc>
          <w:tcPr>
            <w:tcW w:w="789" w:type="dxa"/>
            <w:vAlign w:val="center"/>
          </w:tcPr>
          <w:p w14:paraId="14B87CC3">
            <w:pPr>
              <w:spacing w:line="300" w:lineRule="exact"/>
              <w:ind w:firstLine="480" w:firstLineChars="200"/>
              <w:rPr>
                <w:rFonts w:ascii="仿宋" w:hAnsi="仿宋" w:eastAsia="仿宋" w:cs="仿宋"/>
                <w:color w:val="000000" w:themeColor="text1"/>
                <w:sz w:val="24"/>
                <w:szCs w:val="24"/>
                <w14:textFill>
                  <w14:solidFill>
                    <w14:schemeClr w14:val="tx1"/>
                  </w14:solidFill>
                </w14:textFill>
              </w:rPr>
            </w:pPr>
          </w:p>
        </w:tc>
        <w:tc>
          <w:tcPr>
            <w:tcW w:w="962" w:type="dxa"/>
            <w:vAlign w:val="center"/>
          </w:tcPr>
          <w:p w14:paraId="3AEC6ACB">
            <w:pPr>
              <w:spacing w:line="300" w:lineRule="exact"/>
              <w:ind w:firstLine="480" w:firstLineChars="200"/>
              <w:rPr>
                <w:rFonts w:ascii="仿宋" w:hAnsi="仿宋" w:eastAsia="仿宋" w:cs="仿宋"/>
                <w:color w:val="000000" w:themeColor="text1"/>
                <w:sz w:val="24"/>
                <w:szCs w:val="24"/>
                <w14:textFill>
                  <w14:solidFill>
                    <w14:schemeClr w14:val="tx1"/>
                  </w14:solidFill>
                </w14:textFill>
              </w:rPr>
            </w:pPr>
          </w:p>
        </w:tc>
      </w:tr>
      <w:tr w14:paraId="2AD55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817" w:type="dxa"/>
            <w:vMerge w:val="continue"/>
            <w:vAlign w:val="center"/>
          </w:tcPr>
          <w:p w14:paraId="49A64362">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p>
        </w:tc>
        <w:tc>
          <w:tcPr>
            <w:tcW w:w="621" w:type="dxa"/>
            <w:vAlign w:val="center"/>
          </w:tcPr>
          <w:p w14:paraId="1E208C35">
            <w:pPr>
              <w:spacing w:line="3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4340" w:type="dxa"/>
            <w:vAlign w:val="center"/>
          </w:tcPr>
          <w:p w14:paraId="2DB326B2">
            <w:pPr>
              <w:spacing w:line="3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企业信誉（信用查询）是否满足采购文件的要求；</w:t>
            </w:r>
          </w:p>
        </w:tc>
        <w:tc>
          <w:tcPr>
            <w:tcW w:w="732" w:type="dxa"/>
            <w:vAlign w:val="center"/>
          </w:tcPr>
          <w:p w14:paraId="49C65D3C">
            <w:pPr>
              <w:spacing w:line="300" w:lineRule="exact"/>
              <w:ind w:firstLine="480" w:firstLineChars="200"/>
              <w:rPr>
                <w:rFonts w:ascii="仿宋" w:hAnsi="仿宋" w:eastAsia="仿宋" w:cs="仿宋"/>
                <w:color w:val="000000" w:themeColor="text1"/>
                <w:sz w:val="24"/>
                <w:szCs w:val="24"/>
                <w14:textFill>
                  <w14:solidFill>
                    <w14:schemeClr w14:val="tx1"/>
                  </w14:solidFill>
                </w14:textFill>
              </w:rPr>
            </w:pPr>
          </w:p>
        </w:tc>
        <w:tc>
          <w:tcPr>
            <w:tcW w:w="720" w:type="dxa"/>
            <w:vAlign w:val="center"/>
          </w:tcPr>
          <w:p w14:paraId="2BCCAFC5">
            <w:pPr>
              <w:spacing w:line="300" w:lineRule="exact"/>
              <w:ind w:firstLine="480" w:firstLineChars="200"/>
              <w:rPr>
                <w:rFonts w:ascii="仿宋" w:hAnsi="仿宋" w:eastAsia="仿宋" w:cs="仿宋"/>
                <w:color w:val="000000" w:themeColor="text1"/>
                <w:sz w:val="24"/>
                <w:szCs w:val="24"/>
                <w14:textFill>
                  <w14:solidFill>
                    <w14:schemeClr w14:val="tx1"/>
                  </w14:solidFill>
                </w14:textFill>
              </w:rPr>
            </w:pPr>
          </w:p>
        </w:tc>
        <w:tc>
          <w:tcPr>
            <w:tcW w:w="789" w:type="dxa"/>
            <w:vAlign w:val="center"/>
          </w:tcPr>
          <w:p w14:paraId="16B0B9CC">
            <w:pPr>
              <w:spacing w:line="300" w:lineRule="exact"/>
              <w:ind w:firstLine="480" w:firstLineChars="200"/>
              <w:rPr>
                <w:rFonts w:ascii="仿宋" w:hAnsi="仿宋" w:eastAsia="仿宋" w:cs="仿宋"/>
                <w:color w:val="000000" w:themeColor="text1"/>
                <w:sz w:val="24"/>
                <w:szCs w:val="24"/>
                <w14:textFill>
                  <w14:solidFill>
                    <w14:schemeClr w14:val="tx1"/>
                  </w14:solidFill>
                </w14:textFill>
              </w:rPr>
            </w:pPr>
          </w:p>
        </w:tc>
        <w:tc>
          <w:tcPr>
            <w:tcW w:w="962" w:type="dxa"/>
            <w:vAlign w:val="center"/>
          </w:tcPr>
          <w:p w14:paraId="7D3D8CBE">
            <w:pPr>
              <w:spacing w:line="300" w:lineRule="exact"/>
              <w:ind w:firstLine="480" w:firstLineChars="200"/>
              <w:rPr>
                <w:rFonts w:ascii="仿宋" w:hAnsi="仿宋" w:eastAsia="仿宋" w:cs="仿宋"/>
                <w:color w:val="000000" w:themeColor="text1"/>
                <w:sz w:val="24"/>
                <w:szCs w:val="24"/>
                <w14:textFill>
                  <w14:solidFill>
                    <w14:schemeClr w14:val="tx1"/>
                  </w14:solidFill>
                </w14:textFill>
              </w:rPr>
            </w:pPr>
          </w:p>
        </w:tc>
      </w:tr>
      <w:tr w14:paraId="4680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17" w:type="dxa"/>
            <w:vMerge w:val="continue"/>
            <w:vAlign w:val="center"/>
          </w:tcPr>
          <w:p w14:paraId="7141F258">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p>
        </w:tc>
        <w:tc>
          <w:tcPr>
            <w:tcW w:w="621" w:type="dxa"/>
            <w:vAlign w:val="center"/>
          </w:tcPr>
          <w:p w14:paraId="52E1CB57">
            <w:pPr>
              <w:spacing w:line="3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4340" w:type="dxa"/>
            <w:vAlign w:val="center"/>
          </w:tcPr>
          <w:p w14:paraId="0181B380">
            <w:pPr>
              <w:spacing w:line="3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法定代表人身份证明书及法定代表人授权委托书是否按采购文件规定格式完整提供、并按采购文件要求签字盖章；</w:t>
            </w:r>
          </w:p>
        </w:tc>
        <w:tc>
          <w:tcPr>
            <w:tcW w:w="732" w:type="dxa"/>
            <w:vAlign w:val="center"/>
          </w:tcPr>
          <w:p w14:paraId="63F352F7">
            <w:pPr>
              <w:spacing w:line="300" w:lineRule="exact"/>
              <w:ind w:firstLine="480" w:firstLineChars="200"/>
              <w:rPr>
                <w:rFonts w:ascii="仿宋" w:hAnsi="仿宋" w:eastAsia="仿宋" w:cs="仿宋"/>
                <w:color w:val="000000" w:themeColor="text1"/>
                <w:sz w:val="24"/>
                <w:szCs w:val="24"/>
                <w14:textFill>
                  <w14:solidFill>
                    <w14:schemeClr w14:val="tx1"/>
                  </w14:solidFill>
                </w14:textFill>
              </w:rPr>
            </w:pPr>
          </w:p>
        </w:tc>
        <w:tc>
          <w:tcPr>
            <w:tcW w:w="720" w:type="dxa"/>
            <w:vAlign w:val="center"/>
          </w:tcPr>
          <w:p w14:paraId="47A37920">
            <w:pPr>
              <w:spacing w:line="300" w:lineRule="exact"/>
              <w:ind w:firstLine="480" w:firstLineChars="200"/>
              <w:rPr>
                <w:rFonts w:ascii="仿宋" w:hAnsi="仿宋" w:eastAsia="仿宋" w:cs="仿宋"/>
                <w:color w:val="000000" w:themeColor="text1"/>
                <w:sz w:val="24"/>
                <w:szCs w:val="24"/>
                <w14:textFill>
                  <w14:solidFill>
                    <w14:schemeClr w14:val="tx1"/>
                  </w14:solidFill>
                </w14:textFill>
              </w:rPr>
            </w:pPr>
          </w:p>
        </w:tc>
        <w:tc>
          <w:tcPr>
            <w:tcW w:w="789" w:type="dxa"/>
            <w:vAlign w:val="center"/>
          </w:tcPr>
          <w:p w14:paraId="330FC34D">
            <w:pPr>
              <w:spacing w:line="300" w:lineRule="exact"/>
              <w:ind w:firstLine="480" w:firstLineChars="200"/>
              <w:rPr>
                <w:rFonts w:ascii="仿宋" w:hAnsi="仿宋" w:eastAsia="仿宋" w:cs="仿宋"/>
                <w:color w:val="000000" w:themeColor="text1"/>
                <w:sz w:val="24"/>
                <w:szCs w:val="24"/>
                <w14:textFill>
                  <w14:solidFill>
                    <w14:schemeClr w14:val="tx1"/>
                  </w14:solidFill>
                </w14:textFill>
              </w:rPr>
            </w:pPr>
          </w:p>
        </w:tc>
        <w:tc>
          <w:tcPr>
            <w:tcW w:w="962" w:type="dxa"/>
            <w:vAlign w:val="center"/>
          </w:tcPr>
          <w:p w14:paraId="312793CC">
            <w:pPr>
              <w:spacing w:line="300" w:lineRule="exact"/>
              <w:ind w:firstLine="480" w:firstLineChars="200"/>
              <w:rPr>
                <w:rFonts w:ascii="仿宋" w:hAnsi="仿宋" w:eastAsia="仿宋" w:cs="仿宋"/>
                <w:color w:val="000000" w:themeColor="text1"/>
                <w:sz w:val="24"/>
                <w:szCs w:val="24"/>
                <w14:textFill>
                  <w14:solidFill>
                    <w14:schemeClr w14:val="tx1"/>
                  </w14:solidFill>
                </w14:textFill>
              </w:rPr>
            </w:pPr>
          </w:p>
        </w:tc>
      </w:tr>
      <w:tr w14:paraId="6A05E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17" w:type="dxa"/>
            <w:vMerge w:val="continue"/>
            <w:vAlign w:val="center"/>
          </w:tcPr>
          <w:p w14:paraId="3D5C4F37">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p>
        </w:tc>
        <w:tc>
          <w:tcPr>
            <w:tcW w:w="621" w:type="dxa"/>
            <w:vAlign w:val="center"/>
          </w:tcPr>
          <w:p w14:paraId="7955D471">
            <w:pPr>
              <w:spacing w:line="3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4340" w:type="dxa"/>
            <w:vAlign w:val="center"/>
          </w:tcPr>
          <w:p w14:paraId="6F48FAA5">
            <w:pPr>
              <w:spacing w:line="3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投标文件需求没有采购人不可接收的重大偏离。</w:t>
            </w:r>
          </w:p>
        </w:tc>
        <w:tc>
          <w:tcPr>
            <w:tcW w:w="732" w:type="dxa"/>
            <w:vAlign w:val="center"/>
          </w:tcPr>
          <w:p w14:paraId="023191BD">
            <w:pPr>
              <w:spacing w:line="300" w:lineRule="exact"/>
              <w:ind w:firstLine="480" w:firstLineChars="200"/>
              <w:rPr>
                <w:rFonts w:ascii="仿宋" w:hAnsi="仿宋" w:eastAsia="仿宋" w:cs="仿宋"/>
                <w:color w:val="000000" w:themeColor="text1"/>
                <w:sz w:val="24"/>
                <w:szCs w:val="24"/>
                <w14:textFill>
                  <w14:solidFill>
                    <w14:schemeClr w14:val="tx1"/>
                  </w14:solidFill>
                </w14:textFill>
              </w:rPr>
            </w:pPr>
          </w:p>
        </w:tc>
        <w:tc>
          <w:tcPr>
            <w:tcW w:w="720" w:type="dxa"/>
            <w:vAlign w:val="center"/>
          </w:tcPr>
          <w:p w14:paraId="37342ED5">
            <w:pPr>
              <w:spacing w:line="300" w:lineRule="exact"/>
              <w:ind w:firstLine="480" w:firstLineChars="200"/>
              <w:rPr>
                <w:rFonts w:ascii="仿宋" w:hAnsi="仿宋" w:eastAsia="仿宋" w:cs="仿宋"/>
                <w:color w:val="000000" w:themeColor="text1"/>
                <w:sz w:val="24"/>
                <w:szCs w:val="24"/>
                <w14:textFill>
                  <w14:solidFill>
                    <w14:schemeClr w14:val="tx1"/>
                  </w14:solidFill>
                </w14:textFill>
              </w:rPr>
            </w:pPr>
          </w:p>
        </w:tc>
        <w:tc>
          <w:tcPr>
            <w:tcW w:w="789" w:type="dxa"/>
            <w:vAlign w:val="center"/>
          </w:tcPr>
          <w:p w14:paraId="1019E1E3">
            <w:pPr>
              <w:spacing w:line="300" w:lineRule="exact"/>
              <w:ind w:firstLine="480" w:firstLineChars="200"/>
              <w:rPr>
                <w:rFonts w:ascii="仿宋" w:hAnsi="仿宋" w:eastAsia="仿宋" w:cs="仿宋"/>
                <w:color w:val="000000" w:themeColor="text1"/>
                <w:sz w:val="24"/>
                <w:szCs w:val="24"/>
                <w14:textFill>
                  <w14:solidFill>
                    <w14:schemeClr w14:val="tx1"/>
                  </w14:solidFill>
                </w14:textFill>
              </w:rPr>
            </w:pPr>
          </w:p>
        </w:tc>
        <w:tc>
          <w:tcPr>
            <w:tcW w:w="962" w:type="dxa"/>
            <w:vAlign w:val="center"/>
          </w:tcPr>
          <w:p w14:paraId="4B181249">
            <w:pPr>
              <w:spacing w:line="300" w:lineRule="exact"/>
              <w:ind w:firstLine="480" w:firstLineChars="200"/>
              <w:rPr>
                <w:rFonts w:ascii="仿宋" w:hAnsi="仿宋" w:eastAsia="仿宋" w:cs="仿宋"/>
                <w:color w:val="000000" w:themeColor="text1"/>
                <w:sz w:val="24"/>
                <w:szCs w:val="24"/>
                <w14:textFill>
                  <w14:solidFill>
                    <w14:schemeClr w14:val="tx1"/>
                  </w14:solidFill>
                </w14:textFill>
              </w:rPr>
            </w:pPr>
          </w:p>
        </w:tc>
      </w:tr>
      <w:tr w14:paraId="07FBC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8981" w:type="dxa"/>
            <w:gridSpan w:val="7"/>
            <w:vAlign w:val="center"/>
          </w:tcPr>
          <w:p w14:paraId="448B8CB9">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结论：是否通过初步评审（初步评审合格后方可进入详细评审阶段）</w:t>
            </w:r>
          </w:p>
        </w:tc>
      </w:tr>
      <w:tr w14:paraId="0E18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8981" w:type="dxa"/>
            <w:gridSpan w:val="7"/>
            <w:vAlign w:val="center"/>
          </w:tcPr>
          <w:p w14:paraId="415C6841">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评标委员会成员签名：</w:t>
            </w:r>
          </w:p>
          <w:p w14:paraId="48E58BA1">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年    月    日</w:t>
            </w:r>
          </w:p>
        </w:tc>
      </w:tr>
      <w:tr w14:paraId="38A24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8981" w:type="dxa"/>
            <w:gridSpan w:val="7"/>
            <w:vAlign w:val="center"/>
          </w:tcPr>
          <w:p w14:paraId="4C567248">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注：如果投标文件中有一项未通过上述审查标准，评标委员会将认定整个投标文件不响应采购文件而予以投标无效，并且不允许投标人通过修改或撤销其不符合要求的差异或保留，使之成为具有响应性的投标。通过重大偏差审核的以“√”标记；未通过重大偏差审核的以“×”标记，并予以说明。</w:t>
            </w:r>
          </w:p>
        </w:tc>
      </w:tr>
    </w:tbl>
    <w:p w14:paraId="530991E5">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24.3 在对投标文件进行详细评估之前，评审小组将依据供应商提供的资格证明文件审查供应商的财务、技术和生产能力。如果确定供应商无资格履行合同，其投标将被拒绝。</w:t>
      </w:r>
    </w:p>
    <w:p w14:paraId="7143215F">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24.4 评审小组将确定每一投标文件是否对投标文件的要求作出了实质性的响应，而没有重大偏离。实质性响应的投标文件是指符合投标文件的所有条款、条件和规定且没有重大偏离或保留。重大偏离或保留系指影响到投标文件规定的供货范围、质量和性能，或限制了买方的权利和供应商的义务的规定，而纠正这些偏离将影响到其他提交实质性响应投标的供应商的公平竞争地位。 </w:t>
      </w:r>
    </w:p>
    <w:p w14:paraId="758E0845">
      <w:pPr>
        <w:spacing w:line="400" w:lineRule="exact"/>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25、投标文件的澄清</w:t>
      </w:r>
    </w:p>
    <w:p w14:paraId="5737922B">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25.1为有助于对投标文件进行审查、评估和比较，评审小组将对供应商进行投标，请供应商澄清其投标内容，供应商有责任按照招标代理机构通知的时间、地点指派专人进行答疑和澄清。投标时供应商代表应作书面记录。并对重要内容作出书面答复。</w:t>
      </w:r>
    </w:p>
    <w:p w14:paraId="281FD625">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25.2 要澄清的答复应是书面的，但不得对投标内容进行实质性修改。澄清文件须由供应商法人代表或法人授权代表签字和/或加盖公章并作为投标文件的组成部分。</w:t>
      </w:r>
    </w:p>
    <w:p w14:paraId="085760DF">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25.3 投标结束后，评审小组要求所有参加投标的供应商在规定的时间内进行最后报价。</w:t>
      </w:r>
    </w:p>
    <w:p w14:paraId="289E8965">
      <w:pPr>
        <w:spacing w:line="400" w:lineRule="exact"/>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26、确定成交供应商的办法</w:t>
      </w:r>
    </w:p>
    <w:p w14:paraId="184F1F5C">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26.1评审小组按照投标文件要求对投标文件中的供应商资格、供应商资格证明文件、重要技术指标以及技术和商务上要求的其它重要内容进行审核。</w:t>
      </w:r>
    </w:p>
    <w:p w14:paraId="683101DA">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26.2评审小组和供应商投标过程中作出的书面承诺是否符合投标文件中对质量、技术和服务的要求。</w:t>
      </w:r>
    </w:p>
    <w:p w14:paraId="3EBF26AA">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26.3经</w:t>
      </w:r>
      <w:r>
        <w:rPr>
          <w:rFonts w:hint="eastAsia" w:ascii="仿宋" w:hAnsi="仿宋" w:eastAsia="仿宋" w:cs="仿宋"/>
          <w:bCs/>
          <w:color w:val="000000" w:themeColor="text1"/>
          <w:sz w:val="24"/>
          <w:szCs w:val="24"/>
          <w:lang w:val="en-US" w:eastAsia="zh-CN"/>
          <w14:textFill>
            <w14:solidFill>
              <w14:schemeClr w14:val="tx1"/>
            </w14:solidFill>
          </w14:textFill>
        </w:rPr>
        <w:t>评审</w:t>
      </w:r>
      <w:r>
        <w:rPr>
          <w:rFonts w:hint="eastAsia" w:ascii="仿宋" w:hAnsi="仿宋" w:eastAsia="仿宋" w:cs="仿宋"/>
          <w:bCs/>
          <w:color w:val="000000" w:themeColor="text1"/>
          <w:sz w:val="24"/>
          <w:szCs w:val="24"/>
          <w14:textFill>
            <w14:solidFill>
              <w14:schemeClr w14:val="tx1"/>
            </w14:solidFill>
          </w14:textFill>
        </w:rPr>
        <w:t>确定最终采购需求和提交最后报价的供应商后，由</w:t>
      </w:r>
      <w:r>
        <w:rPr>
          <w:rFonts w:hint="eastAsia" w:ascii="仿宋" w:hAnsi="仿宋" w:eastAsia="仿宋" w:cs="仿宋"/>
          <w:bCs/>
          <w:color w:val="000000" w:themeColor="text1"/>
          <w:sz w:val="24"/>
          <w:szCs w:val="24"/>
          <w:lang w:eastAsia="zh-CN"/>
          <w14:textFill>
            <w14:solidFill>
              <w14:schemeClr w14:val="tx1"/>
            </w14:solidFill>
          </w14:textFill>
        </w:rPr>
        <w:t>评标小组</w:t>
      </w:r>
      <w:r>
        <w:rPr>
          <w:rFonts w:hint="eastAsia" w:ascii="仿宋" w:hAnsi="仿宋" w:eastAsia="仿宋" w:cs="仿宋"/>
          <w:bCs/>
          <w:color w:val="000000" w:themeColor="text1"/>
          <w:sz w:val="24"/>
          <w:szCs w:val="24"/>
          <w14:textFill>
            <w14:solidFill>
              <w14:schemeClr w14:val="tx1"/>
            </w14:solidFill>
          </w14:textFill>
        </w:rPr>
        <w:t>采用综合评分法对提交最后报价的供应商的响应文件和最后报价进行综合评分。</w:t>
      </w:r>
    </w:p>
    <w:p w14:paraId="135F9D76">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对响应文件的评估和比较分为两步进行，</w:t>
      </w:r>
      <w:r>
        <w:rPr>
          <w:rFonts w:hint="eastAsia" w:ascii="仿宋" w:hAnsi="仿宋" w:eastAsia="仿宋" w:cs="仿宋"/>
          <w:bCs/>
          <w:color w:val="000000" w:themeColor="text1"/>
          <w:sz w:val="24"/>
          <w:szCs w:val="24"/>
          <w:lang w:eastAsia="zh-CN"/>
          <w14:textFill>
            <w14:solidFill>
              <w14:schemeClr w14:val="tx1"/>
            </w14:solidFill>
          </w14:textFill>
        </w:rPr>
        <w:t>评标小组</w:t>
      </w:r>
      <w:r>
        <w:rPr>
          <w:rFonts w:hint="eastAsia" w:ascii="仿宋" w:hAnsi="仿宋" w:eastAsia="仿宋" w:cs="仿宋"/>
          <w:bCs/>
          <w:color w:val="000000" w:themeColor="text1"/>
          <w:sz w:val="24"/>
          <w:szCs w:val="24"/>
          <w14:textFill>
            <w14:solidFill>
              <w14:schemeClr w14:val="tx1"/>
            </w14:solidFill>
          </w14:textFill>
        </w:rPr>
        <w:t>会按照</w:t>
      </w:r>
      <w:r>
        <w:rPr>
          <w:rFonts w:hint="eastAsia" w:ascii="仿宋" w:hAnsi="仿宋" w:eastAsia="仿宋" w:cs="仿宋"/>
          <w:bCs/>
          <w:color w:val="000000" w:themeColor="text1"/>
          <w:sz w:val="24"/>
          <w:szCs w:val="24"/>
          <w:lang w:eastAsia="zh-CN"/>
          <w14:textFill>
            <w14:solidFill>
              <w14:schemeClr w14:val="tx1"/>
            </w14:solidFill>
          </w14:textFill>
        </w:rPr>
        <w:t>招标文件</w:t>
      </w:r>
      <w:r>
        <w:rPr>
          <w:rFonts w:hint="eastAsia" w:ascii="仿宋" w:hAnsi="仿宋" w:eastAsia="仿宋" w:cs="仿宋"/>
          <w:bCs/>
          <w:color w:val="000000" w:themeColor="text1"/>
          <w:sz w:val="24"/>
          <w:szCs w:val="24"/>
          <w14:textFill>
            <w14:solidFill>
              <w14:schemeClr w14:val="tx1"/>
            </w14:solidFill>
          </w14:textFill>
        </w:rPr>
        <w:t>要求对响应文件中的供应商资格、供应商资格证明文件、重要技术指标以及技术和商务上要求的其它重要内容进行审核，审核合格后即视为实质性响应的投标文件，进行第二个步骤：对实质性响应的投标文件进行评估和比较采用综合评分法进行打分评比，打分方法：总分为100分，其中价格因素占</w:t>
      </w:r>
      <w:r>
        <w:rPr>
          <w:rFonts w:hint="eastAsia" w:ascii="仿宋" w:hAnsi="仿宋" w:eastAsia="仿宋" w:cs="仿宋"/>
          <w:bCs/>
          <w:color w:val="000000" w:themeColor="text1"/>
          <w:sz w:val="24"/>
          <w:szCs w:val="24"/>
          <w:lang w:val="en-US" w:eastAsia="zh-CN"/>
          <w14:textFill>
            <w14:solidFill>
              <w14:schemeClr w14:val="tx1"/>
            </w14:solidFill>
          </w14:textFill>
        </w:rPr>
        <w:t>30</w:t>
      </w:r>
      <w:r>
        <w:rPr>
          <w:rFonts w:hint="eastAsia" w:ascii="仿宋" w:hAnsi="仿宋" w:eastAsia="仿宋" w:cs="仿宋"/>
          <w:bCs/>
          <w:color w:val="000000" w:themeColor="text1"/>
          <w:sz w:val="24"/>
          <w:szCs w:val="24"/>
          <w14:textFill>
            <w14:solidFill>
              <w14:schemeClr w14:val="tx1"/>
            </w14:solidFill>
          </w14:textFill>
        </w:rPr>
        <w:t>分，技术、商务、售后服务因素占</w:t>
      </w:r>
      <w:r>
        <w:rPr>
          <w:rFonts w:hint="eastAsia" w:ascii="仿宋" w:hAnsi="仿宋" w:eastAsia="仿宋" w:cs="仿宋"/>
          <w:bCs/>
          <w:color w:val="000000" w:themeColor="text1"/>
          <w:sz w:val="24"/>
          <w:szCs w:val="24"/>
          <w:lang w:val="en-US" w:eastAsia="zh-CN"/>
          <w14:textFill>
            <w14:solidFill>
              <w14:schemeClr w14:val="tx1"/>
            </w14:solidFill>
          </w14:textFill>
        </w:rPr>
        <w:t>70</w:t>
      </w:r>
      <w:r>
        <w:rPr>
          <w:rFonts w:hint="eastAsia" w:ascii="仿宋" w:hAnsi="仿宋" w:eastAsia="仿宋" w:cs="仿宋"/>
          <w:bCs/>
          <w:color w:val="000000" w:themeColor="text1"/>
          <w:sz w:val="24"/>
          <w:szCs w:val="24"/>
          <w14:textFill>
            <w14:solidFill>
              <w14:schemeClr w14:val="tx1"/>
            </w14:solidFill>
          </w14:textFill>
        </w:rPr>
        <w:t>分。将每位投标商的价格得分、技术得分、商务得分相加即为该投标商的总得分。详细评分标准如下：</w:t>
      </w:r>
    </w:p>
    <w:p w14:paraId="42884518">
      <w:pPr>
        <w:pStyle w:val="37"/>
        <w:spacing w:beforeAutospacing="0" w:afterAutospacing="0" w:line="560" w:lineRule="exact"/>
        <w:outlineLvl w:val="1"/>
        <w:rPr>
          <w:rFonts w:hint="eastAsia" w:ascii="宋体" w:hAnsi="宋体" w:eastAsia="宋体" w:cs="宋体"/>
          <w:b/>
          <w:bCs w:val="0"/>
          <w:color w:val="000000" w:themeColor="text1"/>
          <w:kern w:val="2"/>
          <w:sz w:val="22"/>
          <w:szCs w:val="22"/>
          <w:highlight w:val="yellow"/>
          <w:lang w:val="en-US" w:eastAsia="zh-CN" w:bidi="ar-SA"/>
          <w14:textFill>
            <w14:solidFill>
              <w14:schemeClr w14:val="tx1"/>
            </w14:solidFill>
          </w14:textFill>
        </w:rPr>
      </w:pPr>
      <w:bookmarkStart w:id="63" w:name="_Toc28375"/>
      <w:r>
        <w:rPr>
          <w:rFonts w:hint="eastAsia" w:ascii="宋体" w:hAnsi="宋体" w:eastAsia="宋体" w:cs="宋体"/>
          <w:b/>
          <w:bCs w:val="0"/>
          <w:color w:val="000000" w:themeColor="text1"/>
          <w:kern w:val="2"/>
          <w:sz w:val="22"/>
          <w:szCs w:val="22"/>
          <w:lang w:val="en-US" w:eastAsia="zh-CN" w:bidi="ar-SA"/>
          <w14:textFill>
            <w14:solidFill>
              <w14:schemeClr w14:val="tx1"/>
            </w14:solidFill>
          </w14:textFill>
        </w:rPr>
        <w:t>（一）</w:t>
      </w:r>
      <w:r>
        <w:rPr>
          <w:rFonts w:hint="eastAsia" w:ascii="宋体" w:hAnsi="宋体" w:eastAsia="宋体" w:cs="宋体"/>
          <w:b/>
          <w:bCs w:val="0"/>
          <w:color w:val="000000" w:themeColor="text1"/>
          <w:kern w:val="2"/>
          <w:sz w:val="22"/>
          <w:szCs w:val="22"/>
          <w:highlight w:val="none"/>
          <w:lang w:val="en-US" w:eastAsia="zh-CN" w:bidi="ar-SA"/>
          <w14:textFill>
            <w14:solidFill>
              <w14:schemeClr w14:val="tx1"/>
            </w14:solidFill>
          </w14:textFill>
        </w:rPr>
        <w:t>商务部分（25分）</w:t>
      </w:r>
      <w:bookmarkEnd w:id="63"/>
    </w:p>
    <w:tbl>
      <w:tblPr>
        <w:tblStyle w:val="42"/>
        <w:tblpPr w:leftFromText="180" w:rightFromText="180" w:vertAnchor="text" w:horzAnchor="page" w:tblpXSpec="center" w:tblpY="27"/>
        <w:tblOverlap w:val="never"/>
        <w:tblW w:w="50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1158"/>
        <w:gridCol w:w="667"/>
        <w:gridCol w:w="7308"/>
      </w:tblGrid>
      <w:tr w14:paraId="2F2CA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59" w:type="pct"/>
            <w:vAlign w:val="center"/>
          </w:tcPr>
          <w:p w14:paraId="108F247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序号</w:t>
            </w:r>
          </w:p>
        </w:tc>
        <w:tc>
          <w:tcPr>
            <w:tcW w:w="601" w:type="pct"/>
            <w:vAlign w:val="center"/>
          </w:tcPr>
          <w:p w14:paraId="1BABB18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评审内容</w:t>
            </w:r>
          </w:p>
        </w:tc>
        <w:tc>
          <w:tcPr>
            <w:tcW w:w="346" w:type="pct"/>
            <w:vAlign w:val="center"/>
          </w:tcPr>
          <w:p w14:paraId="1C67866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评分标准</w:t>
            </w:r>
          </w:p>
        </w:tc>
        <w:tc>
          <w:tcPr>
            <w:tcW w:w="3793" w:type="pct"/>
            <w:vAlign w:val="center"/>
          </w:tcPr>
          <w:p w14:paraId="56E7FC1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评分标准</w:t>
            </w:r>
          </w:p>
        </w:tc>
      </w:tr>
      <w:tr w14:paraId="04523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259" w:type="pct"/>
            <w:vAlign w:val="center"/>
          </w:tcPr>
          <w:p w14:paraId="71881702">
            <w:pPr>
              <w:pStyle w:val="36"/>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jc w:val="center"/>
              <w:textAlignment w:val="auto"/>
              <w:rPr>
                <w:rFonts w:ascii="宋体" w:hAnsi="宋体" w:cs="宋体"/>
                <w:color w:val="000000"/>
                <w:sz w:val="20"/>
                <w:szCs w:val="20"/>
                <w:highlight w:val="none"/>
              </w:rPr>
            </w:pPr>
            <w:r>
              <w:rPr>
                <w:rFonts w:hint="eastAsia" w:ascii="宋体" w:hAnsi="宋体" w:cs="宋体"/>
                <w:color w:val="000000"/>
                <w:sz w:val="20"/>
                <w:szCs w:val="20"/>
                <w:highlight w:val="none"/>
              </w:rPr>
              <w:t>1</w:t>
            </w:r>
          </w:p>
        </w:tc>
        <w:tc>
          <w:tcPr>
            <w:tcW w:w="601" w:type="pct"/>
            <w:vAlign w:val="center"/>
          </w:tcPr>
          <w:p w14:paraId="72235CCC">
            <w:pPr>
              <w:pStyle w:val="36"/>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jc w:val="center"/>
              <w:textAlignment w:val="auto"/>
              <w:rPr>
                <w:rFonts w:ascii="宋体" w:hAnsi="宋体" w:cs="宋体"/>
                <w:color w:val="000000"/>
                <w:sz w:val="20"/>
                <w:szCs w:val="20"/>
                <w:highlight w:val="none"/>
              </w:rPr>
            </w:pPr>
            <w:bookmarkStart w:id="64" w:name="OLE_LINK7"/>
            <w:r>
              <w:rPr>
                <w:rFonts w:hint="eastAsia" w:ascii="宋体" w:hAnsi="宋体" w:cs="宋体"/>
                <w:color w:val="000000"/>
                <w:sz w:val="20"/>
                <w:szCs w:val="20"/>
                <w:highlight w:val="none"/>
              </w:rPr>
              <w:t>企业业绩</w:t>
            </w:r>
            <w:bookmarkEnd w:id="64"/>
          </w:p>
        </w:tc>
        <w:tc>
          <w:tcPr>
            <w:tcW w:w="346" w:type="pct"/>
            <w:vAlign w:val="center"/>
          </w:tcPr>
          <w:p w14:paraId="5A088F44">
            <w:pPr>
              <w:pStyle w:val="36"/>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sz w:val="20"/>
                <w:szCs w:val="20"/>
                <w:highlight w:val="none"/>
                <w:lang w:eastAsia="zh-CN"/>
              </w:rPr>
            </w:pPr>
            <w:r>
              <w:rPr>
                <w:rFonts w:hint="eastAsia" w:ascii="宋体" w:hAnsi="宋体" w:cs="宋体"/>
                <w:color w:val="000000"/>
                <w:sz w:val="20"/>
                <w:szCs w:val="20"/>
                <w:highlight w:val="none"/>
                <w:lang w:val="en-US" w:eastAsia="zh-CN"/>
              </w:rPr>
              <w:t>8</w:t>
            </w:r>
          </w:p>
        </w:tc>
        <w:tc>
          <w:tcPr>
            <w:tcW w:w="3793" w:type="pct"/>
            <w:vAlign w:val="center"/>
          </w:tcPr>
          <w:p w14:paraId="23FA0D30">
            <w:pPr>
              <w:pStyle w:val="36"/>
              <w:keepNext w:val="0"/>
              <w:keepLines w:val="0"/>
              <w:pageBreakBefore w:val="0"/>
              <w:widowControl w:val="0"/>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textAlignment w:val="auto"/>
              <w:rPr>
                <w:rFonts w:ascii="宋体" w:hAnsi="宋体" w:cs="宋体"/>
                <w:color w:val="000000"/>
                <w:sz w:val="20"/>
                <w:szCs w:val="20"/>
                <w:highlight w:val="none"/>
              </w:rPr>
            </w:pPr>
            <w:r>
              <w:rPr>
                <w:rFonts w:hint="eastAsia" w:ascii="宋体" w:hAnsi="宋体" w:cs="宋体"/>
                <w:color w:val="000000"/>
                <w:sz w:val="20"/>
                <w:szCs w:val="20"/>
                <w:highlight w:val="none"/>
                <w:lang w:val="en-US" w:eastAsia="zh-CN"/>
              </w:rPr>
              <w:t>投标人</w:t>
            </w:r>
            <w:r>
              <w:rPr>
                <w:rFonts w:hint="eastAsia" w:ascii="宋体" w:hAnsi="宋体" w:cs="宋体"/>
                <w:color w:val="000000"/>
                <w:sz w:val="20"/>
                <w:szCs w:val="20"/>
                <w:highlight w:val="none"/>
              </w:rPr>
              <w:t>提供所投产品自2022年至今的类似业绩（投标文件中附合同复印件和中标通知书复印件，并加盖投标人公章，不提供或未加</w:t>
            </w:r>
            <w:r>
              <w:rPr>
                <w:rFonts w:hint="eastAsia" w:ascii="宋体" w:hAnsi="宋体" w:cs="宋体"/>
                <w:color w:val="000000"/>
                <w:sz w:val="20"/>
                <w:szCs w:val="20"/>
                <w:highlight w:val="none"/>
                <w:lang w:val="en-US" w:eastAsia="zh-CN"/>
              </w:rPr>
              <w:t>投标人</w:t>
            </w:r>
            <w:r>
              <w:rPr>
                <w:rFonts w:hint="eastAsia" w:ascii="宋体" w:hAnsi="宋体" w:cs="宋体"/>
                <w:color w:val="000000"/>
                <w:sz w:val="20"/>
                <w:szCs w:val="20"/>
                <w:highlight w:val="none"/>
              </w:rPr>
              <w:t>公章的不得分）：每个业绩得1分，最多得</w:t>
            </w:r>
            <w:r>
              <w:rPr>
                <w:rFonts w:hint="eastAsia" w:ascii="宋体" w:hAnsi="宋体" w:cs="宋体"/>
                <w:color w:val="000000"/>
                <w:sz w:val="20"/>
                <w:szCs w:val="20"/>
                <w:highlight w:val="none"/>
                <w:lang w:val="en-US" w:eastAsia="zh-CN"/>
              </w:rPr>
              <w:t>8</w:t>
            </w:r>
            <w:r>
              <w:rPr>
                <w:rFonts w:hint="eastAsia" w:ascii="宋体" w:hAnsi="宋体" w:cs="宋体"/>
                <w:color w:val="000000"/>
                <w:sz w:val="20"/>
                <w:szCs w:val="20"/>
                <w:highlight w:val="none"/>
              </w:rPr>
              <w:t>分。</w:t>
            </w:r>
          </w:p>
        </w:tc>
      </w:tr>
      <w:tr w14:paraId="2314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59" w:type="pct"/>
            <w:vAlign w:val="center"/>
          </w:tcPr>
          <w:p w14:paraId="5967A849">
            <w:pPr>
              <w:pStyle w:val="36"/>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jc w:val="center"/>
              <w:textAlignment w:val="auto"/>
              <w:rPr>
                <w:rFonts w:ascii="宋体" w:hAnsi="宋体" w:cs="宋体"/>
                <w:color w:val="000000"/>
                <w:sz w:val="20"/>
                <w:szCs w:val="20"/>
                <w:highlight w:val="none"/>
              </w:rPr>
            </w:pPr>
            <w:r>
              <w:rPr>
                <w:rFonts w:hint="eastAsia" w:ascii="宋体" w:hAnsi="宋体" w:cs="宋体"/>
                <w:color w:val="000000"/>
                <w:sz w:val="20"/>
                <w:szCs w:val="20"/>
                <w:highlight w:val="none"/>
              </w:rPr>
              <w:t>2</w:t>
            </w:r>
          </w:p>
        </w:tc>
        <w:tc>
          <w:tcPr>
            <w:tcW w:w="601" w:type="pct"/>
            <w:vAlign w:val="center"/>
          </w:tcPr>
          <w:p w14:paraId="3BA373FC">
            <w:pPr>
              <w:pStyle w:val="36"/>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jc w:val="center"/>
              <w:textAlignment w:val="auto"/>
              <w:rPr>
                <w:rFonts w:ascii="宋体" w:hAnsi="宋体" w:cs="宋体"/>
                <w:color w:val="000000"/>
                <w:sz w:val="20"/>
                <w:szCs w:val="20"/>
                <w:highlight w:val="none"/>
              </w:rPr>
            </w:pPr>
            <w:r>
              <w:rPr>
                <w:rFonts w:hint="eastAsia" w:ascii="宋体" w:hAnsi="宋体" w:cs="宋体"/>
                <w:color w:val="000000"/>
                <w:sz w:val="20"/>
                <w:szCs w:val="20"/>
                <w:highlight w:val="none"/>
              </w:rPr>
              <w:t>质量管理</w:t>
            </w:r>
          </w:p>
        </w:tc>
        <w:tc>
          <w:tcPr>
            <w:tcW w:w="346" w:type="pct"/>
            <w:vAlign w:val="center"/>
          </w:tcPr>
          <w:p w14:paraId="36E66425">
            <w:pPr>
              <w:pStyle w:val="36"/>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jc w:val="center"/>
              <w:textAlignment w:val="auto"/>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5</w:t>
            </w:r>
          </w:p>
        </w:tc>
        <w:tc>
          <w:tcPr>
            <w:tcW w:w="3793" w:type="pct"/>
            <w:vAlign w:val="center"/>
          </w:tcPr>
          <w:p w14:paraId="3E05E3DD">
            <w:pPr>
              <w:pStyle w:val="36"/>
              <w:keepNext w:val="0"/>
              <w:keepLines w:val="0"/>
              <w:pageBreakBefore w:val="0"/>
              <w:widowControl w:val="0"/>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textAlignment w:val="auto"/>
              <w:rPr>
                <w:rFonts w:ascii="宋体" w:hAnsi="宋体" w:cs="宋体"/>
                <w:color w:val="000000"/>
                <w:sz w:val="20"/>
                <w:szCs w:val="20"/>
                <w:highlight w:val="none"/>
              </w:rPr>
            </w:pPr>
            <w:r>
              <w:rPr>
                <w:rFonts w:hint="eastAsia" w:ascii="宋体" w:hAnsi="宋体" w:cs="宋体"/>
                <w:color w:val="000000"/>
                <w:sz w:val="20"/>
                <w:szCs w:val="20"/>
                <w:highlight w:val="none"/>
              </w:rPr>
              <w:t>投标人具有环境管理体系认证证书、质量管理体系认证证书、职业健康管理体系证书，信息安全管理体系证书，信息技术服务管理体系证书持有一项证书得1分，共5分</w:t>
            </w:r>
          </w:p>
        </w:tc>
      </w:tr>
      <w:tr w14:paraId="6BF6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59" w:type="pct"/>
            <w:vAlign w:val="center"/>
          </w:tcPr>
          <w:p w14:paraId="07D6D9AD">
            <w:pPr>
              <w:pStyle w:val="36"/>
              <w:keepNext w:val="0"/>
              <w:keepLines w:val="0"/>
              <w:pageBreakBefore w:val="0"/>
              <w:widowControl w:val="0"/>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jc w:val="center"/>
              <w:textAlignment w:val="auto"/>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3</w:t>
            </w:r>
          </w:p>
        </w:tc>
        <w:tc>
          <w:tcPr>
            <w:tcW w:w="601" w:type="pct"/>
            <w:vAlign w:val="center"/>
          </w:tcPr>
          <w:p w14:paraId="3C635224">
            <w:pPr>
              <w:pStyle w:val="36"/>
              <w:keepNext w:val="0"/>
              <w:keepLines w:val="0"/>
              <w:pageBreakBefore w:val="0"/>
              <w:widowControl w:val="0"/>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jc w:val="center"/>
              <w:textAlignment w:val="auto"/>
              <w:rPr>
                <w:rFonts w:hint="eastAsia" w:ascii="宋体" w:hAnsi="宋体" w:cs="宋体"/>
                <w:color w:val="000000"/>
                <w:sz w:val="20"/>
                <w:szCs w:val="20"/>
                <w:highlight w:val="none"/>
              </w:rPr>
            </w:pPr>
            <w:r>
              <w:rPr>
                <w:rFonts w:hint="eastAsia" w:ascii="宋体" w:hAnsi="宋体" w:cs="宋体"/>
                <w:color w:val="000000"/>
                <w:sz w:val="20"/>
                <w:szCs w:val="20"/>
                <w:highlight w:val="none"/>
              </w:rPr>
              <w:t>综合实力</w:t>
            </w:r>
          </w:p>
        </w:tc>
        <w:tc>
          <w:tcPr>
            <w:tcW w:w="346" w:type="pct"/>
            <w:vAlign w:val="center"/>
          </w:tcPr>
          <w:p w14:paraId="5D1C5293">
            <w:pPr>
              <w:pStyle w:val="36"/>
              <w:keepNext w:val="0"/>
              <w:keepLines w:val="0"/>
              <w:pageBreakBefore w:val="0"/>
              <w:widowControl w:val="0"/>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jc w:val="center"/>
              <w:textAlignment w:val="auto"/>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4</w:t>
            </w:r>
          </w:p>
        </w:tc>
        <w:tc>
          <w:tcPr>
            <w:tcW w:w="3793" w:type="pct"/>
            <w:vAlign w:val="center"/>
          </w:tcPr>
          <w:p w14:paraId="590945AC">
            <w:pPr>
              <w:pStyle w:val="36"/>
              <w:keepNext w:val="0"/>
              <w:keepLines w:val="0"/>
              <w:pageBreakBefore w:val="0"/>
              <w:widowControl w:val="0"/>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textAlignment w:val="auto"/>
              <w:rPr>
                <w:rFonts w:hint="default" w:ascii="宋体" w:hAnsi="宋体" w:cs="宋体"/>
                <w:color w:val="000000"/>
                <w:sz w:val="20"/>
                <w:szCs w:val="20"/>
                <w:highlight w:val="none"/>
                <w:lang w:val="en-US"/>
              </w:rPr>
            </w:pPr>
            <w:r>
              <w:rPr>
                <w:rFonts w:hint="default" w:ascii="宋体" w:hAnsi="宋体" w:cs="宋体"/>
                <w:color w:val="000000"/>
                <w:sz w:val="20"/>
                <w:szCs w:val="20"/>
                <w:highlight w:val="none"/>
                <w:lang w:val="en-US"/>
              </w:rPr>
              <w:t>投标人提供所投产品生产厂商以下证书（</w:t>
            </w:r>
            <w:r>
              <w:rPr>
                <w:rFonts w:hint="eastAsia" w:ascii="宋体" w:hAnsi="宋体" w:cs="宋体"/>
                <w:color w:val="000000"/>
                <w:sz w:val="20"/>
                <w:szCs w:val="20"/>
                <w:highlight w:val="none"/>
                <w:lang w:val="en-US" w:eastAsia="zh-CN"/>
              </w:rPr>
              <w:t>须加盖投标人公章</w:t>
            </w:r>
            <w:r>
              <w:rPr>
                <w:rFonts w:hint="default" w:ascii="宋体" w:hAnsi="宋体" w:cs="宋体"/>
                <w:color w:val="000000"/>
                <w:sz w:val="20"/>
                <w:szCs w:val="20"/>
                <w:highlight w:val="none"/>
                <w:lang w:val="en-US"/>
              </w:rPr>
              <w:t>）:</w:t>
            </w:r>
          </w:p>
          <w:p w14:paraId="47F206ED">
            <w:pPr>
              <w:pStyle w:val="36"/>
              <w:keepNext w:val="0"/>
              <w:keepLines w:val="0"/>
              <w:pageBreakBefore w:val="0"/>
              <w:widowControl w:val="0"/>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textAlignment w:val="auto"/>
              <w:rPr>
                <w:rFonts w:hint="default" w:ascii="宋体" w:hAnsi="宋体" w:cs="宋体"/>
                <w:color w:val="000000"/>
                <w:sz w:val="20"/>
                <w:szCs w:val="20"/>
                <w:highlight w:val="none"/>
                <w:lang w:val="en-US"/>
              </w:rPr>
            </w:pPr>
            <w:r>
              <w:rPr>
                <w:rFonts w:hint="default" w:ascii="宋体" w:hAnsi="宋体" w:cs="宋体"/>
                <w:color w:val="000000"/>
                <w:sz w:val="20"/>
                <w:szCs w:val="20"/>
                <w:highlight w:val="none"/>
                <w:lang w:val="en-US"/>
              </w:rPr>
              <w:t>1、投标单位所投生产厂商主要产品具有：移动护理管理系统、护理管理系统、敏感指标管理系统、知识库管理系统软件著作权证书，（提供软件名称可不同但需与建设内容一致，以提供著作权登记证书复印件为准，以上所有计算机软件著作权必须由厂商独自拥有，不得与其他法人共有且必须在本招标文件发布之前取得，）提供一个得1分，（4分）。</w:t>
            </w:r>
          </w:p>
        </w:tc>
      </w:tr>
      <w:tr w14:paraId="38EB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59" w:type="pct"/>
            <w:vAlign w:val="center"/>
          </w:tcPr>
          <w:p w14:paraId="4646739D">
            <w:pPr>
              <w:pStyle w:val="36"/>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jc w:val="center"/>
              <w:textAlignment w:val="auto"/>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4</w:t>
            </w:r>
          </w:p>
        </w:tc>
        <w:tc>
          <w:tcPr>
            <w:tcW w:w="601" w:type="pct"/>
            <w:vAlign w:val="center"/>
          </w:tcPr>
          <w:p w14:paraId="4CF0EF33">
            <w:pPr>
              <w:pStyle w:val="36"/>
              <w:keepNext w:val="0"/>
              <w:keepLines w:val="0"/>
              <w:pageBreakBefore w:val="0"/>
              <w:widowControl w:val="0"/>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sz w:val="20"/>
                <w:szCs w:val="20"/>
                <w:highlight w:val="none"/>
                <w:lang w:val="en-US" w:eastAsia="zh-CN"/>
              </w:rPr>
              <w:t>售后服务保障</w:t>
            </w:r>
          </w:p>
        </w:tc>
        <w:tc>
          <w:tcPr>
            <w:tcW w:w="346" w:type="pct"/>
            <w:vAlign w:val="center"/>
          </w:tcPr>
          <w:p w14:paraId="1CB05D15">
            <w:pPr>
              <w:pStyle w:val="36"/>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jc w:val="center"/>
              <w:textAlignment w:val="auto"/>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8</w:t>
            </w:r>
          </w:p>
        </w:tc>
        <w:tc>
          <w:tcPr>
            <w:tcW w:w="3793" w:type="pct"/>
            <w:vAlign w:val="center"/>
          </w:tcPr>
          <w:p w14:paraId="133160E0">
            <w:pPr>
              <w:pStyle w:val="36"/>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textAlignment w:val="auto"/>
              <w:rPr>
                <w:rFonts w:hint="default" w:ascii="宋体" w:hAnsi="宋体" w:eastAsia="宋体" w:cs="宋体"/>
                <w:color w:val="000000"/>
                <w:sz w:val="20"/>
                <w:szCs w:val="20"/>
                <w:highlight w:val="none"/>
                <w:lang w:val="en-US" w:eastAsia="zh-CN"/>
              </w:rPr>
            </w:pPr>
            <w:r>
              <w:rPr>
                <w:rFonts w:hint="default" w:ascii="宋体" w:hAnsi="宋体" w:eastAsia="宋体" w:cs="宋体"/>
                <w:color w:val="000000"/>
                <w:sz w:val="20"/>
                <w:szCs w:val="20"/>
                <w:highlight w:val="none"/>
                <w:lang w:val="en-US" w:eastAsia="zh-CN"/>
              </w:rPr>
              <w:t>1、根据投标人提供的售后服务方案进行评审，该方案应包含：①售后承诺及售后响应保障、②售后服务措施、③系统维护方案、④应急故障处理措施。完整提供上述4项内容的得4分；每有一项未提供扣1分，扣完为止；每有一处有缺陷扣0.5分，扣完为止。 （缺陷是指：存在不适用项目实际情况的情形、凭空编造、套用其他项目方案、内容前后不一致、前后逻辑错误、涉及的规范及标准错误、地点区域错误、内容缺失、不符合采购需求、不可能实现的情形等任意一种情形）</w:t>
            </w:r>
          </w:p>
          <w:p w14:paraId="7B8D2323">
            <w:pPr>
              <w:pStyle w:val="36"/>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textAlignment w:val="auto"/>
              <w:rPr>
                <w:rFonts w:hint="default" w:ascii="宋体" w:hAnsi="宋体" w:eastAsia="宋体" w:cs="宋体"/>
                <w:color w:val="000000"/>
                <w:sz w:val="20"/>
                <w:szCs w:val="20"/>
                <w:highlight w:val="none"/>
                <w:lang w:val="en-US" w:eastAsia="zh-CN"/>
              </w:rPr>
            </w:pPr>
            <w:r>
              <w:rPr>
                <w:rFonts w:hint="default" w:ascii="宋体" w:hAnsi="宋体" w:eastAsia="宋体" w:cs="宋体"/>
                <w:color w:val="000000"/>
                <w:sz w:val="20"/>
                <w:szCs w:val="20"/>
                <w:highlight w:val="none"/>
                <w:lang w:val="en-US" w:eastAsia="zh-CN"/>
              </w:rPr>
              <w:t>2、为保证本项目的顺利实施和后期维护，要求投标人具有本地售后服务机构，提供项目所在地售后服务机构营业执照等相关证明文件，且至少具有一名系统运维工程师，提供者得</w:t>
            </w:r>
            <w:r>
              <w:rPr>
                <w:rFonts w:hint="eastAsia" w:ascii="宋体" w:hAnsi="宋体" w:cs="宋体"/>
                <w:color w:val="000000"/>
                <w:sz w:val="20"/>
                <w:szCs w:val="20"/>
                <w:highlight w:val="none"/>
                <w:lang w:val="en-US" w:eastAsia="zh-CN"/>
              </w:rPr>
              <w:t>1</w:t>
            </w:r>
            <w:r>
              <w:rPr>
                <w:rFonts w:hint="default" w:ascii="宋体" w:hAnsi="宋体" w:eastAsia="宋体" w:cs="宋体"/>
                <w:color w:val="000000"/>
                <w:sz w:val="20"/>
                <w:szCs w:val="20"/>
                <w:highlight w:val="none"/>
                <w:lang w:val="en-US" w:eastAsia="zh-CN"/>
              </w:rPr>
              <w:t>分，不提供者不得分；如产品出现故障，紧急情况2小时上门服务且24小时解决问题得1分，提供投标人承诺函加盖公章，不提供不得分。</w:t>
            </w:r>
          </w:p>
          <w:p w14:paraId="5DCA0984">
            <w:pPr>
              <w:pStyle w:val="36"/>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textAlignment w:val="auto"/>
              <w:rPr>
                <w:rFonts w:hint="default" w:ascii="宋体" w:hAnsi="宋体" w:eastAsia="宋体" w:cs="宋体"/>
                <w:color w:val="000000"/>
                <w:sz w:val="20"/>
                <w:szCs w:val="20"/>
                <w:highlight w:val="none"/>
                <w:lang w:val="en-US" w:eastAsia="zh-CN"/>
              </w:rPr>
            </w:pPr>
            <w:r>
              <w:rPr>
                <w:rFonts w:hint="default" w:ascii="宋体" w:hAnsi="宋体" w:eastAsia="宋体" w:cs="宋体"/>
                <w:color w:val="000000"/>
                <w:sz w:val="20"/>
                <w:szCs w:val="20"/>
                <w:highlight w:val="none"/>
                <w:lang w:val="en-US" w:eastAsia="zh-CN"/>
              </w:rPr>
              <w:t>3为方便采购单位在后期产品使用期间能及时反馈产品使用时出现的问题，保证供应商能在短时间迅速响应并解决，</w:t>
            </w:r>
            <w:r>
              <w:rPr>
                <w:rFonts w:hint="eastAsia" w:ascii="宋体" w:hAnsi="宋体" w:cs="宋体"/>
                <w:color w:val="000000"/>
                <w:sz w:val="20"/>
                <w:szCs w:val="20"/>
                <w:highlight w:val="none"/>
                <w:lang w:val="en-US" w:eastAsia="zh-CN"/>
              </w:rPr>
              <w:t>投标人</w:t>
            </w:r>
            <w:r>
              <w:rPr>
                <w:rFonts w:hint="default" w:ascii="宋体" w:hAnsi="宋体" w:eastAsia="宋体" w:cs="宋体"/>
                <w:color w:val="000000"/>
                <w:sz w:val="20"/>
                <w:szCs w:val="20"/>
                <w:highlight w:val="none"/>
                <w:lang w:val="en-US" w:eastAsia="zh-CN"/>
              </w:rPr>
              <w:t>所投软件产品生产厂商具备统一的售后服务平台得2分。</w:t>
            </w:r>
          </w:p>
          <w:p w14:paraId="5573929D">
            <w:pPr>
              <w:pStyle w:val="36"/>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textAlignment w:val="auto"/>
              <w:rPr>
                <w:rFonts w:hint="default" w:ascii="宋体" w:hAnsi="宋体" w:eastAsia="宋体" w:cs="宋体"/>
                <w:color w:val="000000"/>
                <w:sz w:val="20"/>
                <w:szCs w:val="20"/>
                <w:highlight w:val="none"/>
                <w:lang w:val="en-US" w:eastAsia="zh-CN"/>
              </w:rPr>
            </w:pPr>
            <w:r>
              <w:rPr>
                <w:rFonts w:hint="default" w:ascii="宋体" w:hAnsi="宋体" w:eastAsia="宋体" w:cs="宋体"/>
                <w:color w:val="000000"/>
                <w:sz w:val="20"/>
                <w:szCs w:val="20"/>
                <w:highlight w:val="none"/>
                <w:lang w:val="en-US" w:eastAsia="zh-CN"/>
              </w:rPr>
              <w:t>（须提供服务平台截图并加盖公章，截图须体现服务内容，）否则此项不得分。</w:t>
            </w:r>
          </w:p>
        </w:tc>
      </w:tr>
    </w:tbl>
    <w:p w14:paraId="59CC2C52">
      <w:pPr>
        <w:pStyle w:val="37"/>
        <w:spacing w:beforeAutospacing="0" w:afterAutospacing="0" w:line="560" w:lineRule="exact"/>
        <w:outlineLvl w:val="1"/>
        <w:rPr>
          <w:rFonts w:hint="eastAsia" w:ascii="宋体" w:hAnsi="宋体" w:eastAsia="宋体" w:cs="宋体"/>
          <w:b/>
          <w:bCs w:val="0"/>
          <w:color w:val="000000" w:themeColor="text1"/>
          <w:kern w:val="2"/>
          <w:sz w:val="22"/>
          <w:szCs w:val="22"/>
          <w:highlight w:val="none"/>
          <w:lang w:val="en-US" w:eastAsia="zh-CN" w:bidi="ar-SA"/>
          <w14:textFill>
            <w14:solidFill>
              <w14:schemeClr w14:val="tx1"/>
            </w14:solidFill>
          </w14:textFill>
        </w:rPr>
      </w:pPr>
      <w:bookmarkStart w:id="65" w:name="_Toc12256"/>
      <w:r>
        <w:rPr>
          <w:rFonts w:hint="eastAsia" w:ascii="宋体" w:hAnsi="宋体" w:eastAsia="宋体" w:cs="宋体"/>
          <w:b/>
          <w:bCs w:val="0"/>
          <w:color w:val="000000" w:themeColor="text1"/>
          <w:kern w:val="2"/>
          <w:sz w:val="22"/>
          <w:szCs w:val="22"/>
          <w:highlight w:val="none"/>
          <w:lang w:val="en-US" w:eastAsia="zh-CN" w:bidi="ar-SA"/>
          <w14:textFill>
            <w14:solidFill>
              <w14:schemeClr w14:val="tx1"/>
            </w14:solidFill>
          </w14:textFill>
        </w:rPr>
        <w:t>（二）技术部分（45分）</w:t>
      </w:r>
      <w:bookmarkEnd w:id="65"/>
    </w:p>
    <w:tbl>
      <w:tblPr>
        <w:tblStyle w:val="42"/>
        <w:tblpPr w:leftFromText="180" w:rightFromText="180" w:vertAnchor="text" w:horzAnchor="page" w:tblpXSpec="center" w:tblpY="27"/>
        <w:tblOverlap w:val="never"/>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168"/>
        <w:gridCol w:w="692"/>
        <w:gridCol w:w="7288"/>
      </w:tblGrid>
      <w:tr w14:paraId="43F3E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42" w:type="pct"/>
            <w:vAlign w:val="center"/>
          </w:tcPr>
          <w:p w14:paraId="67B9C1C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序号</w:t>
            </w:r>
          </w:p>
        </w:tc>
        <w:tc>
          <w:tcPr>
            <w:tcW w:w="607" w:type="pct"/>
            <w:vAlign w:val="center"/>
          </w:tcPr>
          <w:p w14:paraId="5BB532F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评审内容</w:t>
            </w:r>
          </w:p>
        </w:tc>
        <w:tc>
          <w:tcPr>
            <w:tcW w:w="359" w:type="pct"/>
            <w:vAlign w:val="center"/>
          </w:tcPr>
          <w:p w14:paraId="63E21DF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评分标准</w:t>
            </w:r>
          </w:p>
        </w:tc>
        <w:tc>
          <w:tcPr>
            <w:tcW w:w="3790" w:type="pct"/>
            <w:vAlign w:val="center"/>
          </w:tcPr>
          <w:p w14:paraId="1599646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评分标准</w:t>
            </w:r>
          </w:p>
        </w:tc>
      </w:tr>
      <w:tr w14:paraId="0918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242" w:type="pct"/>
            <w:vAlign w:val="center"/>
          </w:tcPr>
          <w:p w14:paraId="1FD1D0B4">
            <w:pPr>
              <w:pStyle w:val="36"/>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jc w:val="center"/>
              <w:textAlignment w:val="auto"/>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w:t>
            </w:r>
          </w:p>
        </w:tc>
        <w:tc>
          <w:tcPr>
            <w:tcW w:w="607" w:type="pct"/>
            <w:vAlign w:val="center"/>
          </w:tcPr>
          <w:p w14:paraId="0BF0B6D3">
            <w:pPr>
              <w:pStyle w:val="36"/>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jc w:val="center"/>
              <w:textAlignment w:val="auto"/>
              <w:rPr>
                <w:rFonts w:ascii="宋体" w:hAnsi="宋体" w:cs="宋体"/>
                <w:color w:val="000000"/>
                <w:sz w:val="20"/>
                <w:szCs w:val="20"/>
                <w:highlight w:val="none"/>
              </w:rPr>
            </w:pPr>
            <w:r>
              <w:rPr>
                <w:rFonts w:hint="eastAsia" w:ascii="宋体" w:hAnsi="宋体" w:cs="宋体"/>
                <w:color w:val="000000"/>
                <w:sz w:val="20"/>
                <w:szCs w:val="20"/>
                <w:highlight w:val="none"/>
              </w:rPr>
              <w:t>关键技术指标响应</w:t>
            </w:r>
          </w:p>
        </w:tc>
        <w:tc>
          <w:tcPr>
            <w:tcW w:w="359" w:type="pct"/>
            <w:vAlign w:val="center"/>
          </w:tcPr>
          <w:p w14:paraId="7309DEB9">
            <w:pPr>
              <w:pStyle w:val="36"/>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jc w:val="center"/>
              <w:textAlignment w:val="auto"/>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30</w:t>
            </w:r>
          </w:p>
        </w:tc>
        <w:tc>
          <w:tcPr>
            <w:tcW w:w="3790" w:type="pct"/>
            <w:vAlign w:val="center"/>
          </w:tcPr>
          <w:p w14:paraId="5E505111">
            <w:pPr>
              <w:pStyle w:val="36"/>
              <w:keepNext w:val="0"/>
              <w:keepLines w:val="0"/>
              <w:pageBreakBefore w:val="0"/>
              <w:widowControl w:val="0"/>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textAlignment w:val="auto"/>
              <w:rPr>
                <w:rFonts w:hint="eastAsia" w:ascii="宋体" w:hAnsi="宋体" w:cs="宋体"/>
                <w:color w:val="000000"/>
                <w:sz w:val="20"/>
                <w:szCs w:val="20"/>
                <w:highlight w:val="none"/>
                <w:lang w:val="en-US" w:eastAsia="zh-CN"/>
              </w:rPr>
            </w:pPr>
            <w:r>
              <w:rPr>
                <w:rFonts w:hint="eastAsia" w:ascii="宋体" w:hAnsi="宋体" w:cs="宋体"/>
                <w:color w:val="000000" w:themeColor="text1"/>
                <w:szCs w:val="21"/>
                <w14:textFill>
                  <w14:solidFill>
                    <w14:schemeClr w14:val="tx1"/>
                  </w14:solidFill>
                </w14:textFill>
              </w:rPr>
              <w:t>根据投标人对招标文件技术要求响应程度综合打分，满分为</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p w14:paraId="2EC34164">
            <w:pPr>
              <w:pStyle w:val="36"/>
              <w:keepNext w:val="0"/>
              <w:keepLines w:val="0"/>
              <w:pageBreakBefore w:val="0"/>
              <w:widowControl w:val="0"/>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textAlignment w:val="auto"/>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1.</w:t>
            </w:r>
            <w:r>
              <w:rPr>
                <w:rFonts w:hint="eastAsia" w:ascii="宋体" w:hAnsi="宋体" w:eastAsia="宋体" w:cs="宋体"/>
                <w:color w:val="000000"/>
                <w:sz w:val="20"/>
                <w:szCs w:val="20"/>
                <w:highlight w:val="none"/>
              </w:rPr>
              <w:t>招标文件要求中，“★”号的条款均为必要的关键技术指标，负偏一项扣1分；</w:t>
            </w:r>
            <w:r>
              <w:rPr>
                <w:rFonts w:hint="eastAsia" w:ascii="宋体" w:hAnsi="宋体" w:cs="宋体"/>
                <w:color w:val="000000"/>
                <w:sz w:val="20"/>
                <w:szCs w:val="20"/>
                <w:highlight w:val="none"/>
              </w:rPr>
              <w:t>扣完为止。</w:t>
            </w:r>
          </w:p>
          <w:p w14:paraId="3DDA4546">
            <w:pPr>
              <w:pStyle w:val="36"/>
              <w:keepNext w:val="0"/>
              <w:keepLines w:val="0"/>
              <w:pageBreakBefore w:val="0"/>
              <w:widowControl w:val="0"/>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textAlignment w:val="auto"/>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2.</w:t>
            </w:r>
            <w:r>
              <w:rPr>
                <w:rFonts w:hint="eastAsia" w:ascii="宋体" w:hAnsi="宋体" w:eastAsia="宋体" w:cs="宋体"/>
                <w:color w:val="000000"/>
                <w:sz w:val="20"/>
                <w:szCs w:val="20"/>
                <w:highlight w:val="none"/>
              </w:rPr>
              <w:t>非“★”号的条款，负偏离一项扣0.5分，扣完为止</w:t>
            </w:r>
            <w:r>
              <w:rPr>
                <w:rFonts w:hint="eastAsia" w:ascii="宋体" w:hAnsi="宋体" w:cs="宋体"/>
                <w:color w:val="000000"/>
                <w:sz w:val="20"/>
                <w:szCs w:val="20"/>
                <w:highlight w:val="none"/>
                <w:lang w:eastAsia="zh-CN"/>
              </w:rPr>
              <w:t>；</w:t>
            </w:r>
          </w:p>
        </w:tc>
      </w:tr>
      <w:tr w14:paraId="01EDC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242" w:type="pct"/>
            <w:vAlign w:val="center"/>
          </w:tcPr>
          <w:p w14:paraId="3C42CDE0">
            <w:pPr>
              <w:pStyle w:val="36"/>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jc w:val="center"/>
              <w:textAlignment w:val="auto"/>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2</w:t>
            </w:r>
          </w:p>
        </w:tc>
        <w:tc>
          <w:tcPr>
            <w:tcW w:w="607" w:type="pct"/>
            <w:vAlign w:val="center"/>
          </w:tcPr>
          <w:p w14:paraId="5D9AEAB4">
            <w:pPr>
              <w:pStyle w:val="36"/>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jc w:val="center"/>
              <w:textAlignment w:val="auto"/>
              <w:rPr>
                <w:rFonts w:ascii="宋体" w:hAnsi="宋体" w:cs="宋体"/>
                <w:color w:val="000000"/>
                <w:sz w:val="20"/>
                <w:szCs w:val="20"/>
                <w:highlight w:val="none"/>
              </w:rPr>
            </w:pPr>
            <w:r>
              <w:rPr>
                <w:rFonts w:hint="eastAsia" w:ascii="宋体" w:hAnsi="宋体" w:cs="宋体"/>
                <w:color w:val="000000"/>
                <w:sz w:val="20"/>
                <w:szCs w:val="20"/>
                <w:highlight w:val="none"/>
              </w:rPr>
              <w:t>物联网扩展能力</w:t>
            </w:r>
          </w:p>
        </w:tc>
        <w:tc>
          <w:tcPr>
            <w:tcW w:w="359" w:type="pct"/>
            <w:vAlign w:val="center"/>
          </w:tcPr>
          <w:p w14:paraId="78520071">
            <w:pPr>
              <w:pStyle w:val="36"/>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5</w:t>
            </w:r>
          </w:p>
        </w:tc>
        <w:tc>
          <w:tcPr>
            <w:tcW w:w="3790" w:type="pct"/>
            <w:vAlign w:val="center"/>
          </w:tcPr>
          <w:p w14:paraId="4BB8DF68">
            <w:pPr>
              <w:pStyle w:val="36"/>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textAlignment w:val="auto"/>
              <w:rPr>
                <w:rFonts w:hint="eastAsia" w:ascii="宋体" w:hAnsi="宋体" w:cs="宋体"/>
                <w:color w:val="000000"/>
                <w:sz w:val="20"/>
                <w:szCs w:val="20"/>
                <w:highlight w:val="none"/>
              </w:rPr>
            </w:pPr>
            <w:r>
              <w:rPr>
                <w:rFonts w:hint="eastAsia" w:ascii="宋体" w:hAnsi="宋体" w:cs="宋体"/>
                <w:color w:val="000000"/>
                <w:sz w:val="20"/>
                <w:szCs w:val="20"/>
                <w:highlight w:val="none"/>
              </w:rPr>
              <w:t>1、根据不同适用场景，支持融合式扩展（支持≥2块物联网模块扩展）以及链式扩展（支持≥9个物联网模块扩展），提供承诺函并加盖公章，提供的1分，不提供不得分。</w:t>
            </w:r>
          </w:p>
          <w:p w14:paraId="46A8B873">
            <w:pPr>
              <w:pStyle w:val="36"/>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textAlignment w:val="auto"/>
              <w:rPr>
                <w:rFonts w:ascii="宋体" w:hAnsi="宋体" w:cs="宋体"/>
                <w:color w:val="000000"/>
                <w:sz w:val="20"/>
                <w:szCs w:val="20"/>
                <w:highlight w:val="none"/>
              </w:rPr>
            </w:pPr>
            <w:r>
              <w:rPr>
                <w:rFonts w:hint="eastAsia" w:ascii="宋体" w:hAnsi="宋体" w:cs="宋体"/>
                <w:color w:val="000000"/>
                <w:sz w:val="20"/>
                <w:szCs w:val="20"/>
                <w:highlight w:val="none"/>
              </w:rPr>
              <w:t>2、支持和多家应用厂家兼容，提供兼容性测试报告，提供一份得1分，最高得4分。</w:t>
            </w:r>
          </w:p>
        </w:tc>
      </w:tr>
      <w:tr w14:paraId="0197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242" w:type="pct"/>
            <w:vAlign w:val="center"/>
          </w:tcPr>
          <w:p w14:paraId="44EE27A3">
            <w:pPr>
              <w:pStyle w:val="36"/>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jc w:val="center"/>
              <w:textAlignment w:val="auto"/>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3</w:t>
            </w:r>
          </w:p>
        </w:tc>
        <w:tc>
          <w:tcPr>
            <w:tcW w:w="607" w:type="pct"/>
            <w:vAlign w:val="center"/>
          </w:tcPr>
          <w:p w14:paraId="652DEE34">
            <w:pPr>
              <w:pStyle w:val="36"/>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jc w:val="center"/>
              <w:textAlignment w:val="auto"/>
              <w:rPr>
                <w:rFonts w:ascii="宋体" w:hAnsi="宋体" w:cs="宋体"/>
                <w:color w:val="000000"/>
                <w:sz w:val="20"/>
                <w:szCs w:val="20"/>
                <w:highlight w:val="none"/>
              </w:rPr>
            </w:pPr>
            <w:r>
              <w:rPr>
                <w:rFonts w:hint="eastAsia" w:ascii="宋体" w:hAnsi="宋体" w:cs="宋体"/>
                <w:color w:val="000000"/>
                <w:sz w:val="20"/>
                <w:szCs w:val="20"/>
                <w:highlight w:val="none"/>
              </w:rPr>
              <w:t>实施方案</w:t>
            </w:r>
          </w:p>
        </w:tc>
        <w:tc>
          <w:tcPr>
            <w:tcW w:w="359" w:type="pct"/>
            <w:vAlign w:val="center"/>
          </w:tcPr>
          <w:p w14:paraId="150E7837">
            <w:pPr>
              <w:pStyle w:val="36"/>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jc w:val="center"/>
              <w:textAlignment w:val="auto"/>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6</w:t>
            </w:r>
          </w:p>
        </w:tc>
        <w:tc>
          <w:tcPr>
            <w:tcW w:w="3790" w:type="pct"/>
            <w:vAlign w:val="center"/>
          </w:tcPr>
          <w:p w14:paraId="5F267621">
            <w:pPr>
              <w:pStyle w:val="36"/>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textAlignment w:val="auto"/>
              <w:rPr>
                <w:rFonts w:hint="eastAsia" w:ascii="宋体" w:hAnsi="宋体" w:cs="宋体"/>
                <w:color w:val="000000"/>
                <w:sz w:val="20"/>
                <w:szCs w:val="20"/>
                <w:highlight w:val="none"/>
              </w:rPr>
            </w:pPr>
            <w:r>
              <w:rPr>
                <w:rFonts w:hint="eastAsia" w:ascii="宋体" w:hAnsi="宋体" w:cs="宋体"/>
                <w:color w:val="000000"/>
                <w:sz w:val="20"/>
                <w:szCs w:val="20"/>
                <w:highlight w:val="none"/>
              </w:rPr>
              <w:t>根据投标人提供的项目实施方案进行评审，该方案应包含：①项目实施计划、②实施工期安排、③实施团队架构、④使用培训方案、⑤项目进度保障方案、⑥运维设计。</w:t>
            </w:r>
          </w:p>
          <w:p w14:paraId="00F1CE30">
            <w:pPr>
              <w:pStyle w:val="36"/>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textAlignment w:val="auto"/>
              <w:rPr>
                <w:rFonts w:ascii="宋体" w:hAnsi="宋体" w:cs="宋体"/>
                <w:color w:val="000000"/>
                <w:sz w:val="20"/>
                <w:szCs w:val="20"/>
                <w:highlight w:val="none"/>
              </w:rPr>
            </w:pPr>
            <w:r>
              <w:rPr>
                <w:rFonts w:hint="eastAsia" w:ascii="宋体" w:hAnsi="宋体" w:cs="宋体"/>
                <w:color w:val="000000"/>
                <w:sz w:val="20"/>
                <w:szCs w:val="20"/>
                <w:highlight w:val="none"/>
              </w:rPr>
              <w:t>完整提供上述6项内容的得6分；每有一项未提供扣2分，扣完为止；每有一处有缺陷扣1分，扣完为止。 （缺陷是指：存在不适用项目实际情况的情形、凭空编造、套用其他项目方案、内容前后不一致、前后逻辑错误、涉及的规范及标准错误、地点区域错误、内容缺失、不符合采购需求、不可能实现的情形等任意一种情形）</w:t>
            </w:r>
          </w:p>
        </w:tc>
      </w:tr>
      <w:tr w14:paraId="2830F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242" w:type="pct"/>
            <w:vAlign w:val="center"/>
          </w:tcPr>
          <w:p w14:paraId="186AFB76">
            <w:pPr>
              <w:pStyle w:val="36"/>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jc w:val="center"/>
              <w:textAlignment w:val="auto"/>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4</w:t>
            </w:r>
          </w:p>
        </w:tc>
        <w:tc>
          <w:tcPr>
            <w:tcW w:w="607" w:type="pct"/>
            <w:vAlign w:val="center"/>
          </w:tcPr>
          <w:p w14:paraId="022B4A6E">
            <w:pPr>
              <w:pStyle w:val="36"/>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textAlignment w:val="auto"/>
              <w:rPr>
                <w:rFonts w:hint="eastAsia" w:ascii="宋体" w:hAnsi="宋体" w:cs="宋体"/>
                <w:color w:val="000000"/>
                <w:sz w:val="20"/>
                <w:szCs w:val="20"/>
                <w:highlight w:val="none"/>
              </w:rPr>
            </w:pPr>
            <w:r>
              <w:rPr>
                <w:rFonts w:hint="eastAsia" w:ascii="宋体" w:hAnsi="宋体" w:cs="宋体"/>
                <w:color w:val="000000"/>
                <w:sz w:val="20"/>
                <w:szCs w:val="20"/>
                <w:highlight w:val="none"/>
              </w:rPr>
              <w:t>项目实施人员</w:t>
            </w:r>
          </w:p>
        </w:tc>
        <w:tc>
          <w:tcPr>
            <w:tcW w:w="359" w:type="pct"/>
            <w:vAlign w:val="center"/>
          </w:tcPr>
          <w:p w14:paraId="1B3EEEB6">
            <w:pPr>
              <w:pStyle w:val="36"/>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jc w:val="center"/>
              <w:textAlignment w:val="auto"/>
              <w:rPr>
                <w:rFonts w:hint="default" w:ascii="宋体" w:hAnsi="宋体" w:cs="宋体"/>
                <w:color w:val="000000"/>
                <w:sz w:val="20"/>
                <w:szCs w:val="20"/>
                <w:highlight w:val="none"/>
                <w:lang w:val="en-US" w:eastAsia="zh-CN"/>
              </w:rPr>
            </w:pPr>
            <w:r>
              <w:rPr>
                <w:rFonts w:hint="default" w:ascii="宋体" w:hAnsi="宋体" w:cs="宋体"/>
                <w:color w:val="000000"/>
                <w:sz w:val="20"/>
                <w:szCs w:val="20"/>
                <w:highlight w:val="none"/>
                <w:lang w:val="en-US" w:eastAsia="zh-CN"/>
              </w:rPr>
              <w:t>4</w:t>
            </w:r>
          </w:p>
        </w:tc>
        <w:tc>
          <w:tcPr>
            <w:tcW w:w="3790" w:type="pct"/>
            <w:vAlign w:val="center"/>
          </w:tcPr>
          <w:p w14:paraId="43BBF7D5">
            <w:pPr>
              <w:pStyle w:val="36"/>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textAlignment w:val="auto"/>
              <w:rPr>
                <w:rFonts w:hint="eastAsia" w:ascii="宋体" w:hAnsi="宋体" w:cs="宋体"/>
                <w:color w:val="000000"/>
                <w:sz w:val="20"/>
                <w:szCs w:val="20"/>
                <w:highlight w:val="none"/>
              </w:rPr>
            </w:pPr>
            <w:r>
              <w:rPr>
                <w:rFonts w:hint="eastAsia" w:ascii="宋体" w:hAnsi="宋体" w:cs="宋体"/>
                <w:color w:val="000000"/>
                <w:sz w:val="20"/>
                <w:szCs w:val="20"/>
                <w:highlight w:val="none"/>
              </w:rPr>
              <w:t>保证整体项目快速稳定交付，投标人实施工程师人数3人或以上，投标人提供项目软件实施人员名单及联系方式以及相关证书复印件加盖公章，至少有一名项目经理证书，一名数据库工程师，并提供投标人社保证明，满足得4分，否则不得分。</w:t>
            </w:r>
          </w:p>
        </w:tc>
      </w:tr>
    </w:tbl>
    <w:p w14:paraId="7B6886C8">
      <w:pPr>
        <w:pStyle w:val="37"/>
        <w:spacing w:beforeAutospacing="0" w:afterAutospacing="0" w:line="560" w:lineRule="exact"/>
        <w:outlineLvl w:val="1"/>
        <w:rPr>
          <w:rFonts w:hint="eastAsia" w:ascii="宋体" w:hAnsi="宋体" w:eastAsia="宋体" w:cs="宋体"/>
          <w:b/>
          <w:bCs w:val="0"/>
          <w:color w:val="000000" w:themeColor="text1"/>
          <w:kern w:val="2"/>
          <w:sz w:val="22"/>
          <w:szCs w:val="22"/>
          <w:lang w:val="en-US" w:eastAsia="zh-CN" w:bidi="ar-SA"/>
          <w14:textFill>
            <w14:solidFill>
              <w14:schemeClr w14:val="tx1"/>
            </w14:solidFill>
          </w14:textFill>
        </w:rPr>
      </w:pPr>
      <w:bookmarkStart w:id="66" w:name="_Toc19404"/>
      <w:r>
        <w:rPr>
          <w:rFonts w:hint="eastAsia" w:ascii="宋体" w:hAnsi="宋体" w:eastAsia="宋体" w:cs="宋体"/>
          <w:b/>
          <w:bCs w:val="0"/>
          <w:color w:val="000000" w:themeColor="text1"/>
          <w:kern w:val="2"/>
          <w:sz w:val="22"/>
          <w:szCs w:val="22"/>
          <w:lang w:val="en-US" w:eastAsia="zh-CN" w:bidi="ar-SA"/>
          <w14:textFill>
            <w14:solidFill>
              <w14:schemeClr w14:val="tx1"/>
            </w14:solidFill>
          </w14:textFill>
        </w:rPr>
        <w:t>（三）报价部分（30分）</w:t>
      </w:r>
      <w:bookmarkEnd w:id="66"/>
      <w:bookmarkStart w:id="121" w:name="_GoBack"/>
      <w:bookmarkEnd w:id="121"/>
    </w:p>
    <w:tbl>
      <w:tblPr>
        <w:tblStyle w:val="4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533"/>
        <w:gridCol w:w="6358"/>
        <w:gridCol w:w="987"/>
      </w:tblGrid>
      <w:tr w14:paraId="44FF5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28" w:type="dxa"/>
            <w:vAlign w:val="center"/>
          </w:tcPr>
          <w:p w14:paraId="59A41C3D">
            <w:pPr>
              <w:pStyle w:val="3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b/>
                <w:bCs/>
                <w:color w:val="000000"/>
                <w:sz w:val="18"/>
                <w:szCs w:val="18"/>
              </w:rPr>
            </w:pPr>
            <w:r>
              <w:rPr>
                <w:rFonts w:hint="eastAsia" w:ascii="宋体" w:hAnsi="宋体" w:cs="宋体"/>
                <w:b/>
                <w:bCs/>
                <w:color w:val="000000"/>
                <w:sz w:val="18"/>
                <w:szCs w:val="18"/>
              </w:rPr>
              <w:t>序号</w:t>
            </w:r>
          </w:p>
        </w:tc>
        <w:tc>
          <w:tcPr>
            <w:tcW w:w="1533" w:type="dxa"/>
            <w:vAlign w:val="center"/>
          </w:tcPr>
          <w:p w14:paraId="1B36A307">
            <w:pPr>
              <w:pStyle w:val="3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b/>
                <w:bCs/>
                <w:color w:val="000000"/>
                <w:sz w:val="18"/>
                <w:szCs w:val="18"/>
              </w:rPr>
            </w:pPr>
            <w:r>
              <w:rPr>
                <w:rFonts w:hint="eastAsia" w:ascii="宋体" w:hAnsi="宋体" w:cs="宋体"/>
                <w:b/>
                <w:bCs/>
                <w:color w:val="000000"/>
                <w:sz w:val="18"/>
                <w:szCs w:val="18"/>
              </w:rPr>
              <w:t>评审项目</w:t>
            </w:r>
          </w:p>
        </w:tc>
        <w:tc>
          <w:tcPr>
            <w:tcW w:w="6358" w:type="dxa"/>
            <w:vAlign w:val="center"/>
          </w:tcPr>
          <w:p w14:paraId="35C2DA13">
            <w:pPr>
              <w:pStyle w:val="3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b/>
                <w:bCs/>
                <w:color w:val="000000"/>
                <w:sz w:val="18"/>
                <w:szCs w:val="18"/>
              </w:rPr>
            </w:pPr>
            <w:r>
              <w:rPr>
                <w:rFonts w:hint="eastAsia" w:ascii="宋体" w:hAnsi="宋体" w:cs="宋体"/>
                <w:b/>
                <w:bCs/>
                <w:color w:val="000000"/>
                <w:sz w:val="18"/>
                <w:szCs w:val="18"/>
              </w:rPr>
              <w:t>评分标准</w:t>
            </w:r>
          </w:p>
        </w:tc>
        <w:tc>
          <w:tcPr>
            <w:tcW w:w="987" w:type="dxa"/>
            <w:vAlign w:val="center"/>
          </w:tcPr>
          <w:p w14:paraId="701FE778">
            <w:pPr>
              <w:pStyle w:val="3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b/>
                <w:bCs/>
                <w:color w:val="000000"/>
                <w:sz w:val="18"/>
                <w:szCs w:val="18"/>
              </w:rPr>
            </w:pPr>
            <w:r>
              <w:rPr>
                <w:rFonts w:hint="eastAsia" w:ascii="宋体" w:hAnsi="宋体" w:cs="宋体"/>
                <w:b/>
                <w:bCs/>
                <w:color w:val="000000"/>
                <w:sz w:val="18"/>
                <w:szCs w:val="18"/>
              </w:rPr>
              <w:t>分值</w:t>
            </w:r>
          </w:p>
        </w:tc>
      </w:tr>
      <w:tr w14:paraId="6A4C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9" w:hRule="atLeast"/>
          <w:jc w:val="center"/>
        </w:trPr>
        <w:tc>
          <w:tcPr>
            <w:tcW w:w="728" w:type="dxa"/>
            <w:vAlign w:val="center"/>
          </w:tcPr>
          <w:p w14:paraId="0DB543C0">
            <w:pPr>
              <w:pStyle w:val="36"/>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1533" w:type="dxa"/>
            <w:vAlign w:val="center"/>
          </w:tcPr>
          <w:p w14:paraId="3C01534B">
            <w:pPr>
              <w:pStyle w:val="36"/>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价格部分</w:t>
            </w:r>
          </w:p>
          <w:p w14:paraId="25E70071">
            <w:pPr>
              <w:pStyle w:val="36"/>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3</w:t>
            </w:r>
            <w:r>
              <w:rPr>
                <w:rFonts w:hint="eastAsia" w:ascii="宋体" w:hAnsi="宋体" w:eastAsia="宋体" w:cs="宋体"/>
                <w:color w:val="000000"/>
                <w:sz w:val="20"/>
                <w:szCs w:val="20"/>
              </w:rPr>
              <w:t>0%）</w:t>
            </w:r>
          </w:p>
        </w:tc>
        <w:tc>
          <w:tcPr>
            <w:tcW w:w="6358" w:type="dxa"/>
            <w:vAlign w:val="center"/>
          </w:tcPr>
          <w:p w14:paraId="3E4D5321">
            <w:pPr>
              <w:pStyle w:val="36"/>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投标报价得分=（评标基准价/投标报价）×价格权值×100</w:t>
            </w:r>
          </w:p>
          <w:p w14:paraId="03267775">
            <w:pPr>
              <w:pStyle w:val="36"/>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本项目的价格权重为</w:t>
            </w:r>
            <w:r>
              <w:rPr>
                <w:rFonts w:hint="eastAsia" w:ascii="宋体" w:hAnsi="宋体" w:cs="宋体"/>
                <w:color w:val="000000"/>
                <w:sz w:val="20"/>
                <w:szCs w:val="20"/>
                <w:lang w:val="en-US" w:eastAsia="zh-CN"/>
              </w:rPr>
              <w:t>3</w:t>
            </w:r>
            <w:r>
              <w:rPr>
                <w:rFonts w:hint="eastAsia" w:ascii="宋体" w:hAnsi="宋体" w:eastAsia="宋体" w:cs="宋体"/>
                <w:color w:val="000000"/>
                <w:sz w:val="20"/>
                <w:szCs w:val="20"/>
              </w:rPr>
              <w:t>0%；满足采购文件及最低限价要求且投标价格最低的投标报价为评标基准价。</w:t>
            </w:r>
          </w:p>
        </w:tc>
        <w:tc>
          <w:tcPr>
            <w:tcW w:w="987" w:type="dxa"/>
            <w:vAlign w:val="center"/>
          </w:tcPr>
          <w:p w14:paraId="05A4D24B">
            <w:pPr>
              <w:pStyle w:val="36"/>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w:t>
            </w:r>
            <w:r>
              <w:rPr>
                <w:rFonts w:hint="eastAsia" w:ascii="宋体" w:hAnsi="宋体" w:cs="宋体"/>
                <w:color w:val="000000"/>
                <w:sz w:val="20"/>
                <w:szCs w:val="20"/>
                <w:lang w:val="en-US" w:eastAsia="zh-CN"/>
              </w:rPr>
              <w:t>3</w:t>
            </w:r>
            <w:r>
              <w:rPr>
                <w:rFonts w:hint="eastAsia" w:ascii="宋体" w:hAnsi="宋体" w:eastAsia="宋体" w:cs="宋体"/>
                <w:color w:val="000000"/>
                <w:sz w:val="20"/>
                <w:szCs w:val="20"/>
              </w:rPr>
              <w:t>0分</w:t>
            </w:r>
          </w:p>
        </w:tc>
      </w:tr>
    </w:tbl>
    <w:p w14:paraId="2842AF39"/>
    <w:p w14:paraId="3FAA0062">
      <w:pPr>
        <w:spacing w:line="400" w:lineRule="exact"/>
        <w:ind w:firstLine="480" w:firstLineChars="200"/>
        <w:rPr>
          <w:rFonts w:ascii="仿宋" w:hAnsi="仿宋" w:eastAsia="仿宋" w:cs="仿宋"/>
          <w:color w:val="000000" w:themeColor="text1"/>
          <w:sz w:val="24"/>
          <w:szCs w:val="24"/>
          <w:shd w:val="clear" w:color="auto" w:fill="FFFFFF"/>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26.4</w:t>
      </w:r>
      <w:r>
        <w:rPr>
          <w:rFonts w:hint="eastAsia" w:ascii="仿宋" w:hAnsi="仿宋" w:eastAsia="仿宋" w:cs="仿宋"/>
          <w:color w:val="000000" w:themeColor="text1"/>
          <w:sz w:val="24"/>
          <w:szCs w:val="24"/>
          <w:shd w:val="clear" w:color="auto" w:fill="FFFFFF"/>
          <w14:textFill>
            <w14:solidFill>
              <w14:schemeClr w14:val="tx1"/>
            </w14:solidFill>
          </w14:textFill>
        </w:rPr>
        <w:t>评审小组应当根据综合评分情况，按照评审得分由高到低顺序推荐3名以上成交候选供应商。评审得分相同的，按照最后报价由低到高的顺序推荐。评审得分且最后报价相同的，按照设计指标优劣顺序推荐。</w:t>
      </w:r>
    </w:p>
    <w:p w14:paraId="456E66A9">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26.5采购人根据评审小组推荐的成交候选供应商名单，根据相关法律法规的规定确定最终成交商。如果排名第一的成交候选供应商的实际情况与其投标资料不相符，将取消其成交资格，由排名第二的成交候选供应商递补，以此类推。</w:t>
      </w:r>
    </w:p>
    <w:p w14:paraId="3F3AFA85">
      <w:pPr>
        <w:spacing w:line="400" w:lineRule="exact"/>
        <w:ind w:firstLine="480" w:firstLineChars="200"/>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27．投标过程的保密性</w:t>
      </w:r>
    </w:p>
    <w:p w14:paraId="632C1A9B">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27.1 投标后，直到授予合同为止，凡是属于审查、澄清、评价和比较的有关资料以及授予成交方的建议等评审小组成员或参与投标的有关工作人员均不得向供应商或其他无关的人员透露，违者给予警告、取消担任评审小组成员的资格，不得再参加任何项目的投标。</w:t>
      </w:r>
    </w:p>
    <w:p w14:paraId="278FE04F">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27.2 供应商在投标过程中，所进行的力图影响投标结果的，不符合《政府采购法》及本次投标中有关规定的活动，将被取消其投标资格。</w:t>
      </w:r>
    </w:p>
    <w:p w14:paraId="6CE43650">
      <w:pPr>
        <w:pStyle w:val="4"/>
        <w:spacing w:before="0" w:after="0" w:line="400" w:lineRule="exact"/>
        <w:ind w:firstLine="3373" w:firstLineChars="1400"/>
        <w:rPr>
          <w:rFonts w:ascii="仿宋" w:hAnsi="仿宋" w:eastAsia="仿宋" w:cs="仿宋"/>
          <w:color w:val="000000" w:themeColor="text1"/>
          <w:sz w:val="24"/>
          <w:szCs w:val="24"/>
          <w14:textFill>
            <w14:solidFill>
              <w14:schemeClr w14:val="tx1"/>
            </w14:solidFill>
          </w14:textFill>
        </w:rPr>
      </w:pPr>
      <w:bookmarkStart w:id="67" w:name="_Toc16095"/>
      <w:bookmarkStart w:id="68" w:name="_Toc462223637"/>
      <w:bookmarkStart w:id="69" w:name="_Toc349637925"/>
      <w:bookmarkStart w:id="70" w:name="_Toc298240410"/>
      <w:bookmarkStart w:id="71" w:name="_Toc349573126"/>
      <w:bookmarkStart w:id="72" w:name="_Toc267301287"/>
      <w:bookmarkStart w:id="73" w:name="_Toc8373"/>
      <w:r>
        <w:rPr>
          <w:rFonts w:hint="eastAsia" w:ascii="仿宋" w:hAnsi="仿宋" w:eastAsia="仿宋" w:cs="仿宋"/>
          <w:color w:val="000000" w:themeColor="text1"/>
          <w:sz w:val="24"/>
          <w:szCs w:val="24"/>
          <w14:textFill>
            <w14:solidFill>
              <w14:schemeClr w14:val="tx1"/>
            </w14:solidFill>
          </w14:textFill>
        </w:rPr>
        <w:t>（六）  授予合同</w:t>
      </w:r>
      <w:bookmarkEnd w:id="67"/>
      <w:bookmarkEnd w:id="68"/>
      <w:bookmarkEnd w:id="69"/>
      <w:bookmarkEnd w:id="70"/>
      <w:bookmarkEnd w:id="71"/>
      <w:bookmarkEnd w:id="72"/>
      <w:bookmarkEnd w:id="73"/>
    </w:p>
    <w:p w14:paraId="08789519">
      <w:pPr>
        <w:spacing w:line="400" w:lineRule="exact"/>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28、合同授予标准</w:t>
      </w:r>
    </w:p>
    <w:p w14:paraId="3F9B62E0">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28.1</w:t>
      </w:r>
      <w:r>
        <w:rPr>
          <w:rFonts w:hint="eastAsia" w:ascii="仿宋" w:hAnsi="仿宋" w:eastAsia="仿宋" w:cs="仿宋"/>
          <w:bCs/>
          <w:color w:val="000000" w:themeColor="text1"/>
          <w:sz w:val="24"/>
          <w:szCs w:val="24"/>
          <w14:textFill>
            <w14:solidFill>
              <w14:schemeClr w14:val="tx1"/>
            </w14:solidFill>
          </w14:textFill>
        </w:rPr>
        <w:t>合同将授予被确定为实质上响应投标文件要求，符合采购需求、质量和服务相等且报价最低的供应商</w:t>
      </w:r>
      <w:r>
        <w:rPr>
          <w:rFonts w:hint="eastAsia" w:ascii="仿宋" w:hAnsi="仿宋" w:eastAsia="仿宋" w:cs="仿宋"/>
          <w:color w:val="000000" w:themeColor="text1"/>
          <w:sz w:val="24"/>
          <w:szCs w:val="24"/>
          <w14:textFill>
            <w14:solidFill>
              <w14:schemeClr w14:val="tx1"/>
            </w14:solidFill>
          </w14:textFill>
        </w:rPr>
        <w:t>。</w:t>
      </w:r>
    </w:p>
    <w:p w14:paraId="3D1CB4A5">
      <w:pPr>
        <w:spacing w:line="400" w:lineRule="exact"/>
        <w:ind w:firstLine="480" w:firstLineChars="200"/>
        <w:outlineLvl w:val="3"/>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28.2 最低报价不一定是被授予合同的保证。</w:t>
      </w:r>
    </w:p>
    <w:p w14:paraId="71496889">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28.3 如果确定该供应商无法圆满履行合同，招标代理机构将对下一个可能中标的供应商资格作出类似的审查。</w:t>
      </w:r>
    </w:p>
    <w:p w14:paraId="331C9D39">
      <w:pPr>
        <w:spacing w:line="400" w:lineRule="exact"/>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29、接受和拒绝任何或所有投标的权力</w:t>
      </w:r>
    </w:p>
    <w:p w14:paraId="0BF27C45">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29.1为维护国家利益，买方在授予合同之前仍有选择或拒绝任何全部投标的权力，并对所采取的行为不作任何解释。</w:t>
      </w:r>
    </w:p>
    <w:p w14:paraId="758E6009">
      <w:pPr>
        <w:spacing w:line="400" w:lineRule="exact"/>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30、成交通知书</w:t>
      </w:r>
    </w:p>
    <w:p w14:paraId="60B5A370">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30.1 成交公告期满后，招标代理机构将以书面或在线的形式发出《成交通知书》，但发出时间不超过投标有效期，《成交通知书》一经发出即发生法律效力。</w:t>
      </w:r>
    </w:p>
    <w:p w14:paraId="4BEA5C19">
      <w:pPr>
        <w:spacing w:line="400" w:lineRule="exact"/>
        <w:ind w:firstLine="480" w:firstLineChars="200"/>
        <w:outlineLvl w:val="3"/>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30.2 《成交通知书》将作为签订合同的依据。</w:t>
      </w:r>
    </w:p>
    <w:p w14:paraId="75AB0FA9">
      <w:pPr>
        <w:spacing w:line="400" w:lineRule="exact"/>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31、签订合同</w:t>
      </w:r>
    </w:p>
    <w:p w14:paraId="473EB5E9">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31.1 供应商收到《成交通知书》后，按《成交通知书》中规定的时间地点与买方签订合同。买方和成交方不得再订立背离合同实质性内容的其他协议。</w:t>
      </w:r>
    </w:p>
    <w:p w14:paraId="7AC94E32">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31.2如成交方拒签合同，则按违约处理。招标代理机构没收其投标保证金。</w:t>
      </w:r>
    </w:p>
    <w:p w14:paraId="387E15DC">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31.3投标文件、成交方的投标文件及其澄清文件等，均为签订经济合同的依据。</w:t>
      </w:r>
    </w:p>
    <w:p w14:paraId="358EADBA">
      <w:pPr>
        <w:spacing w:line="400" w:lineRule="exact"/>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32、履约保证金（如适用）</w:t>
      </w:r>
    </w:p>
    <w:p w14:paraId="23F1CC61">
      <w:pPr>
        <w:spacing w:line="400" w:lineRule="exact"/>
        <w:ind w:left="341" w:hanging="340" w:hangingChars="14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32.1成交方应按合同规定的方式、时间和金额向买方提交履约保证金。</w:t>
      </w:r>
    </w:p>
    <w:p w14:paraId="42DC8EF1">
      <w:pPr>
        <w:spacing w:line="400" w:lineRule="exact"/>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33、招标代理服务费</w:t>
      </w:r>
      <w:r>
        <w:rPr>
          <w:rFonts w:hint="eastAsia" w:ascii="仿宋" w:hAnsi="仿宋" w:eastAsia="仿宋" w:cs="仿宋"/>
          <w:bCs/>
          <w:color w:val="000000" w:themeColor="text1"/>
          <w:sz w:val="24"/>
          <w:szCs w:val="24"/>
          <w14:textFill>
            <w14:solidFill>
              <w14:schemeClr w14:val="tx1"/>
            </w14:solidFill>
          </w14:textFill>
        </w:rPr>
        <w:t>由中标（成交）人支付。</w:t>
      </w:r>
    </w:p>
    <w:p w14:paraId="47761E65">
      <w:pPr>
        <w:pStyle w:val="4"/>
        <w:spacing w:before="0" w:after="0" w:line="400" w:lineRule="exact"/>
        <w:ind w:firstLine="2891" w:firstLineChars="1200"/>
        <w:rPr>
          <w:rFonts w:ascii="仿宋" w:hAnsi="仿宋" w:eastAsia="仿宋" w:cs="仿宋"/>
          <w:bCs/>
          <w:color w:val="000000" w:themeColor="text1"/>
          <w:sz w:val="24"/>
          <w:szCs w:val="24"/>
          <w14:textFill>
            <w14:solidFill>
              <w14:schemeClr w14:val="tx1"/>
            </w14:solidFill>
          </w14:textFill>
        </w:rPr>
      </w:pPr>
      <w:bookmarkStart w:id="74" w:name="_Toc462223638"/>
      <w:bookmarkStart w:id="75" w:name="_Toc9554"/>
      <w:bookmarkStart w:id="76" w:name="_Toc8155"/>
      <w:bookmarkStart w:id="77" w:name="_Toc267301288"/>
      <w:r>
        <w:rPr>
          <w:rFonts w:hint="eastAsia" w:ascii="仿宋" w:hAnsi="仿宋" w:eastAsia="仿宋" w:cs="仿宋"/>
          <w:color w:val="000000" w:themeColor="text1"/>
          <w:sz w:val="24"/>
          <w:szCs w:val="24"/>
          <w14:textFill>
            <w14:solidFill>
              <w14:schemeClr w14:val="tx1"/>
            </w14:solidFill>
          </w14:textFill>
        </w:rPr>
        <w:t>（七）  投标失败条件</w:t>
      </w:r>
      <w:bookmarkEnd w:id="74"/>
      <w:bookmarkEnd w:id="75"/>
      <w:bookmarkEnd w:id="76"/>
    </w:p>
    <w:p w14:paraId="6E9C7F65">
      <w:pPr>
        <w:pStyle w:val="24"/>
        <w:tabs>
          <w:tab w:val="left" w:pos="720"/>
          <w:tab w:val="left" w:pos="900"/>
          <w:tab w:val="left" w:pos="1260"/>
        </w:tabs>
        <w:adjustRightInd w:val="0"/>
        <w:spacing w:line="400" w:lineRule="exact"/>
        <w:ind w:left="720" w:hanging="720" w:hangingChars="3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34、出现影响采购公正的违法、违规行为的；</w:t>
      </w:r>
    </w:p>
    <w:p w14:paraId="50D69083">
      <w:pPr>
        <w:pStyle w:val="24"/>
        <w:tabs>
          <w:tab w:val="left" w:pos="720"/>
          <w:tab w:val="left" w:pos="900"/>
          <w:tab w:val="left" w:pos="1260"/>
        </w:tabs>
        <w:adjustRightInd w:val="0"/>
        <w:spacing w:line="400" w:lineRule="exact"/>
        <w:ind w:left="720" w:hanging="720" w:hangingChars="3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35、因重大变故，采购任务取消的；</w:t>
      </w:r>
    </w:p>
    <w:p w14:paraId="6A19B199">
      <w:pPr>
        <w:pStyle w:val="24"/>
        <w:tabs>
          <w:tab w:val="left" w:pos="720"/>
          <w:tab w:val="left" w:pos="900"/>
          <w:tab w:val="left" w:pos="1260"/>
        </w:tabs>
        <w:adjustRightInd w:val="0"/>
        <w:spacing w:line="400" w:lineRule="exact"/>
        <w:ind w:left="720" w:hanging="720" w:hangingChars="3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36、投标文件截止时间后，实际参与的供应商不足法定家数的；</w:t>
      </w:r>
    </w:p>
    <w:p w14:paraId="13F3C499">
      <w:pPr>
        <w:pStyle w:val="24"/>
        <w:tabs>
          <w:tab w:val="left" w:pos="720"/>
          <w:tab w:val="left" w:pos="900"/>
          <w:tab w:val="left" w:pos="1260"/>
        </w:tabs>
        <w:adjustRightInd w:val="0"/>
        <w:spacing w:line="400" w:lineRule="exact"/>
        <w:ind w:left="720" w:hanging="720" w:hangingChars="3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37、最终报价均超过采购预算的；</w:t>
      </w:r>
    </w:p>
    <w:p w14:paraId="4418BEED">
      <w:pPr>
        <w:spacing w:line="400" w:lineRule="exac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38、对投标文件作出实质性响应的供应商不足法定家数的；</w:t>
      </w:r>
    </w:p>
    <w:p w14:paraId="6856F942">
      <w:pPr>
        <w:pStyle w:val="2"/>
      </w:pPr>
      <w:r>
        <w:br w:type="page"/>
      </w:r>
    </w:p>
    <w:bookmarkEnd w:id="77"/>
    <w:p w14:paraId="2B1AC0D0">
      <w:pPr>
        <w:widowControl/>
        <w:numPr>
          <w:ilvl w:val="0"/>
          <w:numId w:val="2"/>
        </w:numPr>
        <w:spacing w:line="400" w:lineRule="exact"/>
        <w:ind w:left="0"/>
        <w:jc w:val="center"/>
        <w:outlineLvl w:val="0"/>
        <w:rPr>
          <w:rFonts w:hint="eastAsia" w:ascii="宋体" w:hAnsi="宋体" w:eastAsia="宋体" w:cs="宋体"/>
          <w:b/>
          <w:color w:val="000000" w:themeColor="text1"/>
          <w:sz w:val="24"/>
          <w:szCs w:val="21"/>
          <w14:textFill>
            <w14:solidFill>
              <w14:schemeClr w14:val="tx1"/>
            </w14:solidFill>
          </w14:textFill>
        </w:rPr>
      </w:pPr>
      <w:bookmarkStart w:id="78" w:name="_Toc13930"/>
      <w:r>
        <w:rPr>
          <w:rFonts w:hint="eastAsia" w:ascii="宋体" w:hAnsi="宋体" w:eastAsia="宋体" w:cs="宋体"/>
          <w:b/>
          <w:color w:val="000000" w:themeColor="text1"/>
          <w:sz w:val="24"/>
          <w:szCs w:val="21"/>
          <w14:textFill>
            <w14:solidFill>
              <w14:schemeClr w14:val="tx1"/>
            </w14:solidFill>
          </w14:textFill>
        </w:rPr>
        <w:t>项目需求</w:t>
      </w:r>
      <w:bookmarkEnd w:id="78"/>
    </w:p>
    <w:p w14:paraId="51E25A78">
      <w:pPr>
        <w:rPr>
          <w:rFonts w:ascii="仿宋" w:hAnsi="仿宋" w:eastAsia="仿宋" w:cs="仿宋"/>
          <w:color w:val="000000" w:themeColor="text1"/>
          <w:sz w:val="24"/>
          <w:szCs w:val="24"/>
          <w14:textFill>
            <w14:solidFill>
              <w14:schemeClr w14:val="tx1"/>
            </w14:solidFill>
          </w14:textFill>
        </w:rPr>
      </w:pPr>
    </w:p>
    <w:p w14:paraId="18BCE360">
      <w:pPr>
        <w:pStyle w:val="148"/>
        <w:numPr>
          <w:ilvl w:val="0"/>
          <w:numId w:val="0"/>
        </w:numPr>
        <w:autoSpaceDE w:val="0"/>
        <w:autoSpaceDN w:val="0"/>
        <w:spacing w:line="400" w:lineRule="exact"/>
        <w:ind w:left="420" w:leftChars="0"/>
        <w:jc w:val="center"/>
        <w:textAlignment w:val="top"/>
        <w:rPr>
          <w:b/>
          <w:bCs/>
          <w:sz w:val="28"/>
          <w:szCs w:val="28"/>
        </w:rPr>
      </w:pPr>
      <w:bookmarkStart w:id="79" w:name="_Toc13728"/>
      <w:bookmarkStart w:id="80" w:name="_Toc12367"/>
      <w:r>
        <w:rPr>
          <w:rFonts w:hint="eastAsia"/>
          <w:b/>
          <w:bCs/>
          <w:sz w:val="28"/>
          <w:szCs w:val="28"/>
        </w:rPr>
        <w:t>软件系统及配套硬件采购清单</w:t>
      </w:r>
    </w:p>
    <w:tbl>
      <w:tblPr>
        <w:tblStyle w:val="43"/>
        <w:tblW w:w="0" w:type="auto"/>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437"/>
        <w:gridCol w:w="1200"/>
        <w:gridCol w:w="1363"/>
        <w:gridCol w:w="1125"/>
        <w:gridCol w:w="1350"/>
      </w:tblGrid>
      <w:tr w14:paraId="6749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6AB434BE">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3437" w:type="dxa"/>
          </w:tcPr>
          <w:p w14:paraId="6983534D">
            <w:pPr>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系统名称</w:t>
            </w:r>
          </w:p>
        </w:tc>
        <w:tc>
          <w:tcPr>
            <w:tcW w:w="1200" w:type="dxa"/>
          </w:tcPr>
          <w:p w14:paraId="48FC55A2">
            <w:pPr>
              <w:jc w:val="center"/>
              <w:rPr>
                <w:rFonts w:hint="eastAsia" w:ascii="宋体" w:hAnsi="宋体" w:eastAsia="宋体" w:cs="宋体"/>
                <w:sz w:val="21"/>
                <w:szCs w:val="21"/>
              </w:rPr>
            </w:pPr>
            <w:r>
              <w:rPr>
                <w:rFonts w:hint="eastAsia" w:ascii="宋体" w:hAnsi="宋体" w:eastAsia="宋体" w:cs="宋体"/>
                <w:sz w:val="21"/>
                <w:szCs w:val="21"/>
              </w:rPr>
              <w:t>品牌、型号</w:t>
            </w:r>
          </w:p>
        </w:tc>
        <w:tc>
          <w:tcPr>
            <w:tcW w:w="1363" w:type="dxa"/>
          </w:tcPr>
          <w:p w14:paraId="585C78AB">
            <w:pPr>
              <w:jc w:val="center"/>
              <w:rPr>
                <w:rFonts w:hint="eastAsia" w:ascii="宋体" w:hAnsi="宋体" w:eastAsia="宋体" w:cs="宋体"/>
                <w:sz w:val="21"/>
                <w:szCs w:val="21"/>
              </w:rPr>
            </w:pPr>
            <w:r>
              <w:rPr>
                <w:rFonts w:hint="eastAsia" w:ascii="宋体" w:hAnsi="宋体" w:eastAsia="宋体" w:cs="宋体"/>
                <w:sz w:val="21"/>
                <w:szCs w:val="21"/>
              </w:rPr>
              <w:t>单位</w:t>
            </w:r>
          </w:p>
        </w:tc>
        <w:tc>
          <w:tcPr>
            <w:tcW w:w="1125" w:type="dxa"/>
          </w:tcPr>
          <w:p w14:paraId="757EE1C0">
            <w:pPr>
              <w:jc w:val="center"/>
              <w:rPr>
                <w:rFonts w:hint="eastAsia" w:ascii="宋体" w:hAnsi="宋体" w:eastAsia="宋体" w:cs="宋体"/>
                <w:sz w:val="21"/>
                <w:szCs w:val="21"/>
              </w:rPr>
            </w:pPr>
            <w:r>
              <w:rPr>
                <w:rFonts w:hint="eastAsia" w:ascii="宋体" w:hAnsi="宋体" w:eastAsia="宋体" w:cs="宋体"/>
                <w:sz w:val="21"/>
                <w:szCs w:val="21"/>
              </w:rPr>
              <w:t>数量</w:t>
            </w:r>
          </w:p>
        </w:tc>
        <w:tc>
          <w:tcPr>
            <w:tcW w:w="1350" w:type="dxa"/>
          </w:tcPr>
          <w:p w14:paraId="562CB826">
            <w:pPr>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备注</w:t>
            </w:r>
          </w:p>
        </w:tc>
      </w:tr>
      <w:tr w14:paraId="1FD98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237B3C87">
            <w:pPr>
              <w:jc w:val="center"/>
              <w:rPr>
                <w:rFonts w:hint="eastAsia" w:ascii="宋体" w:hAnsi="宋体" w:eastAsia="宋体" w:cs="宋体"/>
                <w:sz w:val="21"/>
                <w:szCs w:val="21"/>
              </w:rPr>
            </w:pPr>
            <w:r>
              <w:rPr>
                <w:rFonts w:hint="eastAsia" w:ascii="宋体" w:hAnsi="宋体" w:eastAsia="宋体" w:cs="宋体"/>
                <w:sz w:val="21"/>
                <w:szCs w:val="21"/>
              </w:rPr>
              <w:t>1</w:t>
            </w:r>
          </w:p>
        </w:tc>
        <w:tc>
          <w:tcPr>
            <w:tcW w:w="3437" w:type="dxa"/>
          </w:tcPr>
          <w:p w14:paraId="52DADEE2">
            <w:pPr>
              <w:jc w:val="center"/>
              <w:rPr>
                <w:rFonts w:hint="eastAsia" w:ascii="宋体" w:hAnsi="宋体" w:eastAsia="宋体" w:cs="宋体"/>
                <w:sz w:val="21"/>
                <w:szCs w:val="21"/>
              </w:rPr>
            </w:pPr>
            <w:r>
              <w:rPr>
                <w:rFonts w:hint="eastAsia" w:ascii="宋体" w:hAnsi="宋体" w:eastAsia="宋体" w:cs="宋体"/>
                <w:sz w:val="21"/>
                <w:szCs w:val="21"/>
              </w:rPr>
              <w:t>移动护理管理系统</w:t>
            </w:r>
          </w:p>
        </w:tc>
        <w:tc>
          <w:tcPr>
            <w:tcW w:w="1200" w:type="dxa"/>
          </w:tcPr>
          <w:p w14:paraId="5A36768C">
            <w:pPr>
              <w:jc w:val="center"/>
              <w:rPr>
                <w:rFonts w:hint="eastAsia" w:ascii="宋体" w:hAnsi="宋体" w:eastAsia="宋体" w:cs="宋体"/>
                <w:sz w:val="21"/>
                <w:szCs w:val="21"/>
              </w:rPr>
            </w:pPr>
          </w:p>
        </w:tc>
        <w:tc>
          <w:tcPr>
            <w:tcW w:w="1363" w:type="dxa"/>
          </w:tcPr>
          <w:p w14:paraId="50EA39E6">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1125" w:type="dxa"/>
          </w:tcPr>
          <w:p w14:paraId="71B4C91A">
            <w:pPr>
              <w:jc w:val="center"/>
              <w:rPr>
                <w:rFonts w:hint="eastAsia" w:ascii="宋体" w:hAnsi="宋体" w:eastAsia="宋体" w:cs="宋体"/>
                <w:sz w:val="21"/>
                <w:szCs w:val="21"/>
              </w:rPr>
            </w:pPr>
            <w:r>
              <w:rPr>
                <w:rFonts w:hint="eastAsia" w:ascii="宋体" w:hAnsi="宋体" w:eastAsia="宋体" w:cs="宋体"/>
                <w:sz w:val="21"/>
                <w:szCs w:val="21"/>
              </w:rPr>
              <w:t>1</w:t>
            </w:r>
          </w:p>
        </w:tc>
        <w:tc>
          <w:tcPr>
            <w:tcW w:w="1350" w:type="dxa"/>
          </w:tcPr>
          <w:p w14:paraId="7FD716A1">
            <w:pPr>
              <w:jc w:val="center"/>
              <w:rPr>
                <w:rFonts w:hint="eastAsia" w:ascii="宋体" w:hAnsi="宋体" w:eastAsia="宋体" w:cs="宋体"/>
                <w:sz w:val="21"/>
                <w:szCs w:val="21"/>
              </w:rPr>
            </w:pPr>
          </w:p>
        </w:tc>
      </w:tr>
      <w:tr w14:paraId="7E22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3747AFE0">
            <w:pPr>
              <w:jc w:val="center"/>
              <w:rPr>
                <w:rFonts w:hint="eastAsia" w:ascii="宋体" w:hAnsi="宋体" w:eastAsia="宋体" w:cs="宋体"/>
                <w:sz w:val="21"/>
                <w:szCs w:val="21"/>
              </w:rPr>
            </w:pPr>
            <w:r>
              <w:rPr>
                <w:rFonts w:hint="eastAsia" w:ascii="宋体" w:hAnsi="宋体" w:eastAsia="宋体" w:cs="宋体"/>
                <w:sz w:val="21"/>
                <w:szCs w:val="21"/>
              </w:rPr>
              <w:t>2</w:t>
            </w:r>
          </w:p>
        </w:tc>
        <w:tc>
          <w:tcPr>
            <w:tcW w:w="3437" w:type="dxa"/>
          </w:tcPr>
          <w:p w14:paraId="67D03CA4">
            <w:pPr>
              <w:jc w:val="center"/>
              <w:rPr>
                <w:rFonts w:hint="eastAsia" w:ascii="宋体" w:hAnsi="宋体" w:eastAsia="宋体" w:cs="宋体"/>
                <w:sz w:val="21"/>
                <w:szCs w:val="21"/>
              </w:rPr>
            </w:pPr>
            <w:r>
              <w:rPr>
                <w:rFonts w:hint="eastAsia" w:ascii="宋体" w:hAnsi="宋体" w:eastAsia="宋体" w:cs="宋体"/>
                <w:sz w:val="21"/>
                <w:szCs w:val="21"/>
              </w:rPr>
              <w:t>智慧护理管理系统</w:t>
            </w:r>
          </w:p>
        </w:tc>
        <w:tc>
          <w:tcPr>
            <w:tcW w:w="1200" w:type="dxa"/>
          </w:tcPr>
          <w:p w14:paraId="4FF18A3D">
            <w:pPr>
              <w:jc w:val="center"/>
              <w:rPr>
                <w:rFonts w:hint="eastAsia" w:ascii="宋体" w:hAnsi="宋体" w:eastAsia="宋体" w:cs="宋体"/>
                <w:sz w:val="21"/>
                <w:szCs w:val="21"/>
              </w:rPr>
            </w:pPr>
          </w:p>
        </w:tc>
        <w:tc>
          <w:tcPr>
            <w:tcW w:w="1363" w:type="dxa"/>
          </w:tcPr>
          <w:p w14:paraId="61AF705D">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1125" w:type="dxa"/>
          </w:tcPr>
          <w:p w14:paraId="56BFBA4C">
            <w:pPr>
              <w:jc w:val="center"/>
              <w:rPr>
                <w:rFonts w:hint="eastAsia" w:ascii="宋体" w:hAnsi="宋体" w:eastAsia="宋体" w:cs="宋体"/>
                <w:sz w:val="21"/>
                <w:szCs w:val="21"/>
              </w:rPr>
            </w:pPr>
            <w:r>
              <w:rPr>
                <w:rFonts w:hint="eastAsia" w:ascii="宋体" w:hAnsi="宋体" w:eastAsia="宋体" w:cs="宋体"/>
                <w:sz w:val="21"/>
                <w:szCs w:val="21"/>
              </w:rPr>
              <w:t>1</w:t>
            </w:r>
          </w:p>
        </w:tc>
        <w:tc>
          <w:tcPr>
            <w:tcW w:w="1350" w:type="dxa"/>
          </w:tcPr>
          <w:p w14:paraId="2FF77DA8">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含护士工作站10套（每套含一台计算机和一台激光打印机）</w:t>
            </w:r>
          </w:p>
        </w:tc>
      </w:tr>
      <w:tr w14:paraId="376E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7C1E3AD9">
            <w:pPr>
              <w:jc w:val="center"/>
              <w:rPr>
                <w:rFonts w:hint="eastAsia" w:ascii="宋体" w:hAnsi="宋体" w:eastAsia="宋体" w:cs="宋体"/>
                <w:sz w:val="21"/>
                <w:szCs w:val="21"/>
              </w:rPr>
            </w:pPr>
            <w:r>
              <w:rPr>
                <w:rFonts w:hint="eastAsia" w:ascii="宋体" w:hAnsi="宋体" w:eastAsia="宋体" w:cs="宋体"/>
                <w:sz w:val="21"/>
                <w:szCs w:val="21"/>
              </w:rPr>
              <w:t>3</w:t>
            </w:r>
          </w:p>
        </w:tc>
        <w:tc>
          <w:tcPr>
            <w:tcW w:w="3437" w:type="dxa"/>
          </w:tcPr>
          <w:p w14:paraId="1FCE420B">
            <w:pPr>
              <w:jc w:val="center"/>
              <w:rPr>
                <w:rFonts w:hint="eastAsia" w:ascii="宋体" w:hAnsi="宋体" w:eastAsia="宋体" w:cs="宋体"/>
                <w:sz w:val="21"/>
                <w:szCs w:val="21"/>
              </w:rPr>
            </w:pPr>
            <w:r>
              <w:rPr>
                <w:rFonts w:hint="eastAsia" w:ascii="宋体" w:hAnsi="宋体" w:eastAsia="宋体" w:cs="宋体"/>
                <w:sz w:val="21"/>
                <w:szCs w:val="21"/>
              </w:rPr>
              <w:t>敏感指标管理系统</w:t>
            </w:r>
          </w:p>
        </w:tc>
        <w:tc>
          <w:tcPr>
            <w:tcW w:w="1200" w:type="dxa"/>
          </w:tcPr>
          <w:p w14:paraId="3812D34A">
            <w:pPr>
              <w:jc w:val="center"/>
              <w:rPr>
                <w:rFonts w:hint="eastAsia" w:ascii="宋体" w:hAnsi="宋体" w:eastAsia="宋体" w:cs="宋体"/>
                <w:sz w:val="21"/>
                <w:szCs w:val="21"/>
              </w:rPr>
            </w:pPr>
          </w:p>
        </w:tc>
        <w:tc>
          <w:tcPr>
            <w:tcW w:w="1363" w:type="dxa"/>
          </w:tcPr>
          <w:p w14:paraId="31136FFC">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1125" w:type="dxa"/>
          </w:tcPr>
          <w:p w14:paraId="002E1DE4">
            <w:pPr>
              <w:jc w:val="center"/>
              <w:rPr>
                <w:rFonts w:hint="eastAsia" w:ascii="宋体" w:hAnsi="宋体" w:eastAsia="宋体" w:cs="宋体"/>
                <w:sz w:val="21"/>
                <w:szCs w:val="21"/>
              </w:rPr>
            </w:pPr>
            <w:r>
              <w:rPr>
                <w:rFonts w:hint="eastAsia" w:ascii="宋体" w:hAnsi="宋体" w:eastAsia="宋体" w:cs="宋体"/>
                <w:sz w:val="21"/>
                <w:szCs w:val="21"/>
              </w:rPr>
              <w:t>1</w:t>
            </w:r>
          </w:p>
        </w:tc>
        <w:tc>
          <w:tcPr>
            <w:tcW w:w="1350" w:type="dxa"/>
          </w:tcPr>
          <w:p w14:paraId="02F1518F">
            <w:pPr>
              <w:jc w:val="center"/>
              <w:rPr>
                <w:rFonts w:hint="eastAsia" w:ascii="宋体" w:hAnsi="宋体" w:eastAsia="宋体" w:cs="宋体"/>
                <w:sz w:val="21"/>
                <w:szCs w:val="21"/>
              </w:rPr>
            </w:pPr>
          </w:p>
        </w:tc>
      </w:tr>
      <w:tr w14:paraId="43BF8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7302D7EB">
            <w:pPr>
              <w:jc w:val="center"/>
              <w:rPr>
                <w:rFonts w:hint="eastAsia" w:ascii="宋体" w:hAnsi="宋体" w:eastAsia="宋体" w:cs="宋体"/>
                <w:sz w:val="21"/>
                <w:szCs w:val="21"/>
              </w:rPr>
            </w:pPr>
            <w:r>
              <w:rPr>
                <w:rFonts w:hint="eastAsia" w:ascii="宋体" w:hAnsi="宋体" w:eastAsia="宋体" w:cs="宋体"/>
                <w:sz w:val="21"/>
                <w:szCs w:val="21"/>
              </w:rPr>
              <w:t>4</w:t>
            </w:r>
          </w:p>
        </w:tc>
        <w:tc>
          <w:tcPr>
            <w:tcW w:w="3437" w:type="dxa"/>
          </w:tcPr>
          <w:p w14:paraId="46704E04">
            <w:pPr>
              <w:jc w:val="center"/>
              <w:rPr>
                <w:rFonts w:hint="eastAsia" w:ascii="宋体" w:hAnsi="宋体" w:eastAsia="宋体" w:cs="宋体"/>
                <w:sz w:val="21"/>
                <w:szCs w:val="21"/>
              </w:rPr>
            </w:pPr>
            <w:r>
              <w:rPr>
                <w:rFonts w:hint="eastAsia" w:ascii="宋体" w:hAnsi="宋体" w:eastAsia="宋体" w:cs="宋体"/>
                <w:sz w:val="21"/>
                <w:szCs w:val="21"/>
              </w:rPr>
              <w:t>知识库管理系统</w:t>
            </w:r>
          </w:p>
        </w:tc>
        <w:tc>
          <w:tcPr>
            <w:tcW w:w="1200" w:type="dxa"/>
          </w:tcPr>
          <w:p w14:paraId="3745B33F">
            <w:pPr>
              <w:jc w:val="center"/>
              <w:rPr>
                <w:rFonts w:hint="eastAsia" w:ascii="宋体" w:hAnsi="宋体" w:eastAsia="宋体" w:cs="宋体"/>
                <w:sz w:val="21"/>
                <w:szCs w:val="21"/>
              </w:rPr>
            </w:pPr>
          </w:p>
        </w:tc>
        <w:tc>
          <w:tcPr>
            <w:tcW w:w="1363" w:type="dxa"/>
          </w:tcPr>
          <w:p w14:paraId="6B574D25">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1125" w:type="dxa"/>
          </w:tcPr>
          <w:p w14:paraId="63D01A92">
            <w:pPr>
              <w:jc w:val="center"/>
              <w:rPr>
                <w:rFonts w:hint="eastAsia" w:ascii="宋体" w:hAnsi="宋体" w:eastAsia="宋体" w:cs="宋体"/>
                <w:sz w:val="21"/>
                <w:szCs w:val="21"/>
              </w:rPr>
            </w:pPr>
            <w:r>
              <w:rPr>
                <w:rFonts w:hint="eastAsia" w:ascii="宋体" w:hAnsi="宋体" w:eastAsia="宋体" w:cs="宋体"/>
                <w:sz w:val="21"/>
                <w:szCs w:val="21"/>
              </w:rPr>
              <w:t>1</w:t>
            </w:r>
          </w:p>
        </w:tc>
        <w:tc>
          <w:tcPr>
            <w:tcW w:w="1350" w:type="dxa"/>
          </w:tcPr>
          <w:p w14:paraId="7D0E8482">
            <w:pPr>
              <w:jc w:val="center"/>
              <w:rPr>
                <w:rFonts w:hint="eastAsia" w:ascii="宋体" w:hAnsi="宋体" w:eastAsia="宋体" w:cs="宋体"/>
                <w:sz w:val="21"/>
                <w:szCs w:val="21"/>
              </w:rPr>
            </w:pPr>
          </w:p>
        </w:tc>
      </w:tr>
      <w:tr w14:paraId="49CB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788D1D97">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5</w:t>
            </w:r>
          </w:p>
        </w:tc>
        <w:tc>
          <w:tcPr>
            <w:tcW w:w="3437" w:type="dxa"/>
            <w:shd w:val="clear" w:color="auto" w:fill="auto"/>
            <w:vAlign w:val="center"/>
          </w:tcPr>
          <w:p w14:paraId="3183EC9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数据采集器</w:t>
            </w:r>
          </w:p>
        </w:tc>
        <w:tc>
          <w:tcPr>
            <w:tcW w:w="1200" w:type="dxa"/>
          </w:tcPr>
          <w:p w14:paraId="2DD6256F">
            <w:pPr>
              <w:jc w:val="center"/>
              <w:rPr>
                <w:rFonts w:hint="eastAsia" w:ascii="宋体" w:hAnsi="宋体" w:eastAsia="宋体" w:cs="宋体"/>
                <w:sz w:val="21"/>
                <w:szCs w:val="21"/>
              </w:rPr>
            </w:pPr>
          </w:p>
        </w:tc>
        <w:tc>
          <w:tcPr>
            <w:tcW w:w="1363" w:type="dxa"/>
          </w:tcPr>
          <w:p w14:paraId="56054B57">
            <w:pPr>
              <w:jc w:val="center"/>
              <w:rPr>
                <w:rFonts w:hint="eastAsia" w:ascii="宋体" w:hAnsi="宋体" w:eastAsia="宋体" w:cs="宋体"/>
                <w:sz w:val="21"/>
                <w:szCs w:val="21"/>
              </w:rPr>
            </w:pPr>
            <w:r>
              <w:rPr>
                <w:rFonts w:hint="eastAsia" w:ascii="宋体" w:hAnsi="宋体" w:eastAsia="宋体" w:cs="宋体"/>
                <w:sz w:val="21"/>
                <w:szCs w:val="21"/>
              </w:rPr>
              <w:t>台</w:t>
            </w:r>
          </w:p>
        </w:tc>
        <w:tc>
          <w:tcPr>
            <w:tcW w:w="1125" w:type="dxa"/>
          </w:tcPr>
          <w:p w14:paraId="37CE456E">
            <w:pPr>
              <w:jc w:val="center"/>
              <w:rPr>
                <w:rFonts w:hint="eastAsia" w:ascii="宋体" w:hAnsi="宋体" w:eastAsia="宋体" w:cs="宋体"/>
                <w:sz w:val="21"/>
                <w:szCs w:val="21"/>
              </w:rPr>
            </w:pPr>
            <w:r>
              <w:rPr>
                <w:rFonts w:hint="eastAsia" w:ascii="宋体" w:hAnsi="宋体" w:eastAsia="宋体" w:cs="宋体"/>
                <w:sz w:val="21"/>
                <w:szCs w:val="21"/>
              </w:rPr>
              <w:t>40</w:t>
            </w:r>
          </w:p>
        </w:tc>
        <w:tc>
          <w:tcPr>
            <w:tcW w:w="1350" w:type="dxa"/>
          </w:tcPr>
          <w:p w14:paraId="3DE14991">
            <w:pPr>
              <w:jc w:val="center"/>
              <w:rPr>
                <w:rFonts w:hint="eastAsia" w:ascii="宋体" w:hAnsi="宋体" w:eastAsia="宋体" w:cs="宋体"/>
                <w:sz w:val="21"/>
                <w:szCs w:val="21"/>
              </w:rPr>
            </w:pPr>
          </w:p>
        </w:tc>
      </w:tr>
      <w:tr w14:paraId="446BD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5A0A0DB9">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w:t>
            </w:r>
          </w:p>
        </w:tc>
        <w:tc>
          <w:tcPr>
            <w:tcW w:w="3437" w:type="dxa"/>
            <w:shd w:val="clear" w:color="auto" w:fill="auto"/>
            <w:vAlign w:val="center"/>
          </w:tcPr>
          <w:p w14:paraId="1597C3A6">
            <w:pPr>
              <w:widowControl/>
              <w:jc w:val="center"/>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内网控制器</w:t>
            </w:r>
          </w:p>
        </w:tc>
        <w:tc>
          <w:tcPr>
            <w:tcW w:w="1200" w:type="dxa"/>
          </w:tcPr>
          <w:p w14:paraId="5CA99CC9">
            <w:pPr>
              <w:jc w:val="center"/>
              <w:rPr>
                <w:rFonts w:hint="eastAsia" w:ascii="宋体" w:hAnsi="宋体" w:eastAsia="宋体" w:cs="宋体"/>
                <w:sz w:val="21"/>
                <w:szCs w:val="21"/>
              </w:rPr>
            </w:pPr>
          </w:p>
        </w:tc>
        <w:tc>
          <w:tcPr>
            <w:tcW w:w="1363" w:type="dxa"/>
          </w:tcPr>
          <w:p w14:paraId="77E6A7D9">
            <w:pPr>
              <w:jc w:val="center"/>
              <w:rPr>
                <w:rFonts w:hint="eastAsia" w:ascii="宋体" w:hAnsi="宋体" w:eastAsia="宋体" w:cs="宋体"/>
                <w:sz w:val="21"/>
                <w:szCs w:val="21"/>
              </w:rPr>
            </w:pPr>
            <w:r>
              <w:rPr>
                <w:rFonts w:hint="eastAsia" w:ascii="宋体" w:hAnsi="宋体" w:eastAsia="宋体" w:cs="宋体"/>
                <w:sz w:val="21"/>
                <w:szCs w:val="21"/>
              </w:rPr>
              <w:t>台</w:t>
            </w:r>
          </w:p>
        </w:tc>
        <w:tc>
          <w:tcPr>
            <w:tcW w:w="1125" w:type="dxa"/>
          </w:tcPr>
          <w:p w14:paraId="3A1ACD13">
            <w:pPr>
              <w:jc w:val="center"/>
              <w:rPr>
                <w:rFonts w:hint="eastAsia" w:ascii="宋体" w:hAnsi="宋体" w:eastAsia="宋体" w:cs="宋体"/>
                <w:sz w:val="21"/>
                <w:szCs w:val="21"/>
              </w:rPr>
            </w:pPr>
            <w:r>
              <w:rPr>
                <w:rFonts w:hint="eastAsia" w:ascii="宋体" w:hAnsi="宋体" w:eastAsia="宋体" w:cs="宋体"/>
                <w:sz w:val="21"/>
                <w:szCs w:val="21"/>
              </w:rPr>
              <w:t>1</w:t>
            </w:r>
          </w:p>
        </w:tc>
        <w:tc>
          <w:tcPr>
            <w:tcW w:w="1350" w:type="dxa"/>
          </w:tcPr>
          <w:p w14:paraId="08DC1AC4">
            <w:pPr>
              <w:jc w:val="center"/>
              <w:rPr>
                <w:rFonts w:hint="eastAsia" w:ascii="宋体" w:hAnsi="宋体" w:eastAsia="宋体" w:cs="宋体"/>
                <w:sz w:val="21"/>
                <w:szCs w:val="21"/>
              </w:rPr>
            </w:pPr>
          </w:p>
        </w:tc>
      </w:tr>
      <w:tr w14:paraId="3FEEC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3B24864E">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7</w:t>
            </w:r>
          </w:p>
        </w:tc>
        <w:tc>
          <w:tcPr>
            <w:tcW w:w="3437" w:type="dxa"/>
            <w:shd w:val="clear" w:color="auto" w:fill="auto"/>
            <w:vAlign w:val="center"/>
          </w:tcPr>
          <w:p w14:paraId="78B5D74D">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SDN网络管理中心</w:t>
            </w:r>
          </w:p>
        </w:tc>
        <w:tc>
          <w:tcPr>
            <w:tcW w:w="1200" w:type="dxa"/>
          </w:tcPr>
          <w:p w14:paraId="61D16A35">
            <w:pPr>
              <w:jc w:val="center"/>
              <w:rPr>
                <w:rFonts w:hint="eastAsia" w:ascii="宋体" w:hAnsi="宋体" w:eastAsia="宋体" w:cs="宋体"/>
                <w:sz w:val="21"/>
                <w:szCs w:val="21"/>
              </w:rPr>
            </w:pPr>
          </w:p>
        </w:tc>
        <w:tc>
          <w:tcPr>
            <w:tcW w:w="1363" w:type="dxa"/>
          </w:tcPr>
          <w:p w14:paraId="79029E32">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1125" w:type="dxa"/>
          </w:tcPr>
          <w:p w14:paraId="1FA14811">
            <w:pPr>
              <w:jc w:val="center"/>
              <w:rPr>
                <w:rFonts w:hint="eastAsia" w:ascii="宋体" w:hAnsi="宋体" w:eastAsia="宋体" w:cs="宋体"/>
                <w:sz w:val="21"/>
                <w:szCs w:val="21"/>
              </w:rPr>
            </w:pPr>
            <w:r>
              <w:rPr>
                <w:rFonts w:hint="eastAsia" w:ascii="宋体" w:hAnsi="宋体" w:eastAsia="宋体" w:cs="宋体"/>
                <w:sz w:val="21"/>
                <w:szCs w:val="21"/>
              </w:rPr>
              <w:t>1</w:t>
            </w:r>
          </w:p>
        </w:tc>
        <w:tc>
          <w:tcPr>
            <w:tcW w:w="1350" w:type="dxa"/>
          </w:tcPr>
          <w:p w14:paraId="53D93773">
            <w:pPr>
              <w:jc w:val="center"/>
              <w:rPr>
                <w:rFonts w:hint="eastAsia" w:ascii="宋体" w:hAnsi="宋体" w:eastAsia="宋体" w:cs="宋体"/>
                <w:sz w:val="21"/>
                <w:szCs w:val="21"/>
              </w:rPr>
            </w:pPr>
          </w:p>
        </w:tc>
      </w:tr>
      <w:tr w14:paraId="05C0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2F8D9CFD">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8</w:t>
            </w:r>
          </w:p>
        </w:tc>
        <w:tc>
          <w:tcPr>
            <w:tcW w:w="3437" w:type="dxa"/>
            <w:shd w:val="clear" w:color="auto" w:fill="auto"/>
            <w:vAlign w:val="center"/>
          </w:tcPr>
          <w:p w14:paraId="0DE1616B">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统一认证平台</w:t>
            </w:r>
          </w:p>
        </w:tc>
        <w:tc>
          <w:tcPr>
            <w:tcW w:w="1200" w:type="dxa"/>
          </w:tcPr>
          <w:p w14:paraId="63D86DED">
            <w:pPr>
              <w:jc w:val="center"/>
              <w:rPr>
                <w:rFonts w:hint="eastAsia" w:ascii="宋体" w:hAnsi="宋体" w:eastAsia="宋体" w:cs="宋体"/>
                <w:sz w:val="21"/>
                <w:szCs w:val="21"/>
              </w:rPr>
            </w:pPr>
          </w:p>
        </w:tc>
        <w:tc>
          <w:tcPr>
            <w:tcW w:w="1363" w:type="dxa"/>
          </w:tcPr>
          <w:p w14:paraId="3FF074AB">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1125" w:type="dxa"/>
          </w:tcPr>
          <w:p w14:paraId="3EEE4BAF">
            <w:pPr>
              <w:jc w:val="center"/>
              <w:rPr>
                <w:rFonts w:hint="eastAsia" w:ascii="宋体" w:hAnsi="宋体" w:eastAsia="宋体" w:cs="宋体"/>
                <w:sz w:val="21"/>
                <w:szCs w:val="21"/>
              </w:rPr>
            </w:pPr>
            <w:r>
              <w:rPr>
                <w:rFonts w:hint="eastAsia" w:ascii="宋体" w:hAnsi="宋体" w:eastAsia="宋体" w:cs="宋体"/>
                <w:sz w:val="21"/>
                <w:szCs w:val="21"/>
              </w:rPr>
              <w:t>1</w:t>
            </w:r>
          </w:p>
        </w:tc>
        <w:tc>
          <w:tcPr>
            <w:tcW w:w="1350" w:type="dxa"/>
          </w:tcPr>
          <w:p w14:paraId="1BA577E3">
            <w:pPr>
              <w:jc w:val="center"/>
              <w:rPr>
                <w:rFonts w:hint="eastAsia" w:ascii="宋体" w:hAnsi="宋体" w:eastAsia="宋体" w:cs="宋体"/>
                <w:sz w:val="21"/>
                <w:szCs w:val="21"/>
              </w:rPr>
            </w:pPr>
          </w:p>
        </w:tc>
      </w:tr>
      <w:tr w14:paraId="399DE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578DBE9C">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8</w:t>
            </w:r>
          </w:p>
        </w:tc>
        <w:tc>
          <w:tcPr>
            <w:tcW w:w="3437" w:type="dxa"/>
            <w:shd w:val="clear" w:color="auto" w:fill="auto"/>
            <w:vAlign w:val="center"/>
          </w:tcPr>
          <w:p w14:paraId="053567CD">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无线审计平台</w:t>
            </w:r>
          </w:p>
        </w:tc>
        <w:tc>
          <w:tcPr>
            <w:tcW w:w="1200" w:type="dxa"/>
          </w:tcPr>
          <w:p w14:paraId="5135FF65">
            <w:pPr>
              <w:jc w:val="center"/>
              <w:rPr>
                <w:rFonts w:hint="eastAsia" w:ascii="宋体" w:hAnsi="宋体" w:eastAsia="宋体" w:cs="宋体"/>
                <w:sz w:val="21"/>
                <w:szCs w:val="21"/>
              </w:rPr>
            </w:pPr>
          </w:p>
        </w:tc>
        <w:tc>
          <w:tcPr>
            <w:tcW w:w="1363" w:type="dxa"/>
          </w:tcPr>
          <w:p w14:paraId="17312983">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1125" w:type="dxa"/>
          </w:tcPr>
          <w:p w14:paraId="4BBFA7F5">
            <w:pPr>
              <w:jc w:val="center"/>
              <w:rPr>
                <w:rFonts w:hint="eastAsia" w:ascii="宋体" w:hAnsi="宋体" w:eastAsia="宋体" w:cs="宋体"/>
                <w:sz w:val="21"/>
                <w:szCs w:val="21"/>
              </w:rPr>
            </w:pPr>
            <w:r>
              <w:rPr>
                <w:rFonts w:hint="eastAsia" w:ascii="宋体" w:hAnsi="宋体" w:eastAsia="宋体" w:cs="宋体"/>
                <w:sz w:val="21"/>
                <w:szCs w:val="21"/>
              </w:rPr>
              <w:t>1</w:t>
            </w:r>
          </w:p>
        </w:tc>
        <w:tc>
          <w:tcPr>
            <w:tcW w:w="1350" w:type="dxa"/>
          </w:tcPr>
          <w:p w14:paraId="3C3B731B">
            <w:pPr>
              <w:jc w:val="center"/>
              <w:rPr>
                <w:rFonts w:hint="eastAsia" w:ascii="宋体" w:hAnsi="宋体" w:eastAsia="宋体" w:cs="宋体"/>
                <w:sz w:val="21"/>
                <w:szCs w:val="21"/>
              </w:rPr>
            </w:pPr>
          </w:p>
        </w:tc>
      </w:tr>
      <w:tr w14:paraId="7B6C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4DD20122">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10</w:t>
            </w:r>
          </w:p>
        </w:tc>
        <w:tc>
          <w:tcPr>
            <w:tcW w:w="3437" w:type="dxa"/>
            <w:shd w:val="clear" w:color="auto" w:fill="auto"/>
            <w:vAlign w:val="center"/>
          </w:tcPr>
          <w:p w14:paraId="67081280">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终端分析管理组件</w:t>
            </w:r>
          </w:p>
        </w:tc>
        <w:tc>
          <w:tcPr>
            <w:tcW w:w="1200" w:type="dxa"/>
          </w:tcPr>
          <w:p w14:paraId="4E03FDEB">
            <w:pPr>
              <w:jc w:val="center"/>
              <w:rPr>
                <w:rFonts w:hint="eastAsia" w:ascii="宋体" w:hAnsi="宋体" w:eastAsia="宋体" w:cs="宋体"/>
                <w:sz w:val="21"/>
                <w:szCs w:val="21"/>
              </w:rPr>
            </w:pPr>
          </w:p>
        </w:tc>
        <w:tc>
          <w:tcPr>
            <w:tcW w:w="1363" w:type="dxa"/>
          </w:tcPr>
          <w:p w14:paraId="6985B6A2">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1125" w:type="dxa"/>
          </w:tcPr>
          <w:p w14:paraId="6F8BCE91">
            <w:pPr>
              <w:jc w:val="center"/>
              <w:rPr>
                <w:rFonts w:hint="eastAsia" w:ascii="宋体" w:hAnsi="宋体" w:eastAsia="宋体" w:cs="宋体"/>
                <w:sz w:val="21"/>
                <w:szCs w:val="21"/>
              </w:rPr>
            </w:pPr>
            <w:r>
              <w:rPr>
                <w:rFonts w:hint="eastAsia" w:ascii="宋体" w:hAnsi="宋体" w:eastAsia="宋体" w:cs="宋体"/>
                <w:sz w:val="21"/>
                <w:szCs w:val="21"/>
              </w:rPr>
              <w:t>1</w:t>
            </w:r>
          </w:p>
        </w:tc>
        <w:tc>
          <w:tcPr>
            <w:tcW w:w="1350" w:type="dxa"/>
          </w:tcPr>
          <w:p w14:paraId="3E21B8E4">
            <w:pPr>
              <w:jc w:val="center"/>
              <w:rPr>
                <w:rFonts w:hint="eastAsia" w:ascii="宋体" w:hAnsi="宋体" w:eastAsia="宋体" w:cs="宋体"/>
                <w:sz w:val="21"/>
                <w:szCs w:val="21"/>
              </w:rPr>
            </w:pPr>
          </w:p>
        </w:tc>
      </w:tr>
      <w:tr w14:paraId="2F5F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1E05524C">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11</w:t>
            </w:r>
          </w:p>
        </w:tc>
        <w:tc>
          <w:tcPr>
            <w:tcW w:w="3437" w:type="dxa"/>
            <w:shd w:val="clear" w:color="auto" w:fill="auto"/>
            <w:vAlign w:val="center"/>
          </w:tcPr>
          <w:p w14:paraId="28787FDB">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吸顶AP</w:t>
            </w:r>
          </w:p>
        </w:tc>
        <w:tc>
          <w:tcPr>
            <w:tcW w:w="1200" w:type="dxa"/>
          </w:tcPr>
          <w:p w14:paraId="48C042B3">
            <w:pPr>
              <w:jc w:val="center"/>
              <w:rPr>
                <w:rFonts w:hint="eastAsia" w:ascii="宋体" w:hAnsi="宋体" w:eastAsia="宋体" w:cs="宋体"/>
                <w:sz w:val="21"/>
                <w:szCs w:val="21"/>
              </w:rPr>
            </w:pPr>
          </w:p>
        </w:tc>
        <w:tc>
          <w:tcPr>
            <w:tcW w:w="1363" w:type="dxa"/>
          </w:tcPr>
          <w:p w14:paraId="22801C67">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1125" w:type="dxa"/>
          </w:tcPr>
          <w:p w14:paraId="6E16256F">
            <w:pPr>
              <w:jc w:val="center"/>
              <w:rPr>
                <w:rFonts w:hint="eastAsia" w:ascii="宋体" w:hAnsi="宋体" w:eastAsia="宋体" w:cs="宋体"/>
                <w:sz w:val="21"/>
                <w:szCs w:val="21"/>
              </w:rPr>
            </w:pPr>
            <w:r>
              <w:rPr>
                <w:rFonts w:hint="eastAsia" w:ascii="宋体" w:hAnsi="宋体" w:eastAsia="宋体" w:cs="宋体"/>
                <w:sz w:val="21"/>
                <w:szCs w:val="21"/>
              </w:rPr>
              <w:t>127</w:t>
            </w:r>
          </w:p>
        </w:tc>
        <w:tc>
          <w:tcPr>
            <w:tcW w:w="1350" w:type="dxa"/>
          </w:tcPr>
          <w:p w14:paraId="670862A3">
            <w:pPr>
              <w:jc w:val="center"/>
              <w:rPr>
                <w:rFonts w:hint="eastAsia" w:ascii="宋体" w:hAnsi="宋体" w:eastAsia="宋体" w:cs="宋体"/>
                <w:sz w:val="21"/>
                <w:szCs w:val="21"/>
              </w:rPr>
            </w:pPr>
          </w:p>
        </w:tc>
      </w:tr>
      <w:tr w14:paraId="1969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5109F327">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12</w:t>
            </w:r>
          </w:p>
        </w:tc>
        <w:tc>
          <w:tcPr>
            <w:tcW w:w="3437" w:type="dxa"/>
            <w:shd w:val="clear" w:color="auto" w:fill="auto"/>
            <w:vAlign w:val="center"/>
          </w:tcPr>
          <w:p w14:paraId="13D80E29">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面板AP</w:t>
            </w:r>
          </w:p>
        </w:tc>
        <w:tc>
          <w:tcPr>
            <w:tcW w:w="1200" w:type="dxa"/>
          </w:tcPr>
          <w:p w14:paraId="1584AB71">
            <w:pPr>
              <w:jc w:val="center"/>
              <w:rPr>
                <w:rFonts w:hint="eastAsia" w:ascii="宋体" w:hAnsi="宋体" w:eastAsia="宋体" w:cs="宋体"/>
                <w:sz w:val="21"/>
                <w:szCs w:val="21"/>
              </w:rPr>
            </w:pPr>
          </w:p>
        </w:tc>
        <w:tc>
          <w:tcPr>
            <w:tcW w:w="1363" w:type="dxa"/>
          </w:tcPr>
          <w:p w14:paraId="7BB7B775">
            <w:pPr>
              <w:jc w:val="center"/>
              <w:rPr>
                <w:rFonts w:hint="eastAsia" w:ascii="宋体" w:hAnsi="宋体" w:eastAsia="宋体" w:cs="宋体"/>
                <w:sz w:val="21"/>
                <w:szCs w:val="21"/>
              </w:rPr>
            </w:pPr>
            <w:r>
              <w:rPr>
                <w:rFonts w:hint="eastAsia" w:ascii="宋体" w:hAnsi="宋体" w:eastAsia="宋体" w:cs="宋体"/>
                <w:sz w:val="21"/>
                <w:szCs w:val="21"/>
              </w:rPr>
              <w:t>台</w:t>
            </w:r>
          </w:p>
        </w:tc>
        <w:tc>
          <w:tcPr>
            <w:tcW w:w="1125" w:type="dxa"/>
          </w:tcPr>
          <w:p w14:paraId="633421A5">
            <w:pPr>
              <w:jc w:val="center"/>
              <w:rPr>
                <w:rFonts w:hint="eastAsia" w:ascii="宋体" w:hAnsi="宋体" w:eastAsia="宋体" w:cs="宋体"/>
                <w:sz w:val="21"/>
                <w:szCs w:val="21"/>
              </w:rPr>
            </w:pPr>
            <w:r>
              <w:rPr>
                <w:rFonts w:hint="eastAsia" w:ascii="宋体" w:hAnsi="宋体" w:eastAsia="宋体" w:cs="宋体"/>
                <w:sz w:val="21"/>
                <w:szCs w:val="21"/>
              </w:rPr>
              <w:t>53</w:t>
            </w:r>
          </w:p>
        </w:tc>
        <w:tc>
          <w:tcPr>
            <w:tcW w:w="1350" w:type="dxa"/>
          </w:tcPr>
          <w:p w14:paraId="3013CD68">
            <w:pPr>
              <w:jc w:val="center"/>
              <w:rPr>
                <w:rFonts w:hint="eastAsia" w:ascii="宋体" w:hAnsi="宋体" w:eastAsia="宋体" w:cs="宋体"/>
                <w:sz w:val="21"/>
                <w:szCs w:val="21"/>
              </w:rPr>
            </w:pPr>
          </w:p>
        </w:tc>
      </w:tr>
      <w:tr w14:paraId="556A2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0561F765">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13</w:t>
            </w:r>
          </w:p>
        </w:tc>
        <w:tc>
          <w:tcPr>
            <w:tcW w:w="3437" w:type="dxa"/>
            <w:shd w:val="clear" w:color="auto" w:fill="auto"/>
            <w:vAlign w:val="center"/>
          </w:tcPr>
          <w:p w14:paraId="0E0176D9">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射频线缆及配件</w:t>
            </w:r>
          </w:p>
        </w:tc>
        <w:tc>
          <w:tcPr>
            <w:tcW w:w="1200" w:type="dxa"/>
          </w:tcPr>
          <w:p w14:paraId="4C36D34E">
            <w:pPr>
              <w:jc w:val="center"/>
              <w:rPr>
                <w:rFonts w:hint="eastAsia" w:ascii="宋体" w:hAnsi="宋体" w:eastAsia="宋体" w:cs="宋体"/>
                <w:sz w:val="21"/>
                <w:szCs w:val="21"/>
              </w:rPr>
            </w:pPr>
          </w:p>
        </w:tc>
        <w:tc>
          <w:tcPr>
            <w:tcW w:w="1363" w:type="dxa"/>
          </w:tcPr>
          <w:p w14:paraId="5F812679">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1125" w:type="dxa"/>
          </w:tcPr>
          <w:p w14:paraId="30944FAE">
            <w:pPr>
              <w:jc w:val="center"/>
              <w:rPr>
                <w:rFonts w:hint="eastAsia" w:ascii="宋体" w:hAnsi="宋体" w:eastAsia="宋体" w:cs="宋体"/>
                <w:sz w:val="21"/>
                <w:szCs w:val="21"/>
              </w:rPr>
            </w:pPr>
            <w:r>
              <w:rPr>
                <w:rFonts w:hint="eastAsia" w:ascii="宋体" w:hAnsi="宋体" w:eastAsia="宋体" w:cs="宋体"/>
                <w:sz w:val="21"/>
                <w:szCs w:val="21"/>
              </w:rPr>
              <w:t>1</w:t>
            </w:r>
          </w:p>
        </w:tc>
        <w:tc>
          <w:tcPr>
            <w:tcW w:w="1350" w:type="dxa"/>
          </w:tcPr>
          <w:p w14:paraId="0450A66F">
            <w:pPr>
              <w:jc w:val="center"/>
              <w:rPr>
                <w:rFonts w:hint="eastAsia" w:ascii="宋体" w:hAnsi="宋体" w:eastAsia="宋体" w:cs="宋体"/>
                <w:sz w:val="21"/>
                <w:szCs w:val="21"/>
              </w:rPr>
            </w:pPr>
          </w:p>
        </w:tc>
      </w:tr>
      <w:tr w14:paraId="2CD0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5C5FC9E7">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14</w:t>
            </w:r>
          </w:p>
        </w:tc>
        <w:tc>
          <w:tcPr>
            <w:tcW w:w="3437" w:type="dxa"/>
            <w:shd w:val="clear" w:color="auto" w:fill="auto"/>
            <w:vAlign w:val="center"/>
          </w:tcPr>
          <w:p w14:paraId="22F79353">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美化天线</w:t>
            </w:r>
          </w:p>
        </w:tc>
        <w:tc>
          <w:tcPr>
            <w:tcW w:w="1200" w:type="dxa"/>
          </w:tcPr>
          <w:p w14:paraId="6274F41A">
            <w:pPr>
              <w:jc w:val="center"/>
              <w:rPr>
                <w:rFonts w:hint="eastAsia" w:ascii="宋体" w:hAnsi="宋体" w:eastAsia="宋体" w:cs="宋体"/>
                <w:sz w:val="21"/>
                <w:szCs w:val="21"/>
              </w:rPr>
            </w:pPr>
          </w:p>
        </w:tc>
        <w:tc>
          <w:tcPr>
            <w:tcW w:w="1363" w:type="dxa"/>
          </w:tcPr>
          <w:p w14:paraId="772F474B">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1125" w:type="dxa"/>
          </w:tcPr>
          <w:p w14:paraId="087B171E">
            <w:pPr>
              <w:jc w:val="center"/>
              <w:rPr>
                <w:rFonts w:hint="eastAsia" w:ascii="宋体" w:hAnsi="宋体" w:eastAsia="宋体" w:cs="宋体"/>
                <w:sz w:val="21"/>
                <w:szCs w:val="21"/>
              </w:rPr>
            </w:pPr>
            <w:r>
              <w:rPr>
                <w:rFonts w:hint="eastAsia" w:ascii="宋体" w:hAnsi="宋体" w:eastAsia="宋体" w:cs="宋体"/>
                <w:sz w:val="21"/>
                <w:szCs w:val="21"/>
              </w:rPr>
              <w:t>790</w:t>
            </w:r>
          </w:p>
        </w:tc>
        <w:tc>
          <w:tcPr>
            <w:tcW w:w="1350" w:type="dxa"/>
          </w:tcPr>
          <w:p w14:paraId="2AE2E7DF">
            <w:pPr>
              <w:jc w:val="center"/>
              <w:rPr>
                <w:rFonts w:hint="eastAsia" w:ascii="宋体" w:hAnsi="宋体" w:eastAsia="宋体" w:cs="宋体"/>
                <w:sz w:val="21"/>
                <w:szCs w:val="21"/>
              </w:rPr>
            </w:pPr>
          </w:p>
        </w:tc>
      </w:tr>
      <w:tr w14:paraId="459B6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49D09988">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15</w:t>
            </w:r>
          </w:p>
        </w:tc>
        <w:tc>
          <w:tcPr>
            <w:tcW w:w="3437" w:type="dxa"/>
            <w:shd w:val="clear" w:color="auto" w:fill="auto"/>
            <w:vAlign w:val="center"/>
          </w:tcPr>
          <w:p w14:paraId="43B1374F">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中心AP</w:t>
            </w:r>
          </w:p>
        </w:tc>
        <w:tc>
          <w:tcPr>
            <w:tcW w:w="1200" w:type="dxa"/>
          </w:tcPr>
          <w:p w14:paraId="4C5EA96F">
            <w:pPr>
              <w:jc w:val="center"/>
              <w:rPr>
                <w:rFonts w:hint="eastAsia" w:ascii="宋体" w:hAnsi="宋体" w:eastAsia="宋体" w:cs="宋体"/>
                <w:sz w:val="21"/>
                <w:szCs w:val="21"/>
              </w:rPr>
            </w:pPr>
          </w:p>
        </w:tc>
        <w:tc>
          <w:tcPr>
            <w:tcW w:w="1363" w:type="dxa"/>
          </w:tcPr>
          <w:p w14:paraId="65CA0D69">
            <w:pPr>
              <w:jc w:val="center"/>
              <w:rPr>
                <w:rFonts w:hint="eastAsia" w:ascii="宋体" w:hAnsi="宋体" w:eastAsia="宋体" w:cs="宋体"/>
                <w:sz w:val="21"/>
                <w:szCs w:val="21"/>
              </w:rPr>
            </w:pPr>
            <w:r>
              <w:rPr>
                <w:rFonts w:hint="eastAsia" w:ascii="宋体" w:hAnsi="宋体" w:eastAsia="宋体" w:cs="宋体"/>
                <w:sz w:val="21"/>
                <w:szCs w:val="21"/>
              </w:rPr>
              <w:t>台</w:t>
            </w:r>
          </w:p>
        </w:tc>
        <w:tc>
          <w:tcPr>
            <w:tcW w:w="1125" w:type="dxa"/>
          </w:tcPr>
          <w:p w14:paraId="3C85E85C">
            <w:pPr>
              <w:jc w:val="center"/>
              <w:rPr>
                <w:rFonts w:hint="eastAsia" w:ascii="宋体" w:hAnsi="宋体" w:eastAsia="宋体" w:cs="宋体"/>
                <w:sz w:val="21"/>
                <w:szCs w:val="21"/>
              </w:rPr>
            </w:pPr>
            <w:r>
              <w:rPr>
                <w:rFonts w:hint="eastAsia" w:ascii="宋体" w:hAnsi="宋体" w:eastAsia="宋体" w:cs="宋体"/>
                <w:sz w:val="21"/>
                <w:szCs w:val="21"/>
              </w:rPr>
              <w:t>11</w:t>
            </w:r>
          </w:p>
        </w:tc>
        <w:tc>
          <w:tcPr>
            <w:tcW w:w="1350" w:type="dxa"/>
          </w:tcPr>
          <w:p w14:paraId="03ADDFC5">
            <w:pPr>
              <w:jc w:val="center"/>
              <w:rPr>
                <w:rFonts w:hint="eastAsia" w:ascii="宋体" w:hAnsi="宋体" w:eastAsia="宋体" w:cs="宋体"/>
                <w:sz w:val="21"/>
                <w:szCs w:val="21"/>
              </w:rPr>
            </w:pPr>
          </w:p>
        </w:tc>
      </w:tr>
      <w:tr w14:paraId="2C182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54C595EB">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16</w:t>
            </w:r>
          </w:p>
        </w:tc>
        <w:tc>
          <w:tcPr>
            <w:tcW w:w="3437" w:type="dxa"/>
            <w:shd w:val="clear" w:color="auto" w:fill="auto"/>
            <w:vAlign w:val="center"/>
          </w:tcPr>
          <w:p w14:paraId="5C8E7B9E">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室分AP</w:t>
            </w:r>
          </w:p>
        </w:tc>
        <w:tc>
          <w:tcPr>
            <w:tcW w:w="1200" w:type="dxa"/>
          </w:tcPr>
          <w:p w14:paraId="24A42EC2">
            <w:pPr>
              <w:jc w:val="center"/>
              <w:rPr>
                <w:rFonts w:hint="eastAsia" w:ascii="宋体" w:hAnsi="宋体" w:eastAsia="宋体" w:cs="宋体"/>
                <w:sz w:val="21"/>
                <w:szCs w:val="21"/>
              </w:rPr>
            </w:pPr>
          </w:p>
        </w:tc>
        <w:tc>
          <w:tcPr>
            <w:tcW w:w="1363" w:type="dxa"/>
          </w:tcPr>
          <w:p w14:paraId="7D786416">
            <w:pPr>
              <w:jc w:val="center"/>
              <w:rPr>
                <w:rFonts w:hint="eastAsia" w:ascii="宋体" w:hAnsi="宋体" w:eastAsia="宋体" w:cs="宋体"/>
                <w:sz w:val="21"/>
                <w:szCs w:val="21"/>
              </w:rPr>
            </w:pPr>
            <w:r>
              <w:rPr>
                <w:rFonts w:hint="eastAsia" w:ascii="宋体" w:hAnsi="宋体" w:eastAsia="宋体" w:cs="宋体"/>
                <w:sz w:val="21"/>
                <w:szCs w:val="21"/>
              </w:rPr>
              <w:t>台</w:t>
            </w:r>
          </w:p>
        </w:tc>
        <w:tc>
          <w:tcPr>
            <w:tcW w:w="1125" w:type="dxa"/>
          </w:tcPr>
          <w:p w14:paraId="5D93835A">
            <w:pPr>
              <w:jc w:val="center"/>
              <w:rPr>
                <w:rFonts w:hint="eastAsia" w:ascii="宋体" w:hAnsi="宋体" w:eastAsia="宋体" w:cs="宋体"/>
                <w:sz w:val="21"/>
                <w:szCs w:val="21"/>
              </w:rPr>
            </w:pPr>
            <w:r>
              <w:rPr>
                <w:rFonts w:hint="eastAsia" w:ascii="宋体" w:hAnsi="宋体" w:eastAsia="宋体" w:cs="宋体"/>
                <w:sz w:val="21"/>
                <w:szCs w:val="21"/>
              </w:rPr>
              <w:t>58</w:t>
            </w:r>
          </w:p>
        </w:tc>
        <w:tc>
          <w:tcPr>
            <w:tcW w:w="1350" w:type="dxa"/>
          </w:tcPr>
          <w:p w14:paraId="4B883DC1">
            <w:pPr>
              <w:jc w:val="center"/>
              <w:rPr>
                <w:rFonts w:hint="eastAsia" w:ascii="宋体" w:hAnsi="宋体" w:eastAsia="宋体" w:cs="宋体"/>
                <w:sz w:val="21"/>
                <w:szCs w:val="21"/>
              </w:rPr>
            </w:pPr>
          </w:p>
        </w:tc>
      </w:tr>
      <w:tr w14:paraId="34221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0E4532D5">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17</w:t>
            </w:r>
          </w:p>
        </w:tc>
        <w:tc>
          <w:tcPr>
            <w:tcW w:w="3437" w:type="dxa"/>
            <w:shd w:val="clear" w:color="auto" w:fill="auto"/>
            <w:vAlign w:val="center"/>
          </w:tcPr>
          <w:p w14:paraId="6C4A9E28">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24口POE交换机</w:t>
            </w:r>
          </w:p>
        </w:tc>
        <w:tc>
          <w:tcPr>
            <w:tcW w:w="1200" w:type="dxa"/>
          </w:tcPr>
          <w:p w14:paraId="5F7F5958">
            <w:pPr>
              <w:jc w:val="center"/>
              <w:rPr>
                <w:rFonts w:hint="eastAsia" w:ascii="宋体" w:hAnsi="宋体" w:eastAsia="宋体" w:cs="宋体"/>
                <w:sz w:val="21"/>
                <w:szCs w:val="21"/>
              </w:rPr>
            </w:pPr>
          </w:p>
        </w:tc>
        <w:tc>
          <w:tcPr>
            <w:tcW w:w="1363" w:type="dxa"/>
          </w:tcPr>
          <w:p w14:paraId="50DDA2DF">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1125" w:type="dxa"/>
          </w:tcPr>
          <w:p w14:paraId="55AABD18">
            <w:pPr>
              <w:jc w:val="center"/>
              <w:rPr>
                <w:rFonts w:hint="eastAsia" w:ascii="宋体" w:hAnsi="宋体" w:eastAsia="宋体" w:cs="宋体"/>
                <w:sz w:val="21"/>
                <w:szCs w:val="21"/>
              </w:rPr>
            </w:pPr>
            <w:r>
              <w:rPr>
                <w:rFonts w:hint="eastAsia" w:ascii="宋体" w:hAnsi="宋体" w:eastAsia="宋体" w:cs="宋体"/>
                <w:sz w:val="21"/>
                <w:szCs w:val="21"/>
              </w:rPr>
              <w:t>11</w:t>
            </w:r>
          </w:p>
        </w:tc>
        <w:tc>
          <w:tcPr>
            <w:tcW w:w="1350" w:type="dxa"/>
          </w:tcPr>
          <w:p w14:paraId="21B7E036">
            <w:pPr>
              <w:jc w:val="center"/>
              <w:rPr>
                <w:rFonts w:hint="eastAsia" w:ascii="宋体" w:hAnsi="宋体" w:eastAsia="宋体" w:cs="宋体"/>
                <w:sz w:val="21"/>
                <w:szCs w:val="21"/>
              </w:rPr>
            </w:pPr>
          </w:p>
        </w:tc>
      </w:tr>
      <w:tr w14:paraId="3173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023FA8D6">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18</w:t>
            </w:r>
          </w:p>
        </w:tc>
        <w:tc>
          <w:tcPr>
            <w:tcW w:w="3437" w:type="dxa"/>
            <w:shd w:val="clear" w:color="auto" w:fill="auto"/>
            <w:vAlign w:val="center"/>
          </w:tcPr>
          <w:p w14:paraId="52ECEBAC">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8口POE交换机</w:t>
            </w:r>
          </w:p>
        </w:tc>
        <w:tc>
          <w:tcPr>
            <w:tcW w:w="1200" w:type="dxa"/>
          </w:tcPr>
          <w:p w14:paraId="745BECAE">
            <w:pPr>
              <w:jc w:val="center"/>
              <w:rPr>
                <w:rFonts w:hint="eastAsia" w:ascii="宋体" w:hAnsi="宋体" w:eastAsia="宋体" w:cs="宋体"/>
                <w:sz w:val="21"/>
                <w:szCs w:val="21"/>
              </w:rPr>
            </w:pPr>
          </w:p>
        </w:tc>
        <w:tc>
          <w:tcPr>
            <w:tcW w:w="1363" w:type="dxa"/>
          </w:tcPr>
          <w:p w14:paraId="4F8B57FE">
            <w:pPr>
              <w:jc w:val="center"/>
              <w:rPr>
                <w:rFonts w:hint="eastAsia" w:ascii="宋体" w:hAnsi="宋体" w:eastAsia="宋体" w:cs="宋体"/>
                <w:sz w:val="21"/>
                <w:szCs w:val="21"/>
              </w:rPr>
            </w:pPr>
            <w:r>
              <w:rPr>
                <w:rFonts w:hint="eastAsia" w:ascii="宋体" w:hAnsi="宋体" w:eastAsia="宋体" w:cs="宋体"/>
                <w:sz w:val="21"/>
                <w:szCs w:val="21"/>
              </w:rPr>
              <w:t>台</w:t>
            </w:r>
          </w:p>
        </w:tc>
        <w:tc>
          <w:tcPr>
            <w:tcW w:w="1125" w:type="dxa"/>
          </w:tcPr>
          <w:p w14:paraId="133891A4">
            <w:pPr>
              <w:jc w:val="center"/>
              <w:rPr>
                <w:rFonts w:hint="eastAsia" w:ascii="宋体" w:hAnsi="宋体" w:eastAsia="宋体" w:cs="宋体"/>
                <w:sz w:val="21"/>
                <w:szCs w:val="21"/>
              </w:rPr>
            </w:pPr>
            <w:r>
              <w:rPr>
                <w:rFonts w:hint="eastAsia" w:ascii="宋体" w:hAnsi="宋体" w:eastAsia="宋体" w:cs="宋体"/>
                <w:sz w:val="21"/>
                <w:szCs w:val="21"/>
              </w:rPr>
              <w:t>7</w:t>
            </w:r>
          </w:p>
        </w:tc>
        <w:tc>
          <w:tcPr>
            <w:tcW w:w="1350" w:type="dxa"/>
          </w:tcPr>
          <w:p w14:paraId="5ACDAAEC">
            <w:pPr>
              <w:jc w:val="center"/>
              <w:rPr>
                <w:rFonts w:hint="eastAsia" w:ascii="宋体" w:hAnsi="宋体" w:eastAsia="宋体" w:cs="宋体"/>
                <w:sz w:val="21"/>
                <w:szCs w:val="21"/>
              </w:rPr>
            </w:pPr>
          </w:p>
        </w:tc>
      </w:tr>
      <w:tr w14:paraId="30D7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22643759">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19</w:t>
            </w:r>
          </w:p>
        </w:tc>
        <w:tc>
          <w:tcPr>
            <w:tcW w:w="3437" w:type="dxa"/>
            <w:shd w:val="clear" w:color="auto" w:fill="auto"/>
            <w:vAlign w:val="center"/>
          </w:tcPr>
          <w:p w14:paraId="7279DC0A">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POE汇聚交换机</w:t>
            </w:r>
          </w:p>
        </w:tc>
        <w:tc>
          <w:tcPr>
            <w:tcW w:w="1200" w:type="dxa"/>
          </w:tcPr>
          <w:p w14:paraId="221F144A">
            <w:pPr>
              <w:jc w:val="center"/>
              <w:rPr>
                <w:rFonts w:hint="eastAsia" w:ascii="宋体" w:hAnsi="宋体" w:eastAsia="宋体" w:cs="宋体"/>
                <w:sz w:val="21"/>
                <w:szCs w:val="21"/>
              </w:rPr>
            </w:pPr>
          </w:p>
        </w:tc>
        <w:tc>
          <w:tcPr>
            <w:tcW w:w="1363" w:type="dxa"/>
          </w:tcPr>
          <w:p w14:paraId="1B12103D">
            <w:pPr>
              <w:jc w:val="center"/>
              <w:rPr>
                <w:rFonts w:hint="eastAsia" w:ascii="宋体" w:hAnsi="宋体" w:eastAsia="宋体" w:cs="宋体"/>
                <w:sz w:val="21"/>
                <w:szCs w:val="21"/>
              </w:rPr>
            </w:pPr>
            <w:r>
              <w:rPr>
                <w:rFonts w:hint="eastAsia" w:ascii="宋体" w:hAnsi="宋体" w:eastAsia="宋体" w:cs="宋体"/>
                <w:sz w:val="21"/>
                <w:szCs w:val="21"/>
              </w:rPr>
              <w:t>台</w:t>
            </w:r>
          </w:p>
        </w:tc>
        <w:tc>
          <w:tcPr>
            <w:tcW w:w="1125" w:type="dxa"/>
          </w:tcPr>
          <w:p w14:paraId="533645FA">
            <w:pPr>
              <w:jc w:val="center"/>
              <w:rPr>
                <w:rFonts w:hint="eastAsia" w:ascii="宋体" w:hAnsi="宋体" w:eastAsia="宋体" w:cs="宋体"/>
                <w:sz w:val="21"/>
                <w:szCs w:val="21"/>
              </w:rPr>
            </w:pPr>
            <w:r>
              <w:rPr>
                <w:rFonts w:hint="eastAsia" w:ascii="宋体" w:hAnsi="宋体" w:eastAsia="宋体" w:cs="宋体"/>
                <w:sz w:val="21"/>
                <w:szCs w:val="21"/>
              </w:rPr>
              <w:t>2</w:t>
            </w:r>
          </w:p>
        </w:tc>
        <w:tc>
          <w:tcPr>
            <w:tcW w:w="1350" w:type="dxa"/>
          </w:tcPr>
          <w:p w14:paraId="6A401F90">
            <w:pPr>
              <w:jc w:val="center"/>
              <w:rPr>
                <w:rFonts w:hint="eastAsia" w:ascii="宋体" w:hAnsi="宋体" w:eastAsia="宋体" w:cs="宋体"/>
                <w:sz w:val="21"/>
                <w:szCs w:val="21"/>
              </w:rPr>
            </w:pPr>
          </w:p>
        </w:tc>
      </w:tr>
      <w:tr w14:paraId="23432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4D2B2DEF">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20</w:t>
            </w:r>
          </w:p>
        </w:tc>
        <w:tc>
          <w:tcPr>
            <w:tcW w:w="3437" w:type="dxa"/>
            <w:shd w:val="clear" w:color="auto" w:fill="auto"/>
            <w:vAlign w:val="center"/>
          </w:tcPr>
          <w:p w14:paraId="05EDEE2B">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外网核心</w:t>
            </w:r>
          </w:p>
        </w:tc>
        <w:tc>
          <w:tcPr>
            <w:tcW w:w="1200" w:type="dxa"/>
          </w:tcPr>
          <w:p w14:paraId="3DD74319">
            <w:pPr>
              <w:jc w:val="center"/>
              <w:rPr>
                <w:rFonts w:hint="eastAsia" w:ascii="宋体" w:hAnsi="宋体" w:eastAsia="宋体" w:cs="宋体"/>
                <w:sz w:val="21"/>
                <w:szCs w:val="21"/>
              </w:rPr>
            </w:pPr>
          </w:p>
        </w:tc>
        <w:tc>
          <w:tcPr>
            <w:tcW w:w="1363" w:type="dxa"/>
          </w:tcPr>
          <w:p w14:paraId="08F95F75">
            <w:pPr>
              <w:jc w:val="center"/>
              <w:rPr>
                <w:rFonts w:hint="eastAsia" w:ascii="宋体" w:hAnsi="宋体" w:eastAsia="宋体" w:cs="宋体"/>
                <w:sz w:val="21"/>
                <w:szCs w:val="21"/>
              </w:rPr>
            </w:pPr>
            <w:r>
              <w:rPr>
                <w:rFonts w:hint="eastAsia" w:ascii="宋体" w:hAnsi="宋体" w:eastAsia="宋体" w:cs="宋体"/>
                <w:sz w:val="21"/>
                <w:szCs w:val="21"/>
              </w:rPr>
              <w:t>台</w:t>
            </w:r>
          </w:p>
        </w:tc>
        <w:tc>
          <w:tcPr>
            <w:tcW w:w="1125" w:type="dxa"/>
          </w:tcPr>
          <w:p w14:paraId="6E360BC3">
            <w:pPr>
              <w:jc w:val="center"/>
              <w:rPr>
                <w:rFonts w:hint="eastAsia" w:ascii="宋体" w:hAnsi="宋体" w:eastAsia="宋体" w:cs="宋体"/>
                <w:sz w:val="21"/>
                <w:szCs w:val="21"/>
              </w:rPr>
            </w:pPr>
            <w:r>
              <w:rPr>
                <w:rFonts w:hint="eastAsia" w:ascii="宋体" w:hAnsi="宋体" w:eastAsia="宋体" w:cs="宋体"/>
                <w:sz w:val="21"/>
                <w:szCs w:val="21"/>
              </w:rPr>
              <w:t>2</w:t>
            </w:r>
          </w:p>
        </w:tc>
        <w:tc>
          <w:tcPr>
            <w:tcW w:w="1350" w:type="dxa"/>
          </w:tcPr>
          <w:p w14:paraId="19E1635F">
            <w:pPr>
              <w:jc w:val="center"/>
              <w:rPr>
                <w:rFonts w:hint="eastAsia" w:ascii="宋体" w:hAnsi="宋体" w:eastAsia="宋体" w:cs="宋体"/>
                <w:sz w:val="21"/>
                <w:szCs w:val="21"/>
              </w:rPr>
            </w:pPr>
          </w:p>
        </w:tc>
      </w:tr>
      <w:tr w14:paraId="3A8F6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6F28B122">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1</w:t>
            </w:r>
          </w:p>
        </w:tc>
        <w:tc>
          <w:tcPr>
            <w:tcW w:w="3437" w:type="dxa"/>
            <w:shd w:val="clear" w:color="auto" w:fill="auto"/>
            <w:vAlign w:val="center"/>
          </w:tcPr>
          <w:p w14:paraId="05584D1D">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DMZ区交换机</w:t>
            </w:r>
          </w:p>
        </w:tc>
        <w:tc>
          <w:tcPr>
            <w:tcW w:w="1200" w:type="dxa"/>
          </w:tcPr>
          <w:p w14:paraId="35B3D871">
            <w:pPr>
              <w:jc w:val="center"/>
              <w:rPr>
                <w:rFonts w:hint="eastAsia" w:ascii="宋体" w:hAnsi="宋体" w:eastAsia="宋体" w:cs="宋体"/>
                <w:sz w:val="21"/>
                <w:szCs w:val="21"/>
              </w:rPr>
            </w:pPr>
          </w:p>
        </w:tc>
        <w:tc>
          <w:tcPr>
            <w:tcW w:w="1363" w:type="dxa"/>
          </w:tcPr>
          <w:p w14:paraId="304E2C19">
            <w:pPr>
              <w:jc w:val="center"/>
              <w:rPr>
                <w:rFonts w:hint="eastAsia" w:ascii="宋体" w:hAnsi="宋体" w:eastAsia="宋体" w:cs="宋体"/>
                <w:sz w:val="21"/>
                <w:szCs w:val="21"/>
              </w:rPr>
            </w:pPr>
            <w:r>
              <w:rPr>
                <w:rFonts w:hint="eastAsia" w:ascii="宋体" w:hAnsi="宋体" w:eastAsia="宋体" w:cs="宋体"/>
                <w:sz w:val="21"/>
                <w:szCs w:val="21"/>
              </w:rPr>
              <w:t>台</w:t>
            </w:r>
          </w:p>
        </w:tc>
        <w:tc>
          <w:tcPr>
            <w:tcW w:w="1125" w:type="dxa"/>
          </w:tcPr>
          <w:p w14:paraId="5395AB36">
            <w:pPr>
              <w:jc w:val="center"/>
              <w:rPr>
                <w:rFonts w:hint="eastAsia" w:ascii="宋体" w:hAnsi="宋体" w:eastAsia="宋体" w:cs="宋体"/>
                <w:sz w:val="21"/>
                <w:szCs w:val="21"/>
              </w:rPr>
            </w:pPr>
            <w:r>
              <w:rPr>
                <w:rFonts w:hint="eastAsia" w:ascii="宋体" w:hAnsi="宋体" w:eastAsia="宋体" w:cs="宋体"/>
                <w:sz w:val="21"/>
                <w:szCs w:val="21"/>
              </w:rPr>
              <w:t>2</w:t>
            </w:r>
          </w:p>
        </w:tc>
        <w:tc>
          <w:tcPr>
            <w:tcW w:w="1350" w:type="dxa"/>
          </w:tcPr>
          <w:p w14:paraId="466A885C">
            <w:pPr>
              <w:jc w:val="center"/>
              <w:rPr>
                <w:rFonts w:hint="eastAsia" w:ascii="宋体" w:hAnsi="宋体" w:eastAsia="宋体" w:cs="宋体"/>
                <w:sz w:val="21"/>
                <w:szCs w:val="21"/>
              </w:rPr>
            </w:pPr>
          </w:p>
        </w:tc>
      </w:tr>
      <w:tr w14:paraId="3113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241992EB">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2</w:t>
            </w:r>
          </w:p>
        </w:tc>
        <w:tc>
          <w:tcPr>
            <w:tcW w:w="3437" w:type="dxa"/>
            <w:shd w:val="clear" w:color="auto" w:fill="auto"/>
            <w:vAlign w:val="center"/>
          </w:tcPr>
          <w:p w14:paraId="5D174CCF">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楼层内网接入交换机</w:t>
            </w:r>
          </w:p>
        </w:tc>
        <w:tc>
          <w:tcPr>
            <w:tcW w:w="1200" w:type="dxa"/>
          </w:tcPr>
          <w:p w14:paraId="3D8EDA76">
            <w:pPr>
              <w:jc w:val="center"/>
              <w:rPr>
                <w:rFonts w:hint="eastAsia" w:ascii="宋体" w:hAnsi="宋体" w:eastAsia="宋体" w:cs="宋体"/>
                <w:sz w:val="21"/>
                <w:szCs w:val="21"/>
              </w:rPr>
            </w:pPr>
          </w:p>
        </w:tc>
        <w:tc>
          <w:tcPr>
            <w:tcW w:w="1363" w:type="dxa"/>
          </w:tcPr>
          <w:p w14:paraId="6C2487B2">
            <w:pPr>
              <w:jc w:val="center"/>
              <w:rPr>
                <w:rFonts w:hint="eastAsia" w:ascii="宋体" w:hAnsi="宋体" w:eastAsia="宋体" w:cs="宋体"/>
                <w:sz w:val="21"/>
                <w:szCs w:val="21"/>
              </w:rPr>
            </w:pPr>
            <w:r>
              <w:rPr>
                <w:rFonts w:hint="eastAsia" w:ascii="宋体" w:hAnsi="宋体" w:eastAsia="宋体" w:cs="宋体"/>
                <w:sz w:val="21"/>
                <w:szCs w:val="21"/>
              </w:rPr>
              <w:t>台</w:t>
            </w:r>
          </w:p>
        </w:tc>
        <w:tc>
          <w:tcPr>
            <w:tcW w:w="1125" w:type="dxa"/>
          </w:tcPr>
          <w:p w14:paraId="75D3A737">
            <w:pPr>
              <w:jc w:val="center"/>
              <w:rPr>
                <w:rFonts w:hint="eastAsia" w:ascii="宋体" w:hAnsi="宋体" w:eastAsia="宋体" w:cs="宋体"/>
                <w:sz w:val="21"/>
                <w:szCs w:val="21"/>
              </w:rPr>
            </w:pPr>
            <w:r>
              <w:rPr>
                <w:rFonts w:hint="eastAsia" w:ascii="宋体" w:hAnsi="宋体" w:eastAsia="宋体" w:cs="宋体"/>
                <w:sz w:val="21"/>
                <w:szCs w:val="21"/>
              </w:rPr>
              <w:t>14</w:t>
            </w:r>
          </w:p>
        </w:tc>
        <w:tc>
          <w:tcPr>
            <w:tcW w:w="1350" w:type="dxa"/>
          </w:tcPr>
          <w:p w14:paraId="1FC57282">
            <w:pPr>
              <w:jc w:val="center"/>
              <w:rPr>
                <w:rFonts w:hint="eastAsia" w:ascii="宋体" w:hAnsi="宋体" w:eastAsia="宋体" w:cs="宋体"/>
                <w:sz w:val="21"/>
                <w:szCs w:val="21"/>
              </w:rPr>
            </w:pPr>
          </w:p>
        </w:tc>
      </w:tr>
      <w:tr w14:paraId="1572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76F39483">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3</w:t>
            </w:r>
          </w:p>
        </w:tc>
        <w:tc>
          <w:tcPr>
            <w:tcW w:w="3437" w:type="dxa"/>
            <w:shd w:val="clear" w:color="auto" w:fill="auto"/>
            <w:vAlign w:val="center"/>
          </w:tcPr>
          <w:p w14:paraId="0B26BFAF">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综合布线</w:t>
            </w:r>
          </w:p>
        </w:tc>
        <w:tc>
          <w:tcPr>
            <w:tcW w:w="1200" w:type="dxa"/>
          </w:tcPr>
          <w:p w14:paraId="52CA708A">
            <w:pPr>
              <w:jc w:val="center"/>
              <w:rPr>
                <w:rFonts w:hint="eastAsia" w:ascii="宋体" w:hAnsi="宋体" w:eastAsia="宋体" w:cs="宋体"/>
                <w:sz w:val="21"/>
                <w:szCs w:val="21"/>
              </w:rPr>
            </w:pPr>
          </w:p>
        </w:tc>
        <w:tc>
          <w:tcPr>
            <w:tcW w:w="1363" w:type="dxa"/>
          </w:tcPr>
          <w:p w14:paraId="62634AF5">
            <w:pPr>
              <w:jc w:val="center"/>
              <w:rPr>
                <w:rFonts w:hint="eastAsia" w:ascii="宋体" w:hAnsi="宋体" w:eastAsia="宋体" w:cs="宋体"/>
                <w:sz w:val="21"/>
                <w:szCs w:val="21"/>
              </w:rPr>
            </w:pPr>
            <w:r>
              <w:rPr>
                <w:rFonts w:hint="eastAsia" w:ascii="宋体" w:hAnsi="宋体" w:eastAsia="宋体" w:cs="宋体"/>
                <w:sz w:val="21"/>
                <w:szCs w:val="21"/>
              </w:rPr>
              <w:t>批</w:t>
            </w:r>
          </w:p>
        </w:tc>
        <w:tc>
          <w:tcPr>
            <w:tcW w:w="1125" w:type="dxa"/>
          </w:tcPr>
          <w:p w14:paraId="7F471861">
            <w:pPr>
              <w:jc w:val="center"/>
              <w:rPr>
                <w:rFonts w:hint="eastAsia" w:ascii="宋体" w:hAnsi="宋体" w:eastAsia="宋体" w:cs="宋体"/>
                <w:sz w:val="21"/>
                <w:szCs w:val="21"/>
              </w:rPr>
            </w:pPr>
            <w:r>
              <w:rPr>
                <w:rFonts w:hint="eastAsia" w:ascii="宋体" w:hAnsi="宋体" w:eastAsia="宋体" w:cs="宋体"/>
                <w:sz w:val="21"/>
                <w:szCs w:val="21"/>
              </w:rPr>
              <w:t>1</w:t>
            </w:r>
          </w:p>
        </w:tc>
        <w:tc>
          <w:tcPr>
            <w:tcW w:w="1350" w:type="dxa"/>
          </w:tcPr>
          <w:p w14:paraId="26B2E3DD">
            <w:pPr>
              <w:jc w:val="center"/>
              <w:rPr>
                <w:rFonts w:hint="eastAsia" w:ascii="宋体" w:hAnsi="宋体" w:eastAsia="宋体" w:cs="宋体"/>
                <w:sz w:val="21"/>
                <w:szCs w:val="21"/>
              </w:rPr>
            </w:pPr>
          </w:p>
        </w:tc>
      </w:tr>
      <w:tr w14:paraId="075A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0EBD11F4">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4</w:t>
            </w:r>
          </w:p>
        </w:tc>
        <w:tc>
          <w:tcPr>
            <w:tcW w:w="3437" w:type="dxa"/>
            <w:shd w:val="clear" w:color="auto" w:fill="auto"/>
            <w:vAlign w:val="center"/>
          </w:tcPr>
          <w:p w14:paraId="342C4326">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AP设备安装</w:t>
            </w:r>
          </w:p>
        </w:tc>
        <w:tc>
          <w:tcPr>
            <w:tcW w:w="1200" w:type="dxa"/>
          </w:tcPr>
          <w:p w14:paraId="3DEF97F8">
            <w:pPr>
              <w:jc w:val="center"/>
              <w:rPr>
                <w:rFonts w:hint="eastAsia" w:ascii="宋体" w:hAnsi="宋体" w:eastAsia="宋体" w:cs="宋体"/>
                <w:sz w:val="21"/>
                <w:szCs w:val="21"/>
              </w:rPr>
            </w:pPr>
          </w:p>
        </w:tc>
        <w:tc>
          <w:tcPr>
            <w:tcW w:w="1363" w:type="dxa"/>
          </w:tcPr>
          <w:p w14:paraId="76DCE708">
            <w:pPr>
              <w:jc w:val="center"/>
              <w:rPr>
                <w:rFonts w:hint="eastAsia" w:ascii="宋体" w:hAnsi="宋体" w:eastAsia="宋体" w:cs="宋体"/>
                <w:sz w:val="21"/>
                <w:szCs w:val="21"/>
              </w:rPr>
            </w:pPr>
            <w:r>
              <w:rPr>
                <w:rFonts w:hint="eastAsia" w:ascii="宋体" w:hAnsi="宋体" w:eastAsia="宋体" w:cs="宋体"/>
                <w:sz w:val="21"/>
                <w:szCs w:val="21"/>
              </w:rPr>
              <w:t>台</w:t>
            </w:r>
          </w:p>
        </w:tc>
        <w:tc>
          <w:tcPr>
            <w:tcW w:w="1125" w:type="dxa"/>
          </w:tcPr>
          <w:p w14:paraId="7F3711CC">
            <w:pPr>
              <w:jc w:val="center"/>
              <w:rPr>
                <w:rFonts w:hint="eastAsia" w:ascii="宋体" w:hAnsi="宋体" w:eastAsia="宋体" w:cs="宋体"/>
                <w:sz w:val="21"/>
                <w:szCs w:val="21"/>
              </w:rPr>
            </w:pPr>
            <w:r>
              <w:rPr>
                <w:rFonts w:hint="eastAsia" w:ascii="宋体" w:hAnsi="宋体" w:eastAsia="宋体" w:cs="宋体"/>
                <w:sz w:val="21"/>
                <w:szCs w:val="21"/>
              </w:rPr>
              <w:t>249</w:t>
            </w:r>
          </w:p>
        </w:tc>
        <w:tc>
          <w:tcPr>
            <w:tcW w:w="1350" w:type="dxa"/>
          </w:tcPr>
          <w:p w14:paraId="47BDB962">
            <w:pPr>
              <w:jc w:val="center"/>
              <w:rPr>
                <w:rFonts w:hint="eastAsia" w:ascii="宋体" w:hAnsi="宋体" w:eastAsia="宋体" w:cs="宋体"/>
                <w:sz w:val="21"/>
                <w:szCs w:val="21"/>
              </w:rPr>
            </w:pPr>
          </w:p>
        </w:tc>
      </w:tr>
      <w:tr w14:paraId="5B5EE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044D45D5">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5</w:t>
            </w:r>
          </w:p>
        </w:tc>
        <w:tc>
          <w:tcPr>
            <w:tcW w:w="3437" w:type="dxa"/>
            <w:shd w:val="clear" w:color="auto" w:fill="auto"/>
            <w:vAlign w:val="center"/>
          </w:tcPr>
          <w:p w14:paraId="0BF2F737">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馈线安装</w:t>
            </w:r>
          </w:p>
        </w:tc>
        <w:tc>
          <w:tcPr>
            <w:tcW w:w="1200" w:type="dxa"/>
          </w:tcPr>
          <w:p w14:paraId="25628562">
            <w:pPr>
              <w:jc w:val="center"/>
              <w:rPr>
                <w:rFonts w:hint="eastAsia" w:ascii="宋体" w:hAnsi="宋体" w:eastAsia="宋体" w:cs="宋体"/>
                <w:sz w:val="21"/>
                <w:szCs w:val="21"/>
              </w:rPr>
            </w:pPr>
          </w:p>
        </w:tc>
        <w:tc>
          <w:tcPr>
            <w:tcW w:w="1363" w:type="dxa"/>
          </w:tcPr>
          <w:p w14:paraId="4004CB55">
            <w:pPr>
              <w:jc w:val="center"/>
              <w:rPr>
                <w:rFonts w:hint="eastAsia" w:ascii="宋体" w:hAnsi="宋体" w:eastAsia="宋体" w:cs="宋体"/>
                <w:sz w:val="21"/>
                <w:szCs w:val="21"/>
              </w:rPr>
            </w:pPr>
            <w:r>
              <w:rPr>
                <w:rFonts w:hint="eastAsia" w:ascii="宋体" w:hAnsi="宋体" w:eastAsia="宋体" w:cs="宋体"/>
                <w:sz w:val="21"/>
                <w:szCs w:val="21"/>
              </w:rPr>
              <w:t>条</w:t>
            </w:r>
          </w:p>
        </w:tc>
        <w:tc>
          <w:tcPr>
            <w:tcW w:w="1125" w:type="dxa"/>
          </w:tcPr>
          <w:p w14:paraId="630FB535">
            <w:pPr>
              <w:jc w:val="center"/>
              <w:rPr>
                <w:rFonts w:hint="eastAsia" w:ascii="宋体" w:hAnsi="宋体" w:eastAsia="宋体" w:cs="宋体"/>
                <w:sz w:val="21"/>
                <w:szCs w:val="21"/>
              </w:rPr>
            </w:pPr>
            <w:r>
              <w:rPr>
                <w:rFonts w:hint="eastAsia" w:ascii="宋体" w:hAnsi="宋体" w:eastAsia="宋体" w:cs="宋体"/>
                <w:sz w:val="21"/>
                <w:szCs w:val="21"/>
              </w:rPr>
              <w:t>790</w:t>
            </w:r>
          </w:p>
        </w:tc>
        <w:tc>
          <w:tcPr>
            <w:tcW w:w="1350" w:type="dxa"/>
          </w:tcPr>
          <w:p w14:paraId="3C1F6F1E">
            <w:pPr>
              <w:jc w:val="center"/>
              <w:rPr>
                <w:rFonts w:hint="eastAsia" w:ascii="宋体" w:hAnsi="宋体" w:eastAsia="宋体" w:cs="宋体"/>
                <w:sz w:val="21"/>
                <w:szCs w:val="21"/>
              </w:rPr>
            </w:pPr>
          </w:p>
        </w:tc>
      </w:tr>
      <w:tr w14:paraId="200C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4139B811">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6</w:t>
            </w:r>
          </w:p>
        </w:tc>
        <w:tc>
          <w:tcPr>
            <w:tcW w:w="3437" w:type="dxa"/>
            <w:shd w:val="clear" w:color="auto" w:fill="auto"/>
            <w:vAlign w:val="center"/>
          </w:tcPr>
          <w:p w14:paraId="1673AB51">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技术服务</w:t>
            </w:r>
          </w:p>
        </w:tc>
        <w:tc>
          <w:tcPr>
            <w:tcW w:w="1200" w:type="dxa"/>
          </w:tcPr>
          <w:p w14:paraId="6E112DAC">
            <w:pPr>
              <w:jc w:val="center"/>
              <w:rPr>
                <w:rFonts w:hint="eastAsia" w:ascii="宋体" w:hAnsi="宋体" w:eastAsia="宋体" w:cs="宋体"/>
                <w:sz w:val="21"/>
                <w:szCs w:val="21"/>
              </w:rPr>
            </w:pPr>
          </w:p>
        </w:tc>
        <w:tc>
          <w:tcPr>
            <w:tcW w:w="1363" w:type="dxa"/>
          </w:tcPr>
          <w:p w14:paraId="518F9F13">
            <w:pPr>
              <w:jc w:val="center"/>
              <w:rPr>
                <w:rFonts w:hint="eastAsia" w:ascii="宋体" w:hAnsi="宋体" w:eastAsia="宋体" w:cs="宋体"/>
                <w:sz w:val="21"/>
                <w:szCs w:val="21"/>
              </w:rPr>
            </w:pPr>
            <w:r>
              <w:rPr>
                <w:rFonts w:hint="eastAsia" w:ascii="宋体" w:hAnsi="宋体" w:eastAsia="宋体" w:cs="宋体"/>
                <w:sz w:val="21"/>
                <w:szCs w:val="21"/>
              </w:rPr>
              <w:t>项</w:t>
            </w:r>
          </w:p>
        </w:tc>
        <w:tc>
          <w:tcPr>
            <w:tcW w:w="1125" w:type="dxa"/>
          </w:tcPr>
          <w:p w14:paraId="6B6E45E9">
            <w:pPr>
              <w:jc w:val="center"/>
              <w:rPr>
                <w:rFonts w:hint="eastAsia" w:ascii="宋体" w:hAnsi="宋体" w:eastAsia="宋体" w:cs="宋体"/>
                <w:sz w:val="21"/>
                <w:szCs w:val="21"/>
              </w:rPr>
            </w:pPr>
            <w:r>
              <w:rPr>
                <w:rFonts w:hint="eastAsia" w:ascii="宋体" w:hAnsi="宋体" w:eastAsia="宋体" w:cs="宋体"/>
                <w:sz w:val="21"/>
                <w:szCs w:val="21"/>
              </w:rPr>
              <w:t>1</w:t>
            </w:r>
          </w:p>
        </w:tc>
        <w:tc>
          <w:tcPr>
            <w:tcW w:w="1350" w:type="dxa"/>
          </w:tcPr>
          <w:p w14:paraId="483AE2FD">
            <w:pPr>
              <w:jc w:val="center"/>
              <w:rPr>
                <w:rFonts w:hint="eastAsia" w:ascii="宋体" w:hAnsi="宋体" w:eastAsia="宋体" w:cs="宋体"/>
                <w:sz w:val="21"/>
                <w:szCs w:val="21"/>
              </w:rPr>
            </w:pPr>
          </w:p>
        </w:tc>
      </w:tr>
      <w:tr w14:paraId="40B9A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378968A8">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7</w:t>
            </w:r>
          </w:p>
        </w:tc>
        <w:tc>
          <w:tcPr>
            <w:tcW w:w="3437" w:type="dxa"/>
            <w:shd w:val="clear" w:color="auto" w:fill="auto"/>
            <w:vAlign w:val="center"/>
          </w:tcPr>
          <w:p w14:paraId="132D4D26">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利旧服务</w:t>
            </w:r>
          </w:p>
        </w:tc>
        <w:tc>
          <w:tcPr>
            <w:tcW w:w="1200" w:type="dxa"/>
          </w:tcPr>
          <w:p w14:paraId="145D5F04">
            <w:pPr>
              <w:jc w:val="center"/>
              <w:rPr>
                <w:rFonts w:hint="eastAsia" w:ascii="宋体" w:hAnsi="宋体" w:eastAsia="宋体" w:cs="宋体"/>
                <w:sz w:val="21"/>
                <w:szCs w:val="21"/>
              </w:rPr>
            </w:pPr>
          </w:p>
        </w:tc>
        <w:tc>
          <w:tcPr>
            <w:tcW w:w="1363" w:type="dxa"/>
          </w:tcPr>
          <w:p w14:paraId="30B8BADA">
            <w:pPr>
              <w:jc w:val="center"/>
              <w:rPr>
                <w:rFonts w:hint="eastAsia" w:ascii="宋体" w:hAnsi="宋体" w:eastAsia="宋体" w:cs="宋体"/>
                <w:sz w:val="21"/>
                <w:szCs w:val="21"/>
              </w:rPr>
            </w:pPr>
            <w:r>
              <w:rPr>
                <w:rFonts w:hint="eastAsia" w:ascii="宋体" w:hAnsi="宋体" w:eastAsia="宋体" w:cs="宋体"/>
                <w:sz w:val="21"/>
                <w:szCs w:val="21"/>
              </w:rPr>
              <w:t>项</w:t>
            </w:r>
          </w:p>
        </w:tc>
        <w:tc>
          <w:tcPr>
            <w:tcW w:w="1125" w:type="dxa"/>
          </w:tcPr>
          <w:p w14:paraId="7C4E0586">
            <w:pPr>
              <w:jc w:val="center"/>
              <w:rPr>
                <w:rFonts w:hint="eastAsia" w:ascii="宋体" w:hAnsi="宋体" w:eastAsia="宋体" w:cs="宋体"/>
                <w:sz w:val="21"/>
                <w:szCs w:val="21"/>
              </w:rPr>
            </w:pPr>
            <w:r>
              <w:rPr>
                <w:rFonts w:hint="eastAsia" w:ascii="宋体" w:hAnsi="宋体" w:eastAsia="宋体" w:cs="宋体"/>
                <w:sz w:val="21"/>
                <w:szCs w:val="21"/>
              </w:rPr>
              <w:t>1</w:t>
            </w:r>
          </w:p>
        </w:tc>
        <w:tc>
          <w:tcPr>
            <w:tcW w:w="1350" w:type="dxa"/>
          </w:tcPr>
          <w:p w14:paraId="3CB401A0">
            <w:pPr>
              <w:jc w:val="center"/>
              <w:rPr>
                <w:rFonts w:hint="eastAsia" w:ascii="宋体" w:hAnsi="宋体" w:eastAsia="宋体" w:cs="宋体"/>
                <w:sz w:val="21"/>
                <w:szCs w:val="21"/>
              </w:rPr>
            </w:pPr>
          </w:p>
        </w:tc>
      </w:tr>
    </w:tbl>
    <w:p w14:paraId="635B0F8C">
      <w:pPr>
        <w:rPr>
          <w:rFonts w:hint="eastAsia" w:ascii="宋体" w:hAnsi="宋体" w:eastAsia="宋体" w:cs="宋体"/>
          <w:sz w:val="21"/>
          <w:szCs w:val="21"/>
        </w:rPr>
      </w:pPr>
    </w:p>
    <w:p w14:paraId="693DF604">
      <w:pPr>
        <w:rPr>
          <w:rFonts w:hint="eastAsia" w:ascii="宋体" w:hAnsi="宋体" w:eastAsia="宋体" w:cs="宋体"/>
          <w:b/>
          <w:bCs/>
          <w:sz w:val="21"/>
          <w:szCs w:val="21"/>
        </w:rPr>
      </w:pPr>
      <w:r>
        <w:rPr>
          <w:rFonts w:hint="eastAsia" w:ascii="宋体" w:hAnsi="宋体" w:eastAsia="宋体" w:cs="宋体"/>
          <w:b/>
          <w:bCs/>
          <w:sz w:val="21"/>
          <w:szCs w:val="21"/>
          <w:lang w:val="en-US" w:eastAsia="zh-CN"/>
        </w:rPr>
        <w:t>一、</w:t>
      </w:r>
      <w:r>
        <w:rPr>
          <w:rFonts w:hint="eastAsia" w:ascii="宋体" w:hAnsi="宋体" w:eastAsia="宋体" w:cs="宋体"/>
          <w:b/>
          <w:bCs/>
          <w:sz w:val="21"/>
          <w:szCs w:val="21"/>
        </w:rPr>
        <w:t>功能参数要求：</w:t>
      </w:r>
    </w:p>
    <w:p w14:paraId="4DC4ABB6">
      <w:pPr>
        <w:pStyle w:val="5"/>
        <w:spacing w:before="156" w:after="156"/>
        <w:rPr>
          <w:rFonts w:hint="eastAsia" w:ascii="宋体" w:hAnsi="宋体" w:eastAsia="宋体" w:cs="宋体"/>
          <w:b/>
          <w:bCs w:val="0"/>
          <w:sz w:val="21"/>
          <w:szCs w:val="21"/>
        </w:rPr>
      </w:pPr>
      <w:r>
        <w:rPr>
          <w:rFonts w:hint="eastAsia" w:ascii="宋体" w:hAnsi="宋体" w:eastAsia="宋体" w:cs="宋体"/>
          <w:b/>
          <w:bCs w:val="0"/>
          <w:sz w:val="21"/>
          <w:szCs w:val="21"/>
          <w:lang w:val="en-US" w:eastAsia="zh-CN"/>
        </w:rPr>
        <w:t>1.</w:t>
      </w:r>
      <w:r>
        <w:rPr>
          <w:rFonts w:hint="eastAsia" w:ascii="宋体" w:hAnsi="宋体" w:eastAsia="宋体" w:cs="宋体"/>
          <w:b/>
          <w:bCs w:val="0"/>
          <w:sz w:val="21"/>
          <w:szCs w:val="21"/>
        </w:rPr>
        <w:t>移动护理管理系统</w:t>
      </w:r>
    </w:p>
    <w:p w14:paraId="026310BC">
      <w:pPr>
        <w:pStyle w:val="7"/>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技术要求</w:t>
      </w:r>
    </w:p>
    <w:p w14:paraId="02A8D83E">
      <w:pPr>
        <w:tabs>
          <w:tab w:val="left" w:pos="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★一、需要有BS架构的应用管理平台：</w:t>
      </w:r>
    </w:p>
    <w:p w14:paraId="5A6A564D">
      <w:pPr>
        <w:tabs>
          <w:tab w:val="left" w:pos="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1、通过管理平台，可以在线部署应用，可以对外部接口应用和主应用进行分离部署</w:t>
      </w:r>
    </w:p>
    <w:p w14:paraId="69D440BC">
      <w:pPr>
        <w:tabs>
          <w:tab w:val="left" w:pos="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2、通过管理平台，可以监控Java的线程、内存等的运行状态，需集成Arthas工具，能查看具体的类加载信息、方法执行监控等</w:t>
      </w:r>
    </w:p>
    <w:p w14:paraId="315A82E5">
      <w:pPr>
        <w:tabs>
          <w:tab w:val="left" w:pos="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3、通过管理平台，可以对应用进行升级或者降级；可以对数据库脚本进行执行</w:t>
      </w:r>
    </w:p>
    <w:p w14:paraId="028F89EB">
      <w:pPr>
        <w:tabs>
          <w:tab w:val="left" w:pos="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4、通过管理平台，可以下载日志或者在线查看、检索系统日志</w:t>
      </w:r>
    </w:p>
    <w:p w14:paraId="20BA759B">
      <w:pPr>
        <w:tabs>
          <w:tab w:val="left" w:pos="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★二、需要有BS架构的报表制作工具：</w:t>
      </w:r>
    </w:p>
    <w:p w14:paraId="7DCBD92B">
      <w:pPr>
        <w:tabs>
          <w:tab w:val="left" w:pos="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1、通过报表工具制作的单体报表，能跨越多个数据源</w:t>
      </w:r>
    </w:p>
    <w:p w14:paraId="2EB8CCB7">
      <w:pPr>
        <w:tabs>
          <w:tab w:val="left" w:pos="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2、通过报表工具制作的单张报表，能进行数据穿透，比如选择“入院人数”时，能查看具体的入院人的详细详细</w:t>
      </w:r>
    </w:p>
    <w:p w14:paraId="59007996">
      <w:pPr>
        <w:tabs>
          <w:tab w:val="left" w:pos="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3、接口工具制作的报表能和具体的业务应用进行无缝的权限、菜单等集成；也能支持单独部署报表系统</w:t>
      </w:r>
    </w:p>
    <w:p w14:paraId="470A3B44">
      <w:pPr>
        <w:pStyle w:val="7"/>
        <w:rPr>
          <w:rFonts w:hint="eastAsia" w:ascii="宋体" w:hAnsi="宋体" w:eastAsia="宋体" w:cs="宋体"/>
          <w:sz w:val="21"/>
          <w:szCs w:val="21"/>
        </w:rPr>
      </w:pPr>
      <w:r>
        <w:rPr>
          <w:rFonts w:hint="eastAsia" w:ascii="宋体" w:hAnsi="宋体" w:eastAsia="宋体" w:cs="宋体"/>
          <w:sz w:val="21"/>
          <w:szCs w:val="21"/>
          <w:lang w:val="en-US" w:eastAsia="zh-CN"/>
        </w:rPr>
        <w:t>1.1.2</w:t>
      </w:r>
      <w:r>
        <w:rPr>
          <w:rFonts w:hint="eastAsia" w:ascii="宋体" w:hAnsi="宋体" w:eastAsia="宋体" w:cs="宋体"/>
          <w:sz w:val="21"/>
          <w:szCs w:val="21"/>
        </w:rPr>
        <w:t>功能清单</w:t>
      </w:r>
    </w:p>
    <w:tbl>
      <w:tblPr>
        <w:tblStyle w:val="42"/>
        <w:tblW w:w="0" w:type="auto"/>
        <w:tblInd w:w="93" w:type="dxa"/>
        <w:tblLayout w:type="autofit"/>
        <w:tblCellMar>
          <w:top w:w="0" w:type="dxa"/>
          <w:left w:w="108" w:type="dxa"/>
          <w:bottom w:w="0" w:type="dxa"/>
          <w:right w:w="108" w:type="dxa"/>
        </w:tblCellMar>
      </w:tblPr>
      <w:tblGrid>
        <w:gridCol w:w="438"/>
        <w:gridCol w:w="437"/>
        <w:gridCol w:w="2110"/>
        <w:gridCol w:w="6550"/>
      </w:tblGrid>
      <w:tr w14:paraId="3DB4907F">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vAlign w:val="bottom"/>
          </w:tcPr>
          <w:p w14:paraId="511A1F84">
            <w:pPr>
              <w:widowControl/>
              <w:jc w:val="left"/>
              <w:textAlignment w:val="bottom"/>
              <w:rPr>
                <w:rFonts w:hint="eastAsia" w:ascii="宋体" w:hAnsi="宋体" w:eastAsia="宋体" w:cs="宋体"/>
                <w:b/>
                <w:bCs/>
                <w:sz w:val="21"/>
                <w:szCs w:val="21"/>
              </w:rPr>
            </w:pPr>
            <w:r>
              <w:rPr>
                <w:rFonts w:hint="eastAsia" w:ascii="宋体" w:hAnsi="宋体" w:eastAsia="宋体" w:cs="宋体"/>
                <w:b/>
                <w:bCs/>
                <w:kern w:val="0"/>
                <w:sz w:val="21"/>
                <w:szCs w:val="21"/>
                <w:lang w:bidi="ar"/>
              </w:rPr>
              <w:t>模块</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14:paraId="692F4F41">
            <w:pPr>
              <w:widowControl/>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bidi="ar"/>
              </w:rPr>
              <w:t>子模块</w:t>
            </w:r>
          </w:p>
        </w:tc>
        <w:tc>
          <w:tcPr>
            <w:tcW w:w="0" w:type="auto"/>
            <w:tcBorders>
              <w:top w:val="single" w:color="000000" w:sz="4" w:space="0"/>
              <w:left w:val="single" w:color="000000" w:sz="4" w:space="0"/>
              <w:bottom w:val="single" w:color="000000" w:sz="4" w:space="0"/>
              <w:right w:val="single" w:color="000000" w:sz="4" w:space="0"/>
            </w:tcBorders>
            <w:vAlign w:val="bottom"/>
          </w:tcPr>
          <w:p w14:paraId="2D421FEE">
            <w:pPr>
              <w:widowControl/>
              <w:jc w:val="center"/>
              <w:textAlignment w:val="bottom"/>
              <w:rPr>
                <w:rFonts w:hint="eastAsia" w:ascii="宋体" w:hAnsi="宋体" w:eastAsia="宋体" w:cs="宋体"/>
                <w:b/>
                <w:bCs/>
                <w:sz w:val="21"/>
                <w:szCs w:val="21"/>
              </w:rPr>
            </w:pPr>
            <w:r>
              <w:rPr>
                <w:rFonts w:hint="eastAsia" w:ascii="宋体" w:hAnsi="宋体" w:eastAsia="宋体" w:cs="宋体"/>
                <w:b/>
                <w:bCs/>
                <w:kern w:val="0"/>
                <w:sz w:val="21"/>
                <w:szCs w:val="21"/>
                <w:lang w:bidi="ar"/>
              </w:rPr>
              <w:t>功能说明</w:t>
            </w:r>
          </w:p>
        </w:tc>
      </w:tr>
      <w:tr w14:paraId="3385EBAD">
        <w:tblPrEx>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6369439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系统管理</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7944476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系统设置</w:t>
            </w:r>
          </w:p>
        </w:tc>
        <w:tc>
          <w:tcPr>
            <w:tcW w:w="0" w:type="auto"/>
            <w:tcBorders>
              <w:top w:val="single" w:color="000000" w:sz="4" w:space="0"/>
              <w:left w:val="single" w:color="000000" w:sz="4" w:space="0"/>
              <w:bottom w:val="single" w:color="000000" w:sz="4" w:space="0"/>
              <w:right w:val="single" w:color="000000" w:sz="4" w:space="0"/>
            </w:tcBorders>
            <w:vAlign w:val="center"/>
          </w:tcPr>
          <w:p w14:paraId="6204801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用户设置</w:t>
            </w:r>
          </w:p>
        </w:tc>
        <w:tc>
          <w:tcPr>
            <w:tcW w:w="0" w:type="auto"/>
            <w:tcBorders>
              <w:top w:val="single" w:color="000000" w:sz="4" w:space="0"/>
              <w:left w:val="single" w:color="000000" w:sz="4" w:space="0"/>
              <w:bottom w:val="single" w:color="000000" w:sz="4" w:space="0"/>
              <w:right w:val="single" w:color="000000" w:sz="4" w:space="0"/>
            </w:tcBorders>
            <w:vAlign w:val="bottom"/>
          </w:tcPr>
          <w:p w14:paraId="6B90D821">
            <w:pPr>
              <w:widowControl/>
              <w:jc w:val="left"/>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支持创建用户；支持重置密码、支持同步获取his系统账户、支持批量修改账号角色</w:t>
            </w:r>
          </w:p>
        </w:tc>
      </w:tr>
      <w:tr w14:paraId="6C16EFC7">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7AA1A26">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94431D4">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427FBC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角色设置</w:t>
            </w:r>
          </w:p>
        </w:tc>
        <w:tc>
          <w:tcPr>
            <w:tcW w:w="0" w:type="auto"/>
            <w:tcBorders>
              <w:top w:val="single" w:color="000000" w:sz="4" w:space="0"/>
              <w:left w:val="single" w:color="000000" w:sz="4" w:space="0"/>
              <w:bottom w:val="single" w:color="000000" w:sz="4" w:space="0"/>
              <w:right w:val="single" w:color="000000" w:sz="4" w:space="0"/>
            </w:tcBorders>
            <w:vAlign w:val="center"/>
          </w:tcPr>
          <w:p w14:paraId="334B8E3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支持系统角色设置，如护士、护士长、管理员等</w:t>
            </w:r>
          </w:p>
        </w:tc>
      </w:tr>
      <w:tr w14:paraId="7671F703">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5283985">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B20421C">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8A14D9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科室/病区设置</w:t>
            </w:r>
          </w:p>
        </w:tc>
        <w:tc>
          <w:tcPr>
            <w:tcW w:w="0" w:type="auto"/>
            <w:tcBorders>
              <w:top w:val="single" w:color="000000" w:sz="4" w:space="0"/>
              <w:left w:val="single" w:color="000000" w:sz="4" w:space="0"/>
              <w:bottom w:val="single" w:color="000000" w:sz="4" w:space="0"/>
              <w:right w:val="single" w:color="000000" w:sz="4" w:space="0"/>
            </w:tcBorders>
            <w:vAlign w:val="bottom"/>
          </w:tcPr>
          <w:p w14:paraId="0F09113B">
            <w:pPr>
              <w:widowControl/>
              <w:jc w:val="left"/>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支持系统中需要使用的科室、病区进行设置，支持同步获取his科室、病区信息</w:t>
            </w:r>
          </w:p>
        </w:tc>
      </w:tr>
      <w:tr w14:paraId="088C1B1A">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F4F0CFB">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CD42FA8">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46079C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菜单配置</w:t>
            </w:r>
          </w:p>
        </w:tc>
        <w:tc>
          <w:tcPr>
            <w:tcW w:w="0" w:type="auto"/>
            <w:tcBorders>
              <w:top w:val="single" w:color="000000" w:sz="4" w:space="0"/>
              <w:left w:val="single" w:color="000000" w:sz="4" w:space="0"/>
              <w:bottom w:val="single" w:color="000000" w:sz="4" w:space="0"/>
              <w:right w:val="single" w:color="000000" w:sz="4" w:space="0"/>
            </w:tcBorders>
            <w:vAlign w:val="bottom"/>
          </w:tcPr>
          <w:p w14:paraId="4AAC5726">
            <w:pPr>
              <w:widowControl/>
              <w:jc w:val="left"/>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用户可通过配置来调整功能菜单显示的位置</w:t>
            </w:r>
          </w:p>
        </w:tc>
      </w:tr>
      <w:tr w14:paraId="1813D7F7">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DBB14D0">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A0CBE1E">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0678A6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护理文书配置</w:t>
            </w:r>
          </w:p>
        </w:tc>
        <w:tc>
          <w:tcPr>
            <w:tcW w:w="0" w:type="auto"/>
            <w:tcBorders>
              <w:top w:val="single" w:color="000000" w:sz="4" w:space="0"/>
              <w:left w:val="single" w:color="000000" w:sz="4" w:space="0"/>
              <w:bottom w:val="single" w:color="000000" w:sz="4" w:space="0"/>
              <w:right w:val="single" w:color="000000" w:sz="4" w:space="0"/>
            </w:tcBorders>
            <w:vAlign w:val="bottom"/>
          </w:tcPr>
          <w:p w14:paraId="267DE880">
            <w:pPr>
              <w:widowControl/>
              <w:jc w:val="left"/>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用户可进行护理文书内容、显示方式、打印样式进行配置</w:t>
            </w:r>
          </w:p>
        </w:tc>
      </w:tr>
      <w:tr w14:paraId="50DF857C">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A523477">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6022412">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AB92DE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标签条码配置</w:t>
            </w:r>
          </w:p>
        </w:tc>
        <w:tc>
          <w:tcPr>
            <w:tcW w:w="0" w:type="auto"/>
            <w:tcBorders>
              <w:top w:val="single" w:color="000000" w:sz="4" w:space="0"/>
              <w:left w:val="single" w:color="000000" w:sz="4" w:space="0"/>
              <w:bottom w:val="single" w:color="000000" w:sz="4" w:space="0"/>
              <w:right w:val="single" w:color="000000" w:sz="4" w:space="0"/>
            </w:tcBorders>
            <w:vAlign w:val="bottom"/>
          </w:tcPr>
          <w:p w14:paraId="3FBFECBB">
            <w:pPr>
              <w:widowControl/>
              <w:jc w:val="left"/>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用户可进行系统使用中的标签、条码格式内容进行配置</w:t>
            </w:r>
          </w:p>
        </w:tc>
      </w:tr>
      <w:tr w14:paraId="15D9F627">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337DC6D">
            <w:pPr>
              <w:jc w:val="center"/>
              <w:rPr>
                <w:rFonts w:hint="eastAsia" w:ascii="宋体" w:hAnsi="宋体" w:eastAsia="宋体" w:cs="宋体"/>
                <w:color w:val="000000"/>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73AE297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安全管理</w:t>
            </w:r>
          </w:p>
        </w:tc>
        <w:tc>
          <w:tcPr>
            <w:tcW w:w="0" w:type="auto"/>
            <w:tcBorders>
              <w:top w:val="single" w:color="000000" w:sz="4" w:space="0"/>
              <w:left w:val="single" w:color="000000" w:sz="4" w:space="0"/>
              <w:bottom w:val="single" w:color="000000" w:sz="4" w:space="0"/>
              <w:right w:val="single" w:color="000000" w:sz="4" w:space="0"/>
            </w:tcBorders>
            <w:vAlign w:val="center"/>
          </w:tcPr>
          <w:p w14:paraId="519934C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权限管理</w:t>
            </w:r>
          </w:p>
        </w:tc>
        <w:tc>
          <w:tcPr>
            <w:tcW w:w="0" w:type="auto"/>
            <w:tcBorders>
              <w:top w:val="single" w:color="000000" w:sz="4" w:space="0"/>
              <w:left w:val="single" w:color="000000" w:sz="4" w:space="0"/>
              <w:bottom w:val="single" w:color="000000" w:sz="4" w:space="0"/>
              <w:right w:val="single" w:color="000000" w:sz="4" w:space="0"/>
            </w:tcBorders>
            <w:vAlign w:val="bottom"/>
          </w:tcPr>
          <w:p w14:paraId="65CFFEE6">
            <w:pPr>
              <w:widowControl/>
              <w:jc w:val="left"/>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支持对所有用户进行权限管理，可控制用户访问科室/病区、功能模块</w:t>
            </w:r>
          </w:p>
        </w:tc>
      </w:tr>
      <w:tr w14:paraId="0E98B663">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80E6B39">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54F0273">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5D0BAF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登录管理</w:t>
            </w:r>
          </w:p>
        </w:tc>
        <w:tc>
          <w:tcPr>
            <w:tcW w:w="0" w:type="auto"/>
            <w:tcBorders>
              <w:top w:val="single" w:color="000000" w:sz="4" w:space="0"/>
              <w:left w:val="single" w:color="000000" w:sz="4" w:space="0"/>
              <w:bottom w:val="single" w:color="000000" w:sz="4" w:space="0"/>
              <w:right w:val="single" w:color="000000" w:sz="4" w:space="0"/>
            </w:tcBorders>
            <w:vAlign w:val="bottom"/>
          </w:tcPr>
          <w:p w14:paraId="437D1F8C">
            <w:pPr>
              <w:widowControl/>
              <w:jc w:val="left"/>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用户根据所赋予的权限，进行系统登录</w:t>
            </w:r>
          </w:p>
        </w:tc>
      </w:tr>
      <w:tr w14:paraId="3D52FBCC">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984F41D">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445B5C5">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088DD8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单点登录</w:t>
            </w:r>
          </w:p>
        </w:tc>
        <w:tc>
          <w:tcPr>
            <w:tcW w:w="0" w:type="auto"/>
            <w:tcBorders>
              <w:top w:val="single" w:color="000000" w:sz="4" w:space="0"/>
              <w:left w:val="single" w:color="000000" w:sz="4" w:space="0"/>
              <w:bottom w:val="single" w:color="000000" w:sz="4" w:space="0"/>
              <w:right w:val="single" w:color="000000" w:sz="4" w:space="0"/>
            </w:tcBorders>
            <w:vAlign w:val="center"/>
          </w:tcPr>
          <w:p w14:paraId="5E26512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支持集成到第三方平台，免输用户名和密码，自动登录到护理系统</w:t>
            </w:r>
          </w:p>
        </w:tc>
      </w:tr>
      <w:tr w14:paraId="5E93D3A3">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BE496BE">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CF83ED7">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5048E8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二维码扫描登陆</w:t>
            </w:r>
          </w:p>
        </w:tc>
        <w:tc>
          <w:tcPr>
            <w:tcW w:w="0" w:type="auto"/>
            <w:tcBorders>
              <w:top w:val="single" w:color="000000" w:sz="4" w:space="0"/>
              <w:left w:val="single" w:color="000000" w:sz="4" w:space="0"/>
              <w:bottom w:val="single" w:color="000000" w:sz="4" w:space="0"/>
              <w:right w:val="single" w:color="000000" w:sz="4" w:space="0"/>
            </w:tcBorders>
            <w:vAlign w:val="center"/>
          </w:tcPr>
          <w:p w14:paraId="6EF0A44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支持扫描用户身份码（工牌码）登录系统</w:t>
            </w:r>
          </w:p>
        </w:tc>
      </w:tr>
      <w:tr w14:paraId="567F599C">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379FDBD">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810E1FD">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21BDBD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时间管理</w:t>
            </w:r>
          </w:p>
        </w:tc>
        <w:tc>
          <w:tcPr>
            <w:tcW w:w="0" w:type="auto"/>
            <w:tcBorders>
              <w:top w:val="single" w:color="000000" w:sz="4" w:space="0"/>
              <w:left w:val="single" w:color="000000" w:sz="4" w:space="0"/>
              <w:bottom w:val="single" w:color="000000" w:sz="4" w:space="0"/>
              <w:right w:val="single" w:color="000000" w:sz="4" w:space="0"/>
            </w:tcBorders>
            <w:vAlign w:val="bottom"/>
          </w:tcPr>
          <w:p w14:paraId="5FCC029B">
            <w:pPr>
              <w:widowControl/>
              <w:jc w:val="left"/>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支持客户端自动同步服务器时间</w:t>
            </w:r>
          </w:p>
        </w:tc>
      </w:tr>
      <w:tr w14:paraId="439E2C6F">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70AC7E7">
            <w:pPr>
              <w:jc w:val="center"/>
              <w:rPr>
                <w:rFonts w:hint="eastAsia" w:ascii="宋体" w:hAnsi="宋体" w:eastAsia="宋体" w:cs="宋体"/>
                <w:color w:val="000000"/>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3B3EF1C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系统助手</w:t>
            </w:r>
          </w:p>
        </w:tc>
        <w:tc>
          <w:tcPr>
            <w:tcW w:w="0" w:type="auto"/>
            <w:tcBorders>
              <w:top w:val="single" w:color="000000" w:sz="4" w:space="0"/>
              <w:left w:val="single" w:color="000000" w:sz="4" w:space="0"/>
              <w:bottom w:val="single" w:color="000000" w:sz="4" w:space="0"/>
              <w:right w:val="single" w:color="000000" w:sz="4" w:space="0"/>
            </w:tcBorders>
            <w:vAlign w:val="center"/>
          </w:tcPr>
          <w:p w14:paraId="153C5B9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消息管理</w:t>
            </w:r>
          </w:p>
        </w:tc>
        <w:tc>
          <w:tcPr>
            <w:tcW w:w="0" w:type="auto"/>
            <w:tcBorders>
              <w:top w:val="single" w:color="000000" w:sz="4" w:space="0"/>
              <w:left w:val="single" w:color="000000" w:sz="4" w:space="0"/>
              <w:bottom w:val="single" w:color="000000" w:sz="4" w:space="0"/>
              <w:right w:val="single" w:color="000000" w:sz="4" w:space="0"/>
            </w:tcBorders>
            <w:vAlign w:val="bottom"/>
          </w:tcPr>
          <w:p w14:paraId="61002A0D">
            <w:pPr>
              <w:widowControl/>
              <w:jc w:val="left"/>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支持PC客户端上维护好相应的提醒事件及时间，用户在PDA上选择相应提醒事件，当PDA到达预设的时间点后能够通过消息和振铃提醒用户</w:t>
            </w:r>
          </w:p>
        </w:tc>
      </w:tr>
      <w:tr w14:paraId="1F4AB6F9">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DBCEFCC">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08DEC64">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D36D88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系统通知</w:t>
            </w:r>
          </w:p>
        </w:tc>
        <w:tc>
          <w:tcPr>
            <w:tcW w:w="0" w:type="auto"/>
            <w:tcBorders>
              <w:top w:val="single" w:color="000000" w:sz="4" w:space="0"/>
              <w:left w:val="single" w:color="000000" w:sz="4" w:space="0"/>
              <w:bottom w:val="single" w:color="000000" w:sz="4" w:space="0"/>
              <w:right w:val="single" w:color="000000" w:sz="4" w:space="0"/>
            </w:tcBorders>
            <w:vAlign w:val="bottom"/>
          </w:tcPr>
          <w:p w14:paraId="3A9E4266">
            <w:pPr>
              <w:widowControl/>
              <w:jc w:val="left"/>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可在系统内发布通知，以显目的方式提醒用户，并可查看通知</w:t>
            </w:r>
          </w:p>
        </w:tc>
      </w:tr>
      <w:tr w14:paraId="6FADE59E">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0C42FE1">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6A0A4B6">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5A7AA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病区切换</w:t>
            </w:r>
          </w:p>
        </w:tc>
        <w:tc>
          <w:tcPr>
            <w:tcW w:w="0" w:type="auto"/>
            <w:tcBorders>
              <w:top w:val="single" w:color="000000" w:sz="4" w:space="0"/>
              <w:left w:val="single" w:color="000000" w:sz="4" w:space="0"/>
              <w:bottom w:val="single" w:color="000000" w:sz="4" w:space="0"/>
              <w:right w:val="single" w:color="000000" w:sz="4" w:space="0"/>
            </w:tcBorders>
            <w:vAlign w:val="bottom"/>
          </w:tcPr>
          <w:p w14:paraId="05932B0B">
            <w:pPr>
              <w:widowControl/>
              <w:jc w:val="left"/>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拥有多个病区权限用户，能够快捷切换病区</w:t>
            </w:r>
          </w:p>
        </w:tc>
      </w:tr>
      <w:tr w14:paraId="532B1D3C">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7D430E7">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3D96B3B">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09D433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屏幕锁定</w:t>
            </w:r>
          </w:p>
        </w:tc>
        <w:tc>
          <w:tcPr>
            <w:tcW w:w="0" w:type="auto"/>
            <w:tcBorders>
              <w:top w:val="single" w:color="000000" w:sz="4" w:space="0"/>
              <w:left w:val="single" w:color="000000" w:sz="4" w:space="0"/>
              <w:bottom w:val="single" w:color="000000" w:sz="4" w:space="0"/>
              <w:right w:val="single" w:color="000000" w:sz="4" w:space="0"/>
            </w:tcBorders>
            <w:vAlign w:val="bottom"/>
          </w:tcPr>
          <w:p w14:paraId="7C249DA9">
            <w:pPr>
              <w:widowControl/>
              <w:jc w:val="left"/>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用户登录系统后超过一定时间未操作，客户端退出到登录界面（时间可以设定）</w:t>
            </w:r>
          </w:p>
        </w:tc>
      </w:tr>
      <w:tr w14:paraId="17DF4CBC">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8A76E65">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9E063DD">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42AD87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异常留痕</w:t>
            </w:r>
          </w:p>
        </w:tc>
        <w:tc>
          <w:tcPr>
            <w:tcW w:w="0" w:type="auto"/>
            <w:tcBorders>
              <w:top w:val="single" w:color="000000" w:sz="4" w:space="0"/>
              <w:left w:val="single" w:color="000000" w:sz="4" w:space="0"/>
              <w:bottom w:val="single" w:color="000000" w:sz="4" w:space="0"/>
              <w:right w:val="single" w:color="000000" w:sz="4" w:space="0"/>
            </w:tcBorders>
            <w:vAlign w:val="bottom"/>
          </w:tcPr>
          <w:p w14:paraId="50E65340">
            <w:pPr>
              <w:widowControl/>
              <w:jc w:val="left"/>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用户使用系统过程中存在异常操作，系统将进行记录，如药品信息与患者不匹配</w:t>
            </w:r>
          </w:p>
        </w:tc>
      </w:tr>
      <w:tr w14:paraId="5A745C1B">
        <w:tblPrEx>
          <w:tblCellMar>
            <w:top w:w="0" w:type="dxa"/>
            <w:left w:w="108" w:type="dxa"/>
            <w:bottom w:w="0" w:type="dxa"/>
            <w:right w:w="108" w:type="dxa"/>
          </w:tblCellMar>
        </w:tblPrEx>
        <w:trPr>
          <w:trHeight w:val="690"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090C79F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患者管理</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06E0BD1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患者信息管理</w:t>
            </w:r>
          </w:p>
        </w:tc>
        <w:tc>
          <w:tcPr>
            <w:tcW w:w="0" w:type="auto"/>
            <w:tcBorders>
              <w:top w:val="single" w:color="000000" w:sz="4" w:space="0"/>
              <w:left w:val="single" w:color="000000" w:sz="4" w:space="0"/>
              <w:bottom w:val="single" w:color="000000" w:sz="4" w:space="0"/>
              <w:right w:val="single" w:color="000000" w:sz="4" w:space="0"/>
            </w:tcBorders>
            <w:vAlign w:val="center"/>
          </w:tcPr>
          <w:p w14:paraId="27EEE07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患者信息</w:t>
            </w:r>
          </w:p>
        </w:tc>
        <w:tc>
          <w:tcPr>
            <w:tcW w:w="0" w:type="auto"/>
            <w:tcBorders>
              <w:top w:val="single" w:color="000000" w:sz="4" w:space="0"/>
              <w:left w:val="single" w:color="000000" w:sz="4" w:space="0"/>
              <w:bottom w:val="single" w:color="000000" w:sz="4" w:space="0"/>
              <w:right w:val="single" w:color="000000" w:sz="4" w:space="0"/>
            </w:tcBorders>
            <w:vAlign w:val="bottom"/>
          </w:tcPr>
          <w:p w14:paraId="15BE5541">
            <w:pPr>
              <w:widowControl/>
              <w:jc w:val="left"/>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根据医院第三方系统能提供的字段显示患者基本信息，包括：姓名、性别、床号、护理级别、联系方式、住址、身份证号、主治医生、诊断、饮食、过敏史并在简卡上以图标形式显示患者状态</w:t>
            </w:r>
          </w:p>
        </w:tc>
      </w:tr>
      <w:tr w14:paraId="3EFDB56B">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D6D29D2">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256BBD3">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61CFDF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移动端病区病人一览表</w:t>
            </w:r>
          </w:p>
        </w:tc>
        <w:tc>
          <w:tcPr>
            <w:tcW w:w="0" w:type="auto"/>
            <w:tcBorders>
              <w:top w:val="single" w:color="000000" w:sz="4" w:space="0"/>
              <w:left w:val="single" w:color="000000" w:sz="4" w:space="0"/>
              <w:bottom w:val="single" w:color="000000" w:sz="4" w:space="0"/>
              <w:right w:val="single" w:color="000000" w:sz="4" w:space="0"/>
            </w:tcBorders>
            <w:vAlign w:val="bottom"/>
          </w:tcPr>
          <w:p w14:paraId="015B7538">
            <w:pPr>
              <w:widowControl/>
              <w:jc w:val="left"/>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用户登陆移动设备后，可以根据所属护理单元查看在区病人，本界面使用数据行的形式显示：病人姓名、床号、护理级别和是否体温过高</w:t>
            </w:r>
          </w:p>
        </w:tc>
      </w:tr>
      <w:tr w14:paraId="2E367BFF">
        <w:tblPrEx>
          <w:tblCellMar>
            <w:top w:w="0" w:type="dxa"/>
            <w:left w:w="108" w:type="dxa"/>
            <w:bottom w:w="0" w:type="dxa"/>
            <w:right w:w="108" w:type="dxa"/>
          </w:tblCellMar>
        </w:tblPrEx>
        <w:trPr>
          <w:trHeight w:val="103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1B1FBDC">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EC0B4EE">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09789C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PC端病区床位一览卡</w:t>
            </w:r>
          </w:p>
        </w:tc>
        <w:tc>
          <w:tcPr>
            <w:tcW w:w="0" w:type="auto"/>
            <w:tcBorders>
              <w:top w:val="single" w:color="000000" w:sz="4" w:space="0"/>
              <w:left w:val="single" w:color="000000" w:sz="4" w:space="0"/>
              <w:bottom w:val="single" w:color="000000" w:sz="4" w:space="0"/>
              <w:right w:val="single" w:color="000000" w:sz="4" w:space="0"/>
            </w:tcBorders>
            <w:vAlign w:val="bottom"/>
          </w:tcPr>
          <w:p w14:paraId="787DD64D">
            <w:pPr>
              <w:widowControl/>
              <w:jc w:val="left"/>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用户登陆护理系统PC端后，可以根据所属护理单元查看在区病人。可以用床位卡的形式表现：姓名、性别、床号、护理级别、是否体温过高和待进行手术（需手术预约系统配合，或从手术医嘱获取）</w:t>
            </w:r>
          </w:p>
        </w:tc>
      </w:tr>
      <w:tr w14:paraId="0F725AE8">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14C3134">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3891A33">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319E76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患者费用查看</w:t>
            </w:r>
          </w:p>
        </w:tc>
        <w:tc>
          <w:tcPr>
            <w:tcW w:w="0" w:type="auto"/>
            <w:tcBorders>
              <w:top w:val="single" w:color="000000" w:sz="4" w:space="0"/>
              <w:left w:val="single" w:color="000000" w:sz="4" w:space="0"/>
              <w:bottom w:val="single" w:color="000000" w:sz="4" w:space="0"/>
              <w:right w:val="single" w:color="000000" w:sz="4" w:space="0"/>
            </w:tcBorders>
            <w:vAlign w:val="center"/>
          </w:tcPr>
          <w:p w14:paraId="301588F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支持查看患者的费用总额、已缴费用、欠费</w:t>
            </w:r>
          </w:p>
        </w:tc>
      </w:tr>
      <w:tr w14:paraId="00FE360C">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D4510C5">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CC9168C">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D91A77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患者筛选</w:t>
            </w:r>
          </w:p>
        </w:tc>
        <w:tc>
          <w:tcPr>
            <w:tcW w:w="0" w:type="auto"/>
            <w:tcBorders>
              <w:top w:val="single" w:color="000000" w:sz="4" w:space="0"/>
              <w:left w:val="single" w:color="000000" w:sz="4" w:space="0"/>
              <w:bottom w:val="single" w:color="000000" w:sz="4" w:space="0"/>
              <w:right w:val="single" w:color="000000" w:sz="4" w:space="0"/>
            </w:tcBorders>
            <w:vAlign w:val="center"/>
          </w:tcPr>
          <w:p w14:paraId="23D6AFB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支持分类显示不同患者列表，各个护理级别患者列表，危重患者列表，高温、跌倒风险、压疮风险患者</w:t>
            </w:r>
          </w:p>
        </w:tc>
      </w:tr>
      <w:tr w14:paraId="6CCF288E">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AA8E08F">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12C0ED8">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F205AA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患者风险标识</w:t>
            </w:r>
          </w:p>
        </w:tc>
        <w:tc>
          <w:tcPr>
            <w:tcW w:w="0" w:type="auto"/>
            <w:tcBorders>
              <w:top w:val="single" w:color="000000" w:sz="4" w:space="0"/>
              <w:left w:val="single" w:color="000000" w:sz="4" w:space="0"/>
              <w:bottom w:val="single" w:color="000000" w:sz="4" w:space="0"/>
              <w:right w:val="single" w:color="000000" w:sz="4" w:space="0"/>
            </w:tcBorders>
            <w:vAlign w:val="center"/>
          </w:tcPr>
          <w:p w14:paraId="4829C3D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支持在患者简卡上以图标的形式显示患者风险信息：高温、烫伤风险高危、跌倒/坠床高危、压疮高危、VTE</w:t>
            </w:r>
          </w:p>
        </w:tc>
      </w:tr>
      <w:tr w14:paraId="32DD699A">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4686AC4">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36CAB8C">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9AA4BC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患者分组</w:t>
            </w:r>
          </w:p>
        </w:tc>
        <w:tc>
          <w:tcPr>
            <w:tcW w:w="0" w:type="auto"/>
            <w:tcBorders>
              <w:top w:val="single" w:color="000000" w:sz="4" w:space="0"/>
              <w:left w:val="single" w:color="000000" w:sz="4" w:space="0"/>
              <w:bottom w:val="single" w:color="000000" w:sz="4" w:space="0"/>
              <w:right w:val="single" w:color="000000" w:sz="4" w:space="0"/>
            </w:tcBorders>
            <w:vAlign w:val="center"/>
          </w:tcPr>
          <w:p w14:paraId="2E5B604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支持将病区患者进行分组划分，护士可以筛选出属于自己责任组的所有患者，开展临床护理工作</w:t>
            </w:r>
          </w:p>
        </w:tc>
      </w:tr>
      <w:tr w14:paraId="0F00CB4C">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1BE042A">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02C2D2F">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A3DEDF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腕带打印</w:t>
            </w:r>
          </w:p>
        </w:tc>
        <w:tc>
          <w:tcPr>
            <w:tcW w:w="0" w:type="auto"/>
            <w:tcBorders>
              <w:top w:val="single" w:color="000000" w:sz="4" w:space="0"/>
              <w:left w:val="single" w:color="000000" w:sz="4" w:space="0"/>
              <w:bottom w:val="single" w:color="000000" w:sz="4" w:space="0"/>
              <w:right w:val="single" w:color="000000" w:sz="4" w:space="0"/>
            </w:tcBorders>
            <w:vAlign w:val="center"/>
          </w:tcPr>
          <w:p w14:paraId="543CA20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支持患者腕带打印，可支持住院处打印和病区打印两种模式</w:t>
            </w:r>
          </w:p>
        </w:tc>
      </w:tr>
      <w:tr w14:paraId="46E3449C">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E0057">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E470F">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6A701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床头卡打印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73C84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支持打印患者床头卡，用户扫描床头卡可进行护理巡视及床头识别</w:t>
            </w:r>
          </w:p>
        </w:tc>
      </w:tr>
      <w:tr w14:paraId="1576EA59">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6EEE5E0">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502C91F">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DC09AA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患者首页</w:t>
            </w:r>
          </w:p>
        </w:tc>
        <w:tc>
          <w:tcPr>
            <w:tcW w:w="0" w:type="auto"/>
            <w:tcBorders>
              <w:top w:val="single" w:color="000000" w:sz="4" w:space="0"/>
              <w:left w:val="single" w:color="000000" w:sz="4" w:space="0"/>
              <w:bottom w:val="single" w:color="000000" w:sz="4" w:space="0"/>
              <w:right w:val="single" w:color="000000" w:sz="4" w:space="0"/>
            </w:tcBorders>
            <w:vAlign w:val="center"/>
          </w:tcPr>
          <w:p w14:paraId="02DCBA3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患者主页可以显示患者基本信息、今日待执行的护理任务(方便护士执行及核对)、患者历程(入院、手术事件等)、生命体征、护理记录、医嘱执行记录</w:t>
            </w:r>
          </w:p>
        </w:tc>
      </w:tr>
      <w:tr w14:paraId="53B03D53">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7C6B03C">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10C73B7">
            <w:pPr>
              <w:jc w:val="center"/>
              <w:rPr>
                <w:rFonts w:hint="eastAsia" w:ascii="宋体" w:hAnsi="宋体" w:eastAsia="宋体" w:cs="宋体"/>
                <w:color w:val="000000"/>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5D05CFE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患者巡视</w:t>
            </w:r>
          </w:p>
        </w:tc>
        <w:tc>
          <w:tcPr>
            <w:tcW w:w="0" w:type="auto"/>
            <w:tcBorders>
              <w:top w:val="single" w:color="000000" w:sz="4" w:space="0"/>
              <w:left w:val="single" w:color="000000" w:sz="4" w:space="0"/>
              <w:bottom w:val="single" w:color="000000" w:sz="4" w:space="0"/>
              <w:right w:val="single" w:color="000000" w:sz="4" w:space="0"/>
            </w:tcBorders>
            <w:vAlign w:val="center"/>
          </w:tcPr>
          <w:p w14:paraId="1FE8F5A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对扫描患者腕带或床头卡，记录护理等级巡视情况</w:t>
            </w:r>
          </w:p>
        </w:tc>
      </w:tr>
      <w:tr w14:paraId="372EBC0B">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06894EF">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DC48985">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45A7D5B">
            <w:pPr>
              <w:jc w:val="left"/>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E71C75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支持查看患者输液巡视，等级查房巡视结果</w:t>
            </w:r>
          </w:p>
        </w:tc>
      </w:tr>
      <w:tr w14:paraId="59CEF489">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0ACB2F3">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0D5C2CF">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1060BB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患者快速搜索</w:t>
            </w:r>
          </w:p>
        </w:tc>
        <w:tc>
          <w:tcPr>
            <w:tcW w:w="0" w:type="auto"/>
            <w:tcBorders>
              <w:top w:val="single" w:color="000000" w:sz="4" w:space="0"/>
              <w:left w:val="single" w:color="000000" w:sz="4" w:space="0"/>
              <w:bottom w:val="single" w:color="000000" w:sz="4" w:space="0"/>
              <w:right w:val="single" w:color="000000" w:sz="4" w:space="0"/>
            </w:tcBorders>
            <w:vAlign w:val="center"/>
          </w:tcPr>
          <w:p w14:paraId="1B66044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支持根据住院号、姓名等快速查找患者</w:t>
            </w:r>
          </w:p>
        </w:tc>
      </w:tr>
      <w:tr w14:paraId="0ED2561E">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D32D796">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8312C5B">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60E1F8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护理等级统计查询</w:t>
            </w:r>
          </w:p>
        </w:tc>
        <w:tc>
          <w:tcPr>
            <w:tcW w:w="0" w:type="auto"/>
            <w:tcBorders>
              <w:top w:val="single" w:color="000000" w:sz="4" w:space="0"/>
              <w:left w:val="single" w:color="000000" w:sz="4" w:space="0"/>
              <w:bottom w:val="single" w:color="000000" w:sz="4" w:space="0"/>
              <w:right w:val="single" w:color="000000" w:sz="4" w:space="0"/>
            </w:tcBorders>
            <w:vAlign w:val="center"/>
          </w:tcPr>
          <w:p w14:paraId="10D21BF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支持查询并统计即刻时间的护病区患者护理等级，支持打印查询统计结果</w:t>
            </w:r>
          </w:p>
        </w:tc>
      </w:tr>
      <w:tr w14:paraId="0A628C80">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CB8E92F">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6E4DD4B">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5F6286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转科患者查询</w:t>
            </w:r>
          </w:p>
        </w:tc>
        <w:tc>
          <w:tcPr>
            <w:tcW w:w="0" w:type="auto"/>
            <w:tcBorders>
              <w:top w:val="single" w:color="000000" w:sz="4" w:space="0"/>
              <w:left w:val="single" w:color="000000" w:sz="4" w:space="0"/>
              <w:bottom w:val="single" w:color="000000" w:sz="4" w:space="0"/>
              <w:right w:val="single" w:color="000000" w:sz="4" w:space="0"/>
            </w:tcBorders>
            <w:vAlign w:val="center"/>
          </w:tcPr>
          <w:p w14:paraId="0311568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支持患者转科流转记录查询，可通过患者住院号、患者姓名、床号进行查询</w:t>
            </w:r>
          </w:p>
        </w:tc>
      </w:tr>
      <w:tr w14:paraId="679404ED">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896410B">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71DF306">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A6F254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出院患者查询</w:t>
            </w:r>
          </w:p>
        </w:tc>
        <w:tc>
          <w:tcPr>
            <w:tcW w:w="0" w:type="auto"/>
            <w:tcBorders>
              <w:top w:val="single" w:color="000000" w:sz="4" w:space="0"/>
              <w:left w:val="single" w:color="000000" w:sz="4" w:space="0"/>
              <w:bottom w:val="single" w:color="000000" w:sz="4" w:space="0"/>
              <w:right w:val="single" w:color="000000" w:sz="4" w:space="0"/>
            </w:tcBorders>
            <w:vAlign w:val="center"/>
          </w:tcPr>
          <w:p w14:paraId="48D5A2D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支持出院患者记录查询，可通过患者住院号、患者姓名、出院日期进行查询</w:t>
            </w:r>
          </w:p>
        </w:tc>
      </w:tr>
      <w:tr w14:paraId="70669207">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34C4DBC">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D7C993A">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1C1176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检验报告查看</w:t>
            </w:r>
          </w:p>
        </w:tc>
        <w:tc>
          <w:tcPr>
            <w:tcW w:w="0" w:type="auto"/>
            <w:tcBorders>
              <w:top w:val="single" w:color="000000" w:sz="4" w:space="0"/>
              <w:left w:val="single" w:color="000000" w:sz="4" w:space="0"/>
              <w:bottom w:val="single" w:color="000000" w:sz="4" w:space="0"/>
              <w:right w:val="single" w:color="000000" w:sz="4" w:space="0"/>
            </w:tcBorders>
            <w:vAlign w:val="bottom"/>
          </w:tcPr>
          <w:p w14:paraId="526B471F">
            <w:pPr>
              <w:widowControl/>
              <w:jc w:val="left"/>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提供显示患者住院期间检验报告单和报告单明细，检验结果可显示异常值提醒</w:t>
            </w:r>
          </w:p>
        </w:tc>
      </w:tr>
      <w:tr w14:paraId="4F0FA1FC">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0E02256">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D948EBD">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EB3466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检查检验报告查看</w:t>
            </w:r>
          </w:p>
        </w:tc>
        <w:tc>
          <w:tcPr>
            <w:tcW w:w="0" w:type="auto"/>
            <w:tcBorders>
              <w:top w:val="single" w:color="000000" w:sz="4" w:space="0"/>
              <w:left w:val="single" w:color="000000" w:sz="4" w:space="0"/>
              <w:bottom w:val="single" w:color="000000" w:sz="4" w:space="0"/>
              <w:right w:val="single" w:color="000000" w:sz="4" w:space="0"/>
            </w:tcBorders>
            <w:vAlign w:val="bottom"/>
          </w:tcPr>
          <w:p w14:paraId="172B1793">
            <w:pPr>
              <w:widowControl/>
              <w:jc w:val="left"/>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提供检查报告查询功能，包含报告名称、报告类别、报告时间及检查项目和报告具体内容（由于无线网络传输速度问题，不进行pacs图形展示）</w:t>
            </w:r>
          </w:p>
        </w:tc>
      </w:tr>
      <w:tr w14:paraId="16BFB9AD">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65A6A06">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1FCAFBA">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A6C00E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患者护理病历归档</w:t>
            </w:r>
          </w:p>
        </w:tc>
        <w:tc>
          <w:tcPr>
            <w:tcW w:w="0" w:type="auto"/>
            <w:tcBorders>
              <w:top w:val="single" w:color="000000" w:sz="4" w:space="0"/>
              <w:left w:val="single" w:color="000000" w:sz="4" w:space="0"/>
              <w:bottom w:val="single" w:color="000000" w:sz="4" w:space="0"/>
              <w:right w:val="single" w:color="000000" w:sz="4" w:space="0"/>
            </w:tcBorders>
            <w:vAlign w:val="center"/>
          </w:tcPr>
          <w:p w14:paraId="1CFF6DF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支持出院患者的护理病历按照医院要求进行归档</w:t>
            </w:r>
          </w:p>
        </w:tc>
      </w:tr>
      <w:tr w14:paraId="0DBCB75C">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2B2B107">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E4566AF">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86684A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归档病历解锁</w:t>
            </w:r>
          </w:p>
        </w:tc>
        <w:tc>
          <w:tcPr>
            <w:tcW w:w="0" w:type="auto"/>
            <w:tcBorders>
              <w:top w:val="single" w:color="000000" w:sz="4" w:space="0"/>
              <w:left w:val="single" w:color="000000" w:sz="4" w:space="0"/>
              <w:bottom w:val="single" w:color="000000" w:sz="4" w:space="0"/>
              <w:right w:val="single" w:color="000000" w:sz="4" w:space="0"/>
            </w:tcBorders>
            <w:vAlign w:val="center"/>
          </w:tcPr>
          <w:p w14:paraId="1A60697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支持已归档的患者病历解锁操作，解锁后可编辑病历</w:t>
            </w:r>
          </w:p>
        </w:tc>
      </w:tr>
      <w:tr w14:paraId="31EFD0FB">
        <w:tblPrEx>
          <w:tblCellMar>
            <w:top w:w="0" w:type="dxa"/>
            <w:left w:w="108" w:type="dxa"/>
            <w:bottom w:w="0" w:type="dxa"/>
            <w:right w:w="108" w:type="dxa"/>
          </w:tblCellMar>
        </w:tblPrEx>
        <w:trPr>
          <w:trHeight w:val="690"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1D96A79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生命体征</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66C6C60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生命体征管理</w:t>
            </w:r>
          </w:p>
        </w:tc>
        <w:tc>
          <w:tcPr>
            <w:tcW w:w="0" w:type="auto"/>
            <w:tcBorders>
              <w:top w:val="single" w:color="000000" w:sz="4" w:space="0"/>
              <w:left w:val="single" w:color="000000" w:sz="4" w:space="0"/>
              <w:bottom w:val="single" w:color="000000" w:sz="4" w:space="0"/>
              <w:right w:val="single" w:color="000000" w:sz="4" w:space="0"/>
            </w:tcBorders>
            <w:vAlign w:val="center"/>
          </w:tcPr>
          <w:p w14:paraId="6340BEA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体征录入</w:t>
            </w:r>
          </w:p>
        </w:tc>
        <w:tc>
          <w:tcPr>
            <w:tcW w:w="0" w:type="auto"/>
            <w:tcBorders>
              <w:top w:val="single" w:color="000000" w:sz="4" w:space="0"/>
              <w:left w:val="single" w:color="000000" w:sz="4" w:space="0"/>
              <w:bottom w:val="single" w:color="000000" w:sz="4" w:space="0"/>
              <w:right w:val="single" w:color="000000" w:sz="4" w:space="0"/>
            </w:tcBorders>
            <w:vAlign w:val="center"/>
          </w:tcPr>
          <w:p w14:paraId="2A0F006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患者体征信息的床旁实时采集，采集体征信息包括:  体温、脉搏、呼吸、心率、出入液量、血氧饱和度、血压、血糖、身高、疼痛、各种引流管、体重、排便次数等</w:t>
            </w:r>
          </w:p>
        </w:tc>
      </w:tr>
      <w:tr w14:paraId="4CDBC848">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2F21E54">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6616669">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6518CA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体征批量录入</w:t>
            </w:r>
          </w:p>
        </w:tc>
        <w:tc>
          <w:tcPr>
            <w:tcW w:w="0" w:type="auto"/>
            <w:tcBorders>
              <w:top w:val="single" w:color="000000" w:sz="4" w:space="0"/>
              <w:left w:val="single" w:color="000000" w:sz="4" w:space="0"/>
              <w:bottom w:val="single" w:color="000000" w:sz="4" w:space="0"/>
              <w:right w:val="single" w:color="000000" w:sz="4" w:space="0"/>
            </w:tcBorders>
            <w:vAlign w:val="center"/>
          </w:tcPr>
          <w:p w14:paraId="60635E0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支持筛选待测病人，按时间节点测量生命体征，如2、6、10点测量生命体征，批量录入到系统中</w:t>
            </w:r>
          </w:p>
        </w:tc>
      </w:tr>
      <w:tr w14:paraId="138C981E">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4063F2D">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8A38F2A">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B4CFE3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体温单绘制</w:t>
            </w:r>
          </w:p>
        </w:tc>
        <w:tc>
          <w:tcPr>
            <w:tcW w:w="0" w:type="auto"/>
            <w:tcBorders>
              <w:top w:val="single" w:color="000000" w:sz="4" w:space="0"/>
              <w:left w:val="single" w:color="000000" w:sz="4" w:space="0"/>
              <w:bottom w:val="single" w:color="000000" w:sz="4" w:space="0"/>
              <w:right w:val="single" w:color="000000" w:sz="4" w:space="0"/>
            </w:tcBorders>
            <w:vAlign w:val="center"/>
          </w:tcPr>
          <w:p w14:paraId="105C405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根据采集体征数据，按卫健委规定的体温单格式输出，可进行修改、预览、打印</w:t>
            </w:r>
          </w:p>
        </w:tc>
      </w:tr>
      <w:tr w14:paraId="0C5B7522">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6A6FAF8">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AA8310F">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090722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体温单打印</w:t>
            </w:r>
          </w:p>
        </w:tc>
        <w:tc>
          <w:tcPr>
            <w:tcW w:w="0" w:type="auto"/>
            <w:tcBorders>
              <w:top w:val="single" w:color="000000" w:sz="4" w:space="0"/>
              <w:left w:val="single" w:color="000000" w:sz="4" w:space="0"/>
              <w:bottom w:val="single" w:color="000000" w:sz="4" w:space="0"/>
              <w:right w:val="single" w:color="000000" w:sz="4" w:space="0"/>
            </w:tcBorders>
            <w:vAlign w:val="center"/>
          </w:tcPr>
          <w:p w14:paraId="7390545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支持全部打印、单页打印、奇偶页打印和选择页码打印</w:t>
            </w:r>
          </w:p>
        </w:tc>
      </w:tr>
      <w:tr w14:paraId="77221D2B">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57BDE6D">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6A61999">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5EE366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体征异常查询</w:t>
            </w:r>
          </w:p>
        </w:tc>
        <w:tc>
          <w:tcPr>
            <w:tcW w:w="0" w:type="auto"/>
            <w:tcBorders>
              <w:top w:val="single" w:color="000000" w:sz="4" w:space="0"/>
              <w:left w:val="single" w:color="000000" w:sz="4" w:space="0"/>
              <w:bottom w:val="single" w:color="000000" w:sz="4" w:space="0"/>
              <w:right w:val="single" w:color="000000" w:sz="4" w:space="0"/>
            </w:tcBorders>
            <w:vAlign w:val="center"/>
          </w:tcPr>
          <w:p w14:paraId="31F80AC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支持查询指定时间段内体征异常的患者信息</w:t>
            </w:r>
          </w:p>
        </w:tc>
      </w:tr>
      <w:tr w14:paraId="546D84EA">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F0BE0D1">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E0F7ACA">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17BC4D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体征趋势图</w:t>
            </w:r>
          </w:p>
        </w:tc>
        <w:tc>
          <w:tcPr>
            <w:tcW w:w="0" w:type="auto"/>
            <w:tcBorders>
              <w:top w:val="single" w:color="000000" w:sz="4" w:space="0"/>
              <w:left w:val="single" w:color="000000" w:sz="4" w:space="0"/>
              <w:bottom w:val="single" w:color="000000" w:sz="4" w:space="0"/>
              <w:right w:val="single" w:color="000000" w:sz="4" w:space="0"/>
            </w:tcBorders>
            <w:vAlign w:val="center"/>
          </w:tcPr>
          <w:p w14:paraId="464C3A9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查看患者某段时间内某些体征项的趋势图，如体温，血压，脉搏，呼吸等</w:t>
            </w:r>
          </w:p>
        </w:tc>
      </w:tr>
      <w:tr w14:paraId="5A019F13">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4ABD15A">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2BE5F2E">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52AD54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出入量累计</w:t>
            </w:r>
          </w:p>
        </w:tc>
        <w:tc>
          <w:tcPr>
            <w:tcW w:w="0" w:type="auto"/>
            <w:tcBorders>
              <w:top w:val="single" w:color="000000" w:sz="4" w:space="0"/>
              <w:left w:val="single" w:color="000000" w:sz="4" w:space="0"/>
              <w:bottom w:val="single" w:color="000000" w:sz="4" w:space="0"/>
              <w:right w:val="single" w:color="000000" w:sz="4" w:space="0"/>
            </w:tcBorders>
            <w:vAlign w:val="center"/>
          </w:tcPr>
          <w:p w14:paraId="6AFF1B5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系统能汇总计算出入量，如各种输液量、口入量，引流量，痰量，呕吐量，尿量等；护士可根据需要汇总12/24小时出入量</w:t>
            </w:r>
          </w:p>
        </w:tc>
      </w:tr>
      <w:tr w14:paraId="51416747">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5AFB1EB">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0EEE7A2">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0FA12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体征待测规则管理</w:t>
            </w:r>
          </w:p>
        </w:tc>
        <w:tc>
          <w:tcPr>
            <w:tcW w:w="0" w:type="auto"/>
            <w:tcBorders>
              <w:top w:val="single" w:color="000000" w:sz="4" w:space="0"/>
              <w:left w:val="single" w:color="000000" w:sz="4" w:space="0"/>
              <w:bottom w:val="single" w:color="000000" w:sz="4" w:space="0"/>
              <w:right w:val="single" w:color="000000" w:sz="4" w:space="0"/>
            </w:tcBorders>
            <w:vAlign w:val="bottom"/>
          </w:tcPr>
          <w:p w14:paraId="785AE66C">
            <w:pPr>
              <w:widowControl/>
              <w:jc w:val="left"/>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可以根据医院的要求，设定体征待测规则，可以根据患者信息、体征信息、护理评估情况、医嘱等要求设定待测规则</w:t>
            </w:r>
          </w:p>
        </w:tc>
      </w:tr>
      <w:tr w14:paraId="2DA54324">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C52B138">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8E2C4C7">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3F695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体征待测任务生成</w:t>
            </w:r>
          </w:p>
        </w:tc>
        <w:tc>
          <w:tcPr>
            <w:tcW w:w="0" w:type="auto"/>
            <w:tcBorders>
              <w:top w:val="single" w:color="000000" w:sz="4" w:space="0"/>
              <w:left w:val="single" w:color="000000" w:sz="4" w:space="0"/>
              <w:bottom w:val="single" w:color="000000" w:sz="4" w:space="0"/>
              <w:right w:val="single" w:color="000000" w:sz="4" w:space="0"/>
            </w:tcBorders>
            <w:vAlign w:val="bottom"/>
          </w:tcPr>
          <w:p w14:paraId="383C1D67">
            <w:pPr>
              <w:widowControl/>
              <w:jc w:val="left"/>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根据体征待测规则的要求，针对不同的患者生成不同体征的待测任务</w:t>
            </w:r>
          </w:p>
        </w:tc>
      </w:tr>
      <w:tr w14:paraId="683342F7">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16BFC4D">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EAC85C3">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2888C7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体征待测提醒</w:t>
            </w:r>
          </w:p>
        </w:tc>
        <w:tc>
          <w:tcPr>
            <w:tcW w:w="0" w:type="auto"/>
            <w:tcBorders>
              <w:top w:val="single" w:color="000000" w:sz="4" w:space="0"/>
              <w:left w:val="single" w:color="000000" w:sz="4" w:space="0"/>
              <w:bottom w:val="single" w:color="000000" w:sz="4" w:space="0"/>
              <w:right w:val="single" w:color="000000" w:sz="4" w:space="0"/>
            </w:tcBorders>
            <w:vAlign w:val="bottom"/>
          </w:tcPr>
          <w:p w14:paraId="034CD5F7">
            <w:pPr>
              <w:widowControl/>
              <w:jc w:val="left"/>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支持体征待测提醒，根据医院的体征测量规则，在体征批量录入、单个患者录入等地方进行体征待测任务提醒</w:t>
            </w:r>
          </w:p>
        </w:tc>
      </w:tr>
      <w:tr w14:paraId="1E154D24">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1892CE7">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2AF8AC5">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F65B3F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满页提醒</w:t>
            </w:r>
          </w:p>
        </w:tc>
        <w:tc>
          <w:tcPr>
            <w:tcW w:w="0" w:type="auto"/>
            <w:tcBorders>
              <w:top w:val="single" w:color="000000" w:sz="4" w:space="0"/>
              <w:left w:val="single" w:color="000000" w:sz="4" w:space="0"/>
              <w:bottom w:val="single" w:color="000000" w:sz="4" w:space="0"/>
              <w:right w:val="single" w:color="000000" w:sz="4" w:space="0"/>
            </w:tcBorders>
            <w:vAlign w:val="center"/>
          </w:tcPr>
          <w:p w14:paraId="381C871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当患者的体温单满页时，提供满页提醒标志</w:t>
            </w:r>
          </w:p>
        </w:tc>
      </w:tr>
      <w:tr w14:paraId="1A86E126">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096C03F">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FD1FB8F">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064BFD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数据有效性校验</w:t>
            </w:r>
          </w:p>
        </w:tc>
        <w:tc>
          <w:tcPr>
            <w:tcW w:w="0" w:type="auto"/>
            <w:tcBorders>
              <w:top w:val="single" w:color="000000" w:sz="4" w:space="0"/>
              <w:left w:val="single" w:color="000000" w:sz="4" w:space="0"/>
              <w:bottom w:val="single" w:color="000000" w:sz="4" w:space="0"/>
              <w:right w:val="single" w:color="000000" w:sz="4" w:space="0"/>
            </w:tcBorders>
            <w:vAlign w:val="center"/>
          </w:tcPr>
          <w:p w14:paraId="09E4DD1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支持判别录入数据是否符合要求（如体温只能录入数字）</w:t>
            </w:r>
          </w:p>
        </w:tc>
      </w:tr>
      <w:tr w14:paraId="4E1876A9">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ABE6463">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4A3DF07">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DF504D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体征异常警示范围</w:t>
            </w:r>
          </w:p>
        </w:tc>
        <w:tc>
          <w:tcPr>
            <w:tcW w:w="0" w:type="auto"/>
            <w:tcBorders>
              <w:top w:val="single" w:color="000000" w:sz="4" w:space="0"/>
              <w:left w:val="single" w:color="000000" w:sz="4" w:space="0"/>
              <w:bottom w:val="single" w:color="000000" w:sz="4" w:space="0"/>
              <w:right w:val="single" w:color="000000" w:sz="4" w:space="0"/>
            </w:tcBorders>
            <w:vAlign w:val="center"/>
          </w:tcPr>
          <w:p w14:paraId="6F10E5F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可设定单个体征的异常值上下限</w:t>
            </w:r>
          </w:p>
        </w:tc>
      </w:tr>
      <w:tr w14:paraId="1AF4A1E3">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4CF51EB">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565C2F6">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140213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体征数据共享</w:t>
            </w:r>
          </w:p>
        </w:tc>
        <w:tc>
          <w:tcPr>
            <w:tcW w:w="0" w:type="auto"/>
            <w:tcBorders>
              <w:top w:val="single" w:color="000000" w:sz="4" w:space="0"/>
              <w:left w:val="single" w:color="000000" w:sz="4" w:space="0"/>
              <w:bottom w:val="single" w:color="000000" w:sz="4" w:space="0"/>
              <w:right w:val="single" w:color="000000" w:sz="4" w:space="0"/>
            </w:tcBorders>
            <w:vAlign w:val="center"/>
          </w:tcPr>
          <w:p w14:paraId="7390603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支持体征数据共享，如体温，血压，脉搏，呼吸等，录入的体征数据可以相互引用，避免重复录入，可以引用到护理记录单，交接班报告中</w:t>
            </w:r>
          </w:p>
        </w:tc>
      </w:tr>
      <w:tr w14:paraId="7A9FA1DF">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8F43BDA">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D0CD892">
            <w:pPr>
              <w:jc w:val="center"/>
              <w:rPr>
                <w:rFonts w:hint="eastAsia" w:ascii="宋体" w:hAnsi="宋体" w:eastAsia="宋体" w:cs="宋体"/>
                <w:color w:val="000000"/>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08C9968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外部共享</w:t>
            </w:r>
          </w:p>
        </w:tc>
        <w:tc>
          <w:tcPr>
            <w:tcW w:w="0" w:type="auto"/>
            <w:tcBorders>
              <w:top w:val="single" w:color="000000" w:sz="4" w:space="0"/>
              <w:left w:val="single" w:color="000000" w:sz="4" w:space="0"/>
              <w:bottom w:val="single" w:color="000000" w:sz="4" w:space="0"/>
              <w:right w:val="single" w:color="000000" w:sz="4" w:space="0"/>
            </w:tcBorders>
            <w:vAlign w:val="center"/>
          </w:tcPr>
          <w:p w14:paraId="087857D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支持通过web形式将移动护理体温单共享给第三方系统调阅</w:t>
            </w:r>
          </w:p>
        </w:tc>
      </w:tr>
      <w:tr w14:paraId="5427FFEF">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B24CEEC">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09114F3">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AEFC3C6">
            <w:pPr>
              <w:jc w:val="left"/>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C6F900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支持提供数据接口，供第三方系统调用，以使第三方系统获取体温单体征数据</w:t>
            </w:r>
          </w:p>
        </w:tc>
      </w:tr>
      <w:tr w14:paraId="6DAA0493">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A72E70D">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F85C2BE">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DF7975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体温过高识别</w:t>
            </w:r>
          </w:p>
        </w:tc>
        <w:tc>
          <w:tcPr>
            <w:tcW w:w="0" w:type="auto"/>
            <w:tcBorders>
              <w:top w:val="single" w:color="000000" w:sz="4" w:space="0"/>
              <w:left w:val="single" w:color="000000" w:sz="4" w:space="0"/>
              <w:bottom w:val="single" w:color="000000" w:sz="4" w:space="0"/>
              <w:right w:val="single" w:color="000000" w:sz="4" w:space="0"/>
            </w:tcBorders>
            <w:vAlign w:val="center"/>
          </w:tcPr>
          <w:p w14:paraId="7662E77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支持通过分析患者的体征，识别是否存在体温过高问题，并给出相应护理措施指引</w:t>
            </w:r>
          </w:p>
        </w:tc>
      </w:tr>
      <w:tr w14:paraId="2FCC9763">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0E1CF6E">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52548E1">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E4ABC8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体温过低识别</w:t>
            </w:r>
          </w:p>
        </w:tc>
        <w:tc>
          <w:tcPr>
            <w:tcW w:w="0" w:type="auto"/>
            <w:tcBorders>
              <w:top w:val="single" w:color="000000" w:sz="4" w:space="0"/>
              <w:left w:val="single" w:color="000000" w:sz="4" w:space="0"/>
              <w:bottom w:val="single" w:color="000000" w:sz="4" w:space="0"/>
              <w:right w:val="single" w:color="000000" w:sz="4" w:space="0"/>
            </w:tcBorders>
            <w:vAlign w:val="center"/>
          </w:tcPr>
          <w:p w14:paraId="11C6393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支持通过分析患者的体征，识别是否存在体温过低问题，并给出相应护理措施指引</w:t>
            </w:r>
          </w:p>
        </w:tc>
      </w:tr>
      <w:tr w14:paraId="2A4DF8A1">
        <w:tblPrEx>
          <w:tblCellMar>
            <w:top w:w="0" w:type="dxa"/>
            <w:left w:w="108" w:type="dxa"/>
            <w:bottom w:w="0" w:type="dxa"/>
            <w:right w:w="108" w:type="dxa"/>
          </w:tblCellMar>
        </w:tblPrEx>
        <w:trPr>
          <w:trHeight w:val="690"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3B5926F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医嘱闭环管理</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1B25514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医嘱管理</w:t>
            </w:r>
          </w:p>
        </w:tc>
        <w:tc>
          <w:tcPr>
            <w:tcW w:w="0" w:type="auto"/>
            <w:tcBorders>
              <w:top w:val="single" w:color="000000" w:sz="4" w:space="0"/>
              <w:left w:val="single" w:color="000000" w:sz="4" w:space="0"/>
              <w:bottom w:val="single" w:color="000000" w:sz="4" w:space="0"/>
              <w:right w:val="single" w:color="000000" w:sz="4" w:space="0"/>
            </w:tcBorders>
            <w:vAlign w:val="center"/>
          </w:tcPr>
          <w:p w14:paraId="687F9BB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医嘱查看</w:t>
            </w:r>
          </w:p>
        </w:tc>
        <w:tc>
          <w:tcPr>
            <w:tcW w:w="0" w:type="auto"/>
            <w:tcBorders>
              <w:top w:val="single" w:color="000000" w:sz="4" w:space="0"/>
              <w:left w:val="single" w:color="000000" w:sz="4" w:space="0"/>
              <w:bottom w:val="single" w:color="000000" w:sz="4" w:space="0"/>
              <w:right w:val="single" w:color="000000" w:sz="4" w:space="0"/>
            </w:tcBorders>
            <w:vAlign w:val="center"/>
          </w:tcPr>
          <w:p w14:paraId="360F647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用户可查看当前科室所有患者原始医嘱，提供长期医嘱、临时医嘱的医嘱查看功能，可显示医嘱名称、开始时间、状态、分类、剂量、用法、频次医嘱信息，可按长期、临时进行分类显示</w:t>
            </w:r>
          </w:p>
        </w:tc>
      </w:tr>
      <w:tr w14:paraId="3DE4AED8">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5C7B4B6">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521BD70">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CC3EA6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新医嘱提醒</w:t>
            </w:r>
          </w:p>
        </w:tc>
        <w:tc>
          <w:tcPr>
            <w:tcW w:w="0" w:type="auto"/>
            <w:tcBorders>
              <w:top w:val="single" w:color="000000" w:sz="4" w:space="0"/>
              <w:left w:val="single" w:color="000000" w:sz="4" w:space="0"/>
              <w:bottom w:val="single" w:color="000000" w:sz="4" w:space="0"/>
              <w:right w:val="single" w:color="000000" w:sz="4" w:space="0"/>
            </w:tcBorders>
            <w:vAlign w:val="center"/>
          </w:tcPr>
          <w:p w14:paraId="68056F9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在护理系统的PC端、PDA端的患者一览界面中，可以在医生下达新医嘱后在床位卡上进行提示</w:t>
            </w:r>
          </w:p>
        </w:tc>
      </w:tr>
      <w:tr w14:paraId="5C5F9D45">
        <w:tblPrEx>
          <w:tblCellMar>
            <w:top w:w="0" w:type="dxa"/>
            <w:left w:w="108" w:type="dxa"/>
            <w:bottom w:w="0" w:type="dxa"/>
            <w:right w:w="108" w:type="dxa"/>
          </w:tblCellMar>
        </w:tblPrEx>
        <w:trPr>
          <w:trHeight w:val="138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CE4D3EA">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9F97ABF">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9CBF37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医嘱拆分</w:t>
            </w:r>
          </w:p>
        </w:tc>
        <w:tc>
          <w:tcPr>
            <w:tcW w:w="0" w:type="auto"/>
            <w:tcBorders>
              <w:top w:val="single" w:color="000000" w:sz="4" w:space="0"/>
              <w:left w:val="single" w:color="000000" w:sz="4" w:space="0"/>
              <w:bottom w:val="single" w:color="000000" w:sz="4" w:space="0"/>
              <w:right w:val="single" w:color="000000" w:sz="4" w:space="0"/>
            </w:tcBorders>
            <w:vAlign w:val="center"/>
          </w:tcPr>
          <w:p w14:paraId="7BA86A7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按照给定的医嘱有效期和医嘱频次拆分医嘱，按照长、临，频次，途径等进行医嘱拆分；药物医嘱瓶贴包含患者及药物关键信息，如患者姓名、年龄、住院号、科别、病区、床位号、过敏史、诊断、用药方式、频度代码、计划用药时间、药物名称、药物剂量、单位、规格、滴速、医嘱条码、当天第几次用药等</w:t>
            </w:r>
          </w:p>
        </w:tc>
      </w:tr>
      <w:tr w14:paraId="791FE8A0">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2285AC5">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007ACBC">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F31B5C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医嘱执行记录</w:t>
            </w:r>
          </w:p>
        </w:tc>
        <w:tc>
          <w:tcPr>
            <w:tcW w:w="0" w:type="auto"/>
            <w:tcBorders>
              <w:top w:val="single" w:color="000000" w:sz="4" w:space="0"/>
              <w:left w:val="single" w:color="000000" w:sz="4" w:space="0"/>
              <w:bottom w:val="single" w:color="000000" w:sz="4" w:space="0"/>
              <w:right w:val="single" w:color="000000" w:sz="4" w:space="0"/>
            </w:tcBorders>
            <w:vAlign w:val="center"/>
          </w:tcPr>
          <w:p w14:paraId="71AC61F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用户可在PC和移动端查看医嘱历次执行记录，用于责任追溯，医嘱执行记录包括执行时间、执行人、异常记录，支持PC端打印</w:t>
            </w:r>
          </w:p>
        </w:tc>
      </w:tr>
      <w:tr w14:paraId="40F1F0B4">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A7FB646">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D5A76B6">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97F332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医嘱补执行</w:t>
            </w:r>
          </w:p>
        </w:tc>
        <w:tc>
          <w:tcPr>
            <w:tcW w:w="0" w:type="auto"/>
            <w:tcBorders>
              <w:top w:val="single" w:color="000000" w:sz="4" w:space="0"/>
              <w:left w:val="single" w:color="000000" w:sz="4" w:space="0"/>
              <w:bottom w:val="single" w:color="000000" w:sz="4" w:space="0"/>
              <w:right w:val="single" w:color="000000" w:sz="4" w:space="0"/>
            </w:tcBorders>
            <w:vAlign w:val="center"/>
          </w:tcPr>
          <w:p w14:paraId="59C5109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支持因特殊原因（比如抢救、手术室外出用药、血透室用药等），护士对患者未能通过PDA执行医嘱，在PC端进行补录</w:t>
            </w:r>
          </w:p>
        </w:tc>
      </w:tr>
      <w:tr w14:paraId="6F93C3EF">
        <w:tblPrEx>
          <w:tblCellMar>
            <w:top w:w="0" w:type="dxa"/>
            <w:left w:w="108" w:type="dxa"/>
            <w:bottom w:w="0" w:type="dxa"/>
            <w:right w:w="108" w:type="dxa"/>
          </w:tblCellMar>
        </w:tblPrEx>
        <w:trPr>
          <w:trHeight w:val="103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2E02971">
            <w:pPr>
              <w:jc w:val="center"/>
              <w:rPr>
                <w:rFonts w:hint="eastAsia" w:ascii="宋体" w:hAnsi="宋体" w:eastAsia="宋体" w:cs="宋体"/>
                <w:color w:val="000000"/>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60BAA5A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输液医嘱闭环</w:t>
            </w:r>
          </w:p>
        </w:tc>
        <w:tc>
          <w:tcPr>
            <w:tcW w:w="0" w:type="auto"/>
            <w:tcBorders>
              <w:top w:val="single" w:color="000000" w:sz="4" w:space="0"/>
              <w:left w:val="single" w:color="000000" w:sz="4" w:space="0"/>
              <w:bottom w:val="single" w:color="000000" w:sz="4" w:space="0"/>
              <w:right w:val="single" w:color="000000" w:sz="4" w:space="0"/>
            </w:tcBorders>
            <w:vAlign w:val="center"/>
          </w:tcPr>
          <w:p w14:paraId="1C07927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瓶签打印</w:t>
            </w:r>
          </w:p>
        </w:tc>
        <w:tc>
          <w:tcPr>
            <w:tcW w:w="0" w:type="auto"/>
            <w:tcBorders>
              <w:top w:val="single" w:color="000000" w:sz="4" w:space="0"/>
              <w:left w:val="single" w:color="000000" w:sz="4" w:space="0"/>
              <w:bottom w:val="single" w:color="000000" w:sz="4" w:space="0"/>
              <w:right w:val="single" w:color="000000" w:sz="4" w:space="0"/>
            </w:tcBorders>
            <w:vAlign w:val="center"/>
          </w:tcPr>
          <w:p w14:paraId="36125BD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病区配液的模式中，护理系统PC端可以和住院电子医嘱对接，按给定的时间频度和医嘱有效期，将医嘱按照频次拆分后，产生输液类医嘱的瓶签，瓶签信息包括：床号、患者姓名、用药方式、频度代码、用药日期、当天第几次用药、药物名称、剂量、单位、规格</w:t>
            </w:r>
          </w:p>
        </w:tc>
      </w:tr>
      <w:tr w14:paraId="1510EE21">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05096F2">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40BE3D5">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FF24BC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输液配药</w:t>
            </w:r>
          </w:p>
        </w:tc>
        <w:tc>
          <w:tcPr>
            <w:tcW w:w="0" w:type="auto"/>
            <w:tcBorders>
              <w:top w:val="single" w:color="000000" w:sz="4" w:space="0"/>
              <w:left w:val="single" w:color="000000" w:sz="4" w:space="0"/>
              <w:bottom w:val="single" w:color="000000" w:sz="4" w:space="0"/>
              <w:right w:val="single" w:color="000000" w:sz="4" w:space="0"/>
            </w:tcBorders>
            <w:vAlign w:val="center"/>
          </w:tcPr>
          <w:p w14:paraId="7C5200F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输液配药的扫描操作，根据医院情况，可支持输液复核扫描；对于特殊药物或者高危药物，有相应的标识。如果需要皮试的药物没有皮试结果或结果为阳性，就不能进行配药和后续的操作。</w:t>
            </w:r>
          </w:p>
        </w:tc>
      </w:tr>
      <w:tr w14:paraId="576BA7AD">
        <w:tblPrEx>
          <w:tblCellMar>
            <w:top w:w="0" w:type="dxa"/>
            <w:left w:w="108" w:type="dxa"/>
            <w:bottom w:w="0" w:type="dxa"/>
            <w:right w:w="108" w:type="dxa"/>
          </w:tblCellMar>
        </w:tblPrEx>
        <w:trPr>
          <w:trHeight w:val="138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D628CFC">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F340E2F">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2CC982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输液执行</w:t>
            </w:r>
          </w:p>
        </w:tc>
        <w:tc>
          <w:tcPr>
            <w:tcW w:w="0" w:type="auto"/>
            <w:tcBorders>
              <w:top w:val="single" w:color="000000" w:sz="4" w:space="0"/>
              <w:left w:val="single" w:color="000000" w:sz="4" w:space="0"/>
              <w:bottom w:val="single" w:color="000000" w:sz="4" w:space="0"/>
              <w:right w:val="single" w:color="000000" w:sz="4" w:space="0"/>
            </w:tcBorders>
            <w:vAlign w:val="center"/>
          </w:tcPr>
          <w:p w14:paraId="244D307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护理人员在输液类医嘱执行前首先扫描输液瓶签上的条码，再扫描患者腕带条码，当两者匹配后继续用药（同时记录用药时间和用药人）；当扫描出现腕带和标签不匹配时，PDA 会有声音报警，提示错误。根据医院情况，可支持输液执行复核。在连续输液时，可以开始新一瓶输液并自动结束上一瓶。</w:t>
            </w:r>
          </w:p>
        </w:tc>
      </w:tr>
      <w:tr w14:paraId="1A4E75E3">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2001625">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BDCDCF8">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592728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多组输液/入小壶</w:t>
            </w:r>
          </w:p>
        </w:tc>
        <w:tc>
          <w:tcPr>
            <w:tcW w:w="0" w:type="auto"/>
            <w:tcBorders>
              <w:top w:val="single" w:color="000000" w:sz="4" w:space="0"/>
              <w:left w:val="single" w:color="000000" w:sz="4" w:space="0"/>
              <w:bottom w:val="single" w:color="000000" w:sz="4" w:space="0"/>
              <w:right w:val="single" w:color="000000" w:sz="4" w:space="0"/>
            </w:tcBorders>
            <w:vAlign w:val="center"/>
          </w:tcPr>
          <w:p w14:paraId="63620C5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支持多组输液或者入小壶输液，入小壶输液时扫描小壶标签和输液袋标签，匹配后才能进行入小壶操作</w:t>
            </w:r>
          </w:p>
        </w:tc>
      </w:tr>
      <w:tr w14:paraId="7E00858D">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499961A">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6147DAD">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EB7D3E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输液结束</w:t>
            </w:r>
          </w:p>
        </w:tc>
        <w:tc>
          <w:tcPr>
            <w:tcW w:w="0" w:type="auto"/>
            <w:tcBorders>
              <w:top w:val="single" w:color="000000" w:sz="4" w:space="0"/>
              <w:left w:val="single" w:color="000000" w:sz="4" w:space="0"/>
              <w:bottom w:val="single" w:color="000000" w:sz="4" w:space="0"/>
              <w:right w:val="single" w:color="000000" w:sz="4" w:space="0"/>
            </w:tcBorders>
            <w:vAlign w:val="center"/>
          </w:tcPr>
          <w:p w14:paraId="0D5262A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在输液结束时可以通过扫描输液标签，进行结束操作，系统会自动记录结束人和结束时间</w:t>
            </w:r>
          </w:p>
        </w:tc>
      </w:tr>
      <w:tr w14:paraId="1246F23D">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A287E42">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AD7FB53">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11D7AC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输液暂停/中止</w:t>
            </w:r>
          </w:p>
        </w:tc>
        <w:tc>
          <w:tcPr>
            <w:tcW w:w="0" w:type="auto"/>
            <w:tcBorders>
              <w:top w:val="single" w:color="000000" w:sz="4" w:space="0"/>
              <w:left w:val="single" w:color="000000" w:sz="4" w:space="0"/>
              <w:bottom w:val="single" w:color="000000" w:sz="4" w:space="0"/>
              <w:right w:val="single" w:color="000000" w:sz="4" w:space="0"/>
            </w:tcBorders>
            <w:vAlign w:val="center"/>
          </w:tcPr>
          <w:p w14:paraId="070172D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输液过程中可以暂停或终止输液，并记录发生的情况及处理措施</w:t>
            </w:r>
          </w:p>
        </w:tc>
      </w:tr>
      <w:tr w14:paraId="13355F8B">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784B962">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7B2FFFD">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2C9E13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医嘱执行巡视</w:t>
            </w:r>
          </w:p>
        </w:tc>
        <w:tc>
          <w:tcPr>
            <w:tcW w:w="0" w:type="auto"/>
            <w:tcBorders>
              <w:top w:val="single" w:color="000000" w:sz="4" w:space="0"/>
              <w:left w:val="single" w:color="000000" w:sz="4" w:space="0"/>
              <w:bottom w:val="single" w:color="000000" w:sz="4" w:space="0"/>
              <w:right w:val="single" w:color="000000" w:sz="4" w:space="0"/>
            </w:tcBorders>
            <w:vAlign w:val="center"/>
          </w:tcPr>
          <w:p w14:paraId="1E77AAE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输液过程中通过PDA进行巡视，记录滴速和患者状态和巡视人、巡视时间、并记录巡视中的异常及处理办法。系统自动生成输液巡视单、需要时可打印输液巡视单</w:t>
            </w:r>
          </w:p>
        </w:tc>
      </w:tr>
      <w:tr w14:paraId="66831008">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3AEBEDB">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B0C5EB5">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70A1DB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执行结果回写</w:t>
            </w:r>
          </w:p>
        </w:tc>
        <w:tc>
          <w:tcPr>
            <w:tcW w:w="0" w:type="auto"/>
            <w:tcBorders>
              <w:top w:val="single" w:color="000000" w:sz="4" w:space="0"/>
              <w:left w:val="single" w:color="000000" w:sz="4" w:space="0"/>
              <w:bottom w:val="single" w:color="000000" w:sz="4" w:space="0"/>
              <w:right w:val="single" w:color="000000" w:sz="4" w:space="0"/>
            </w:tcBorders>
            <w:vAlign w:val="center"/>
          </w:tcPr>
          <w:p w14:paraId="6F0FB88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将输液医嘱执行时间和执行人按医院需要回写至第三方系统中</w:t>
            </w:r>
          </w:p>
        </w:tc>
      </w:tr>
      <w:tr w14:paraId="40EC9ED0">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43FA1C6">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F7F8ABB">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89EBBD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静配中心模式</w:t>
            </w:r>
          </w:p>
        </w:tc>
        <w:tc>
          <w:tcPr>
            <w:tcW w:w="0" w:type="auto"/>
            <w:tcBorders>
              <w:top w:val="single" w:color="000000" w:sz="4" w:space="0"/>
              <w:left w:val="single" w:color="000000" w:sz="4" w:space="0"/>
              <w:bottom w:val="single" w:color="000000" w:sz="4" w:space="0"/>
              <w:right w:val="single" w:color="000000" w:sz="4" w:space="0"/>
            </w:tcBorders>
            <w:vAlign w:val="center"/>
          </w:tcPr>
          <w:p w14:paraId="4844299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如果医院建设有静配中心，病区输液支持静配中心模式，可以扫描静配中心的输液标签条码进行输液执行</w:t>
            </w:r>
          </w:p>
        </w:tc>
      </w:tr>
      <w:tr w14:paraId="2E16DBDC">
        <w:tblPrEx>
          <w:tblCellMar>
            <w:top w:w="0" w:type="dxa"/>
            <w:left w:w="108" w:type="dxa"/>
            <w:bottom w:w="0" w:type="dxa"/>
            <w:right w:w="108" w:type="dxa"/>
          </w:tblCellMar>
        </w:tblPrEx>
        <w:trPr>
          <w:trHeight w:val="10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168DD">
            <w:pPr>
              <w:jc w:val="center"/>
              <w:rPr>
                <w:rFonts w:hint="eastAsia" w:ascii="宋体" w:hAnsi="宋体" w:eastAsia="宋体" w:cs="宋体"/>
                <w:color w:val="000000"/>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FCB15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针剂医嘱闭环</w:t>
            </w:r>
          </w:p>
        </w:tc>
        <w:tc>
          <w:tcPr>
            <w:tcW w:w="0" w:type="auto"/>
            <w:tcBorders>
              <w:top w:val="single" w:color="000000" w:sz="4" w:space="0"/>
              <w:left w:val="single" w:color="000000" w:sz="4" w:space="0"/>
              <w:bottom w:val="single" w:color="000000" w:sz="4" w:space="0"/>
              <w:right w:val="single" w:color="000000" w:sz="4" w:space="0"/>
            </w:tcBorders>
            <w:vAlign w:val="center"/>
          </w:tcPr>
          <w:p w14:paraId="33B64A2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标签打印</w:t>
            </w:r>
          </w:p>
        </w:tc>
        <w:tc>
          <w:tcPr>
            <w:tcW w:w="0" w:type="auto"/>
            <w:tcBorders>
              <w:top w:val="single" w:color="000000" w:sz="4" w:space="0"/>
              <w:left w:val="single" w:color="000000" w:sz="4" w:space="0"/>
              <w:bottom w:val="single" w:color="000000" w:sz="4" w:space="0"/>
              <w:right w:val="single" w:color="000000" w:sz="4" w:space="0"/>
            </w:tcBorders>
            <w:vAlign w:val="center"/>
          </w:tcPr>
          <w:p w14:paraId="4A62AAA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病区配液的模式中，可以和住院电子医嘱对接，按给定的时间频度和医嘱有效期，将医嘱按照频次拆分后，产生针剂类医嘱的瓶签，瓶签信息包括：床号、患者姓名、用药方式、频度代码、用药日期、当天第几次用药、药物名称、剂量、单位、规格</w:t>
            </w:r>
          </w:p>
        </w:tc>
      </w:tr>
      <w:tr w14:paraId="76D3DF66">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ADFEA">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10739D">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2D7A41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针剂配药</w:t>
            </w:r>
          </w:p>
        </w:tc>
        <w:tc>
          <w:tcPr>
            <w:tcW w:w="0" w:type="auto"/>
            <w:tcBorders>
              <w:top w:val="single" w:color="000000" w:sz="4" w:space="0"/>
              <w:left w:val="single" w:color="000000" w:sz="4" w:space="0"/>
              <w:bottom w:val="single" w:color="000000" w:sz="4" w:space="0"/>
              <w:right w:val="single" w:color="000000" w:sz="4" w:space="0"/>
            </w:tcBorders>
            <w:vAlign w:val="center"/>
          </w:tcPr>
          <w:p w14:paraId="1E4FE93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对针剂配药进行扫描操作，根据医院情况，可支持针剂复核扫描</w:t>
            </w:r>
          </w:p>
        </w:tc>
      </w:tr>
      <w:tr w14:paraId="175663BF">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C25F3">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9FCD5F">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22AAD0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针剂医嘱执行</w:t>
            </w:r>
          </w:p>
        </w:tc>
        <w:tc>
          <w:tcPr>
            <w:tcW w:w="0" w:type="auto"/>
            <w:tcBorders>
              <w:top w:val="single" w:color="000000" w:sz="4" w:space="0"/>
              <w:left w:val="single" w:color="000000" w:sz="4" w:space="0"/>
              <w:bottom w:val="single" w:color="000000" w:sz="4" w:space="0"/>
              <w:right w:val="single" w:color="000000" w:sz="4" w:space="0"/>
            </w:tcBorders>
            <w:vAlign w:val="center"/>
          </w:tcPr>
          <w:p w14:paraId="723CF78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护理人员先扫描患者腕带条码，再扫描针剂签上的条码，当两者匹配后继续用药（同时记录用药时间和用药人）；当扫描出现腕带和标签不匹配时，PDA 会有声音报警，提示错误。</w:t>
            </w:r>
          </w:p>
        </w:tc>
      </w:tr>
      <w:tr w14:paraId="27F1B3C0">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3A1B0">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0E626">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CED39D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执行结果回写</w:t>
            </w:r>
          </w:p>
        </w:tc>
        <w:tc>
          <w:tcPr>
            <w:tcW w:w="0" w:type="auto"/>
            <w:tcBorders>
              <w:top w:val="single" w:color="000000" w:sz="4" w:space="0"/>
              <w:left w:val="single" w:color="000000" w:sz="4" w:space="0"/>
              <w:bottom w:val="single" w:color="000000" w:sz="4" w:space="0"/>
              <w:right w:val="single" w:color="000000" w:sz="4" w:space="0"/>
            </w:tcBorders>
            <w:vAlign w:val="center"/>
          </w:tcPr>
          <w:p w14:paraId="492428F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将针剂医嘱执行结果回写至第三方系统中</w:t>
            </w:r>
          </w:p>
        </w:tc>
      </w:tr>
      <w:tr w14:paraId="2C3DFB01">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063094B">
            <w:pPr>
              <w:jc w:val="center"/>
              <w:rPr>
                <w:rFonts w:hint="eastAsia" w:ascii="宋体" w:hAnsi="宋体" w:eastAsia="宋体" w:cs="宋体"/>
                <w:color w:val="000000"/>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4A5F7C3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皮试医嘱闭环</w:t>
            </w:r>
          </w:p>
        </w:tc>
        <w:tc>
          <w:tcPr>
            <w:tcW w:w="0" w:type="auto"/>
            <w:tcBorders>
              <w:top w:val="single" w:color="000000" w:sz="4" w:space="0"/>
              <w:left w:val="single" w:color="000000" w:sz="4" w:space="0"/>
              <w:bottom w:val="single" w:color="000000" w:sz="4" w:space="0"/>
              <w:right w:val="single" w:color="000000" w:sz="4" w:space="0"/>
            </w:tcBorders>
            <w:vAlign w:val="center"/>
          </w:tcPr>
          <w:p w14:paraId="4CA0969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执行皮试</w:t>
            </w:r>
          </w:p>
        </w:tc>
        <w:tc>
          <w:tcPr>
            <w:tcW w:w="0" w:type="auto"/>
            <w:tcBorders>
              <w:top w:val="single" w:color="000000" w:sz="4" w:space="0"/>
              <w:left w:val="single" w:color="000000" w:sz="4" w:space="0"/>
              <w:bottom w:val="single" w:color="000000" w:sz="4" w:space="0"/>
              <w:right w:val="single" w:color="000000" w:sz="4" w:space="0"/>
            </w:tcBorders>
            <w:vAlign w:val="center"/>
          </w:tcPr>
          <w:p w14:paraId="39C29E0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护理人员先扫描患者腕带条码，再扫描医嘱标签上的条码，当两者匹配后继续用药（同时记录用药时间和用药人）；如不匹配进行提醒。</w:t>
            </w:r>
          </w:p>
        </w:tc>
      </w:tr>
      <w:tr w14:paraId="0F85AD08">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4607E57">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8DA4316">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332DAF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皮试到期提醒</w:t>
            </w:r>
          </w:p>
        </w:tc>
        <w:tc>
          <w:tcPr>
            <w:tcW w:w="0" w:type="auto"/>
            <w:tcBorders>
              <w:top w:val="single" w:color="000000" w:sz="4" w:space="0"/>
              <w:left w:val="single" w:color="000000" w:sz="4" w:space="0"/>
              <w:bottom w:val="single" w:color="000000" w:sz="4" w:space="0"/>
              <w:right w:val="single" w:color="000000" w:sz="4" w:space="0"/>
            </w:tcBorders>
            <w:vAlign w:val="center"/>
          </w:tcPr>
          <w:p w14:paraId="511E0EC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皮试执行成功后，护理人员可设定皮试持续时间(如20分钟)，在皮试到期后，系统通过PDA自动提醒护士进行皮试结果登记</w:t>
            </w:r>
          </w:p>
        </w:tc>
      </w:tr>
      <w:tr w14:paraId="45BD0838">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0672E0E">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3E8CED8">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71F04C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皮试结果登记</w:t>
            </w:r>
          </w:p>
        </w:tc>
        <w:tc>
          <w:tcPr>
            <w:tcW w:w="0" w:type="auto"/>
            <w:tcBorders>
              <w:top w:val="single" w:color="000000" w:sz="4" w:space="0"/>
              <w:left w:val="single" w:color="000000" w:sz="4" w:space="0"/>
              <w:bottom w:val="single" w:color="000000" w:sz="4" w:space="0"/>
              <w:right w:val="single" w:color="000000" w:sz="4" w:space="0"/>
            </w:tcBorders>
            <w:vAlign w:val="center"/>
          </w:tcPr>
          <w:p w14:paraId="31FC4AB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由双人核对皮试结果，并将皮试结果和药物批次进行录入</w:t>
            </w:r>
          </w:p>
        </w:tc>
      </w:tr>
      <w:tr w14:paraId="08C3330D">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C423A5D">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27B7188">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4A8971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执行结果回写</w:t>
            </w:r>
          </w:p>
        </w:tc>
        <w:tc>
          <w:tcPr>
            <w:tcW w:w="0" w:type="auto"/>
            <w:tcBorders>
              <w:top w:val="single" w:color="000000" w:sz="4" w:space="0"/>
              <w:left w:val="single" w:color="000000" w:sz="4" w:space="0"/>
              <w:bottom w:val="single" w:color="000000" w:sz="4" w:space="0"/>
              <w:right w:val="single" w:color="000000" w:sz="4" w:space="0"/>
            </w:tcBorders>
            <w:vAlign w:val="center"/>
          </w:tcPr>
          <w:p w14:paraId="6E976A6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将执行结果回写至第三方系统中</w:t>
            </w:r>
          </w:p>
        </w:tc>
      </w:tr>
      <w:tr w14:paraId="0A8ADBA2">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B088262">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A6708B5">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CAFD90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皮试执行记录</w:t>
            </w:r>
          </w:p>
        </w:tc>
        <w:tc>
          <w:tcPr>
            <w:tcW w:w="0" w:type="auto"/>
            <w:tcBorders>
              <w:top w:val="single" w:color="000000" w:sz="4" w:space="0"/>
              <w:left w:val="single" w:color="000000" w:sz="4" w:space="0"/>
              <w:bottom w:val="single" w:color="000000" w:sz="4" w:space="0"/>
              <w:right w:val="single" w:color="000000" w:sz="4" w:space="0"/>
            </w:tcBorders>
            <w:vAlign w:val="center"/>
          </w:tcPr>
          <w:p w14:paraId="3E0E7DB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查看皮试医嘱执行记录</w:t>
            </w:r>
          </w:p>
        </w:tc>
      </w:tr>
      <w:tr w14:paraId="40023694">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3050AFC">
            <w:pPr>
              <w:jc w:val="center"/>
              <w:rPr>
                <w:rFonts w:hint="eastAsia" w:ascii="宋体" w:hAnsi="宋体" w:eastAsia="宋体" w:cs="宋体"/>
                <w:color w:val="000000"/>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56280D2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检验医嘱闭环</w:t>
            </w:r>
          </w:p>
        </w:tc>
        <w:tc>
          <w:tcPr>
            <w:tcW w:w="0" w:type="auto"/>
            <w:tcBorders>
              <w:top w:val="single" w:color="000000" w:sz="4" w:space="0"/>
              <w:left w:val="single" w:color="000000" w:sz="4" w:space="0"/>
              <w:bottom w:val="single" w:color="000000" w:sz="4" w:space="0"/>
              <w:right w:val="single" w:color="000000" w:sz="4" w:space="0"/>
            </w:tcBorders>
            <w:vAlign w:val="center"/>
          </w:tcPr>
          <w:p w14:paraId="6EAD896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标本采集</w:t>
            </w:r>
          </w:p>
        </w:tc>
        <w:tc>
          <w:tcPr>
            <w:tcW w:w="0" w:type="auto"/>
            <w:tcBorders>
              <w:top w:val="single" w:color="000000" w:sz="4" w:space="0"/>
              <w:left w:val="single" w:color="000000" w:sz="4" w:space="0"/>
              <w:bottom w:val="single" w:color="000000" w:sz="4" w:space="0"/>
              <w:right w:val="single" w:color="000000" w:sz="4" w:space="0"/>
            </w:tcBorders>
            <w:vAlign w:val="center"/>
          </w:tcPr>
          <w:p w14:paraId="5B03E5A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护理人员在检验样本采集前首先扫描检验条码，再扫描患者腕带条码，当两者匹配后继续采集，记录采集人、采集时间；如不匹配进行提醒</w:t>
            </w:r>
          </w:p>
        </w:tc>
      </w:tr>
      <w:tr w14:paraId="5152CBBF">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637B492">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BB73E11">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E65EA0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标本送检</w:t>
            </w:r>
          </w:p>
        </w:tc>
        <w:tc>
          <w:tcPr>
            <w:tcW w:w="0" w:type="auto"/>
            <w:tcBorders>
              <w:top w:val="single" w:color="000000" w:sz="4" w:space="0"/>
              <w:left w:val="single" w:color="000000" w:sz="4" w:space="0"/>
              <w:bottom w:val="single" w:color="000000" w:sz="4" w:space="0"/>
              <w:right w:val="single" w:color="000000" w:sz="4" w:space="0"/>
            </w:tcBorders>
            <w:vAlign w:val="center"/>
          </w:tcPr>
          <w:p w14:paraId="77A5BA1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护理人员完成采集后，由护工批量送检至检验科，记录送检人和送检时间，检验科提供样本接收信息，可追溯整个检验过程</w:t>
            </w:r>
          </w:p>
        </w:tc>
      </w:tr>
      <w:tr w14:paraId="5C7CFB88">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72F1661">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DD71AAD">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7810B3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采集信息回写</w:t>
            </w:r>
          </w:p>
        </w:tc>
        <w:tc>
          <w:tcPr>
            <w:tcW w:w="0" w:type="auto"/>
            <w:tcBorders>
              <w:top w:val="single" w:color="000000" w:sz="4" w:space="0"/>
              <w:left w:val="single" w:color="000000" w:sz="4" w:space="0"/>
              <w:bottom w:val="single" w:color="000000" w:sz="4" w:space="0"/>
              <w:right w:val="single" w:color="000000" w:sz="4" w:space="0"/>
            </w:tcBorders>
            <w:vAlign w:val="center"/>
          </w:tcPr>
          <w:p w14:paraId="6E0E27A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将标本采集时间和采集人回写至第三方系统中</w:t>
            </w:r>
          </w:p>
        </w:tc>
      </w:tr>
      <w:tr w14:paraId="0B04C8B1">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F91EE">
            <w:pPr>
              <w:jc w:val="center"/>
              <w:rPr>
                <w:rFonts w:hint="eastAsia" w:ascii="宋体" w:hAnsi="宋体" w:eastAsia="宋体" w:cs="宋体"/>
                <w:color w:val="000000"/>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92766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输血医嘱闭环</w:t>
            </w:r>
          </w:p>
        </w:tc>
        <w:tc>
          <w:tcPr>
            <w:tcW w:w="0" w:type="auto"/>
            <w:tcBorders>
              <w:top w:val="single" w:color="000000" w:sz="4" w:space="0"/>
              <w:left w:val="single" w:color="000000" w:sz="4" w:space="0"/>
              <w:bottom w:val="single" w:color="000000" w:sz="4" w:space="0"/>
              <w:right w:val="single" w:color="000000" w:sz="4" w:space="0"/>
            </w:tcBorders>
            <w:vAlign w:val="center"/>
          </w:tcPr>
          <w:p w14:paraId="332BC4B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输血前核对</w:t>
            </w:r>
          </w:p>
        </w:tc>
        <w:tc>
          <w:tcPr>
            <w:tcW w:w="0" w:type="auto"/>
            <w:tcBorders>
              <w:top w:val="single" w:color="000000" w:sz="4" w:space="0"/>
              <w:left w:val="single" w:color="000000" w:sz="4" w:space="0"/>
              <w:bottom w:val="single" w:color="000000" w:sz="4" w:space="0"/>
              <w:right w:val="single" w:color="000000" w:sz="4" w:space="0"/>
            </w:tcBorders>
            <w:vAlign w:val="center"/>
          </w:tcPr>
          <w:p w14:paraId="479703C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输血前由两名医护人员核对交叉配血报告单及血袋标签各项内容，检查血袋有无破损渗漏，血液颜色是否正常，准确无误后，护理系统记录输血前核对人、核对时间</w:t>
            </w:r>
          </w:p>
        </w:tc>
      </w:tr>
      <w:tr w14:paraId="01AD3E02">
        <w:tblPrEx>
          <w:tblCellMar>
            <w:top w:w="0" w:type="dxa"/>
            <w:left w:w="108" w:type="dxa"/>
            <w:bottom w:w="0" w:type="dxa"/>
            <w:right w:w="108" w:type="dxa"/>
          </w:tblCellMar>
        </w:tblPrEx>
        <w:trPr>
          <w:trHeight w:val="10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00262">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20F85C">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5EE084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输血执行核对</w:t>
            </w:r>
          </w:p>
        </w:tc>
        <w:tc>
          <w:tcPr>
            <w:tcW w:w="0" w:type="auto"/>
            <w:tcBorders>
              <w:top w:val="single" w:color="000000" w:sz="4" w:space="0"/>
              <w:left w:val="single" w:color="000000" w:sz="4" w:space="0"/>
              <w:bottom w:val="single" w:color="000000" w:sz="4" w:space="0"/>
              <w:right w:val="single" w:color="000000" w:sz="4" w:space="0"/>
            </w:tcBorders>
            <w:vAlign w:val="center"/>
          </w:tcPr>
          <w:p w14:paraId="00AF3FC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输血前由两名医护人员核对交叉配血报告单及血袋标签各项内容，检查血袋有无破损渗漏，血液颜色是否正常，准确无误后，扫描输血药袋上的条码，再扫描患者腕带条码，当两者匹配后继续输血（同时记录核对时间、核对人，输血时间、输血人）；如不匹配进行提醒</w:t>
            </w:r>
          </w:p>
        </w:tc>
      </w:tr>
      <w:tr w14:paraId="16DBF64B">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F1F45">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8E23E1">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A11E2A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输血巡视</w:t>
            </w:r>
          </w:p>
        </w:tc>
        <w:tc>
          <w:tcPr>
            <w:tcW w:w="0" w:type="auto"/>
            <w:tcBorders>
              <w:top w:val="single" w:color="000000" w:sz="4" w:space="0"/>
              <w:left w:val="single" w:color="000000" w:sz="4" w:space="0"/>
              <w:bottom w:val="single" w:color="000000" w:sz="4" w:space="0"/>
              <w:right w:val="single" w:color="000000" w:sz="4" w:space="0"/>
            </w:tcBorders>
            <w:vAlign w:val="center"/>
          </w:tcPr>
          <w:p w14:paraId="76F0D2A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对执行输血患者情况的查看及一般情况的基本操作，包括暂停，继续，终止，录入异常情况</w:t>
            </w:r>
          </w:p>
        </w:tc>
      </w:tr>
      <w:tr w14:paraId="34A2D196">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44FE1">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1DB311">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D5A5D1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输血执行单</w:t>
            </w:r>
          </w:p>
        </w:tc>
        <w:tc>
          <w:tcPr>
            <w:tcW w:w="0" w:type="auto"/>
            <w:tcBorders>
              <w:top w:val="single" w:color="000000" w:sz="4" w:space="0"/>
              <w:left w:val="single" w:color="000000" w:sz="4" w:space="0"/>
              <w:bottom w:val="single" w:color="000000" w:sz="4" w:space="0"/>
              <w:right w:val="single" w:color="000000" w:sz="4" w:space="0"/>
            </w:tcBorders>
            <w:vAlign w:val="center"/>
          </w:tcPr>
          <w:p w14:paraId="4E64EF9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在PC和移动端查看护士对于患者输血执行的相关记录，用于责任追溯输血执行记录包括核对时间、核对人，输血时间、输血人、异常记录等，支持打印</w:t>
            </w:r>
          </w:p>
        </w:tc>
      </w:tr>
      <w:tr w14:paraId="2A5177D8">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AC68A">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276956">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74538A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输血执行结果回写</w:t>
            </w:r>
          </w:p>
        </w:tc>
        <w:tc>
          <w:tcPr>
            <w:tcW w:w="0" w:type="auto"/>
            <w:tcBorders>
              <w:top w:val="single" w:color="000000" w:sz="4" w:space="0"/>
              <w:left w:val="single" w:color="000000" w:sz="4" w:space="0"/>
              <w:bottom w:val="single" w:color="000000" w:sz="4" w:space="0"/>
              <w:right w:val="single" w:color="000000" w:sz="4" w:space="0"/>
            </w:tcBorders>
            <w:vAlign w:val="center"/>
          </w:tcPr>
          <w:p w14:paraId="0C3C993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将输血医嘱执行结果回写至第三方系统中</w:t>
            </w:r>
          </w:p>
        </w:tc>
      </w:tr>
      <w:tr w14:paraId="0E9C305F">
        <w:tblPrEx>
          <w:tblCellMar>
            <w:top w:w="0" w:type="dxa"/>
            <w:left w:w="108" w:type="dxa"/>
            <w:bottom w:w="0" w:type="dxa"/>
            <w:right w:w="108" w:type="dxa"/>
          </w:tblCellMar>
        </w:tblPrEx>
        <w:trPr>
          <w:trHeight w:val="69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DCF9C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健康教育</w:t>
            </w:r>
          </w:p>
        </w:tc>
        <w:tc>
          <w:tcPr>
            <w:tcW w:w="0" w:type="auto"/>
            <w:tcBorders>
              <w:top w:val="single" w:color="000000" w:sz="4" w:space="0"/>
              <w:left w:val="single" w:color="000000" w:sz="4" w:space="0"/>
              <w:bottom w:val="single" w:color="000000" w:sz="4" w:space="0"/>
              <w:right w:val="single" w:color="000000" w:sz="4" w:space="0"/>
            </w:tcBorders>
            <w:vAlign w:val="center"/>
          </w:tcPr>
          <w:p w14:paraId="66779DD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教育课程管理</w:t>
            </w:r>
          </w:p>
        </w:tc>
        <w:tc>
          <w:tcPr>
            <w:tcW w:w="0" w:type="auto"/>
            <w:tcBorders>
              <w:top w:val="single" w:color="000000" w:sz="4" w:space="0"/>
              <w:left w:val="single" w:color="000000" w:sz="4" w:space="0"/>
              <w:bottom w:val="single" w:color="000000" w:sz="4" w:space="0"/>
              <w:right w:val="single" w:color="000000" w:sz="4" w:space="0"/>
            </w:tcBorders>
            <w:vAlign w:val="center"/>
          </w:tcPr>
          <w:p w14:paraId="503CF15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支持按照入院宣教、出院宣教、安全宣教、疾病宣教、药物宣教等进行分类，支持宣教内容按上述分类进行上传。</w:t>
            </w:r>
          </w:p>
        </w:tc>
      </w:tr>
      <w:tr w14:paraId="4CEA707A">
        <w:tblPrEx>
          <w:tblCellMar>
            <w:top w:w="0" w:type="dxa"/>
            <w:left w:w="108" w:type="dxa"/>
            <w:bottom w:w="0" w:type="dxa"/>
            <w:right w:w="108" w:type="dxa"/>
          </w:tblCellMar>
        </w:tblPrEx>
        <w:trPr>
          <w:trHeight w:val="36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E5816E">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6C70F5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健康教育登记</w:t>
            </w:r>
          </w:p>
        </w:tc>
        <w:tc>
          <w:tcPr>
            <w:tcW w:w="0" w:type="auto"/>
            <w:tcBorders>
              <w:top w:val="single" w:color="000000" w:sz="4" w:space="0"/>
              <w:left w:val="single" w:color="000000" w:sz="4" w:space="0"/>
              <w:bottom w:val="single" w:color="000000" w:sz="4" w:space="0"/>
              <w:right w:val="single" w:color="000000" w:sz="4" w:space="0"/>
            </w:tcBorders>
            <w:vAlign w:val="center"/>
          </w:tcPr>
          <w:p w14:paraId="29BF0CF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护理人员可以对健康教育的情况进行登记，如宣教对象、宣教效果等。</w:t>
            </w:r>
          </w:p>
        </w:tc>
      </w:tr>
      <w:tr w14:paraId="22651044">
        <w:tblPrEx>
          <w:tblCellMar>
            <w:top w:w="0" w:type="dxa"/>
            <w:left w:w="108" w:type="dxa"/>
            <w:bottom w:w="0" w:type="dxa"/>
            <w:right w:w="108" w:type="dxa"/>
          </w:tblCellMar>
        </w:tblPrEx>
        <w:trPr>
          <w:trHeight w:val="36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228D4D">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DC0081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教育记录查看</w:t>
            </w:r>
          </w:p>
        </w:tc>
        <w:tc>
          <w:tcPr>
            <w:tcW w:w="0" w:type="auto"/>
            <w:tcBorders>
              <w:top w:val="single" w:color="000000" w:sz="4" w:space="0"/>
              <w:left w:val="single" w:color="000000" w:sz="4" w:space="0"/>
              <w:bottom w:val="single" w:color="000000" w:sz="4" w:space="0"/>
              <w:right w:val="single" w:color="000000" w:sz="4" w:space="0"/>
            </w:tcBorders>
            <w:vAlign w:val="center"/>
          </w:tcPr>
          <w:p w14:paraId="5976FB5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护理人员可在当前登录病区内患者列表中选择患者，展示当前选中患者所有教育记录</w:t>
            </w:r>
          </w:p>
        </w:tc>
      </w:tr>
      <w:tr w14:paraId="6D16B973">
        <w:tblPrEx>
          <w:tblCellMar>
            <w:top w:w="0" w:type="dxa"/>
            <w:left w:w="108" w:type="dxa"/>
            <w:bottom w:w="0" w:type="dxa"/>
            <w:right w:w="108" w:type="dxa"/>
          </w:tblCellMar>
        </w:tblPrEx>
        <w:trPr>
          <w:trHeight w:val="36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051959">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F6A7E5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教育记录打印</w:t>
            </w:r>
          </w:p>
        </w:tc>
        <w:tc>
          <w:tcPr>
            <w:tcW w:w="0" w:type="auto"/>
            <w:tcBorders>
              <w:top w:val="single" w:color="000000" w:sz="4" w:space="0"/>
              <w:left w:val="single" w:color="000000" w:sz="4" w:space="0"/>
              <w:bottom w:val="single" w:color="000000" w:sz="4" w:space="0"/>
              <w:right w:val="single" w:color="000000" w:sz="4" w:space="0"/>
            </w:tcBorders>
            <w:vAlign w:val="center"/>
          </w:tcPr>
          <w:p w14:paraId="2D70B12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PC上可以将教育记录生成教育记录单并打印</w:t>
            </w:r>
          </w:p>
        </w:tc>
      </w:tr>
      <w:tr w14:paraId="5B01BA2C">
        <w:tblPrEx>
          <w:tblCellMar>
            <w:top w:w="0" w:type="dxa"/>
            <w:left w:w="108" w:type="dxa"/>
            <w:bottom w:w="0" w:type="dxa"/>
            <w:right w:w="108" w:type="dxa"/>
          </w:tblCellMar>
        </w:tblPrEx>
        <w:trPr>
          <w:trHeight w:val="690"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1285E33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护理文书</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77E4579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护理文书</w:t>
            </w:r>
          </w:p>
        </w:tc>
        <w:tc>
          <w:tcPr>
            <w:tcW w:w="0" w:type="auto"/>
            <w:tcBorders>
              <w:top w:val="single" w:color="000000" w:sz="4" w:space="0"/>
              <w:left w:val="single" w:color="000000" w:sz="4" w:space="0"/>
              <w:bottom w:val="single" w:color="000000" w:sz="4" w:space="0"/>
              <w:right w:val="single" w:color="000000" w:sz="4" w:space="0"/>
            </w:tcBorders>
            <w:vAlign w:val="center"/>
          </w:tcPr>
          <w:p w14:paraId="3FA1F97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入院评估单</w:t>
            </w:r>
          </w:p>
        </w:tc>
        <w:tc>
          <w:tcPr>
            <w:tcW w:w="0" w:type="auto"/>
            <w:tcBorders>
              <w:top w:val="single" w:color="000000" w:sz="4" w:space="0"/>
              <w:left w:val="single" w:color="000000" w:sz="4" w:space="0"/>
              <w:bottom w:val="single" w:color="000000" w:sz="4" w:space="0"/>
              <w:right w:val="single" w:color="000000" w:sz="4" w:space="0"/>
            </w:tcBorders>
            <w:vAlign w:val="center"/>
          </w:tcPr>
          <w:p w14:paraId="26F128F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患者入院当天《入院评估单》相关信息的录入结构化的入院评估单，可配置，易维护符合国家护理电子病历文书标准，通过勾选的方式，方便护士操作，减轻护士工作量</w:t>
            </w:r>
          </w:p>
        </w:tc>
      </w:tr>
      <w:tr w14:paraId="0E36D1E2">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EAA58DD">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46B57D0">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4F34C1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疼痛评估工具</w:t>
            </w:r>
          </w:p>
        </w:tc>
        <w:tc>
          <w:tcPr>
            <w:tcW w:w="0" w:type="auto"/>
            <w:tcBorders>
              <w:top w:val="single" w:color="000000" w:sz="4" w:space="0"/>
              <w:left w:val="single" w:color="000000" w:sz="4" w:space="0"/>
              <w:bottom w:val="single" w:color="000000" w:sz="4" w:space="0"/>
              <w:right w:val="single" w:color="000000" w:sz="4" w:space="0"/>
            </w:tcBorders>
            <w:vAlign w:val="center"/>
          </w:tcPr>
          <w:p w14:paraId="6BAFFBB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适用于患者住院期间疼痛评估，支持数字评分法、面部表情测量法，可录入、修改</w:t>
            </w:r>
          </w:p>
        </w:tc>
      </w:tr>
      <w:tr w14:paraId="6368C250">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A75CAA3">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5539309">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A92BA5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自理能力评估工具</w:t>
            </w:r>
          </w:p>
        </w:tc>
        <w:tc>
          <w:tcPr>
            <w:tcW w:w="0" w:type="auto"/>
            <w:tcBorders>
              <w:top w:val="single" w:color="000000" w:sz="4" w:space="0"/>
              <w:left w:val="single" w:color="000000" w:sz="4" w:space="0"/>
              <w:bottom w:val="single" w:color="000000" w:sz="4" w:space="0"/>
              <w:right w:val="single" w:color="000000" w:sz="4" w:space="0"/>
            </w:tcBorders>
            <w:vAlign w:val="center"/>
          </w:tcPr>
          <w:p w14:paraId="5536CE2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适用于患者住院期间自理能力评估，表单结构化，通过勾选的方式完成，自动计算评分及等级，支持单表单内一定逻辑设置；可录入、修改、预览、打印</w:t>
            </w:r>
          </w:p>
        </w:tc>
      </w:tr>
      <w:tr w14:paraId="48D8879B">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5B2B653">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CE093FD">
            <w:pPr>
              <w:jc w:val="center"/>
              <w:rPr>
                <w:rFonts w:hint="eastAsia" w:ascii="宋体" w:hAnsi="宋体" w:eastAsia="宋体" w:cs="宋体"/>
                <w:color w:val="000000"/>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3B15A52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压力性损伤风险评估工具</w:t>
            </w:r>
          </w:p>
        </w:tc>
        <w:tc>
          <w:tcPr>
            <w:tcW w:w="0" w:type="auto"/>
            <w:tcBorders>
              <w:top w:val="single" w:color="000000" w:sz="4" w:space="0"/>
              <w:left w:val="single" w:color="000000" w:sz="4" w:space="0"/>
              <w:bottom w:val="single" w:color="000000" w:sz="4" w:space="0"/>
              <w:right w:val="single" w:color="000000" w:sz="4" w:space="0"/>
            </w:tcBorders>
            <w:vAlign w:val="center"/>
          </w:tcPr>
          <w:p w14:paraId="1DA6E60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适用于患者住院期间压力性损伤风险评估，表单结构化，通过勾选的方式完成，自动计算评分及风险等级，支持单表单内一定逻辑设置；可录入、修改、预览、打印</w:t>
            </w:r>
          </w:p>
        </w:tc>
      </w:tr>
      <w:tr w14:paraId="3DA3003A">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0320DD5">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E69E585">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07FCD7F">
            <w:pPr>
              <w:jc w:val="left"/>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ED49D2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可选择Braden评分表、Norton评分表、Waterlow评分表之一，和Braden-Q评分表</w:t>
            </w:r>
          </w:p>
        </w:tc>
      </w:tr>
      <w:tr w14:paraId="0BC7D24A">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98738F3">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FC6AA71">
            <w:pPr>
              <w:jc w:val="center"/>
              <w:rPr>
                <w:rFonts w:hint="eastAsia" w:ascii="宋体" w:hAnsi="宋体" w:eastAsia="宋体" w:cs="宋体"/>
                <w:color w:val="000000"/>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0B9E57A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跌倒/坠床风险评估工具</w:t>
            </w:r>
          </w:p>
        </w:tc>
        <w:tc>
          <w:tcPr>
            <w:tcW w:w="0" w:type="auto"/>
            <w:tcBorders>
              <w:top w:val="single" w:color="000000" w:sz="4" w:space="0"/>
              <w:left w:val="single" w:color="000000" w:sz="4" w:space="0"/>
              <w:bottom w:val="single" w:color="000000" w:sz="4" w:space="0"/>
              <w:right w:val="single" w:color="000000" w:sz="4" w:space="0"/>
            </w:tcBorders>
            <w:vAlign w:val="center"/>
          </w:tcPr>
          <w:p w14:paraId="646816C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适用于患者住院期间跌倒/坠床风险评估，表单结构化，通过勾选的方式完成，自动计算评分及风险等级，支持单表单内一定逻辑设置；可录入、修改、预览、打印</w:t>
            </w:r>
          </w:p>
        </w:tc>
      </w:tr>
      <w:tr w14:paraId="22739A51">
        <w:tblPrEx>
          <w:tblCellMar>
            <w:top w:w="0" w:type="dxa"/>
            <w:left w:w="108" w:type="dxa"/>
            <w:bottom w:w="0" w:type="dxa"/>
            <w:right w:w="108" w:type="dxa"/>
          </w:tblCellMar>
        </w:tblPrEx>
        <w:trPr>
          <w:trHeight w:val="103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738D937">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DCCCD25">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30470A9">
            <w:pPr>
              <w:jc w:val="left"/>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C75EDF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可选择Morse跌倒（坠床）风险评估量表、约翰霍普金斯跌倒（坠床）风险评估量表、托马斯跌倒（坠床）风险评估工具、Hendrich跌倒（坠床）风险评估表之一，和改良版Humpty Dumpty 儿童跌倒（坠床）风险量表</w:t>
            </w:r>
          </w:p>
        </w:tc>
      </w:tr>
      <w:tr w14:paraId="79D85803">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320BA5F">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9779437">
            <w:pPr>
              <w:jc w:val="center"/>
              <w:rPr>
                <w:rFonts w:hint="eastAsia" w:ascii="宋体" w:hAnsi="宋体" w:eastAsia="宋体" w:cs="宋体"/>
                <w:color w:val="000000"/>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772374E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镇静评估工具</w:t>
            </w:r>
          </w:p>
        </w:tc>
        <w:tc>
          <w:tcPr>
            <w:tcW w:w="0" w:type="auto"/>
            <w:tcBorders>
              <w:top w:val="single" w:color="000000" w:sz="4" w:space="0"/>
              <w:left w:val="single" w:color="000000" w:sz="4" w:space="0"/>
              <w:bottom w:val="single" w:color="000000" w:sz="4" w:space="0"/>
              <w:right w:val="single" w:color="000000" w:sz="4" w:space="0"/>
            </w:tcBorders>
            <w:vAlign w:val="center"/>
          </w:tcPr>
          <w:p w14:paraId="690EF80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适用于患者住院期间镇静评估，表单结构化，通过勾选的方式完成，自动计算评分，支持单表单内一定逻辑设置；可录入、修改、预览、打印</w:t>
            </w:r>
          </w:p>
        </w:tc>
      </w:tr>
      <w:tr w14:paraId="5A45CB57">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20E0DFA">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8E76B8F">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11CDDAA">
            <w:pPr>
              <w:jc w:val="left"/>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9B64E0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可选择RASS(Richmond躁动-镇静评分)、SAS(镇静-躁动评分)</w:t>
            </w:r>
          </w:p>
        </w:tc>
      </w:tr>
      <w:tr w14:paraId="39179F01">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6412D6C">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0039ABC">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93D23F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GLASGOW评分</w:t>
            </w:r>
          </w:p>
        </w:tc>
        <w:tc>
          <w:tcPr>
            <w:tcW w:w="0" w:type="auto"/>
            <w:tcBorders>
              <w:top w:val="single" w:color="000000" w:sz="4" w:space="0"/>
              <w:left w:val="single" w:color="000000" w:sz="4" w:space="0"/>
              <w:bottom w:val="single" w:color="000000" w:sz="4" w:space="0"/>
              <w:right w:val="single" w:color="000000" w:sz="4" w:space="0"/>
            </w:tcBorders>
            <w:vAlign w:val="center"/>
          </w:tcPr>
          <w:p w14:paraId="3A0ECFF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适用于患者住院期间昏迷程度评估，表单结构化，通过勾选的方式完成，自动计算评分，支持单表单内一定逻辑设置；可录入、修改、预览、打印</w:t>
            </w:r>
          </w:p>
        </w:tc>
      </w:tr>
      <w:tr w14:paraId="55686041">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E18A673">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0C6DA19">
            <w:pPr>
              <w:jc w:val="center"/>
              <w:rPr>
                <w:rFonts w:hint="eastAsia" w:ascii="宋体" w:hAnsi="宋体" w:eastAsia="宋体" w:cs="宋体"/>
                <w:color w:val="000000"/>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46A78E6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VTE风险评估</w:t>
            </w:r>
          </w:p>
        </w:tc>
        <w:tc>
          <w:tcPr>
            <w:tcW w:w="0" w:type="auto"/>
            <w:tcBorders>
              <w:top w:val="single" w:color="000000" w:sz="4" w:space="0"/>
              <w:left w:val="single" w:color="000000" w:sz="4" w:space="0"/>
              <w:bottom w:val="single" w:color="000000" w:sz="4" w:space="0"/>
              <w:right w:val="single" w:color="000000" w:sz="4" w:space="0"/>
            </w:tcBorders>
            <w:vAlign w:val="center"/>
          </w:tcPr>
          <w:p w14:paraId="6771AE5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适用于患者住院期间静脉血栓栓塞症的风险评估，表单结构化，通过勾选的方式完成，自动计算评分及风险等级，支持单表单内一定逻辑设置；可录入、修改、预览、打印</w:t>
            </w:r>
          </w:p>
        </w:tc>
      </w:tr>
      <w:tr w14:paraId="33E7B054">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365F16B">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4D27CF3">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9204D52">
            <w:pPr>
              <w:jc w:val="left"/>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9A659C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可选择VTE-Caprini、VTE-Padua</w:t>
            </w:r>
          </w:p>
        </w:tc>
      </w:tr>
      <w:tr w14:paraId="01B59594">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C03EEEA">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3D76B89">
            <w:pPr>
              <w:jc w:val="center"/>
              <w:rPr>
                <w:rFonts w:hint="eastAsia" w:ascii="宋体" w:hAnsi="宋体" w:eastAsia="宋体" w:cs="宋体"/>
                <w:color w:val="000000"/>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34B4198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营养状况评估工具</w:t>
            </w:r>
          </w:p>
        </w:tc>
        <w:tc>
          <w:tcPr>
            <w:tcW w:w="0" w:type="auto"/>
            <w:tcBorders>
              <w:top w:val="single" w:color="000000" w:sz="4" w:space="0"/>
              <w:left w:val="single" w:color="000000" w:sz="4" w:space="0"/>
              <w:bottom w:val="single" w:color="000000" w:sz="4" w:space="0"/>
              <w:right w:val="single" w:color="000000" w:sz="4" w:space="0"/>
            </w:tcBorders>
            <w:vAlign w:val="center"/>
          </w:tcPr>
          <w:p w14:paraId="280234B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适用于患者住院期间营养状况评估，表单结构化，通过勾选的方式完成，自动计算评分，支持单表单内一定逻辑设置；可录入、修改、预览、打印。</w:t>
            </w:r>
          </w:p>
        </w:tc>
      </w:tr>
      <w:tr w14:paraId="0260EE87">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8302685">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19E9B95">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B4E36F0">
            <w:pPr>
              <w:jc w:val="left"/>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A64915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可选择营养风险筛查量表-2002（NRS-2002）、STRONGkids量表</w:t>
            </w:r>
          </w:p>
        </w:tc>
      </w:tr>
      <w:tr w14:paraId="789BBA69">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B2A205D">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5A008A4">
            <w:pPr>
              <w:jc w:val="center"/>
              <w:rPr>
                <w:rFonts w:hint="eastAsia" w:ascii="宋体" w:hAnsi="宋体" w:eastAsia="宋体" w:cs="宋体"/>
                <w:color w:val="000000"/>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5F26642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早期预警评估</w:t>
            </w:r>
          </w:p>
        </w:tc>
        <w:tc>
          <w:tcPr>
            <w:tcW w:w="0" w:type="auto"/>
            <w:tcBorders>
              <w:top w:val="single" w:color="000000" w:sz="4" w:space="0"/>
              <w:left w:val="single" w:color="000000" w:sz="4" w:space="0"/>
              <w:bottom w:val="single" w:color="000000" w:sz="4" w:space="0"/>
              <w:right w:val="single" w:color="000000" w:sz="4" w:space="0"/>
            </w:tcBorders>
            <w:vAlign w:val="center"/>
          </w:tcPr>
          <w:p w14:paraId="4337F78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适用于患者住院期间早期预警评估，表单结构化，通过勾选的方式完成，自动计算评分及风险等级，支持单表单内一定逻辑设置；可录入、修改、预览、打印</w:t>
            </w:r>
          </w:p>
        </w:tc>
      </w:tr>
      <w:tr w14:paraId="370C9634">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AAF941A">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8D3C50E">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CCA6582">
            <w:pPr>
              <w:jc w:val="left"/>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3654E2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可选择NEWS或MEWS，和PEWS</w:t>
            </w:r>
          </w:p>
        </w:tc>
      </w:tr>
      <w:tr w14:paraId="1FF3C948">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D40F36B">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E9A10AC">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7D6991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导管滑脱风险评估</w:t>
            </w:r>
          </w:p>
        </w:tc>
        <w:tc>
          <w:tcPr>
            <w:tcW w:w="0" w:type="auto"/>
            <w:tcBorders>
              <w:top w:val="single" w:color="000000" w:sz="4" w:space="0"/>
              <w:left w:val="single" w:color="000000" w:sz="4" w:space="0"/>
              <w:bottom w:val="single" w:color="000000" w:sz="4" w:space="0"/>
              <w:right w:val="single" w:color="000000" w:sz="4" w:space="0"/>
            </w:tcBorders>
            <w:vAlign w:val="center"/>
          </w:tcPr>
          <w:p w14:paraId="62140C1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适用于患者住院期间导管滑脱风险评估，表单结构化，通过勾选的方式完成，自动计算评分，支持单表单内一定逻辑设置；可录入、修改、预览、打印</w:t>
            </w:r>
          </w:p>
        </w:tc>
      </w:tr>
      <w:tr w14:paraId="7E439DF0">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0A5642D">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2F9D443">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59BA40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评分趋势图</w:t>
            </w:r>
          </w:p>
        </w:tc>
        <w:tc>
          <w:tcPr>
            <w:tcW w:w="0" w:type="auto"/>
            <w:tcBorders>
              <w:top w:val="single" w:color="000000" w:sz="4" w:space="0"/>
              <w:left w:val="single" w:color="000000" w:sz="4" w:space="0"/>
              <w:bottom w:val="single" w:color="000000" w:sz="4" w:space="0"/>
              <w:right w:val="single" w:color="000000" w:sz="4" w:space="0"/>
            </w:tcBorders>
            <w:vAlign w:val="center"/>
          </w:tcPr>
          <w:p w14:paraId="714015B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针对不同评分的图形展示</w:t>
            </w:r>
          </w:p>
        </w:tc>
      </w:tr>
      <w:tr w14:paraId="3079C0B9">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EA16D73">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6929A58">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91FD94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护理评分查询</w:t>
            </w:r>
          </w:p>
        </w:tc>
        <w:tc>
          <w:tcPr>
            <w:tcW w:w="0" w:type="auto"/>
            <w:tcBorders>
              <w:top w:val="single" w:color="000000" w:sz="4" w:space="0"/>
              <w:left w:val="single" w:color="000000" w:sz="4" w:space="0"/>
              <w:bottom w:val="single" w:color="000000" w:sz="4" w:space="0"/>
              <w:right w:val="single" w:color="000000" w:sz="4" w:space="0"/>
            </w:tcBorders>
            <w:vAlign w:val="center"/>
          </w:tcPr>
          <w:p w14:paraId="4EA92EF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查询患者评分异常数据</w:t>
            </w:r>
          </w:p>
        </w:tc>
      </w:tr>
      <w:tr w14:paraId="27B70184">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72A11F9">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7B08B42">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A7F6E1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护理评分汇总（患者）</w:t>
            </w:r>
          </w:p>
        </w:tc>
        <w:tc>
          <w:tcPr>
            <w:tcW w:w="0" w:type="auto"/>
            <w:tcBorders>
              <w:top w:val="single" w:color="000000" w:sz="4" w:space="0"/>
              <w:left w:val="single" w:color="000000" w:sz="4" w:space="0"/>
              <w:bottom w:val="single" w:color="000000" w:sz="4" w:space="0"/>
              <w:right w:val="single" w:color="000000" w:sz="4" w:space="0"/>
            </w:tcBorders>
            <w:vAlign w:val="center"/>
          </w:tcPr>
          <w:p w14:paraId="21B78DE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汇总患者的所有评分记录</w:t>
            </w:r>
          </w:p>
        </w:tc>
      </w:tr>
      <w:tr w14:paraId="07E0E47D">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1068BA1">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8B04152">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DD9281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一般护理记录单</w:t>
            </w:r>
          </w:p>
        </w:tc>
        <w:tc>
          <w:tcPr>
            <w:tcW w:w="0" w:type="auto"/>
            <w:tcBorders>
              <w:top w:val="single" w:color="000000" w:sz="4" w:space="0"/>
              <w:left w:val="single" w:color="000000" w:sz="4" w:space="0"/>
              <w:bottom w:val="single" w:color="000000" w:sz="4" w:space="0"/>
              <w:right w:val="single" w:color="000000" w:sz="4" w:space="0"/>
            </w:tcBorders>
            <w:vAlign w:val="center"/>
          </w:tcPr>
          <w:p w14:paraId="4EE194F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适用于患者住院期间一般护理记录，表单结构化，通过勾选、数据共享、文字描述的方式完成，支持套用随笔；可录入、修改、预览、打印</w:t>
            </w:r>
          </w:p>
        </w:tc>
      </w:tr>
      <w:tr w14:paraId="18220E07">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77F941C">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F15D0EF">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0E809A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危重护理记录单</w:t>
            </w:r>
          </w:p>
        </w:tc>
        <w:tc>
          <w:tcPr>
            <w:tcW w:w="0" w:type="auto"/>
            <w:tcBorders>
              <w:top w:val="single" w:color="000000" w:sz="4" w:space="0"/>
              <w:left w:val="single" w:color="000000" w:sz="4" w:space="0"/>
              <w:bottom w:val="single" w:color="000000" w:sz="4" w:space="0"/>
              <w:right w:val="single" w:color="000000" w:sz="4" w:space="0"/>
            </w:tcBorders>
            <w:vAlign w:val="center"/>
          </w:tcPr>
          <w:p w14:paraId="1245D61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适用于患者住院期间危重护理记录，表单结构化，通过勾选、数据共享、文字描述的方式完成，支持套用随笔；可录入、修改、预览、打印</w:t>
            </w:r>
          </w:p>
        </w:tc>
      </w:tr>
      <w:tr w14:paraId="5B089C19">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64511EE">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179EAB3">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849F05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出入量记录单</w:t>
            </w:r>
          </w:p>
        </w:tc>
        <w:tc>
          <w:tcPr>
            <w:tcW w:w="0" w:type="auto"/>
            <w:tcBorders>
              <w:top w:val="single" w:color="000000" w:sz="4" w:space="0"/>
              <w:left w:val="single" w:color="000000" w:sz="4" w:space="0"/>
              <w:bottom w:val="single" w:color="000000" w:sz="4" w:space="0"/>
              <w:right w:val="single" w:color="000000" w:sz="4" w:space="0"/>
            </w:tcBorders>
            <w:vAlign w:val="center"/>
          </w:tcPr>
          <w:p w14:paraId="4B36873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适用于患者住院期间出入量的详细记录，通过录入、数据共享的方式完成；可录入、修改、预览、打印</w:t>
            </w:r>
          </w:p>
        </w:tc>
      </w:tr>
      <w:tr w14:paraId="3E4D68A4">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9DB0385">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BE25264">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43CC9D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入院告知书</w:t>
            </w:r>
          </w:p>
        </w:tc>
        <w:tc>
          <w:tcPr>
            <w:tcW w:w="0" w:type="auto"/>
            <w:tcBorders>
              <w:top w:val="single" w:color="000000" w:sz="4" w:space="0"/>
              <w:left w:val="single" w:color="000000" w:sz="4" w:space="0"/>
              <w:bottom w:val="single" w:color="000000" w:sz="4" w:space="0"/>
              <w:right w:val="single" w:color="000000" w:sz="4" w:space="0"/>
            </w:tcBorders>
            <w:vAlign w:val="center"/>
          </w:tcPr>
          <w:p w14:paraId="2B50903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根据医院相关规定，提供患者入院告知书</w:t>
            </w:r>
          </w:p>
        </w:tc>
      </w:tr>
      <w:tr w14:paraId="1E077EB8">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DF4A84B">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4251DB5">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66309D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疼痛告知书</w:t>
            </w:r>
          </w:p>
        </w:tc>
        <w:tc>
          <w:tcPr>
            <w:tcW w:w="0" w:type="auto"/>
            <w:tcBorders>
              <w:top w:val="single" w:color="000000" w:sz="4" w:space="0"/>
              <w:left w:val="single" w:color="000000" w:sz="4" w:space="0"/>
              <w:bottom w:val="single" w:color="000000" w:sz="4" w:space="0"/>
              <w:right w:val="single" w:color="000000" w:sz="4" w:space="0"/>
            </w:tcBorders>
            <w:vAlign w:val="center"/>
          </w:tcPr>
          <w:p w14:paraId="676EC84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根据疼痛评分，提供患者疼痛告知书</w:t>
            </w:r>
          </w:p>
        </w:tc>
      </w:tr>
      <w:tr w14:paraId="0291F944">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E17A7FB">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FA4110D">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BDE112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手术知情告知书</w:t>
            </w:r>
          </w:p>
        </w:tc>
        <w:tc>
          <w:tcPr>
            <w:tcW w:w="0" w:type="auto"/>
            <w:tcBorders>
              <w:top w:val="single" w:color="000000" w:sz="4" w:space="0"/>
              <w:left w:val="single" w:color="000000" w:sz="4" w:space="0"/>
              <w:bottom w:val="single" w:color="000000" w:sz="4" w:space="0"/>
              <w:right w:val="single" w:color="000000" w:sz="4" w:space="0"/>
            </w:tcBorders>
            <w:vAlign w:val="center"/>
          </w:tcPr>
          <w:p w14:paraId="3B13889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根据医院相关规定，提供患者及家属手术知情告知书</w:t>
            </w:r>
          </w:p>
        </w:tc>
      </w:tr>
      <w:tr w14:paraId="7B5E791F">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07949AE">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4A1C4DA">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582D66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病危病重告知书</w:t>
            </w:r>
          </w:p>
        </w:tc>
        <w:tc>
          <w:tcPr>
            <w:tcW w:w="0" w:type="auto"/>
            <w:tcBorders>
              <w:top w:val="single" w:color="000000" w:sz="4" w:space="0"/>
              <w:left w:val="single" w:color="000000" w:sz="4" w:space="0"/>
              <w:bottom w:val="single" w:color="000000" w:sz="4" w:space="0"/>
              <w:right w:val="single" w:color="000000" w:sz="4" w:space="0"/>
            </w:tcBorders>
            <w:vAlign w:val="center"/>
          </w:tcPr>
          <w:p w14:paraId="63D7B8E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根据医院相关规定，提供患者及家属病危病重告知书</w:t>
            </w:r>
          </w:p>
        </w:tc>
      </w:tr>
      <w:tr w14:paraId="165051DB">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622C2F0">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2A44040">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88314F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压力性损伤风险告知书</w:t>
            </w:r>
          </w:p>
        </w:tc>
        <w:tc>
          <w:tcPr>
            <w:tcW w:w="0" w:type="auto"/>
            <w:tcBorders>
              <w:top w:val="single" w:color="000000" w:sz="4" w:space="0"/>
              <w:left w:val="single" w:color="000000" w:sz="4" w:space="0"/>
              <w:bottom w:val="single" w:color="000000" w:sz="4" w:space="0"/>
              <w:right w:val="single" w:color="000000" w:sz="4" w:space="0"/>
            </w:tcBorders>
            <w:vAlign w:val="center"/>
          </w:tcPr>
          <w:p w14:paraId="4C39CC8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根据压力性损伤风险评估，提供患者压力性损伤风险告知书</w:t>
            </w:r>
          </w:p>
        </w:tc>
      </w:tr>
      <w:tr w14:paraId="54A64E10">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9C461E4">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331D92D">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04FF22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跌倒/坠床风险告知书</w:t>
            </w:r>
          </w:p>
        </w:tc>
        <w:tc>
          <w:tcPr>
            <w:tcW w:w="0" w:type="auto"/>
            <w:tcBorders>
              <w:top w:val="single" w:color="000000" w:sz="4" w:space="0"/>
              <w:left w:val="single" w:color="000000" w:sz="4" w:space="0"/>
              <w:bottom w:val="single" w:color="000000" w:sz="4" w:space="0"/>
              <w:right w:val="single" w:color="000000" w:sz="4" w:space="0"/>
            </w:tcBorders>
            <w:vAlign w:val="center"/>
          </w:tcPr>
          <w:p w14:paraId="61AC8AA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根据跌倒/坠床风险评分，提供患者跌倒/坠床风险告知书</w:t>
            </w:r>
          </w:p>
        </w:tc>
      </w:tr>
      <w:tr w14:paraId="4843194C">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47BE5C5">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570DCA8">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9A79C5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VTE风险告知书</w:t>
            </w:r>
          </w:p>
        </w:tc>
        <w:tc>
          <w:tcPr>
            <w:tcW w:w="0" w:type="auto"/>
            <w:tcBorders>
              <w:top w:val="single" w:color="000000" w:sz="4" w:space="0"/>
              <w:left w:val="single" w:color="000000" w:sz="4" w:space="0"/>
              <w:bottom w:val="single" w:color="000000" w:sz="4" w:space="0"/>
              <w:right w:val="single" w:color="000000" w:sz="4" w:space="0"/>
            </w:tcBorders>
            <w:vAlign w:val="center"/>
          </w:tcPr>
          <w:p w14:paraId="15DCD24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根据VTE风险评分，提供患者VTE风险告知书</w:t>
            </w:r>
          </w:p>
        </w:tc>
      </w:tr>
      <w:tr w14:paraId="0B844C5A">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25C3003">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F17C8FB">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256AB5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非计划拔管风险告知书</w:t>
            </w:r>
          </w:p>
        </w:tc>
        <w:tc>
          <w:tcPr>
            <w:tcW w:w="0" w:type="auto"/>
            <w:tcBorders>
              <w:top w:val="single" w:color="000000" w:sz="4" w:space="0"/>
              <w:left w:val="single" w:color="000000" w:sz="4" w:space="0"/>
              <w:bottom w:val="single" w:color="000000" w:sz="4" w:space="0"/>
              <w:right w:val="single" w:color="000000" w:sz="4" w:space="0"/>
            </w:tcBorders>
            <w:vAlign w:val="center"/>
          </w:tcPr>
          <w:p w14:paraId="604A6E9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根据非计划拔管风险评分，提供患者非计划拔管风险告知书</w:t>
            </w:r>
          </w:p>
        </w:tc>
      </w:tr>
      <w:tr w14:paraId="26476D9C">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5467E5A">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1864B5E">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15FF01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出院告知书</w:t>
            </w:r>
          </w:p>
        </w:tc>
        <w:tc>
          <w:tcPr>
            <w:tcW w:w="0" w:type="auto"/>
            <w:tcBorders>
              <w:top w:val="single" w:color="000000" w:sz="4" w:space="0"/>
              <w:left w:val="single" w:color="000000" w:sz="4" w:space="0"/>
              <w:bottom w:val="single" w:color="000000" w:sz="4" w:space="0"/>
              <w:right w:val="single" w:color="000000" w:sz="4" w:space="0"/>
            </w:tcBorders>
            <w:vAlign w:val="center"/>
          </w:tcPr>
          <w:p w14:paraId="2AC6BBA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根据医院相关规定，提供患者出院告知书</w:t>
            </w:r>
          </w:p>
        </w:tc>
      </w:tr>
      <w:tr w14:paraId="29A63F9F">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B508D17">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BDAC4B7">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9745CD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第三方共享调阅</w:t>
            </w:r>
          </w:p>
        </w:tc>
        <w:tc>
          <w:tcPr>
            <w:tcW w:w="0" w:type="auto"/>
            <w:tcBorders>
              <w:top w:val="single" w:color="000000" w:sz="4" w:space="0"/>
              <w:left w:val="single" w:color="000000" w:sz="4" w:space="0"/>
              <w:bottom w:val="single" w:color="000000" w:sz="4" w:space="0"/>
              <w:right w:val="single" w:color="000000" w:sz="4" w:space="0"/>
            </w:tcBorders>
            <w:vAlign w:val="center"/>
          </w:tcPr>
          <w:p w14:paraId="7B0C36F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支持通过web形式将移动护理文书共享给第三方系统调阅</w:t>
            </w:r>
          </w:p>
        </w:tc>
      </w:tr>
      <w:tr w14:paraId="5BAEE81A">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6C1E801">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A243FC3">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2072B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★护理评估规则管理</w:t>
            </w:r>
          </w:p>
        </w:tc>
        <w:tc>
          <w:tcPr>
            <w:tcW w:w="0" w:type="auto"/>
            <w:tcBorders>
              <w:top w:val="single" w:color="000000" w:sz="4" w:space="0"/>
              <w:left w:val="single" w:color="000000" w:sz="4" w:space="0"/>
              <w:bottom w:val="single" w:color="000000" w:sz="4" w:space="0"/>
              <w:right w:val="single" w:color="000000" w:sz="4" w:space="0"/>
            </w:tcBorders>
            <w:vAlign w:val="bottom"/>
          </w:tcPr>
          <w:p w14:paraId="6E24D5FE">
            <w:pPr>
              <w:widowControl/>
              <w:jc w:val="left"/>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可以根据医院的要求，设定护理评估规则，可以根据患者信息、护理评估情况、医嘱等要求设定护理评估规则</w:t>
            </w:r>
          </w:p>
        </w:tc>
      </w:tr>
      <w:tr w14:paraId="4B755279">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915BDD1">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3762060">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C4B3C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★护理评估任务生成</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FD2E2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根据护理评估规则的要求，针对不同的患者生成不同护理评估任务</w:t>
            </w:r>
          </w:p>
        </w:tc>
      </w:tr>
      <w:tr w14:paraId="789D049F">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5AB2A3D">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E068FB0">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93FE5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★护理评估提醒</w:t>
            </w:r>
          </w:p>
        </w:tc>
        <w:tc>
          <w:tcPr>
            <w:tcW w:w="0" w:type="auto"/>
            <w:tcBorders>
              <w:top w:val="single" w:color="000000" w:sz="4" w:space="0"/>
              <w:left w:val="single" w:color="000000" w:sz="4" w:space="0"/>
              <w:bottom w:val="single" w:color="000000" w:sz="4" w:space="0"/>
              <w:right w:val="single" w:color="000000" w:sz="4" w:space="0"/>
            </w:tcBorders>
            <w:vAlign w:val="bottom"/>
          </w:tcPr>
          <w:p w14:paraId="47E6620F">
            <w:pPr>
              <w:widowControl/>
              <w:jc w:val="left"/>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提供文书待办查看，方便护士查看哪些护理文书未书写，哪些文书填写的不完整；如入院评估需在入院8小时内填写、疼痛评估</w:t>
            </w:r>
          </w:p>
        </w:tc>
      </w:tr>
      <w:tr w14:paraId="1CE4DC33">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B9BDE2A">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EEDCE67">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A85F67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★护理评分待评测提醒</w:t>
            </w:r>
          </w:p>
        </w:tc>
        <w:tc>
          <w:tcPr>
            <w:tcW w:w="0" w:type="auto"/>
            <w:tcBorders>
              <w:top w:val="single" w:color="000000" w:sz="4" w:space="0"/>
              <w:left w:val="single" w:color="000000" w:sz="4" w:space="0"/>
              <w:bottom w:val="single" w:color="000000" w:sz="4" w:space="0"/>
              <w:right w:val="single" w:color="000000" w:sz="4" w:space="0"/>
            </w:tcBorders>
            <w:vAlign w:val="bottom"/>
          </w:tcPr>
          <w:p w14:paraId="69D04A39">
            <w:pPr>
              <w:widowControl/>
              <w:jc w:val="left"/>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支持护理评分待评测提醒，根据最近一次护理评分的结果和规则，提醒下次评分时机</w:t>
            </w:r>
          </w:p>
        </w:tc>
      </w:tr>
      <w:tr w14:paraId="36DD3C2F">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4E5EE67">
            <w:pPr>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DE4EC47">
            <w:pPr>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4D37B3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★护理文书待评估提醒</w:t>
            </w:r>
          </w:p>
        </w:tc>
        <w:tc>
          <w:tcPr>
            <w:tcW w:w="0" w:type="auto"/>
            <w:tcBorders>
              <w:top w:val="single" w:color="000000" w:sz="4" w:space="0"/>
              <w:left w:val="single" w:color="000000" w:sz="4" w:space="0"/>
              <w:bottom w:val="single" w:color="000000" w:sz="4" w:space="0"/>
              <w:right w:val="single" w:color="000000" w:sz="4" w:space="0"/>
            </w:tcBorders>
            <w:vAlign w:val="bottom"/>
          </w:tcPr>
          <w:p w14:paraId="1C3060A6">
            <w:pPr>
              <w:widowControl/>
              <w:jc w:val="left"/>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支持护理文书待评估提醒，提供文书待办查看，如入院评估需在入院8小时内填写、疼痛评估</w:t>
            </w:r>
          </w:p>
        </w:tc>
      </w:tr>
    </w:tbl>
    <w:p w14:paraId="4666A91C">
      <w:pPr>
        <w:rPr>
          <w:rFonts w:hint="eastAsia" w:ascii="宋体" w:hAnsi="宋体" w:eastAsia="宋体" w:cs="宋体"/>
          <w:sz w:val="21"/>
          <w:szCs w:val="21"/>
        </w:rPr>
      </w:pPr>
    </w:p>
    <w:p w14:paraId="4603A577">
      <w:pPr>
        <w:pStyle w:val="5"/>
        <w:spacing w:before="156" w:after="156"/>
        <w:rPr>
          <w:rFonts w:hint="eastAsia" w:ascii="宋体" w:hAnsi="宋体" w:eastAsia="宋体" w:cs="宋体"/>
          <w:b/>
          <w:bCs w:val="0"/>
          <w:sz w:val="21"/>
          <w:szCs w:val="21"/>
        </w:rPr>
      </w:pPr>
      <w:r>
        <w:rPr>
          <w:rFonts w:hint="eastAsia" w:ascii="宋体" w:hAnsi="宋体" w:eastAsia="宋体" w:cs="宋体"/>
          <w:b/>
          <w:bCs w:val="0"/>
          <w:sz w:val="21"/>
          <w:szCs w:val="21"/>
          <w:lang w:val="en-US" w:eastAsia="zh-CN"/>
        </w:rPr>
        <w:t>二、</w:t>
      </w:r>
      <w:r>
        <w:rPr>
          <w:rFonts w:hint="eastAsia" w:ascii="宋体" w:hAnsi="宋体" w:eastAsia="宋体" w:cs="宋体"/>
          <w:b/>
          <w:bCs w:val="0"/>
          <w:sz w:val="21"/>
          <w:szCs w:val="21"/>
        </w:rPr>
        <w:t>智慧护理护理管理系统</w:t>
      </w:r>
    </w:p>
    <w:p w14:paraId="471BA341">
      <w:pPr>
        <w:pStyle w:val="7"/>
        <w:rPr>
          <w:rFonts w:hint="eastAsia" w:ascii="宋体" w:hAnsi="宋体" w:eastAsia="宋体" w:cs="宋体"/>
          <w:sz w:val="21"/>
          <w:szCs w:val="21"/>
        </w:rPr>
      </w:pPr>
      <w:r>
        <w:rPr>
          <w:rFonts w:hint="eastAsia" w:ascii="宋体" w:hAnsi="宋体" w:eastAsia="宋体" w:cs="宋体"/>
          <w:sz w:val="21"/>
          <w:szCs w:val="21"/>
          <w:lang w:val="en-US" w:eastAsia="zh-CN"/>
        </w:rPr>
        <w:t>2.1</w:t>
      </w:r>
      <w:r>
        <w:rPr>
          <w:rFonts w:hint="eastAsia" w:ascii="宋体" w:hAnsi="宋体" w:eastAsia="宋体" w:cs="宋体"/>
          <w:sz w:val="21"/>
          <w:szCs w:val="21"/>
        </w:rPr>
        <w:t>技术要求</w:t>
      </w:r>
    </w:p>
    <w:p w14:paraId="0560038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★一、需要有BS架构的应用管理平台：</w:t>
      </w:r>
    </w:p>
    <w:p w14:paraId="7069AB8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1、通过管理平台，可以在线部署应用，可以对外部接口应用和主应用进行分离部署</w:t>
      </w:r>
    </w:p>
    <w:p w14:paraId="09FAF98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2、通过管理平台，可以监控Java的线程、内存等的运行状态，需集成Arthas工具，能查看具体的类加载信息、方法执行监控等</w:t>
      </w:r>
    </w:p>
    <w:p w14:paraId="5B3595F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3、通过管理平台，可以对应用进行升级或者降级；可以对数据库脚本进行执行</w:t>
      </w:r>
    </w:p>
    <w:p w14:paraId="723C1B3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4、通过管理平台，可以下载日志或者在线查看、检索系统日志</w:t>
      </w:r>
    </w:p>
    <w:p w14:paraId="70332F1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★二、需要有BS架构的报表制作工具：</w:t>
      </w:r>
    </w:p>
    <w:p w14:paraId="4498D9E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1、通过报表工具，能可视化制作表格或者图表形式的报表，需支持“柱状图”、“折线图”、“条形图”、“饼图”，“鱼骨图”、“柏拉图”等常见的图表</w:t>
      </w:r>
    </w:p>
    <w:p w14:paraId="06CBB4F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2、通过报表工具制作的单体报表，能跨越多个数据源</w:t>
      </w:r>
    </w:p>
    <w:p w14:paraId="22609D2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3、通过报表工具制作的单张报表，能进行数据穿透，比如选择“入院人数”时，能查看具体的入院人的详细内容</w:t>
      </w:r>
    </w:p>
    <w:p w14:paraId="047DC5D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4、接口工具制作的报表能和具体的业务应用进行无缝的权限、菜单等集成；也能支持单独部署报表系统</w:t>
      </w:r>
    </w:p>
    <w:p w14:paraId="693C3AB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★三、需要有BS架构的第三方接口验证工具，能脱离应用验证接口数据：</w:t>
      </w:r>
    </w:p>
    <w:p w14:paraId="267A0E4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1、通过接口工具，能校验“数据库视图或者表”、“ESB接口”、“HL7接口”等多种形式的接口</w:t>
      </w:r>
    </w:p>
    <w:p w14:paraId="5E0DC45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2、通过接口工具，能校验接口的结构正确性，包括字段的类型、长度、是否为空，唯一值等</w:t>
      </w:r>
    </w:p>
    <w:p w14:paraId="4F630C2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2、通过接口工具，能校验接口数据的正确性，比如校验“处方必然有相关联的医嘱”</w:t>
      </w:r>
    </w:p>
    <w:p w14:paraId="21A86C4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3、通过接口工具，能生成接口文档，可以在工具上直接查看、下载接口文档</w:t>
      </w:r>
    </w:p>
    <w:p w14:paraId="42C0877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4、通过接口工具，能生成接口校验的报告，包括每个接口的校验内容、接口测试失败时的详细信息</w:t>
      </w:r>
    </w:p>
    <w:p w14:paraId="3A0E10F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四、技术架构：</w:t>
      </w:r>
    </w:p>
    <w:p w14:paraId="0EDDF53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1、应用前端需采用react库，后端采用Java开发平台；采用Json格式进行数据通信</w:t>
      </w:r>
    </w:p>
    <w:p w14:paraId="2FBD3C8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2、应用需能部署在windows、linux等平台上</w:t>
      </w:r>
    </w:p>
    <w:p w14:paraId="61D8011F">
      <w:pPr>
        <w:pStyle w:val="7"/>
        <w:rPr>
          <w:rFonts w:hint="eastAsia" w:ascii="宋体" w:hAnsi="宋体" w:eastAsia="宋体" w:cs="宋体"/>
          <w:sz w:val="21"/>
          <w:szCs w:val="21"/>
        </w:rPr>
      </w:pPr>
      <w:r>
        <w:rPr>
          <w:rFonts w:hint="eastAsia" w:ascii="宋体" w:hAnsi="宋体" w:eastAsia="宋体" w:cs="宋体"/>
          <w:sz w:val="21"/>
          <w:szCs w:val="21"/>
          <w:lang w:val="en-US" w:eastAsia="zh-CN"/>
        </w:rPr>
        <w:t>2.1.2</w:t>
      </w:r>
      <w:r>
        <w:rPr>
          <w:rFonts w:hint="eastAsia" w:ascii="宋体" w:hAnsi="宋体" w:eastAsia="宋体" w:cs="宋体"/>
          <w:sz w:val="21"/>
          <w:szCs w:val="21"/>
        </w:rPr>
        <w:t>功能清单</w:t>
      </w:r>
    </w:p>
    <w:tbl>
      <w:tblPr>
        <w:tblStyle w:val="42"/>
        <w:tblW w:w="4906" w:type="pct"/>
        <w:tblInd w:w="0" w:type="dxa"/>
        <w:tblLayout w:type="autofit"/>
        <w:tblCellMar>
          <w:top w:w="0" w:type="dxa"/>
          <w:left w:w="108" w:type="dxa"/>
          <w:bottom w:w="0" w:type="dxa"/>
          <w:right w:w="108" w:type="dxa"/>
        </w:tblCellMar>
      </w:tblPr>
      <w:tblGrid>
        <w:gridCol w:w="918"/>
        <w:gridCol w:w="1478"/>
        <w:gridCol w:w="1915"/>
        <w:gridCol w:w="5136"/>
      </w:tblGrid>
      <w:tr w14:paraId="0C1CEEBE">
        <w:tblPrEx>
          <w:tblCellMar>
            <w:top w:w="0" w:type="dxa"/>
            <w:left w:w="108" w:type="dxa"/>
            <w:bottom w:w="0" w:type="dxa"/>
            <w:right w:w="108" w:type="dxa"/>
          </w:tblCellMar>
        </w:tblPrEx>
        <w:trPr>
          <w:trHeight w:val="360" w:hRule="atLeast"/>
        </w:trPr>
        <w:tc>
          <w:tcPr>
            <w:tcW w:w="486" w:type="pct"/>
            <w:tcBorders>
              <w:top w:val="single" w:color="000000" w:sz="4" w:space="0"/>
              <w:left w:val="single" w:color="000000" w:sz="4" w:space="0"/>
              <w:bottom w:val="single" w:color="000000" w:sz="4" w:space="0"/>
              <w:right w:val="single" w:color="000000" w:sz="4" w:space="0"/>
            </w:tcBorders>
            <w:vAlign w:val="center"/>
          </w:tcPr>
          <w:p w14:paraId="3BDADC1C">
            <w:pPr>
              <w:widowControl/>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bidi="ar"/>
              </w:rPr>
              <w:t>一级功能</w:t>
            </w:r>
          </w:p>
        </w:tc>
        <w:tc>
          <w:tcPr>
            <w:tcW w:w="1795" w:type="pct"/>
            <w:gridSpan w:val="2"/>
            <w:tcBorders>
              <w:top w:val="single" w:color="000000" w:sz="4" w:space="0"/>
              <w:left w:val="single" w:color="000000" w:sz="4" w:space="0"/>
              <w:bottom w:val="single" w:color="000000" w:sz="4" w:space="0"/>
              <w:right w:val="single" w:color="000000" w:sz="4" w:space="0"/>
            </w:tcBorders>
            <w:vAlign w:val="center"/>
          </w:tcPr>
          <w:p w14:paraId="3164A494">
            <w:pPr>
              <w:widowControl/>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bidi="ar"/>
              </w:rPr>
              <w:t>二级功能</w:t>
            </w:r>
          </w:p>
        </w:tc>
        <w:tc>
          <w:tcPr>
            <w:tcW w:w="2717" w:type="pct"/>
            <w:tcBorders>
              <w:top w:val="single" w:color="000000" w:sz="4" w:space="0"/>
              <w:left w:val="single" w:color="000000" w:sz="4" w:space="0"/>
              <w:bottom w:val="single" w:color="000000" w:sz="4" w:space="0"/>
              <w:right w:val="single" w:color="000000" w:sz="4" w:space="0"/>
            </w:tcBorders>
            <w:vAlign w:val="center"/>
          </w:tcPr>
          <w:p w14:paraId="077BCAA7">
            <w:pPr>
              <w:widowControl/>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bidi="ar"/>
              </w:rPr>
              <w:t>说明</w:t>
            </w:r>
          </w:p>
        </w:tc>
      </w:tr>
      <w:tr w14:paraId="17A82364">
        <w:tblPrEx>
          <w:tblCellMar>
            <w:top w:w="0" w:type="dxa"/>
            <w:left w:w="108" w:type="dxa"/>
            <w:bottom w:w="0" w:type="dxa"/>
            <w:right w:w="108" w:type="dxa"/>
          </w:tblCellMar>
        </w:tblPrEx>
        <w:trPr>
          <w:trHeight w:val="1035" w:hRule="atLeast"/>
        </w:trPr>
        <w:tc>
          <w:tcPr>
            <w:tcW w:w="486" w:type="pct"/>
            <w:vMerge w:val="restart"/>
            <w:tcBorders>
              <w:top w:val="single" w:color="000000" w:sz="4" w:space="0"/>
              <w:left w:val="single" w:color="000000" w:sz="4" w:space="0"/>
              <w:bottom w:val="single" w:color="000000" w:sz="4" w:space="0"/>
              <w:right w:val="single" w:color="000000" w:sz="4" w:space="0"/>
            </w:tcBorders>
            <w:vAlign w:val="center"/>
          </w:tcPr>
          <w:p w14:paraId="00F0191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护理人员管理</w:t>
            </w:r>
          </w:p>
        </w:tc>
        <w:tc>
          <w:tcPr>
            <w:tcW w:w="782" w:type="pct"/>
            <w:vMerge w:val="restart"/>
            <w:tcBorders>
              <w:top w:val="single" w:color="000000" w:sz="4" w:space="0"/>
              <w:left w:val="single" w:color="000000" w:sz="4" w:space="0"/>
              <w:bottom w:val="single" w:color="000000" w:sz="4" w:space="0"/>
              <w:right w:val="single" w:color="000000" w:sz="4" w:space="0"/>
            </w:tcBorders>
            <w:vAlign w:val="center"/>
          </w:tcPr>
          <w:p w14:paraId="2F9DC99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档案管理</w:t>
            </w:r>
          </w:p>
        </w:tc>
        <w:tc>
          <w:tcPr>
            <w:tcW w:w="1013" w:type="pct"/>
            <w:tcBorders>
              <w:top w:val="single" w:color="000000" w:sz="4" w:space="0"/>
              <w:left w:val="single" w:color="000000" w:sz="4" w:space="0"/>
              <w:bottom w:val="single" w:color="000000" w:sz="4" w:space="0"/>
              <w:right w:val="single" w:color="000000" w:sz="4" w:space="0"/>
            </w:tcBorders>
            <w:vAlign w:val="center"/>
          </w:tcPr>
          <w:p w14:paraId="765B092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护士个人档案</w:t>
            </w:r>
          </w:p>
        </w:tc>
        <w:tc>
          <w:tcPr>
            <w:tcW w:w="2717" w:type="pct"/>
            <w:tcBorders>
              <w:top w:val="single" w:color="000000" w:sz="4" w:space="0"/>
              <w:left w:val="single" w:color="000000" w:sz="4" w:space="0"/>
              <w:bottom w:val="single" w:color="000000" w:sz="4" w:space="0"/>
              <w:right w:val="single" w:color="000000" w:sz="4" w:space="0"/>
            </w:tcBorders>
            <w:vAlign w:val="center"/>
          </w:tcPr>
          <w:p w14:paraId="0A5F9E4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支持护士个人档案创建及维护；2、档案内容包括护士个人基本信息、教学经历、工作经历、带教资质、职称变更、职务变更、专科资质、进修经历、外派经历、继续教育情况、考试成绩、科研成就、所获奖励等全方位信息；3、支持word及excel格式导出护士完整档案</w:t>
            </w:r>
          </w:p>
        </w:tc>
      </w:tr>
      <w:tr w14:paraId="379063B7">
        <w:tblPrEx>
          <w:tblCellMar>
            <w:top w:w="0" w:type="dxa"/>
            <w:left w:w="108" w:type="dxa"/>
            <w:bottom w:w="0" w:type="dxa"/>
            <w:right w:w="108" w:type="dxa"/>
          </w:tblCellMar>
        </w:tblPrEx>
        <w:trPr>
          <w:trHeight w:val="172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1B9C4321">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1B485C8C">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22A151F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护理人员基本档案---列表展示及高级查询</w:t>
            </w:r>
          </w:p>
        </w:tc>
        <w:tc>
          <w:tcPr>
            <w:tcW w:w="2717" w:type="pct"/>
            <w:tcBorders>
              <w:top w:val="single" w:color="000000" w:sz="4" w:space="0"/>
              <w:left w:val="single" w:color="000000" w:sz="4" w:space="0"/>
              <w:bottom w:val="single" w:color="000000" w:sz="4" w:space="0"/>
              <w:right w:val="single" w:color="000000" w:sz="4" w:space="0"/>
            </w:tcBorders>
            <w:vAlign w:val="center"/>
          </w:tcPr>
          <w:p w14:paraId="563FD18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支持管理人员按照护理单元、用户状态、职称、职务、层级年龄、院龄、学历、工作年限等几十种条件进行组合筛选；2、支持筛选条件个人自定义组合和保存，可供下次使用；3.支持查看护士档案完整度，帮助管理者进行档案完善的督导；4、用户可按照个人使用习惯进行表格显示设置，包括显示列、列宽及表格顺序；5、查询结果可按职称、职务、护理单元、层级、姓名、工号等多维度进行人员排序；</w:t>
            </w:r>
          </w:p>
        </w:tc>
      </w:tr>
      <w:tr w14:paraId="2D5F45D5">
        <w:tblPrEx>
          <w:tblCellMar>
            <w:top w:w="0" w:type="dxa"/>
            <w:left w:w="108" w:type="dxa"/>
            <w:bottom w:w="0" w:type="dxa"/>
            <w:right w:w="108" w:type="dxa"/>
          </w:tblCellMar>
        </w:tblPrEx>
        <w:trPr>
          <w:trHeight w:val="690"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7605BA62">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61793353">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24C4549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护理人员基本档案</w:t>
            </w:r>
          </w:p>
        </w:tc>
        <w:tc>
          <w:tcPr>
            <w:tcW w:w="2717" w:type="pct"/>
            <w:tcBorders>
              <w:top w:val="single" w:color="000000" w:sz="4" w:space="0"/>
              <w:left w:val="single" w:color="000000" w:sz="4" w:space="0"/>
              <w:bottom w:val="single" w:color="000000" w:sz="4" w:space="0"/>
              <w:right w:val="single" w:color="000000" w:sz="4" w:space="0"/>
            </w:tcBorders>
            <w:vAlign w:val="center"/>
          </w:tcPr>
          <w:p w14:paraId="1096D86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1、护理人员建档、基本信息修改及人员注销；、支持添加修改自定义字段；可以批量创建全院护士的个人档案；3、可按excel格式导出全院人员花名册</w:t>
            </w:r>
          </w:p>
        </w:tc>
      </w:tr>
      <w:tr w14:paraId="206E0420">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412AF0E8">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2B76E6FF">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5EEC729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护士头像管理</w:t>
            </w:r>
          </w:p>
        </w:tc>
        <w:tc>
          <w:tcPr>
            <w:tcW w:w="2717" w:type="pct"/>
            <w:tcBorders>
              <w:top w:val="single" w:color="000000" w:sz="4" w:space="0"/>
              <w:left w:val="single" w:color="000000" w:sz="4" w:space="0"/>
              <w:bottom w:val="single" w:color="000000" w:sz="4" w:space="0"/>
              <w:right w:val="single" w:color="000000" w:sz="4" w:space="0"/>
            </w:tcBorders>
            <w:vAlign w:val="center"/>
          </w:tcPr>
          <w:p w14:paraId="34B4360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支持照片的个人导入，批量导入</w:t>
            </w:r>
          </w:p>
        </w:tc>
      </w:tr>
      <w:tr w14:paraId="628C272E">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478BFF4D">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757D9CC7">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19EB2EC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护士证件管理/督察</w:t>
            </w:r>
          </w:p>
        </w:tc>
        <w:tc>
          <w:tcPr>
            <w:tcW w:w="2717" w:type="pct"/>
            <w:tcBorders>
              <w:top w:val="single" w:color="000000" w:sz="4" w:space="0"/>
              <w:left w:val="single" w:color="000000" w:sz="4" w:space="0"/>
              <w:bottom w:val="single" w:color="000000" w:sz="4" w:space="0"/>
              <w:right w:val="single" w:color="000000" w:sz="4" w:space="0"/>
            </w:tcBorders>
            <w:vAlign w:val="center"/>
          </w:tcPr>
          <w:p w14:paraId="1979F33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支持护士的证件管理，含有效期，原证件照片上传，以及有效期督察功能。</w:t>
            </w:r>
          </w:p>
        </w:tc>
      </w:tr>
      <w:tr w14:paraId="457D2E92">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2090DAB4">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5E8143F8">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6733D83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护士证件照片管理</w:t>
            </w:r>
          </w:p>
        </w:tc>
        <w:tc>
          <w:tcPr>
            <w:tcW w:w="2717" w:type="pct"/>
            <w:tcBorders>
              <w:top w:val="single" w:color="000000" w:sz="4" w:space="0"/>
              <w:left w:val="single" w:color="000000" w:sz="4" w:space="0"/>
              <w:bottom w:val="single" w:color="000000" w:sz="4" w:space="0"/>
              <w:right w:val="single" w:color="000000" w:sz="4" w:space="0"/>
            </w:tcBorders>
            <w:vAlign w:val="center"/>
          </w:tcPr>
          <w:p w14:paraId="18F8638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支持批量导入证件照片</w:t>
            </w:r>
          </w:p>
        </w:tc>
      </w:tr>
      <w:tr w14:paraId="6EC51850">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637A3B47">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1972CF89">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41722CA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层级职称管理</w:t>
            </w:r>
          </w:p>
        </w:tc>
        <w:tc>
          <w:tcPr>
            <w:tcW w:w="2717" w:type="pct"/>
            <w:tcBorders>
              <w:top w:val="single" w:color="000000" w:sz="4" w:space="0"/>
              <w:left w:val="single" w:color="000000" w:sz="4" w:space="0"/>
              <w:bottom w:val="single" w:color="000000" w:sz="4" w:space="0"/>
              <w:right w:val="single" w:color="000000" w:sz="4" w:space="0"/>
            </w:tcBorders>
            <w:vAlign w:val="center"/>
          </w:tcPr>
          <w:p w14:paraId="571F04F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支持批量修改护士层级、职称</w:t>
            </w:r>
          </w:p>
        </w:tc>
      </w:tr>
      <w:tr w14:paraId="2041421C">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0FDCB952">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0222A12E">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174B318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★生日提醒</w:t>
            </w:r>
          </w:p>
        </w:tc>
        <w:tc>
          <w:tcPr>
            <w:tcW w:w="2717" w:type="pct"/>
            <w:tcBorders>
              <w:top w:val="single" w:color="000000" w:sz="4" w:space="0"/>
              <w:left w:val="single" w:color="000000" w:sz="4" w:space="0"/>
              <w:bottom w:val="single" w:color="000000" w:sz="4" w:space="0"/>
              <w:right w:val="single" w:color="000000" w:sz="4" w:space="0"/>
            </w:tcBorders>
            <w:vAlign w:val="center"/>
          </w:tcPr>
          <w:p w14:paraId="1E846CA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在人员档案中对即将过生日的人员进行提醒，帮助管理者进行对员工的人文关怀</w:t>
            </w:r>
          </w:p>
        </w:tc>
      </w:tr>
      <w:tr w14:paraId="08EEE354">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38E28CAF">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3999E11C">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59595B9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★证件到期提醒</w:t>
            </w:r>
          </w:p>
        </w:tc>
        <w:tc>
          <w:tcPr>
            <w:tcW w:w="2717" w:type="pct"/>
            <w:tcBorders>
              <w:top w:val="single" w:color="000000" w:sz="4" w:space="0"/>
              <w:left w:val="single" w:color="000000" w:sz="4" w:space="0"/>
              <w:bottom w:val="single" w:color="000000" w:sz="4" w:space="0"/>
              <w:right w:val="single" w:color="000000" w:sz="4" w:space="0"/>
            </w:tcBorders>
            <w:vAlign w:val="center"/>
          </w:tcPr>
          <w:p w14:paraId="22F3FA8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证件到期系统会自动标记并提醒</w:t>
            </w:r>
          </w:p>
        </w:tc>
      </w:tr>
      <w:tr w14:paraId="6D8753F6">
        <w:tblPrEx>
          <w:tblCellMar>
            <w:top w:w="0" w:type="dxa"/>
            <w:left w:w="108" w:type="dxa"/>
            <w:bottom w:w="0" w:type="dxa"/>
            <w:right w:w="108" w:type="dxa"/>
          </w:tblCellMar>
        </w:tblPrEx>
        <w:trPr>
          <w:trHeight w:val="103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27C173F6">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63711EE5">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59E4DE3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★个人情况登记</w:t>
            </w:r>
          </w:p>
        </w:tc>
        <w:tc>
          <w:tcPr>
            <w:tcW w:w="2717" w:type="pct"/>
            <w:tcBorders>
              <w:top w:val="single" w:color="000000" w:sz="4" w:space="0"/>
              <w:left w:val="single" w:color="000000" w:sz="4" w:space="0"/>
              <w:bottom w:val="single" w:color="000000" w:sz="4" w:space="0"/>
              <w:right w:val="single" w:color="000000" w:sz="4" w:space="0"/>
            </w:tcBorders>
            <w:vAlign w:val="center"/>
          </w:tcPr>
          <w:p w14:paraId="6DCC863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可以维护护士的预产期、哺乳期、其他特殊情况信息，支持护士长审核，审核通过的特殊信息在排班表上给与提示，帮助护士长人性化排班；2、可按护理单元、个人情况类型、时间、姓名及工号查询护士状况统计，支持线形图和表格2种查看形式。</w:t>
            </w:r>
          </w:p>
        </w:tc>
      </w:tr>
      <w:tr w14:paraId="434221D0">
        <w:tblPrEx>
          <w:tblCellMar>
            <w:top w:w="0" w:type="dxa"/>
            <w:left w:w="108" w:type="dxa"/>
            <w:bottom w:w="0" w:type="dxa"/>
            <w:right w:w="108" w:type="dxa"/>
          </w:tblCellMar>
        </w:tblPrEx>
        <w:trPr>
          <w:trHeight w:val="690"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07208325">
            <w:pPr>
              <w:jc w:val="center"/>
              <w:rPr>
                <w:rFonts w:hint="eastAsia" w:ascii="宋体" w:hAnsi="宋体" w:eastAsia="宋体" w:cs="宋体"/>
                <w:color w:val="000000"/>
                <w:sz w:val="21"/>
                <w:szCs w:val="21"/>
              </w:rPr>
            </w:pPr>
          </w:p>
        </w:tc>
        <w:tc>
          <w:tcPr>
            <w:tcW w:w="782" w:type="pct"/>
            <w:vMerge w:val="restart"/>
            <w:tcBorders>
              <w:top w:val="single" w:color="000000" w:sz="4" w:space="0"/>
              <w:left w:val="single" w:color="000000" w:sz="4" w:space="0"/>
              <w:bottom w:val="single" w:color="000000" w:sz="4" w:space="0"/>
              <w:right w:val="single" w:color="000000" w:sz="4" w:space="0"/>
            </w:tcBorders>
            <w:vAlign w:val="center"/>
          </w:tcPr>
          <w:p w14:paraId="7CA6294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人员变动管理</w:t>
            </w:r>
          </w:p>
        </w:tc>
        <w:tc>
          <w:tcPr>
            <w:tcW w:w="1013" w:type="pct"/>
            <w:tcBorders>
              <w:top w:val="single" w:color="000000" w:sz="4" w:space="0"/>
              <w:left w:val="single" w:color="000000" w:sz="4" w:space="0"/>
              <w:bottom w:val="single" w:color="000000" w:sz="4" w:space="0"/>
              <w:right w:val="single" w:color="000000" w:sz="4" w:space="0"/>
            </w:tcBorders>
            <w:vAlign w:val="center"/>
          </w:tcPr>
          <w:p w14:paraId="6D2B264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人事调动</w:t>
            </w:r>
          </w:p>
        </w:tc>
        <w:tc>
          <w:tcPr>
            <w:tcW w:w="2717" w:type="pct"/>
            <w:tcBorders>
              <w:top w:val="single" w:color="000000" w:sz="4" w:space="0"/>
              <w:left w:val="single" w:color="000000" w:sz="4" w:space="0"/>
              <w:bottom w:val="single" w:color="000000" w:sz="4" w:space="0"/>
              <w:right w:val="single" w:color="000000" w:sz="4" w:space="0"/>
            </w:tcBorders>
            <w:vAlign w:val="center"/>
          </w:tcPr>
          <w:p w14:paraId="3393AE3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1.指定到人员、调出科室、调出日期，执行调动；2.撤消调动记录，清除相关数据痕迹 3. 调动记录可自动生成个人档案记录 4. 调动记录汇总查询</w:t>
            </w:r>
          </w:p>
        </w:tc>
      </w:tr>
      <w:tr w14:paraId="2CC25F2F">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27BF8DD9">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7BF802CE">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5A1441C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人员借调</w:t>
            </w:r>
          </w:p>
        </w:tc>
        <w:tc>
          <w:tcPr>
            <w:tcW w:w="2717" w:type="pct"/>
            <w:tcBorders>
              <w:top w:val="single" w:color="000000" w:sz="4" w:space="0"/>
              <w:left w:val="single" w:color="000000" w:sz="4" w:space="0"/>
              <w:bottom w:val="single" w:color="000000" w:sz="4" w:space="0"/>
              <w:right w:val="single" w:color="000000" w:sz="4" w:space="0"/>
            </w:tcBorders>
            <w:vAlign w:val="center"/>
          </w:tcPr>
          <w:p w14:paraId="6937AEF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1.指定到人员、临时借调科室、借调日期，执行借调；2.临时调动记录汇总查询</w:t>
            </w:r>
          </w:p>
        </w:tc>
      </w:tr>
      <w:tr w14:paraId="768B4629">
        <w:tblPrEx>
          <w:tblCellMar>
            <w:top w:w="0" w:type="dxa"/>
            <w:left w:w="108" w:type="dxa"/>
            <w:bottom w:w="0" w:type="dxa"/>
            <w:right w:w="108" w:type="dxa"/>
          </w:tblCellMar>
        </w:tblPrEx>
        <w:trPr>
          <w:trHeight w:val="690"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7234C6EC">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4ADCD123">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5867862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人员轮转</w:t>
            </w:r>
          </w:p>
        </w:tc>
        <w:tc>
          <w:tcPr>
            <w:tcW w:w="2717" w:type="pct"/>
            <w:tcBorders>
              <w:top w:val="single" w:color="000000" w:sz="4" w:space="0"/>
              <w:left w:val="single" w:color="000000" w:sz="4" w:space="0"/>
              <w:bottom w:val="single" w:color="000000" w:sz="4" w:space="0"/>
              <w:right w:val="single" w:color="000000" w:sz="4" w:space="0"/>
            </w:tcBorders>
            <w:vAlign w:val="center"/>
          </w:tcPr>
          <w:p w14:paraId="03711B3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1、满足护士规培、晋升等多个场景的轮转安排；2、支持手动录入及excel导入两种形式进行安排；3、轮转记录可支持同步到人员档案中</w:t>
            </w:r>
          </w:p>
        </w:tc>
      </w:tr>
      <w:tr w14:paraId="134179CB">
        <w:tblPrEx>
          <w:tblCellMar>
            <w:top w:w="0" w:type="dxa"/>
            <w:left w:w="108" w:type="dxa"/>
            <w:bottom w:w="0" w:type="dxa"/>
            <w:right w:w="108" w:type="dxa"/>
          </w:tblCellMar>
        </w:tblPrEx>
        <w:trPr>
          <w:trHeight w:val="103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2C80544F">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6A9C43EB">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48D3A3D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人员注销</w:t>
            </w:r>
          </w:p>
        </w:tc>
        <w:tc>
          <w:tcPr>
            <w:tcW w:w="2717" w:type="pct"/>
            <w:tcBorders>
              <w:top w:val="single" w:color="000000" w:sz="4" w:space="0"/>
              <w:left w:val="single" w:color="000000" w:sz="4" w:space="0"/>
              <w:bottom w:val="single" w:color="000000" w:sz="4" w:space="0"/>
              <w:right w:val="single" w:color="000000" w:sz="4" w:space="0"/>
            </w:tcBorders>
            <w:vAlign w:val="center"/>
          </w:tcPr>
          <w:p w14:paraId="2C27FBA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支持录入护士注销信息，包括注销人员、注销日期、注销原因、原因详情及人员去向；2、支持单个注销及批量注销；3、注销日期生效后，人员无法使用系统，并且其他相关模块中隐藏该人员信息；3、注销信息如有变动允许用户进行撤销，并清除相关痕迹</w:t>
            </w:r>
          </w:p>
        </w:tc>
      </w:tr>
      <w:tr w14:paraId="40C2BE9D">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397202D3">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666AD50C">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6358D43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人员外派</w:t>
            </w:r>
          </w:p>
        </w:tc>
        <w:tc>
          <w:tcPr>
            <w:tcW w:w="2717" w:type="pct"/>
            <w:tcBorders>
              <w:top w:val="single" w:color="000000" w:sz="4" w:space="0"/>
              <w:left w:val="single" w:color="000000" w:sz="4" w:space="0"/>
              <w:bottom w:val="single" w:color="000000" w:sz="4" w:space="0"/>
              <w:right w:val="single" w:color="000000" w:sz="4" w:space="0"/>
            </w:tcBorders>
            <w:vAlign w:val="center"/>
          </w:tcPr>
          <w:p w14:paraId="78EF946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1、记录人员外派的情况，如参加抗险救灾任务；2、同步写入个人档案及排班表</w:t>
            </w:r>
          </w:p>
        </w:tc>
      </w:tr>
      <w:tr w14:paraId="61FA8F10">
        <w:tblPrEx>
          <w:tblCellMar>
            <w:top w:w="0" w:type="dxa"/>
            <w:left w:w="108" w:type="dxa"/>
            <w:bottom w:w="0" w:type="dxa"/>
            <w:right w:w="108" w:type="dxa"/>
          </w:tblCellMar>
        </w:tblPrEx>
        <w:trPr>
          <w:trHeight w:val="103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3F9006CA">
            <w:pPr>
              <w:jc w:val="center"/>
              <w:rPr>
                <w:rFonts w:hint="eastAsia" w:ascii="宋体" w:hAnsi="宋体" w:eastAsia="宋体" w:cs="宋体"/>
                <w:color w:val="000000"/>
                <w:sz w:val="21"/>
                <w:szCs w:val="21"/>
              </w:rPr>
            </w:pPr>
          </w:p>
        </w:tc>
        <w:tc>
          <w:tcPr>
            <w:tcW w:w="782" w:type="pct"/>
            <w:vMerge w:val="restart"/>
            <w:tcBorders>
              <w:top w:val="single" w:color="000000" w:sz="4" w:space="0"/>
              <w:left w:val="single" w:color="000000" w:sz="4" w:space="0"/>
              <w:bottom w:val="single" w:color="000000" w:sz="4" w:space="0"/>
              <w:right w:val="single" w:color="000000" w:sz="4" w:space="0"/>
            </w:tcBorders>
            <w:vAlign w:val="center"/>
          </w:tcPr>
          <w:p w14:paraId="0B9C198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人员统计分析</w:t>
            </w:r>
          </w:p>
        </w:tc>
        <w:tc>
          <w:tcPr>
            <w:tcW w:w="1013" w:type="pct"/>
            <w:tcBorders>
              <w:top w:val="single" w:color="000000" w:sz="4" w:space="0"/>
              <w:left w:val="single" w:color="000000" w:sz="4" w:space="0"/>
              <w:bottom w:val="single" w:color="000000" w:sz="4" w:space="0"/>
              <w:right w:val="single" w:color="000000" w:sz="4" w:space="0"/>
            </w:tcBorders>
            <w:vAlign w:val="center"/>
          </w:tcPr>
          <w:p w14:paraId="508AA08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在职人员统计分析</w:t>
            </w:r>
          </w:p>
        </w:tc>
        <w:tc>
          <w:tcPr>
            <w:tcW w:w="2717" w:type="pct"/>
            <w:tcBorders>
              <w:top w:val="single" w:color="000000" w:sz="4" w:space="0"/>
              <w:left w:val="single" w:color="000000" w:sz="4" w:space="0"/>
              <w:bottom w:val="single" w:color="000000" w:sz="4" w:space="0"/>
              <w:right w:val="single" w:color="000000" w:sz="4" w:space="0"/>
            </w:tcBorders>
            <w:vAlign w:val="center"/>
          </w:tcPr>
          <w:p w14:paraId="33E4B27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按照男女护士比例、职称、职务、职工性质、层级、学历、工作年限、年龄段等多个维度分析在职护士的分布情况；3、支持护理单元、职工性质、职称、职务等多种筛选条件组合筛选；3、支持表格、柱形图、原型图等多种分析形式的查看及导出。</w:t>
            </w:r>
          </w:p>
        </w:tc>
      </w:tr>
      <w:tr w14:paraId="0685DFB8">
        <w:tblPrEx>
          <w:tblCellMar>
            <w:top w:w="0" w:type="dxa"/>
            <w:left w:w="108" w:type="dxa"/>
            <w:bottom w:w="0" w:type="dxa"/>
            <w:right w:w="108" w:type="dxa"/>
          </w:tblCellMar>
        </w:tblPrEx>
        <w:trPr>
          <w:trHeight w:val="1380"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3EFEA644">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26B44EF2">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7E58FD2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注销人员统计分析</w:t>
            </w:r>
          </w:p>
        </w:tc>
        <w:tc>
          <w:tcPr>
            <w:tcW w:w="2717" w:type="pct"/>
            <w:tcBorders>
              <w:top w:val="single" w:color="000000" w:sz="4" w:space="0"/>
              <w:left w:val="single" w:color="000000" w:sz="4" w:space="0"/>
              <w:bottom w:val="single" w:color="000000" w:sz="4" w:space="0"/>
              <w:right w:val="single" w:color="000000" w:sz="4" w:space="0"/>
            </w:tcBorders>
            <w:vAlign w:val="center"/>
          </w:tcPr>
          <w:p w14:paraId="5498244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按照注销原因、注销率、男女护士比例、职称、职务、职工性质、层级、学历、工作年限、年龄段等多个维度分析已注销的护士的分布情况；3、支持注销原因、护理单元、职工性质、职称、职务等多种筛选条件组合筛选；3、支持表格、柱形图、原型图等多种分析形式的查看及导出。</w:t>
            </w:r>
          </w:p>
        </w:tc>
      </w:tr>
      <w:tr w14:paraId="6836A803">
        <w:tblPrEx>
          <w:tblCellMar>
            <w:top w:w="0" w:type="dxa"/>
            <w:left w:w="108" w:type="dxa"/>
            <w:bottom w:w="0" w:type="dxa"/>
            <w:right w:w="108" w:type="dxa"/>
          </w:tblCellMar>
        </w:tblPrEx>
        <w:trPr>
          <w:trHeight w:val="690"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15BF2E51">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2074E226">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17803F1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全院人员一览</w:t>
            </w:r>
          </w:p>
        </w:tc>
        <w:tc>
          <w:tcPr>
            <w:tcW w:w="2717" w:type="pct"/>
            <w:tcBorders>
              <w:top w:val="single" w:color="000000" w:sz="4" w:space="0"/>
              <w:left w:val="single" w:color="000000" w:sz="4" w:space="0"/>
              <w:bottom w:val="single" w:color="000000" w:sz="4" w:space="0"/>
              <w:right w:val="single" w:color="000000" w:sz="4" w:space="0"/>
            </w:tcBorders>
            <w:vAlign w:val="center"/>
          </w:tcPr>
          <w:p w14:paraId="05F49BD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支持查看当日各护理单元编制人数、在岗人数、进修人数、床护比等人员信息，并支持导出各科室人员名单</w:t>
            </w:r>
          </w:p>
        </w:tc>
      </w:tr>
      <w:tr w14:paraId="709BAC87">
        <w:tblPrEx>
          <w:tblCellMar>
            <w:top w:w="0" w:type="dxa"/>
            <w:left w:w="108" w:type="dxa"/>
            <w:bottom w:w="0" w:type="dxa"/>
            <w:right w:w="108" w:type="dxa"/>
          </w:tblCellMar>
        </w:tblPrEx>
        <w:trPr>
          <w:trHeight w:val="690" w:hRule="atLeast"/>
        </w:trPr>
        <w:tc>
          <w:tcPr>
            <w:tcW w:w="486" w:type="pct"/>
            <w:vMerge w:val="restart"/>
            <w:tcBorders>
              <w:top w:val="single" w:color="000000" w:sz="4" w:space="0"/>
              <w:left w:val="single" w:color="000000" w:sz="4" w:space="0"/>
              <w:bottom w:val="single" w:color="000000" w:sz="4" w:space="0"/>
              <w:right w:val="single" w:color="000000" w:sz="4" w:space="0"/>
            </w:tcBorders>
            <w:vAlign w:val="center"/>
          </w:tcPr>
          <w:p w14:paraId="445144C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护理排班管理</w:t>
            </w:r>
          </w:p>
        </w:tc>
        <w:tc>
          <w:tcPr>
            <w:tcW w:w="782" w:type="pct"/>
            <w:vMerge w:val="restart"/>
            <w:tcBorders>
              <w:top w:val="single" w:color="000000" w:sz="4" w:space="0"/>
              <w:left w:val="single" w:color="000000" w:sz="4" w:space="0"/>
              <w:bottom w:val="single" w:color="000000" w:sz="4" w:space="0"/>
              <w:right w:val="single" w:color="000000" w:sz="4" w:space="0"/>
            </w:tcBorders>
            <w:vAlign w:val="center"/>
          </w:tcPr>
          <w:p w14:paraId="019EBA0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排班设置</w:t>
            </w:r>
          </w:p>
        </w:tc>
        <w:tc>
          <w:tcPr>
            <w:tcW w:w="1013" w:type="pct"/>
            <w:tcBorders>
              <w:top w:val="single" w:color="000000" w:sz="4" w:space="0"/>
              <w:left w:val="single" w:color="000000" w:sz="4" w:space="0"/>
              <w:bottom w:val="single" w:color="000000" w:sz="4" w:space="0"/>
              <w:right w:val="single" w:color="000000" w:sz="4" w:space="0"/>
            </w:tcBorders>
            <w:vAlign w:val="center"/>
          </w:tcPr>
          <w:p w14:paraId="69AC5A3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班次设置</w:t>
            </w:r>
          </w:p>
        </w:tc>
        <w:tc>
          <w:tcPr>
            <w:tcW w:w="2717" w:type="pct"/>
            <w:tcBorders>
              <w:top w:val="single" w:color="000000" w:sz="4" w:space="0"/>
              <w:left w:val="single" w:color="000000" w:sz="4" w:space="0"/>
              <w:bottom w:val="single" w:color="000000" w:sz="4" w:space="0"/>
              <w:right w:val="single" w:color="000000" w:sz="4" w:space="0"/>
            </w:tcBorders>
            <w:vAlign w:val="center"/>
          </w:tcPr>
          <w:p w14:paraId="5E655AB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护理部按需设置和管理全院班次库，各个科室也可以设置各科室的班次进行自我管理。可设置内容包括班次名称、颜色、班时值、统计属性等</w:t>
            </w:r>
          </w:p>
        </w:tc>
      </w:tr>
      <w:tr w14:paraId="1488156E">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7C5EC821">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0063A6C4">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69C3F78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分组设置</w:t>
            </w:r>
          </w:p>
        </w:tc>
        <w:tc>
          <w:tcPr>
            <w:tcW w:w="2717" w:type="pct"/>
            <w:tcBorders>
              <w:top w:val="single" w:color="000000" w:sz="4" w:space="0"/>
              <w:left w:val="single" w:color="000000" w:sz="4" w:space="0"/>
              <w:bottom w:val="single" w:color="000000" w:sz="4" w:space="0"/>
              <w:right w:val="single" w:color="000000" w:sz="4" w:space="0"/>
            </w:tcBorders>
            <w:vAlign w:val="center"/>
          </w:tcPr>
          <w:p w14:paraId="5E912ED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设定各护理单元的排班分组信息</w:t>
            </w:r>
          </w:p>
        </w:tc>
      </w:tr>
      <w:tr w14:paraId="4A5BB2FC">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752E9A0A">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42156536">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6CD2374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床位设置</w:t>
            </w:r>
          </w:p>
        </w:tc>
        <w:tc>
          <w:tcPr>
            <w:tcW w:w="2717" w:type="pct"/>
            <w:tcBorders>
              <w:top w:val="single" w:color="000000" w:sz="4" w:space="0"/>
              <w:left w:val="single" w:color="000000" w:sz="4" w:space="0"/>
              <w:bottom w:val="single" w:color="000000" w:sz="4" w:space="0"/>
              <w:right w:val="single" w:color="000000" w:sz="4" w:space="0"/>
            </w:tcBorders>
            <w:vAlign w:val="center"/>
          </w:tcPr>
          <w:p w14:paraId="7A25200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设定各护理单元的床位信息，并支持床位分组管理</w:t>
            </w:r>
          </w:p>
        </w:tc>
      </w:tr>
      <w:tr w14:paraId="3EB4F2AD">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02BC4957">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4D25E76C">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71198A0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费用统计表设置</w:t>
            </w:r>
          </w:p>
        </w:tc>
        <w:tc>
          <w:tcPr>
            <w:tcW w:w="2717" w:type="pct"/>
            <w:tcBorders>
              <w:top w:val="single" w:color="000000" w:sz="4" w:space="0"/>
              <w:left w:val="single" w:color="000000" w:sz="4" w:space="0"/>
              <w:bottom w:val="single" w:color="000000" w:sz="4" w:space="0"/>
              <w:right w:val="single" w:color="000000" w:sz="4" w:space="0"/>
            </w:tcBorders>
            <w:vAlign w:val="center"/>
          </w:tcPr>
          <w:p w14:paraId="43BF888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设定各护理单元的班次费用计算规则</w:t>
            </w:r>
          </w:p>
        </w:tc>
      </w:tr>
      <w:tr w14:paraId="5622780B">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2CEE96E6">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65E04626">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05406C7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时间换算规则设置</w:t>
            </w:r>
          </w:p>
        </w:tc>
        <w:tc>
          <w:tcPr>
            <w:tcW w:w="2717" w:type="pct"/>
            <w:tcBorders>
              <w:top w:val="single" w:color="000000" w:sz="4" w:space="0"/>
              <w:left w:val="single" w:color="000000" w:sz="4" w:space="0"/>
              <w:bottom w:val="single" w:color="000000" w:sz="4" w:space="0"/>
              <w:right w:val="single" w:color="000000" w:sz="4" w:space="0"/>
            </w:tcBorders>
            <w:vAlign w:val="center"/>
          </w:tcPr>
          <w:p w14:paraId="54C065D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设定医院每天的工作时间换算规则，夜班计入换算规则</w:t>
            </w:r>
          </w:p>
        </w:tc>
      </w:tr>
      <w:tr w14:paraId="5A5282BC">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5C9411AC">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15B0DF16">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2A4DA78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假期设置</w:t>
            </w:r>
          </w:p>
        </w:tc>
        <w:tc>
          <w:tcPr>
            <w:tcW w:w="2717" w:type="pct"/>
            <w:tcBorders>
              <w:top w:val="single" w:color="000000" w:sz="4" w:space="0"/>
              <w:left w:val="single" w:color="000000" w:sz="4" w:space="0"/>
              <w:bottom w:val="single" w:color="000000" w:sz="4" w:space="0"/>
              <w:right w:val="single" w:color="000000" w:sz="4" w:space="0"/>
            </w:tcBorders>
            <w:vAlign w:val="center"/>
          </w:tcPr>
          <w:p w14:paraId="2AF1770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设定医院的各种假日及调休上班日，比如国家法定假日、院庆日等</w:t>
            </w:r>
          </w:p>
        </w:tc>
      </w:tr>
      <w:tr w14:paraId="53B7A7F1">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55F9C76C">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6EF5B50E">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78E1B40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请假类型设置</w:t>
            </w:r>
          </w:p>
        </w:tc>
        <w:tc>
          <w:tcPr>
            <w:tcW w:w="2717" w:type="pct"/>
            <w:tcBorders>
              <w:top w:val="single" w:color="000000" w:sz="4" w:space="0"/>
              <w:left w:val="single" w:color="000000" w:sz="4" w:space="0"/>
              <w:bottom w:val="single" w:color="000000" w:sz="4" w:space="0"/>
              <w:right w:val="single" w:color="000000" w:sz="4" w:space="0"/>
            </w:tcBorders>
            <w:vAlign w:val="center"/>
          </w:tcPr>
          <w:p w14:paraId="6552557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维护各种请假类型，例如病假、产假、年假、事假等</w:t>
            </w:r>
          </w:p>
        </w:tc>
      </w:tr>
      <w:tr w14:paraId="4F144B22">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13417A2F">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5073A454">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3BCD903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其他人员录入</w:t>
            </w:r>
          </w:p>
        </w:tc>
        <w:tc>
          <w:tcPr>
            <w:tcW w:w="2717" w:type="pct"/>
            <w:tcBorders>
              <w:top w:val="single" w:color="000000" w:sz="4" w:space="0"/>
              <w:left w:val="single" w:color="000000" w:sz="4" w:space="0"/>
              <w:bottom w:val="single" w:color="000000" w:sz="4" w:space="0"/>
              <w:right w:val="single" w:color="000000" w:sz="4" w:space="0"/>
            </w:tcBorders>
            <w:vAlign w:val="center"/>
          </w:tcPr>
          <w:p w14:paraId="215B0CB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对区别于护士、实习生、进修生的其他护理人员进行录入，统一管理并进行排班</w:t>
            </w:r>
          </w:p>
        </w:tc>
      </w:tr>
      <w:tr w14:paraId="5418FBF6">
        <w:tblPrEx>
          <w:tblCellMar>
            <w:top w:w="0" w:type="dxa"/>
            <w:left w:w="108" w:type="dxa"/>
            <w:bottom w:w="0" w:type="dxa"/>
            <w:right w:w="108" w:type="dxa"/>
          </w:tblCellMar>
        </w:tblPrEx>
        <w:trPr>
          <w:trHeight w:val="690"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02865DCD">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78597CD0">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3B6D7D5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★排班约束设置</w:t>
            </w:r>
          </w:p>
        </w:tc>
        <w:tc>
          <w:tcPr>
            <w:tcW w:w="2717" w:type="pct"/>
            <w:tcBorders>
              <w:top w:val="single" w:color="000000" w:sz="4" w:space="0"/>
              <w:left w:val="single" w:color="000000" w:sz="4" w:space="0"/>
              <w:bottom w:val="single" w:color="000000" w:sz="4" w:space="0"/>
              <w:right w:val="single" w:color="000000" w:sz="4" w:space="0"/>
            </w:tcBorders>
            <w:vAlign w:val="center"/>
          </w:tcPr>
          <w:p w14:paraId="338C18A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设定排班的各种约束，比如每周每人工作时间限制，不能连续排班班次，排班层级设置、每日排班约束</w:t>
            </w:r>
          </w:p>
        </w:tc>
      </w:tr>
      <w:tr w14:paraId="336E6183">
        <w:tblPrEx>
          <w:tblCellMar>
            <w:top w:w="0" w:type="dxa"/>
            <w:left w:w="108" w:type="dxa"/>
            <w:bottom w:w="0" w:type="dxa"/>
            <w:right w:w="108" w:type="dxa"/>
          </w:tblCellMar>
        </w:tblPrEx>
        <w:trPr>
          <w:trHeight w:val="103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1CD0CCA8">
            <w:pPr>
              <w:jc w:val="center"/>
              <w:rPr>
                <w:rFonts w:hint="eastAsia" w:ascii="宋体" w:hAnsi="宋体" w:eastAsia="宋体" w:cs="宋体"/>
                <w:color w:val="000000"/>
                <w:sz w:val="21"/>
                <w:szCs w:val="21"/>
              </w:rPr>
            </w:pPr>
          </w:p>
        </w:tc>
        <w:tc>
          <w:tcPr>
            <w:tcW w:w="782" w:type="pct"/>
            <w:vMerge w:val="restart"/>
            <w:tcBorders>
              <w:top w:val="single" w:color="000000" w:sz="4" w:space="0"/>
              <w:left w:val="single" w:color="000000" w:sz="4" w:space="0"/>
              <w:bottom w:val="single" w:color="000000" w:sz="4" w:space="0"/>
              <w:right w:val="single" w:color="000000" w:sz="4" w:space="0"/>
            </w:tcBorders>
            <w:vAlign w:val="center"/>
          </w:tcPr>
          <w:p w14:paraId="1B29B0B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科室排班</w:t>
            </w:r>
          </w:p>
        </w:tc>
        <w:tc>
          <w:tcPr>
            <w:tcW w:w="1013" w:type="pct"/>
            <w:tcBorders>
              <w:top w:val="single" w:color="000000" w:sz="4" w:space="0"/>
              <w:left w:val="single" w:color="000000" w:sz="4" w:space="0"/>
              <w:bottom w:val="single" w:color="000000" w:sz="4" w:space="0"/>
              <w:right w:val="single" w:color="000000" w:sz="4" w:space="0"/>
            </w:tcBorders>
            <w:vAlign w:val="center"/>
          </w:tcPr>
          <w:p w14:paraId="71F6335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护士排班</w:t>
            </w:r>
          </w:p>
        </w:tc>
        <w:tc>
          <w:tcPr>
            <w:tcW w:w="2717" w:type="pct"/>
            <w:tcBorders>
              <w:top w:val="single" w:color="000000" w:sz="4" w:space="0"/>
              <w:left w:val="single" w:color="000000" w:sz="4" w:space="0"/>
              <w:bottom w:val="single" w:color="000000" w:sz="4" w:space="0"/>
              <w:right w:val="single" w:color="000000" w:sz="4" w:space="0"/>
            </w:tcBorders>
            <w:vAlign w:val="center"/>
          </w:tcPr>
          <w:p w14:paraId="6D128775">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科室按周、按月排班</w:t>
            </w:r>
          </w:p>
          <w:p w14:paraId="5696C30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1、分病区、分人员按周填报护理人员每天排班数据及备注；2、支持一次操作多人、复制粘贴备注等功能；3、支持恢复和撤销上一步操作；4、支持节假日假期特殊标注提醒</w:t>
            </w:r>
          </w:p>
        </w:tc>
      </w:tr>
      <w:tr w14:paraId="3E401769">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3615AC4E">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0347A635">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486BF41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排班分组/排序</w:t>
            </w:r>
          </w:p>
        </w:tc>
        <w:tc>
          <w:tcPr>
            <w:tcW w:w="2717" w:type="pct"/>
            <w:tcBorders>
              <w:top w:val="single" w:color="000000" w:sz="4" w:space="0"/>
              <w:left w:val="single" w:color="000000" w:sz="4" w:space="0"/>
              <w:bottom w:val="single" w:color="000000" w:sz="4" w:space="0"/>
              <w:right w:val="single" w:color="000000" w:sz="4" w:space="0"/>
            </w:tcBorders>
            <w:vAlign w:val="center"/>
          </w:tcPr>
          <w:p w14:paraId="0634537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病区可自定义人员分组、排序，允许病区人员调出</w:t>
            </w:r>
          </w:p>
        </w:tc>
      </w:tr>
      <w:tr w14:paraId="4DE6594D">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7067AB92">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515085D4">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53FBEDD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复制排班</w:t>
            </w:r>
          </w:p>
        </w:tc>
        <w:tc>
          <w:tcPr>
            <w:tcW w:w="2717" w:type="pct"/>
            <w:tcBorders>
              <w:top w:val="single" w:color="000000" w:sz="4" w:space="0"/>
              <w:left w:val="single" w:color="000000" w:sz="4" w:space="0"/>
              <w:bottom w:val="single" w:color="000000" w:sz="4" w:space="0"/>
              <w:right w:val="single" w:color="000000" w:sz="4" w:space="0"/>
            </w:tcBorders>
            <w:vAlign w:val="center"/>
          </w:tcPr>
          <w:p w14:paraId="5F9EAEE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支持对指定日期的排班内容进行复制</w:t>
            </w:r>
          </w:p>
        </w:tc>
      </w:tr>
      <w:tr w14:paraId="22CDF911">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6FF950B0">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5F282DDB">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02B579A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区域复制</w:t>
            </w:r>
          </w:p>
        </w:tc>
        <w:tc>
          <w:tcPr>
            <w:tcW w:w="2717" w:type="pct"/>
            <w:tcBorders>
              <w:top w:val="single" w:color="000000" w:sz="4" w:space="0"/>
              <w:left w:val="single" w:color="000000" w:sz="4" w:space="0"/>
              <w:bottom w:val="single" w:color="000000" w:sz="4" w:space="0"/>
              <w:right w:val="single" w:color="000000" w:sz="4" w:space="0"/>
            </w:tcBorders>
            <w:vAlign w:val="center"/>
          </w:tcPr>
          <w:p w14:paraId="0B86998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支持区域复制排班</w:t>
            </w:r>
          </w:p>
        </w:tc>
      </w:tr>
      <w:tr w14:paraId="6E18F121">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4BF6C55E">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1EA54532">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46229E6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★参考上周排班</w:t>
            </w:r>
          </w:p>
        </w:tc>
        <w:tc>
          <w:tcPr>
            <w:tcW w:w="2717" w:type="pct"/>
            <w:tcBorders>
              <w:top w:val="single" w:color="000000" w:sz="4" w:space="0"/>
              <w:left w:val="single" w:color="000000" w:sz="4" w:space="0"/>
              <w:bottom w:val="single" w:color="000000" w:sz="4" w:space="0"/>
              <w:right w:val="single" w:color="000000" w:sz="4" w:space="0"/>
            </w:tcBorders>
            <w:vAlign w:val="center"/>
          </w:tcPr>
          <w:p w14:paraId="4B24AB2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支持查看上周排班内容，直接快捷复制内容</w:t>
            </w:r>
          </w:p>
        </w:tc>
      </w:tr>
      <w:tr w14:paraId="786528D3">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3E6335B6">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24B6CA33">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035A741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★排班合理性查询</w:t>
            </w:r>
          </w:p>
        </w:tc>
        <w:tc>
          <w:tcPr>
            <w:tcW w:w="2717" w:type="pct"/>
            <w:tcBorders>
              <w:top w:val="single" w:color="000000" w:sz="4" w:space="0"/>
              <w:left w:val="single" w:color="000000" w:sz="4" w:space="0"/>
              <w:bottom w:val="single" w:color="000000" w:sz="4" w:space="0"/>
              <w:right w:val="single" w:color="000000" w:sz="4" w:space="0"/>
            </w:tcBorders>
            <w:vAlign w:val="center"/>
          </w:tcPr>
          <w:p w14:paraId="4377B56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支持按人、按班次、按夜班三个维度对排班合理性进行查询</w:t>
            </w:r>
          </w:p>
        </w:tc>
      </w:tr>
      <w:tr w14:paraId="34AE3D71">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2C861DA9">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6463ED86">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6B0D04D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加扣班</w:t>
            </w:r>
          </w:p>
        </w:tc>
        <w:tc>
          <w:tcPr>
            <w:tcW w:w="2717" w:type="pct"/>
            <w:tcBorders>
              <w:top w:val="single" w:color="000000" w:sz="4" w:space="0"/>
              <w:left w:val="single" w:color="000000" w:sz="4" w:space="0"/>
              <w:bottom w:val="single" w:color="000000" w:sz="4" w:space="0"/>
              <w:right w:val="single" w:color="000000" w:sz="4" w:space="0"/>
            </w:tcBorders>
            <w:vAlign w:val="center"/>
          </w:tcPr>
          <w:p w14:paraId="5EAFEEF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实际工作对比已发布的排班有差别，支持在排班后进行加扣班</w:t>
            </w:r>
          </w:p>
        </w:tc>
      </w:tr>
      <w:tr w14:paraId="395C33B7">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77010126">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72D1601E">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35C4BFC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排班备注</w:t>
            </w:r>
          </w:p>
        </w:tc>
        <w:tc>
          <w:tcPr>
            <w:tcW w:w="2717" w:type="pct"/>
            <w:tcBorders>
              <w:top w:val="single" w:color="000000" w:sz="4" w:space="0"/>
              <w:left w:val="single" w:color="000000" w:sz="4" w:space="0"/>
              <w:bottom w:val="single" w:color="000000" w:sz="4" w:space="0"/>
              <w:right w:val="single" w:color="000000" w:sz="4" w:space="0"/>
            </w:tcBorders>
            <w:vAlign w:val="center"/>
          </w:tcPr>
          <w:p w14:paraId="628DCE4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通过文字、颜色、图形，进行排班备注、班次备注、日期备注</w:t>
            </w:r>
          </w:p>
        </w:tc>
      </w:tr>
      <w:tr w14:paraId="309E723E">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065EE65F">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4CFDCCCB">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778F447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排班个人需求</w:t>
            </w:r>
          </w:p>
        </w:tc>
        <w:tc>
          <w:tcPr>
            <w:tcW w:w="2717" w:type="pct"/>
            <w:tcBorders>
              <w:top w:val="single" w:color="000000" w:sz="4" w:space="0"/>
              <w:left w:val="single" w:color="000000" w:sz="4" w:space="0"/>
              <w:bottom w:val="single" w:color="000000" w:sz="4" w:space="0"/>
              <w:right w:val="single" w:color="000000" w:sz="4" w:space="0"/>
            </w:tcBorders>
            <w:vAlign w:val="center"/>
          </w:tcPr>
          <w:p w14:paraId="31392C1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护士提出排班相关的个人需求申请，由护士长审批决定满足不满足</w:t>
            </w:r>
          </w:p>
        </w:tc>
      </w:tr>
      <w:tr w14:paraId="71B5DC42">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62355326">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64F4D1A9">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724D384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★组排</w:t>
            </w:r>
          </w:p>
        </w:tc>
        <w:tc>
          <w:tcPr>
            <w:tcW w:w="2717" w:type="pct"/>
            <w:tcBorders>
              <w:top w:val="single" w:color="000000" w:sz="4" w:space="0"/>
              <w:left w:val="single" w:color="000000" w:sz="4" w:space="0"/>
              <w:bottom w:val="single" w:color="000000" w:sz="4" w:space="0"/>
              <w:right w:val="single" w:color="000000" w:sz="4" w:space="0"/>
            </w:tcBorders>
            <w:vAlign w:val="center"/>
          </w:tcPr>
          <w:p w14:paraId="5ECAC2B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支持同一组护士一键安排同一个班次</w:t>
            </w:r>
          </w:p>
        </w:tc>
      </w:tr>
      <w:tr w14:paraId="326CBC5F">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2F8691EC">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45BA704F">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3C85BDF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★带教排班</w:t>
            </w:r>
          </w:p>
        </w:tc>
        <w:tc>
          <w:tcPr>
            <w:tcW w:w="2717" w:type="pct"/>
            <w:tcBorders>
              <w:top w:val="single" w:color="000000" w:sz="4" w:space="0"/>
              <w:left w:val="single" w:color="000000" w:sz="4" w:space="0"/>
              <w:bottom w:val="single" w:color="000000" w:sz="4" w:space="0"/>
              <w:right w:val="single" w:color="000000" w:sz="4" w:space="0"/>
            </w:tcBorders>
            <w:vAlign w:val="center"/>
          </w:tcPr>
          <w:p w14:paraId="19317D0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支持带教老师和实习生安排相同班次，实习生后面显示带教老师姓名</w:t>
            </w:r>
          </w:p>
        </w:tc>
      </w:tr>
      <w:tr w14:paraId="583E6165">
        <w:tblPrEx>
          <w:tblCellMar>
            <w:top w:w="0" w:type="dxa"/>
            <w:left w:w="108" w:type="dxa"/>
            <w:bottom w:w="0" w:type="dxa"/>
            <w:right w:w="108" w:type="dxa"/>
          </w:tblCellMar>
        </w:tblPrEx>
        <w:trPr>
          <w:trHeight w:val="103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0ECB07B5">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39E72CE1">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644E49B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排班设置</w:t>
            </w:r>
          </w:p>
        </w:tc>
        <w:tc>
          <w:tcPr>
            <w:tcW w:w="2717" w:type="pct"/>
            <w:tcBorders>
              <w:top w:val="single" w:color="000000" w:sz="4" w:space="0"/>
              <w:left w:val="single" w:color="000000" w:sz="4" w:space="0"/>
              <w:bottom w:val="single" w:color="000000" w:sz="4" w:space="0"/>
              <w:right w:val="single" w:color="000000" w:sz="4" w:space="0"/>
            </w:tcBorders>
            <w:vAlign w:val="center"/>
          </w:tcPr>
          <w:p w14:paraId="0E1C420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支持全院显示统一设置，各科室也允许单独调整排班显示界面，可控制班次合计、层级合计、当前超时数、当前累计超时数、班时值、夜班数、加扣班、年假、存假、节休、床位、人员档案信息的显示与隐藏</w:t>
            </w:r>
          </w:p>
        </w:tc>
      </w:tr>
      <w:tr w14:paraId="0CCC91BB">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3455A007">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30F0CB49">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3530EC9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自定义显示列</w:t>
            </w:r>
          </w:p>
        </w:tc>
        <w:tc>
          <w:tcPr>
            <w:tcW w:w="2717" w:type="pct"/>
            <w:tcBorders>
              <w:top w:val="single" w:color="000000" w:sz="4" w:space="0"/>
              <w:left w:val="single" w:color="000000" w:sz="4" w:space="0"/>
              <w:bottom w:val="single" w:color="000000" w:sz="4" w:space="0"/>
              <w:right w:val="single" w:color="000000" w:sz="4" w:space="0"/>
            </w:tcBorders>
            <w:vAlign w:val="center"/>
          </w:tcPr>
          <w:p w14:paraId="504E31A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支持用户添加自定义显示列，支持修改自定义显示列名称，自动复制上一周期显示列内容</w:t>
            </w:r>
          </w:p>
        </w:tc>
      </w:tr>
      <w:tr w14:paraId="12CD1DBD">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5FDCFED3">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7658968D">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7B06F5A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排班导出</w:t>
            </w:r>
          </w:p>
        </w:tc>
        <w:tc>
          <w:tcPr>
            <w:tcW w:w="2717" w:type="pct"/>
            <w:tcBorders>
              <w:top w:val="single" w:color="000000" w:sz="4" w:space="0"/>
              <w:left w:val="single" w:color="000000" w:sz="4" w:space="0"/>
              <w:bottom w:val="single" w:color="000000" w:sz="4" w:space="0"/>
              <w:right w:val="single" w:color="000000" w:sz="4" w:space="0"/>
            </w:tcBorders>
            <w:vAlign w:val="center"/>
          </w:tcPr>
          <w:p w14:paraId="5D89604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支持导出排班内容</w:t>
            </w:r>
          </w:p>
        </w:tc>
      </w:tr>
      <w:tr w14:paraId="44A3C6DB">
        <w:tblPrEx>
          <w:tblCellMar>
            <w:top w:w="0" w:type="dxa"/>
            <w:left w:w="108" w:type="dxa"/>
            <w:bottom w:w="0" w:type="dxa"/>
            <w:right w:w="108" w:type="dxa"/>
          </w:tblCellMar>
        </w:tblPrEx>
        <w:trPr>
          <w:trHeight w:val="690"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30728D8F">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417098AB">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51B22EA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排班打印</w:t>
            </w:r>
          </w:p>
        </w:tc>
        <w:tc>
          <w:tcPr>
            <w:tcW w:w="2717" w:type="pct"/>
            <w:tcBorders>
              <w:top w:val="single" w:color="000000" w:sz="4" w:space="0"/>
              <w:left w:val="single" w:color="000000" w:sz="4" w:space="0"/>
              <w:bottom w:val="single" w:color="000000" w:sz="4" w:space="0"/>
              <w:right w:val="single" w:color="000000" w:sz="4" w:space="0"/>
            </w:tcBorders>
            <w:vAlign w:val="center"/>
          </w:tcPr>
          <w:p w14:paraId="250BDF8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1、支持直接打印排班内容（支持黑白、彩色打印）；2、支持用户自由调节字体大小； 3、可以自由选择打印内容；例如：可自由选择是否打印“班次合计”、“层级合计”；</w:t>
            </w:r>
          </w:p>
        </w:tc>
      </w:tr>
      <w:tr w14:paraId="430B6043">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233136EC">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03C88534">
            <w:pPr>
              <w:jc w:val="left"/>
              <w:rPr>
                <w:rFonts w:hint="eastAsia" w:ascii="宋体" w:hAnsi="宋体" w:eastAsia="宋体" w:cs="宋体"/>
                <w:color w:val="000000"/>
                <w:sz w:val="21"/>
                <w:szCs w:val="21"/>
              </w:rPr>
            </w:pPr>
          </w:p>
        </w:tc>
        <w:tc>
          <w:tcPr>
            <w:tcW w:w="1013" w:type="pct"/>
            <w:vMerge w:val="restart"/>
            <w:tcBorders>
              <w:top w:val="single" w:color="000000" w:sz="4" w:space="0"/>
              <w:left w:val="single" w:color="000000" w:sz="4" w:space="0"/>
              <w:bottom w:val="single" w:color="000000" w:sz="4" w:space="0"/>
              <w:right w:val="single" w:color="000000" w:sz="4" w:space="0"/>
            </w:tcBorders>
            <w:vAlign w:val="center"/>
          </w:tcPr>
          <w:p w14:paraId="2F2B37E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★护士特殊标记</w:t>
            </w:r>
          </w:p>
        </w:tc>
        <w:tc>
          <w:tcPr>
            <w:tcW w:w="2717" w:type="pct"/>
            <w:tcBorders>
              <w:top w:val="single" w:color="000000" w:sz="4" w:space="0"/>
              <w:left w:val="single" w:color="000000" w:sz="4" w:space="0"/>
              <w:bottom w:val="single" w:color="000000" w:sz="4" w:space="0"/>
              <w:right w:val="single" w:color="000000" w:sz="4" w:space="0"/>
            </w:tcBorders>
            <w:vAlign w:val="center"/>
          </w:tcPr>
          <w:p w14:paraId="6862D06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对临时借调到科室的人员进行标记，支持对其排班</w:t>
            </w:r>
          </w:p>
        </w:tc>
      </w:tr>
      <w:tr w14:paraId="5DA860AF">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36F1F4E7">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710C12B4">
            <w:pPr>
              <w:jc w:val="left"/>
              <w:rPr>
                <w:rFonts w:hint="eastAsia" w:ascii="宋体" w:hAnsi="宋体" w:eastAsia="宋体" w:cs="宋体"/>
                <w:color w:val="000000"/>
                <w:sz w:val="21"/>
                <w:szCs w:val="21"/>
              </w:rPr>
            </w:pPr>
          </w:p>
        </w:tc>
        <w:tc>
          <w:tcPr>
            <w:tcW w:w="1013" w:type="pct"/>
            <w:vMerge w:val="continue"/>
            <w:tcBorders>
              <w:top w:val="single" w:color="000000" w:sz="4" w:space="0"/>
              <w:left w:val="single" w:color="000000" w:sz="4" w:space="0"/>
              <w:bottom w:val="single" w:color="000000" w:sz="4" w:space="0"/>
              <w:right w:val="single" w:color="000000" w:sz="4" w:space="0"/>
            </w:tcBorders>
            <w:vAlign w:val="center"/>
          </w:tcPr>
          <w:p w14:paraId="6EC270C7">
            <w:pPr>
              <w:jc w:val="left"/>
              <w:rPr>
                <w:rFonts w:hint="eastAsia" w:ascii="宋体" w:hAnsi="宋体" w:eastAsia="宋体" w:cs="宋体"/>
                <w:color w:val="000000"/>
                <w:sz w:val="21"/>
                <w:szCs w:val="21"/>
              </w:rPr>
            </w:pPr>
          </w:p>
        </w:tc>
        <w:tc>
          <w:tcPr>
            <w:tcW w:w="2717" w:type="pct"/>
            <w:tcBorders>
              <w:top w:val="single" w:color="000000" w:sz="4" w:space="0"/>
              <w:left w:val="single" w:color="000000" w:sz="4" w:space="0"/>
              <w:bottom w:val="single" w:color="000000" w:sz="4" w:space="0"/>
              <w:right w:val="single" w:color="000000" w:sz="4" w:space="0"/>
            </w:tcBorders>
            <w:vAlign w:val="center"/>
          </w:tcPr>
          <w:p w14:paraId="0E92CE8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对本科室临时借出支援的人员进行标记</w:t>
            </w:r>
          </w:p>
        </w:tc>
      </w:tr>
      <w:tr w14:paraId="1C46537A">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376CA292">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7F7C5207">
            <w:pPr>
              <w:jc w:val="left"/>
              <w:rPr>
                <w:rFonts w:hint="eastAsia" w:ascii="宋体" w:hAnsi="宋体" w:eastAsia="宋体" w:cs="宋体"/>
                <w:color w:val="000000"/>
                <w:sz w:val="21"/>
                <w:szCs w:val="21"/>
              </w:rPr>
            </w:pPr>
          </w:p>
        </w:tc>
        <w:tc>
          <w:tcPr>
            <w:tcW w:w="1013" w:type="pct"/>
            <w:vMerge w:val="continue"/>
            <w:tcBorders>
              <w:top w:val="single" w:color="000000" w:sz="4" w:space="0"/>
              <w:left w:val="single" w:color="000000" w:sz="4" w:space="0"/>
              <w:bottom w:val="single" w:color="000000" w:sz="4" w:space="0"/>
              <w:right w:val="single" w:color="000000" w:sz="4" w:space="0"/>
            </w:tcBorders>
            <w:vAlign w:val="center"/>
          </w:tcPr>
          <w:p w14:paraId="5C08B369">
            <w:pPr>
              <w:jc w:val="left"/>
              <w:rPr>
                <w:rFonts w:hint="eastAsia" w:ascii="宋体" w:hAnsi="宋体" w:eastAsia="宋体" w:cs="宋体"/>
                <w:color w:val="000000"/>
                <w:sz w:val="21"/>
                <w:szCs w:val="21"/>
              </w:rPr>
            </w:pPr>
          </w:p>
        </w:tc>
        <w:tc>
          <w:tcPr>
            <w:tcW w:w="2717" w:type="pct"/>
            <w:tcBorders>
              <w:top w:val="single" w:color="000000" w:sz="4" w:space="0"/>
              <w:left w:val="single" w:color="000000" w:sz="4" w:space="0"/>
              <w:bottom w:val="single" w:color="000000" w:sz="4" w:space="0"/>
              <w:right w:val="single" w:color="000000" w:sz="4" w:space="0"/>
            </w:tcBorders>
            <w:vAlign w:val="center"/>
          </w:tcPr>
          <w:p w14:paraId="649A27B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对临时轮转到本科室的人员进行标记，支持对其排班</w:t>
            </w:r>
          </w:p>
        </w:tc>
      </w:tr>
      <w:tr w14:paraId="1A2FD907">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67C32612">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714E7F39">
            <w:pPr>
              <w:jc w:val="left"/>
              <w:rPr>
                <w:rFonts w:hint="eastAsia" w:ascii="宋体" w:hAnsi="宋体" w:eastAsia="宋体" w:cs="宋体"/>
                <w:color w:val="000000"/>
                <w:sz w:val="21"/>
                <w:szCs w:val="21"/>
              </w:rPr>
            </w:pPr>
          </w:p>
        </w:tc>
        <w:tc>
          <w:tcPr>
            <w:tcW w:w="1013" w:type="pct"/>
            <w:vMerge w:val="continue"/>
            <w:tcBorders>
              <w:top w:val="single" w:color="000000" w:sz="4" w:space="0"/>
              <w:left w:val="single" w:color="000000" w:sz="4" w:space="0"/>
              <w:bottom w:val="single" w:color="000000" w:sz="4" w:space="0"/>
              <w:right w:val="single" w:color="000000" w:sz="4" w:space="0"/>
            </w:tcBorders>
            <w:vAlign w:val="center"/>
          </w:tcPr>
          <w:p w14:paraId="42E6968C">
            <w:pPr>
              <w:jc w:val="left"/>
              <w:rPr>
                <w:rFonts w:hint="eastAsia" w:ascii="宋体" w:hAnsi="宋体" w:eastAsia="宋体" w:cs="宋体"/>
                <w:color w:val="000000"/>
                <w:sz w:val="21"/>
                <w:szCs w:val="21"/>
              </w:rPr>
            </w:pPr>
          </w:p>
        </w:tc>
        <w:tc>
          <w:tcPr>
            <w:tcW w:w="2717" w:type="pct"/>
            <w:tcBorders>
              <w:top w:val="single" w:color="000000" w:sz="4" w:space="0"/>
              <w:left w:val="single" w:color="000000" w:sz="4" w:space="0"/>
              <w:bottom w:val="single" w:color="000000" w:sz="4" w:space="0"/>
              <w:right w:val="single" w:color="000000" w:sz="4" w:space="0"/>
            </w:tcBorders>
            <w:vAlign w:val="center"/>
          </w:tcPr>
          <w:p w14:paraId="0F4F34B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对有私人需求的人员进行标记，提醒护长注意查看</w:t>
            </w:r>
          </w:p>
        </w:tc>
      </w:tr>
      <w:tr w14:paraId="1BB6F5BB">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6E1C3379">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120F5A1A">
            <w:pPr>
              <w:jc w:val="left"/>
              <w:rPr>
                <w:rFonts w:hint="eastAsia" w:ascii="宋体" w:hAnsi="宋体" w:eastAsia="宋体" w:cs="宋体"/>
                <w:color w:val="000000"/>
                <w:sz w:val="21"/>
                <w:szCs w:val="21"/>
              </w:rPr>
            </w:pPr>
          </w:p>
        </w:tc>
        <w:tc>
          <w:tcPr>
            <w:tcW w:w="1013" w:type="pct"/>
            <w:vMerge w:val="continue"/>
            <w:tcBorders>
              <w:top w:val="single" w:color="000000" w:sz="4" w:space="0"/>
              <w:left w:val="single" w:color="000000" w:sz="4" w:space="0"/>
              <w:bottom w:val="single" w:color="000000" w:sz="4" w:space="0"/>
              <w:right w:val="single" w:color="000000" w:sz="4" w:space="0"/>
            </w:tcBorders>
            <w:vAlign w:val="center"/>
          </w:tcPr>
          <w:p w14:paraId="5B789605">
            <w:pPr>
              <w:jc w:val="left"/>
              <w:rPr>
                <w:rFonts w:hint="eastAsia" w:ascii="宋体" w:hAnsi="宋体" w:eastAsia="宋体" w:cs="宋体"/>
                <w:color w:val="000000"/>
                <w:sz w:val="21"/>
                <w:szCs w:val="21"/>
              </w:rPr>
            </w:pPr>
          </w:p>
        </w:tc>
        <w:tc>
          <w:tcPr>
            <w:tcW w:w="2717" w:type="pct"/>
            <w:tcBorders>
              <w:top w:val="single" w:color="000000" w:sz="4" w:space="0"/>
              <w:left w:val="single" w:color="000000" w:sz="4" w:space="0"/>
              <w:bottom w:val="single" w:color="000000" w:sz="4" w:space="0"/>
              <w:right w:val="single" w:color="000000" w:sz="4" w:space="0"/>
            </w:tcBorders>
            <w:vAlign w:val="center"/>
          </w:tcPr>
          <w:p w14:paraId="069ECE1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对有特殊情况的人员进行标记，如预产期或哺乳期等特殊情况</w:t>
            </w:r>
          </w:p>
        </w:tc>
      </w:tr>
      <w:tr w14:paraId="7D505EAB">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219A2E0D">
            <w:pPr>
              <w:jc w:val="center"/>
              <w:rPr>
                <w:rFonts w:hint="eastAsia" w:ascii="宋体" w:hAnsi="宋体" w:eastAsia="宋体" w:cs="宋体"/>
                <w:color w:val="000000"/>
                <w:sz w:val="21"/>
                <w:szCs w:val="21"/>
              </w:rPr>
            </w:pPr>
          </w:p>
        </w:tc>
        <w:tc>
          <w:tcPr>
            <w:tcW w:w="782" w:type="pct"/>
            <w:vMerge w:val="restart"/>
            <w:tcBorders>
              <w:top w:val="single" w:color="000000" w:sz="4" w:space="0"/>
              <w:left w:val="single" w:color="000000" w:sz="4" w:space="0"/>
              <w:bottom w:val="single" w:color="000000" w:sz="4" w:space="0"/>
              <w:right w:val="single" w:color="000000" w:sz="4" w:space="0"/>
            </w:tcBorders>
            <w:vAlign w:val="center"/>
          </w:tcPr>
          <w:p w14:paraId="5D6DEE4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排班上报审查</w:t>
            </w:r>
          </w:p>
        </w:tc>
        <w:tc>
          <w:tcPr>
            <w:tcW w:w="1013" w:type="pct"/>
            <w:tcBorders>
              <w:top w:val="single" w:color="000000" w:sz="4" w:space="0"/>
              <w:left w:val="single" w:color="000000" w:sz="4" w:space="0"/>
              <w:bottom w:val="single" w:color="000000" w:sz="4" w:space="0"/>
              <w:right w:val="single" w:color="000000" w:sz="4" w:space="0"/>
            </w:tcBorders>
            <w:vAlign w:val="center"/>
          </w:tcPr>
          <w:p w14:paraId="4E2050A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手动上报</w:t>
            </w:r>
          </w:p>
        </w:tc>
        <w:tc>
          <w:tcPr>
            <w:tcW w:w="2717" w:type="pct"/>
            <w:tcBorders>
              <w:top w:val="single" w:color="000000" w:sz="4" w:space="0"/>
              <w:left w:val="single" w:color="000000" w:sz="4" w:space="0"/>
              <w:bottom w:val="single" w:color="000000" w:sz="4" w:space="0"/>
              <w:right w:val="single" w:color="000000" w:sz="4" w:space="0"/>
            </w:tcBorders>
            <w:vAlign w:val="center"/>
          </w:tcPr>
          <w:p w14:paraId="5721DAD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支持按天、按周、按月手动上报护理部审核</w:t>
            </w:r>
          </w:p>
        </w:tc>
      </w:tr>
      <w:tr w14:paraId="4051D0CA">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6BC9320A">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444FA66C">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6D00E38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排班审查</w:t>
            </w:r>
          </w:p>
        </w:tc>
        <w:tc>
          <w:tcPr>
            <w:tcW w:w="2717" w:type="pct"/>
            <w:tcBorders>
              <w:top w:val="single" w:color="000000" w:sz="4" w:space="0"/>
              <w:left w:val="single" w:color="000000" w:sz="4" w:space="0"/>
              <w:bottom w:val="single" w:color="000000" w:sz="4" w:space="0"/>
              <w:right w:val="single" w:color="000000" w:sz="4" w:space="0"/>
            </w:tcBorders>
            <w:vAlign w:val="center"/>
          </w:tcPr>
          <w:p w14:paraId="60775C9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护理部可以对各科室的排班进行监督</w:t>
            </w:r>
          </w:p>
        </w:tc>
      </w:tr>
      <w:tr w14:paraId="56D3C4A1">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2E63F5F9">
            <w:pPr>
              <w:jc w:val="center"/>
              <w:rPr>
                <w:rFonts w:hint="eastAsia" w:ascii="宋体" w:hAnsi="宋体" w:eastAsia="宋体" w:cs="宋体"/>
                <w:color w:val="000000"/>
                <w:sz w:val="21"/>
                <w:szCs w:val="21"/>
              </w:rPr>
            </w:pPr>
          </w:p>
        </w:tc>
        <w:tc>
          <w:tcPr>
            <w:tcW w:w="782" w:type="pct"/>
            <w:vMerge w:val="restart"/>
            <w:tcBorders>
              <w:top w:val="single" w:color="000000" w:sz="4" w:space="0"/>
              <w:left w:val="single" w:color="000000" w:sz="4" w:space="0"/>
              <w:bottom w:val="single" w:color="000000" w:sz="4" w:space="0"/>
              <w:right w:val="single" w:color="000000" w:sz="4" w:space="0"/>
            </w:tcBorders>
            <w:vAlign w:val="center"/>
          </w:tcPr>
          <w:p w14:paraId="11B6481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请假管理</w:t>
            </w:r>
          </w:p>
        </w:tc>
        <w:tc>
          <w:tcPr>
            <w:tcW w:w="1013" w:type="pct"/>
            <w:tcBorders>
              <w:top w:val="single" w:color="000000" w:sz="4" w:space="0"/>
              <w:left w:val="single" w:color="000000" w:sz="4" w:space="0"/>
              <w:bottom w:val="single" w:color="000000" w:sz="4" w:space="0"/>
              <w:right w:val="single" w:color="000000" w:sz="4" w:space="0"/>
            </w:tcBorders>
            <w:vAlign w:val="center"/>
          </w:tcPr>
          <w:p w14:paraId="0A7261F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请假申请</w:t>
            </w:r>
          </w:p>
        </w:tc>
        <w:tc>
          <w:tcPr>
            <w:tcW w:w="2717" w:type="pct"/>
            <w:tcBorders>
              <w:top w:val="single" w:color="000000" w:sz="4" w:space="0"/>
              <w:left w:val="single" w:color="000000" w:sz="4" w:space="0"/>
              <w:bottom w:val="single" w:color="000000" w:sz="4" w:space="0"/>
              <w:right w:val="single" w:color="000000" w:sz="4" w:space="0"/>
            </w:tcBorders>
            <w:vAlign w:val="center"/>
          </w:tcPr>
          <w:p w14:paraId="2F11306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护士提交各种请假类型的假期申请</w:t>
            </w:r>
          </w:p>
        </w:tc>
      </w:tr>
      <w:tr w14:paraId="5317E009">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4E9D2A5E">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6E0A9588">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12128CD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请假审批</w:t>
            </w:r>
          </w:p>
        </w:tc>
        <w:tc>
          <w:tcPr>
            <w:tcW w:w="2717" w:type="pct"/>
            <w:tcBorders>
              <w:top w:val="single" w:color="000000" w:sz="4" w:space="0"/>
              <w:left w:val="single" w:color="000000" w:sz="4" w:space="0"/>
              <w:bottom w:val="single" w:color="000000" w:sz="4" w:space="0"/>
              <w:right w:val="single" w:color="000000" w:sz="4" w:space="0"/>
            </w:tcBorders>
            <w:vAlign w:val="center"/>
          </w:tcPr>
          <w:p w14:paraId="775E1BA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护士长或者护理部审批由护士提交的请假申请</w:t>
            </w:r>
          </w:p>
        </w:tc>
      </w:tr>
      <w:tr w14:paraId="1719A0B4">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1A48984B">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1ACB03B8">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7A3FF91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请假补录</w:t>
            </w:r>
          </w:p>
        </w:tc>
        <w:tc>
          <w:tcPr>
            <w:tcW w:w="2717" w:type="pct"/>
            <w:tcBorders>
              <w:top w:val="single" w:color="000000" w:sz="4" w:space="0"/>
              <w:left w:val="single" w:color="000000" w:sz="4" w:space="0"/>
              <w:bottom w:val="single" w:color="000000" w:sz="4" w:space="0"/>
              <w:right w:val="single" w:color="000000" w:sz="4" w:space="0"/>
            </w:tcBorders>
            <w:vAlign w:val="center"/>
          </w:tcPr>
          <w:p w14:paraId="4C5DDC2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由护士长或者护理部直接录入请假信息，无需申请</w:t>
            </w:r>
          </w:p>
        </w:tc>
      </w:tr>
      <w:tr w14:paraId="6975CACE">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76751421">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2C509A08">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3DA2044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请假自动生成排班</w:t>
            </w:r>
          </w:p>
        </w:tc>
        <w:tc>
          <w:tcPr>
            <w:tcW w:w="2717" w:type="pct"/>
            <w:tcBorders>
              <w:top w:val="single" w:color="000000" w:sz="4" w:space="0"/>
              <w:left w:val="single" w:color="000000" w:sz="4" w:space="0"/>
              <w:bottom w:val="single" w:color="000000" w:sz="4" w:space="0"/>
              <w:right w:val="single" w:color="000000" w:sz="4" w:space="0"/>
            </w:tcBorders>
            <w:vAlign w:val="center"/>
          </w:tcPr>
          <w:p w14:paraId="26518CA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系统可自动根据请假情况生成排班，在班次后显示请假总数并且自动计算当前班次是第几天</w:t>
            </w:r>
          </w:p>
        </w:tc>
      </w:tr>
      <w:tr w14:paraId="2A37D3C0">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7E66950E">
            <w:pPr>
              <w:jc w:val="center"/>
              <w:rPr>
                <w:rFonts w:hint="eastAsia" w:ascii="宋体" w:hAnsi="宋体" w:eastAsia="宋体" w:cs="宋体"/>
                <w:color w:val="000000"/>
                <w:sz w:val="21"/>
                <w:szCs w:val="21"/>
              </w:rPr>
            </w:pPr>
          </w:p>
        </w:tc>
        <w:tc>
          <w:tcPr>
            <w:tcW w:w="782" w:type="pct"/>
            <w:vMerge w:val="restart"/>
            <w:tcBorders>
              <w:top w:val="single" w:color="000000" w:sz="4" w:space="0"/>
              <w:left w:val="single" w:color="000000" w:sz="4" w:space="0"/>
              <w:bottom w:val="single" w:color="000000" w:sz="4" w:space="0"/>
              <w:right w:val="single" w:color="000000" w:sz="4" w:space="0"/>
            </w:tcBorders>
            <w:vAlign w:val="center"/>
          </w:tcPr>
          <w:p w14:paraId="6B6FC6C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年假管理</w:t>
            </w:r>
          </w:p>
        </w:tc>
        <w:tc>
          <w:tcPr>
            <w:tcW w:w="1013" w:type="pct"/>
            <w:tcBorders>
              <w:top w:val="single" w:color="000000" w:sz="4" w:space="0"/>
              <w:left w:val="single" w:color="000000" w:sz="4" w:space="0"/>
              <w:bottom w:val="single" w:color="000000" w:sz="4" w:space="0"/>
              <w:right w:val="single" w:color="000000" w:sz="4" w:space="0"/>
            </w:tcBorders>
            <w:vAlign w:val="center"/>
          </w:tcPr>
          <w:p w14:paraId="472A0D5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自动发放</w:t>
            </w:r>
          </w:p>
        </w:tc>
        <w:tc>
          <w:tcPr>
            <w:tcW w:w="2717" w:type="pct"/>
            <w:tcBorders>
              <w:top w:val="single" w:color="000000" w:sz="4" w:space="0"/>
              <w:left w:val="single" w:color="000000" w:sz="4" w:space="0"/>
              <w:bottom w:val="single" w:color="000000" w:sz="4" w:space="0"/>
              <w:right w:val="single" w:color="000000" w:sz="4" w:space="0"/>
            </w:tcBorders>
            <w:vAlign w:val="center"/>
          </w:tcPr>
          <w:p w14:paraId="5E35EC9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根据设置的规则进行年假自动发放和自动结余</w:t>
            </w:r>
          </w:p>
        </w:tc>
      </w:tr>
      <w:tr w14:paraId="481095AE">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1E87D5A0">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288BCD99">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288629D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修改余额</w:t>
            </w:r>
          </w:p>
        </w:tc>
        <w:tc>
          <w:tcPr>
            <w:tcW w:w="2717" w:type="pct"/>
            <w:tcBorders>
              <w:top w:val="single" w:color="000000" w:sz="4" w:space="0"/>
              <w:left w:val="single" w:color="000000" w:sz="4" w:space="0"/>
              <w:bottom w:val="single" w:color="000000" w:sz="4" w:space="0"/>
              <w:right w:val="single" w:color="000000" w:sz="4" w:space="0"/>
            </w:tcBorders>
            <w:vAlign w:val="center"/>
          </w:tcPr>
          <w:p w14:paraId="27F7E0C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支持批量修改和按个人修改年假余额</w:t>
            </w:r>
          </w:p>
        </w:tc>
      </w:tr>
      <w:tr w14:paraId="2DEE13CB">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5D32FE1F">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362DB965">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16B21B2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查看明细</w:t>
            </w:r>
          </w:p>
        </w:tc>
        <w:tc>
          <w:tcPr>
            <w:tcW w:w="2717" w:type="pct"/>
            <w:tcBorders>
              <w:top w:val="single" w:color="000000" w:sz="4" w:space="0"/>
              <w:left w:val="single" w:color="000000" w:sz="4" w:space="0"/>
              <w:bottom w:val="single" w:color="000000" w:sz="4" w:space="0"/>
              <w:right w:val="single" w:color="000000" w:sz="4" w:space="0"/>
            </w:tcBorders>
            <w:vAlign w:val="center"/>
          </w:tcPr>
          <w:p w14:paraId="178116C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支持查看年假的变动明细</w:t>
            </w:r>
          </w:p>
        </w:tc>
      </w:tr>
      <w:tr w14:paraId="32E6ED95">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678D2697">
            <w:pPr>
              <w:jc w:val="center"/>
              <w:rPr>
                <w:rFonts w:hint="eastAsia" w:ascii="宋体" w:hAnsi="宋体" w:eastAsia="宋体" w:cs="宋体"/>
                <w:color w:val="000000"/>
                <w:sz w:val="21"/>
                <w:szCs w:val="21"/>
              </w:rPr>
            </w:pPr>
          </w:p>
        </w:tc>
        <w:tc>
          <w:tcPr>
            <w:tcW w:w="1795" w:type="pct"/>
            <w:gridSpan w:val="2"/>
            <w:tcBorders>
              <w:top w:val="single" w:color="000000" w:sz="4" w:space="0"/>
              <w:left w:val="single" w:color="000000" w:sz="4" w:space="0"/>
              <w:bottom w:val="single" w:color="000000" w:sz="4" w:space="0"/>
              <w:right w:val="single" w:color="000000" w:sz="4" w:space="0"/>
            </w:tcBorders>
            <w:vAlign w:val="center"/>
          </w:tcPr>
          <w:p w14:paraId="52CD33F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存假管理</w:t>
            </w:r>
          </w:p>
        </w:tc>
        <w:tc>
          <w:tcPr>
            <w:tcW w:w="2717" w:type="pct"/>
            <w:tcBorders>
              <w:top w:val="single" w:color="000000" w:sz="4" w:space="0"/>
              <w:left w:val="single" w:color="000000" w:sz="4" w:space="0"/>
              <w:bottom w:val="single" w:color="000000" w:sz="4" w:space="0"/>
              <w:right w:val="single" w:color="000000" w:sz="4" w:space="0"/>
            </w:tcBorders>
            <w:vAlign w:val="center"/>
          </w:tcPr>
          <w:p w14:paraId="5C57A11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支持维护护理人员的存假余额，查看变动明细</w:t>
            </w:r>
          </w:p>
        </w:tc>
      </w:tr>
      <w:tr w14:paraId="2BC9FB66">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37CF372E">
            <w:pPr>
              <w:jc w:val="center"/>
              <w:rPr>
                <w:rFonts w:hint="eastAsia" w:ascii="宋体" w:hAnsi="宋体" w:eastAsia="宋体" w:cs="宋体"/>
                <w:color w:val="000000"/>
                <w:sz w:val="21"/>
                <w:szCs w:val="21"/>
              </w:rPr>
            </w:pPr>
          </w:p>
        </w:tc>
        <w:tc>
          <w:tcPr>
            <w:tcW w:w="1795" w:type="pct"/>
            <w:gridSpan w:val="2"/>
            <w:tcBorders>
              <w:top w:val="single" w:color="000000" w:sz="4" w:space="0"/>
              <w:left w:val="single" w:color="000000" w:sz="4" w:space="0"/>
              <w:bottom w:val="single" w:color="000000" w:sz="4" w:space="0"/>
              <w:right w:val="single" w:color="000000" w:sz="4" w:space="0"/>
            </w:tcBorders>
            <w:vAlign w:val="center"/>
          </w:tcPr>
          <w:p w14:paraId="1DB2BA5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节休管理</w:t>
            </w:r>
          </w:p>
        </w:tc>
        <w:tc>
          <w:tcPr>
            <w:tcW w:w="2717" w:type="pct"/>
            <w:tcBorders>
              <w:top w:val="single" w:color="000000" w:sz="4" w:space="0"/>
              <w:left w:val="single" w:color="000000" w:sz="4" w:space="0"/>
              <w:bottom w:val="single" w:color="000000" w:sz="4" w:space="0"/>
              <w:right w:val="single" w:color="000000" w:sz="4" w:space="0"/>
            </w:tcBorders>
            <w:vAlign w:val="center"/>
          </w:tcPr>
          <w:p w14:paraId="4CAB1BB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支持维护护理人员的节休余额，查看变动明细</w:t>
            </w:r>
          </w:p>
        </w:tc>
      </w:tr>
      <w:tr w14:paraId="60B7A3A0">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5C561B15">
            <w:pPr>
              <w:jc w:val="center"/>
              <w:rPr>
                <w:rFonts w:hint="eastAsia" w:ascii="宋体" w:hAnsi="宋体" w:eastAsia="宋体" w:cs="宋体"/>
                <w:color w:val="000000"/>
                <w:sz w:val="21"/>
                <w:szCs w:val="21"/>
              </w:rPr>
            </w:pPr>
          </w:p>
        </w:tc>
        <w:tc>
          <w:tcPr>
            <w:tcW w:w="782" w:type="pct"/>
            <w:vMerge w:val="restart"/>
            <w:tcBorders>
              <w:top w:val="single" w:color="000000" w:sz="4" w:space="0"/>
              <w:left w:val="single" w:color="000000" w:sz="4" w:space="0"/>
              <w:bottom w:val="single" w:color="000000" w:sz="4" w:space="0"/>
              <w:right w:val="single" w:color="000000" w:sz="4" w:space="0"/>
            </w:tcBorders>
            <w:vAlign w:val="center"/>
          </w:tcPr>
          <w:p w14:paraId="6BB5840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值班</w:t>
            </w:r>
          </w:p>
        </w:tc>
        <w:tc>
          <w:tcPr>
            <w:tcW w:w="1013" w:type="pct"/>
            <w:tcBorders>
              <w:top w:val="single" w:color="000000" w:sz="4" w:space="0"/>
              <w:left w:val="single" w:color="000000" w:sz="4" w:space="0"/>
              <w:bottom w:val="single" w:color="000000" w:sz="4" w:space="0"/>
              <w:right w:val="single" w:color="000000" w:sz="4" w:space="0"/>
            </w:tcBorders>
            <w:vAlign w:val="center"/>
          </w:tcPr>
          <w:p w14:paraId="02A3D5D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值班人员管理</w:t>
            </w:r>
          </w:p>
        </w:tc>
        <w:tc>
          <w:tcPr>
            <w:tcW w:w="2717" w:type="pct"/>
            <w:tcBorders>
              <w:top w:val="single" w:color="000000" w:sz="4" w:space="0"/>
              <w:left w:val="single" w:color="000000" w:sz="4" w:space="0"/>
              <w:bottom w:val="single" w:color="000000" w:sz="4" w:space="0"/>
              <w:right w:val="single" w:color="000000" w:sz="4" w:space="0"/>
            </w:tcBorders>
            <w:vAlign w:val="center"/>
          </w:tcPr>
          <w:p w14:paraId="790D13A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添加值班人员，设置上岗日期及备注；支持给值班人员设置小组</w:t>
            </w:r>
          </w:p>
        </w:tc>
      </w:tr>
      <w:tr w14:paraId="183FDF30">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7AC403A5">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477BF399">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494551E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值班设置</w:t>
            </w:r>
          </w:p>
        </w:tc>
        <w:tc>
          <w:tcPr>
            <w:tcW w:w="2717" w:type="pct"/>
            <w:tcBorders>
              <w:top w:val="single" w:color="000000" w:sz="4" w:space="0"/>
              <w:left w:val="single" w:color="000000" w:sz="4" w:space="0"/>
              <w:bottom w:val="single" w:color="000000" w:sz="4" w:space="0"/>
              <w:right w:val="single" w:color="000000" w:sz="4" w:space="0"/>
            </w:tcBorders>
            <w:vAlign w:val="center"/>
          </w:tcPr>
          <w:p w14:paraId="1EF2977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设置值班人员值班通知、值班可见范围、值班电话等信息</w:t>
            </w:r>
          </w:p>
        </w:tc>
      </w:tr>
      <w:tr w14:paraId="05DDE9F1">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01868504">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10BB5FA2">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0376CBB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值班表安排</w:t>
            </w:r>
          </w:p>
        </w:tc>
        <w:tc>
          <w:tcPr>
            <w:tcW w:w="2717" w:type="pct"/>
            <w:tcBorders>
              <w:top w:val="single" w:color="000000" w:sz="4" w:space="0"/>
              <w:left w:val="single" w:color="000000" w:sz="4" w:space="0"/>
              <w:bottom w:val="single" w:color="000000" w:sz="4" w:space="0"/>
              <w:right w:val="single" w:color="000000" w:sz="4" w:space="0"/>
            </w:tcBorders>
            <w:vAlign w:val="center"/>
          </w:tcPr>
          <w:p w14:paraId="1E55120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支持按人和按小组进行值班安排，支持添加备注、设置班次</w:t>
            </w:r>
          </w:p>
        </w:tc>
      </w:tr>
      <w:tr w14:paraId="57500344">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72BD1AA8">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373DB8C6">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531F729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值班同步排班表</w:t>
            </w:r>
          </w:p>
        </w:tc>
        <w:tc>
          <w:tcPr>
            <w:tcW w:w="2717" w:type="pct"/>
            <w:tcBorders>
              <w:top w:val="single" w:color="000000" w:sz="4" w:space="0"/>
              <w:left w:val="single" w:color="000000" w:sz="4" w:space="0"/>
              <w:bottom w:val="single" w:color="000000" w:sz="4" w:space="0"/>
              <w:right w:val="single" w:color="000000" w:sz="4" w:space="0"/>
            </w:tcBorders>
            <w:vAlign w:val="center"/>
          </w:tcPr>
          <w:p w14:paraId="7FB2E66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值班信息自动同步排班表</w:t>
            </w:r>
          </w:p>
        </w:tc>
      </w:tr>
      <w:tr w14:paraId="4C7BDF3D">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76670754">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24E40541">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58209FE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值班统计</w:t>
            </w:r>
          </w:p>
        </w:tc>
        <w:tc>
          <w:tcPr>
            <w:tcW w:w="2717" w:type="pct"/>
            <w:tcBorders>
              <w:top w:val="single" w:color="000000" w:sz="4" w:space="0"/>
              <w:left w:val="single" w:color="000000" w:sz="4" w:space="0"/>
              <w:bottom w:val="single" w:color="000000" w:sz="4" w:space="0"/>
              <w:right w:val="single" w:color="000000" w:sz="4" w:space="0"/>
            </w:tcBorders>
            <w:vAlign w:val="center"/>
          </w:tcPr>
          <w:p w14:paraId="49F04A1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支持按月、按季度、按年统计所有值班人员的值班信息</w:t>
            </w:r>
          </w:p>
        </w:tc>
      </w:tr>
      <w:tr w14:paraId="309B1359">
        <w:tblPrEx>
          <w:tblCellMar>
            <w:top w:w="0" w:type="dxa"/>
            <w:left w:w="108" w:type="dxa"/>
            <w:bottom w:w="0" w:type="dxa"/>
            <w:right w:w="108" w:type="dxa"/>
          </w:tblCellMar>
        </w:tblPrEx>
        <w:trPr>
          <w:trHeight w:val="690"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4082C010">
            <w:pPr>
              <w:jc w:val="center"/>
              <w:rPr>
                <w:rFonts w:hint="eastAsia" w:ascii="宋体" w:hAnsi="宋体" w:eastAsia="宋体" w:cs="宋体"/>
                <w:color w:val="000000"/>
                <w:sz w:val="21"/>
                <w:szCs w:val="21"/>
              </w:rPr>
            </w:pPr>
          </w:p>
        </w:tc>
        <w:tc>
          <w:tcPr>
            <w:tcW w:w="782" w:type="pct"/>
            <w:vMerge w:val="restart"/>
            <w:tcBorders>
              <w:top w:val="single" w:color="000000" w:sz="4" w:space="0"/>
              <w:left w:val="single" w:color="000000" w:sz="4" w:space="0"/>
              <w:bottom w:val="single" w:color="000000" w:sz="4" w:space="0"/>
              <w:right w:val="single" w:color="000000" w:sz="4" w:space="0"/>
            </w:tcBorders>
            <w:vAlign w:val="center"/>
          </w:tcPr>
          <w:p w14:paraId="30C7CFB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统计分析</w:t>
            </w:r>
          </w:p>
        </w:tc>
        <w:tc>
          <w:tcPr>
            <w:tcW w:w="1013" w:type="pct"/>
            <w:tcBorders>
              <w:top w:val="single" w:color="000000" w:sz="4" w:space="0"/>
              <w:left w:val="single" w:color="000000" w:sz="4" w:space="0"/>
              <w:bottom w:val="single" w:color="000000" w:sz="4" w:space="0"/>
              <w:right w:val="single" w:color="000000" w:sz="4" w:space="0"/>
            </w:tcBorders>
            <w:vAlign w:val="center"/>
          </w:tcPr>
          <w:p w14:paraId="4D5E0F4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排班统计</w:t>
            </w:r>
          </w:p>
        </w:tc>
        <w:tc>
          <w:tcPr>
            <w:tcW w:w="2717" w:type="pct"/>
            <w:tcBorders>
              <w:top w:val="single" w:color="000000" w:sz="4" w:space="0"/>
              <w:left w:val="single" w:color="000000" w:sz="4" w:space="0"/>
              <w:bottom w:val="single" w:color="000000" w:sz="4" w:space="0"/>
              <w:right w:val="single" w:color="000000" w:sz="4" w:space="0"/>
            </w:tcBorders>
            <w:vAlign w:val="center"/>
          </w:tcPr>
          <w:p w14:paraId="479CFDB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支持全院按汇总或按个人明细查看班次、夜班等排班相关的统计内容，也支持科室内部按个人查看班次、夜班等排班相关信息统计</w:t>
            </w:r>
          </w:p>
        </w:tc>
      </w:tr>
      <w:tr w14:paraId="7F89383C">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3D64C75A">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15B17FFE">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53D8C3A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班时值统计</w:t>
            </w:r>
          </w:p>
        </w:tc>
        <w:tc>
          <w:tcPr>
            <w:tcW w:w="2717" w:type="pct"/>
            <w:tcBorders>
              <w:top w:val="single" w:color="000000" w:sz="4" w:space="0"/>
              <w:left w:val="single" w:color="000000" w:sz="4" w:space="0"/>
              <w:bottom w:val="single" w:color="000000" w:sz="4" w:space="0"/>
              <w:right w:val="single" w:color="000000" w:sz="4" w:space="0"/>
            </w:tcBorders>
            <w:vAlign w:val="center"/>
          </w:tcPr>
          <w:p w14:paraId="188ABBE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统计各科总班时值、人均班时值、总加扣班及人均加扣班数据并可导出、打印</w:t>
            </w:r>
          </w:p>
        </w:tc>
      </w:tr>
      <w:tr w14:paraId="70D9784E">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50D694E1">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26B15804">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7663D1F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夜班费统计</w:t>
            </w:r>
          </w:p>
        </w:tc>
        <w:tc>
          <w:tcPr>
            <w:tcW w:w="2717" w:type="pct"/>
            <w:tcBorders>
              <w:top w:val="single" w:color="000000" w:sz="4" w:space="0"/>
              <w:left w:val="single" w:color="000000" w:sz="4" w:space="0"/>
              <w:bottom w:val="single" w:color="000000" w:sz="4" w:space="0"/>
              <w:right w:val="single" w:color="000000" w:sz="4" w:space="0"/>
            </w:tcBorders>
            <w:vAlign w:val="center"/>
          </w:tcPr>
          <w:p w14:paraId="42963CB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根据排班信息，自动计算夜班费</w:t>
            </w:r>
          </w:p>
        </w:tc>
      </w:tr>
      <w:tr w14:paraId="1416311B">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3A514AF2">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6E83DF17">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6F369D6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床护比</w:t>
            </w:r>
          </w:p>
        </w:tc>
        <w:tc>
          <w:tcPr>
            <w:tcW w:w="2717" w:type="pct"/>
            <w:tcBorders>
              <w:top w:val="single" w:color="000000" w:sz="4" w:space="0"/>
              <w:left w:val="single" w:color="000000" w:sz="4" w:space="0"/>
              <w:bottom w:val="single" w:color="000000" w:sz="4" w:space="0"/>
              <w:right w:val="single" w:color="000000" w:sz="4" w:space="0"/>
            </w:tcBorders>
            <w:vAlign w:val="center"/>
          </w:tcPr>
          <w:p w14:paraId="31855D0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统计科室执业护士人数及核定床位数，分析各科床护比</w:t>
            </w:r>
          </w:p>
        </w:tc>
      </w:tr>
      <w:tr w14:paraId="698A9621">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4FA85B41">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23D3F75E">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65F2FE1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护患比</w:t>
            </w:r>
          </w:p>
        </w:tc>
        <w:tc>
          <w:tcPr>
            <w:tcW w:w="2717" w:type="pct"/>
            <w:tcBorders>
              <w:top w:val="single" w:color="000000" w:sz="4" w:space="0"/>
              <w:left w:val="single" w:color="000000" w:sz="4" w:space="0"/>
              <w:bottom w:val="single" w:color="000000" w:sz="4" w:space="0"/>
              <w:right w:val="single" w:color="000000" w:sz="4" w:space="0"/>
            </w:tcBorders>
            <w:vAlign w:val="center"/>
          </w:tcPr>
          <w:p w14:paraId="3DE58C6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统计上班护士人数及在院病人数，分析各科护患比</w:t>
            </w:r>
          </w:p>
        </w:tc>
      </w:tr>
      <w:tr w14:paraId="7CD0F749">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6BA21C10">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4C2BA987">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250B8F3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私人需求统计</w:t>
            </w:r>
          </w:p>
        </w:tc>
        <w:tc>
          <w:tcPr>
            <w:tcW w:w="2717" w:type="pct"/>
            <w:tcBorders>
              <w:top w:val="single" w:color="000000" w:sz="4" w:space="0"/>
              <w:left w:val="single" w:color="000000" w:sz="4" w:space="0"/>
              <w:bottom w:val="single" w:color="000000" w:sz="4" w:space="0"/>
              <w:right w:val="single" w:color="000000" w:sz="4" w:space="0"/>
            </w:tcBorders>
            <w:vAlign w:val="center"/>
          </w:tcPr>
          <w:p w14:paraId="7FADC52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分析护士的私人需求提交次数及满足情况</w:t>
            </w:r>
          </w:p>
        </w:tc>
      </w:tr>
      <w:tr w14:paraId="08E50C29">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205E350C">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45C82EE7">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444C382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★节假日排班汇总</w:t>
            </w:r>
          </w:p>
        </w:tc>
        <w:tc>
          <w:tcPr>
            <w:tcW w:w="2717" w:type="pct"/>
            <w:tcBorders>
              <w:top w:val="single" w:color="000000" w:sz="4" w:space="0"/>
              <w:left w:val="single" w:color="000000" w:sz="4" w:space="0"/>
              <w:bottom w:val="single" w:color="000000" w:sz="4" w:space="0"/>
              <w:right w:val="single" w:color="000000" w:sz="4" w:space="0"/>
            </w:tcBorders>
            <w:vAlign w:val="center"/>
          </w:tcPr>
          <w:p w14:paraId="5446D36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支持查看节假日全院或者各科室的排班统计情况</w:t>
            </w:r>
          </w:p>
        </w:tc>
      </w:tr>
      <w:tr w14:paraId="3F8BB0CC">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44728882">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289F3BFE">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6A887A5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护士长排班汇总</w:t>
            </w:r>
          </w:p>
        </w:tc>
        <w:tc>
          <w:tcPr>
            <w:tcW w:w="2717" w:type="pct"/>
            <w:tcBorders>
              <w:top w:val="single" w:color="000000" w:sz="4" w:space="0"/>
              <w:left w:val="single" w:color="000000" w:sz="4" w:space="0"/>
              <w:bottom w:val="single" w:color="000000" w:sz="4" w:space="0"/>
              <w:right w:val="single" w:color="000000" w:sz="4" w:space="0"/>
            </w:tcBorders>
            <w:vAlign w:val="center"/>
          </w:tcPr>
          <w:p w14:paraId="6B310B7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查看护士长排班汇总</w:t>
            </w:r>
          </w:p>
        </w:tc>
      </w:tr>
      <w:tr w14:paraId="3286FD65">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11DF7E80">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67F61FED">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46BFD61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责任护士数统计</w:t>
            </w:r>
          </w:p>
        </w:tc>
        <w:tc>
          <w:tcPr>
            <w:tcW w:w="2717" w:type="pct"/>
            <w:tcBorders>
              <w:top w:val="single" w:color="000000" w:sz="4" w:space="0"/>
              <w:left w:val="single" w:color="000000" w:sz="4" w:space="0"/>
              <w:bottom w:val="single" w:color="000000" w:sz="4" w:space="0"/>
              <w:right w:val="single" w:color="000000" w:sz="4" w:space="0"/>
            </w:tcBorders>
            <w:vAlign w:val="center"/>
          </w:tcPr>
          <w:p w14:paraId="3F03FDB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统计查看各科室白班责任小时数及白班护士数，夜班责任护士上班小时数及夜班责任护士数</w:t>
            </w:r>
          </w:p>
        </w:tc>
      </w:tr>
      <w:tr w14:paraId="1DFF237C">
        <w:tblPrEx>
          <w:tblCellMar>
            <w:top w:w="0" w:type="dxa"/>
            <w:left w:w="108" w:type="dxa"/>
            <w:bottom w:w="0" w:type="dxa"/>
            <w:right w:w="108" w:type="dxa"/>
          </w:tblCellMar>
        </w:tblPrEx>
        <w:trPr>
          <w:trHeight w:val="103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39CFE35A">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5DFFE920">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1D77735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请假总览</w:t>
            </w:r>
          </w:p>
        </w:tc>
        <w:tc>
          <w:tcPr>
            <w:tcW w:w="2717" w:type="pct"/>
            <w:tcBorders>
              <w:top w:val="single" w:color="000000" w:sz="4" w:space="0"/>
              <w:left w:val="single" w:color="000000" w:sz="4" w:space="0"/>
              <w:bottom w:val="single" w:color="000000" w:sz="4" w:space="0"/>
              <w:right w:val="single" w:color="000000" w:sz="4" w:space="0"/>
            </w:tcBorders>
            <w:vAlign w:val="center"/>
          </w:tcPr>
          <w:p w14:paraId="1B96B75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系统根据请假情况对全院、科室的在岗人员概况做统计汇总并且以图形的方式展现并支持下载；2、请假人员概况统计以图形的方式展现并支持下载；3、各护理单元请假人数分布以柱状图的形式展现并支持下载；4、请假人员详细信息以图标的形式展现并支持导出</w:t>
            </w:r>
          </w:p>
        </w:tc>
      </w:tr>
      <w:tr w14:paraId="735422AB">
        <w:tblPrEx>
          <w:tblCellMar>
            <w:top w:w="0" w:type="dxa"/>
            <w:left w:w="108" w:type="dxa"/>
            <w:bottom w:w="0" w:type="dxa"/>
            <w:right w:w="108" w:type="dxa"/>
          </w:tblCellMar>
        </w:tblPrEx>
        <w:trPr>
          <w:trHeight w:val="690"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56657B86">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49F551EF">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3AD2AEE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请假个人明细统计</w:t>
            </w:r>
          </w:p>
        </w:tc>
        <w:tc>
          <w:tcPr>
            <w:tcW w:w="2717" w:type="pct"/>
            <w:tcBorders>
              <w:top w:val="single" w:color="000000" w:sz="4" w:space="0"/>
              <w:left w:val="single" w:color="000000" w:sz="4" w:space="0"/>
              <w:bottom w:val="single" w:color="000000" w:sz="4" w:space="0"/>
              <w:right w:val="single" w:color="000000" w:sz="4" w:space="0"/>
            </w:tcBorders>
            <w:vAlign w:val="center"/>
          </w:tcPr>
          <w:p w14:paraId="24C712B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系统根据请假情况自动统计护士、护士长、护理部的病假、事假、年假、产假、婚假等各种假期</w:t>
            </w:r>
          </w:p>
        </w:tc>
      </w:tr>
      <w:tr w14:paraId="5289FD52">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148C103D">
            <w:pPr>
              <w:jc w:val="center"/>
              <w:rPr>
                <w:rFonts w:hint="eastAsia" w:ascii="宋体" w:hAnsi="宋体" w:eastAsia="宋体" w:cs="宋体"/>
                <w:color w:val="000000"/>
                <w:sz w:val="21"/>
                <w:szCs w:val="21"/>
              </w:rPr>
            </w:pPr>
          </w:p>
        </w:tc>
        <w:tc>
          <w:tcPr>
            <w:tcW w:w="782" w:type="pct"/>
            <w:vMerge w:val="restart"/>
            <w:tcBorders>
              <w:top w:val="single" w:color="000000" w:sz="4" w:space="0"/>
              <w:left w:val="single" w:color="000000" w:sz="4" w:space="0"/>
              <w:bottom w:val="single" w:color="000000" w:sz="4" w:space="0"/>
              <w:right w:val="single" w:color="000000" w:sz="4" w:space="0"/>
            </w:tcBorders>
            <w:vAlign w:val="center"/>
          </w:tcPr>
          <w:p w14:paraId="3D8FD1F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消息通知</w:t>
            </w:r>
          </w:p>
        </w:tc>
        <w:tc>
          <w:tcPr>
            <w:tcW w:w="1013" w:type="pct"/>
            <w:tcBorders>
              <w:top w:val="single" w:color="000000" w:sz="4" w:space="0"/>
              <w:left w:val="single" w:color="000000" w:sz="4" w:space="0"/>
              <w:bottom w:val="single" w:color="000000" w:sz="4" w:space="0"/>
              <w:right w:val="single" w:color="000000" w:sz="4" w:space="0"/>
            </w:tcBorders>
            <w:vAlign w:val="center"/>
          </w:tcPr>
          <w:p w14:paraId="124BFD4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排班流程消息</w:t>
            </w:r>
          </w:p>
        </w:tc>
        <w:tc>
          <w:tcPr>
            <w:tcW w:w="2717" w:type="pct"/>
            <w:tcBorders>
              <w:top w:val="single" w:color="000000" w:sz="4" w:space="0"/>
              <w:left w:val="single" w:color="000000" w:sz="4" w:space="0"/>
              <w:bottom w:val="single" w:color="000000" w:sz="4" w:space="0"/>
              <w:right w:val="single" w:color="000000" w:sz="4" w:space="0"/>
            </w:tcBorders>
            <w:vAlign w:val="center"/>
          </w:tcPr>
          <w:p w14:paraId="668738F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排班上报，退回将发送对应的流程消息到对应接收人</w:t>
            </w:r>
          </w:p>
        </w:tc>
      </w:tr>
      <w:tr w14:paraId="2D11CE6A">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339AD28D">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788C7752">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3CE244F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请假流程消息</w:t>
            </w:r>
          </w:p>
        </w:tc>
        <w:tc>
          <w:tcPr>
            <w:tcW w:w="2717" w:type="pct"/>
            <w:tcBorders>
              <w:top w:val="single" w:color="000000" w:sz="4" w:space="0"/>
              <w:left w:val="single" w:color="000000" w:sz="4" w:space="0"/>
              <w:bottom w:val="single" w:color="000000" w:sz="4" w:space="0"/>
              <w:right w:val="single" w:color="000000" w:sz="4" w:space="0"/>
            </w:tcBorders>
            <w:vAlign w:val="center"/>
          </w:tcPr>
          <w:p w14:paraId="7D843E7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请假审批通过，审批未通过发送对应的流程消息到接收人</w:t>
            </w:r>
          </w:p>
        </w:tc>
      </w:tr>
      <w:tr w14:paraId="37A9B950">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7E92D998">
            <w:pPr>
              <w:jc w:val="center"/>
              <w:rPr>
                <w:rFonts w:hint="eastAsia" w:ascii="宋体" w:hAnsi="宋体" w:eastAsia="宋体" w:cs="宋体"/>
                <w:color w:val="000000"/>
                <w:sz w:val="21"/>
                <w:szCs w:val="21"/>
              </w:rPr>
            </w:pPr>
          </w:p>
        </w:tc>
        <w:tc>
          <w:tcPr>
            <w:tcW w:w="782" w:type="pct"/>
            <w:vMerge w:val="restart"/>
            <w:tcBorders>
              <w:top w:val="single" w:color="000000" w:sz="4" w:space="0"/>
              <w:left w:val="single" w:color="000000" w:sz="4" w:space="0"/>
              <w:bottom w:val="single" w:color="000000" w:sz="4" w:space="0"/>
              <w:right w:val="single" w:color="000000" w:sz="4" w:space="0"/>
            </w:tcBorders>
            <w:vAlign w:val="center"/>
          </w:tcPr>
          <w:p w14:paraId="5BB89B2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移动端</w:t>
            </w:r>
          </w:p>
        </w:tc>
        <w:tc>
          <w:tcPr>
            <w:tcW w:w="1013" w:type="pct"/>
            <w:tcBorders>
              <w:top w:val="single" w:color="000000" w:sz="4" w:space="0"/>
              <w:left w:val="single" w:color="000000" w:sz="4" w:space="0"/>
              <w:bottom w:val="single" w:color="000000" w:sz="4" w:space="0"/>
              <w:right w:val="single" w:color="000000" w:sz="4" w:space="0"/>
            </w:tcBorders>
            <w:vAlign w:val="center"/>
          </w:tcPr>
          <w:p w14:paraId="25522E4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个人排班查看</w:t>
            </w:r>
          </w:p>
        </w:tc>
        <w:tc>
          <w:tcPr>
            <w:tcW w:w="2717" w:type="pct"/>
            <w:tcBorders>
              <w:top w:val="single" w:color="000000" w:sz="4" w:space="0"/>
              <w:left w:val="single" w:color="000000" w:sz="4" w:space="0"/>
              <w:bottom w:val="single" w:color="000000" w:sz="4" w:space="0"/>
              <w:right w:val="single" w:color="000000" w:sz="4" w:space="0"/>
            </w:tcBorders>
            <w:vAlign w:val="center"/>
          </w:tcPr>
          <w:p w14:paraId="2818C2B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可以用表格模式/日历模式查看个人排班信息</w:t>
            </w:r>
          </w:p>
        </w:tc>
      </w:tr>
      <w:tr w14:paraId="2512C858">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40A8ACD1">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08CD6DE0">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78B5E29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科室排班查看</w:t>
            </w:r>
          </w:p>
        </w:tc>
        <w:tc>
          <w:tcPr>
            <w:tcW w:w="2717" w:type="pct"/>
            <w:tcBorders>
              <w:top w:val="single" w:color="000000" w:sz="4" w:space="0"/>
              <w:left w:val="single" w:color="000000" w:sz="4" w:space="0"/>
              <w:bottom w:val="single" w:color="000000" w:sz="4" w:space="0"/>
              <w:right w:val="single" w:color="000000" w:sz="4" w:space="0"/>
            </w:tcBorders>
            <w:vAlign w:val="center"/>
          </w:tcPr>
          <w:p w14:paraId="75E921D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护士长可以按周、按月、自定义时间查看本科室成员的排班</w:t>
            </w:r>
          </w:p>
        </w:tc>
      </w:tr>
      <w:tr w14:paraId="24581DE4">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4DAD8A76">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1D670645">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512112C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编辑科室排班</w:t>
            </w:r>
          </w:p>
        </w:tc>
        <w:tc>
          <w:tcPr>
            <w:tcW w:w="2717" w:type="pct"/>
            <w:tcBorders>
              <w:top w:val="single" w:color="000000" w:sz="4" w:space="0"/>
              <w:left w:val="single" w:color="000000" w:sz="4" w:space="0"/>
              <w:bottom w:val="single" w:color="000000" w:sz="4" w:space="0"/>
              <w:right w:val="single" w:color="000000" w:sz="4" w:space="0"/>
            </w:tcBorders>
            <w:vAlign w:val="center"/>
          </w:tcPr>
          <w:p w14:paraId="3031FCA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用于编辑科室排班</w:t>
            </w:r>
          </w:p>
        </w:tc>
      </w:tr>
      <w:tr w14:paraId="51E28CA9">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442503C1">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2DC898B0">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29CAFA7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排班备注查看</w:t>
            </w:r>
          </w:p>
        </w:tc>
        <w:tc>
          <w:tcPr>
            <w:tcW w:w="2717" w:type="pct"/>
            <w:tcBorders>
              <w:top w:val="single" w:color="000000" w:sz="4" w:space="0"/>
              <w:left w:val="single" w:color="000000" w:sz="4" w:space="0"/>
              <w:bottom w:val="single" w:color="000000" w:sz="4" w:space="0"/>
              <w:right w:val="single" w:color="000000" w:sz="4" w:space="0"/>
            </w:tcBorders>
            <w:vAlign w:val="center"/>
          </w:tcPr>
          <w:p w14:paraId="50FD9CC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可查看科室排班备注内容</w:t>
            </w:r>
          </w:p>
        </w:tc>
      </w:tr>
      <w:tr w14:paraId="11D4C286">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45A668C7">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363C6CAE">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1E5061D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★值班查看</w:t>
            </w:r>
          </w:p>
        </w:tc>
        <w:tc>
          <w:tcPr>
            <w:tcW w:w="2717" w:type="pct"/>
            <w:tcBorders>
              <w:top w:val="single" w:color="000000" w:sz="4" w:space="0"/>
              <w:left w:val="single" w:color="000000" w:sz="4" w:space="0"/>
              <w:bottom w:val="single" w:color="000000" w:sz="4" w:space="0"/>
              <w:right w:val="single" w:color="000000" w:sz="4" w:space="0"/>
            </w:tcBorders>
            <w:vAlign w:val="center"/>
          </w:tcPr>
          <w:p w14:paraId="4BFCAA8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用于值班排班查看</w:t>
            </w:r>
          </w:p>
        </w:tc>
      </w:tr>
      <w:tr w14:paraId="3207839B">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13155F38">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3FACA5A2">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761603E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★编辑值班</w:t>
            </w:r>
          </w:p>
        </w:tc>
        <w:tc>
          <w:tcPr>
            <w:tcW w:w="2717" w:type="pct"/>
            <w:tcBorders>
              <w:top w:val="single" w:color="000000" w:sz="4" w:space="0"/>
              <w:left w:val="single" w:color="000000" w:sz="4" w:space="0"/>
              <w:bottom w:val="single" w:color="000000" w:sz="4" w:space="0"/>
              <w:right w:val="single" w:color="000000" w:sz="4" w:space="0"/>
            </w:tcBorders>
            <w:vAlign w:val="center"/>
          </w:tcPr>
          <w:p w14:paraId="4746B3A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用于手机上编辑值班</w:t>
            </w:r>
          </w:p>
        </w:tc>
      </w:tr>
      <w:tr w14:paraId="6F05C386">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308ED21B">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26A01493">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5E83FFA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★值班人员管理</w:t>
            </w:r>
          </w:p>
        </w:tc>
        <w:tc>
          <w:tcPr>
            <w:tcW w:w="2717" w:type="pct"/>
            <w:tcBorders>
              <w:top w:val="single" w:color="000000" w:sz="4" w:space="0"/>
              <w:left w:val="single" w:color="000000" w:sz="4" w:space="0"/>
              <w:bottom w:val="single" w:color="000000" w:sz="4" w:space="0"/>
              <w:right w:val="single" w:color="000000" w:sz="4" w:space="0"/>
            </w:tcBorders>
            <w:vAlign w:val="center"/>
          </w:tcPr>
          <w:p w14:paraId="7E4A7BB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支持添加值班人员并支持调整人员显示顺序，设置上岗日期和备注信息，复制手机号</w:t>
            </w:r>
          </w:p>
        </w:tc>
      </w:tr>
      <w:tr w14:paraId="3F8264C4">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442F43B3">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00EA2683">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6D32652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★值班人员上岗信息查看</w:t>
            </w:r>
          </w:p>
        </w:tc>
        <w:tc>
          <w:tcPr>
            <w:tcW w:w="2717" w:type="pct"/>
            <w:tcBorders>
              <w:top w:val="single" w:color="000000" w:sz="4" w:space="0"/>
              <w:left w:val="single" w:color="000000" w:sz="4" w:space="0"/>
              <w:bottom w:val="single" w:color="000000" w:sz="4" w:space="0"/>
              <w:right w:val="single" w:color="000000" w:sz="4" w:space="0"/>
            </w:tcBorders>
            <w:vAlign w:val="center"/>
          </w:tcPr>
          <w:p w14:paraId="641CFF9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支持查看值班人员上岗日期和备注信息</w:t>
            </w:r>
          </w:p>
        </w:tc>
      </w:tr>
      <w:tr w14:paraId="50DABA30">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136A3DB1">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5CF17202">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2E5A62F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★个人排班统计</w:t>
            </w:r>
          </w:p>
        </w:tc>
        <w:tc>
          <w:tcPr>
            <w:tcW w:w="2717" w:type="pct"/>
            <w:tcBorders>
              <w:top w:val="single" w:color="000000" w:sz="4" w:space="0"/>
              <w:left w:val="single" w:color="000000" w:sz="4" w:space="0"/>
              <w:bottom w:val="single" w:color="000000" w:sz="4" w:space="0"/>
              <w:right w:val="single" w:color="000000" w:sz="4" w:space="0"/>
            </w:tcBorders>
            <w:vAlign w:val="center"/>
          </w:tcPr>
          <w:p w14:paraId="5750387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支持查看个人上班时长、班次统计、当前剩余年假、剩余存假</w:t>
            </w:r>
          </w:p>
        </w:tc>
      </w:tr>
      <w:tr w14:paraId="6057E606">
        <w:tblPrEx>
          <w:tblCellMar>
            <w:top w:w="0" w:type="dxa"/>
            <w:left w:w="108" w:type="dxa"/>
            <w:bottom w:w="0" w:type="dxa"/>
            <w:right w:w="108" w:type="dxa"/>
          </w:tblCellMar>
        </w:tblPrEx>
        <w:trPr>
          <w:trHeight w:val="345" w:hRule="atLeast"/>
        </w:trPr>
        <w:tc>
          <w:tcPr>
            <w:tcW w:w="486" w:type="pct"/>
            <w:vMerge w:val="restart"/>
            <w:tcBorders>
              <w:top w:val="single" w:color="000000" w:sz="4" w:space="0"/>
              <w:left w:val="single" w:color="000000" w:sz="4" w:space="0"/>
              <w:bottom w:val="single" w:color="000000" w:sz="4" w:space="0"/>
              <w:right w:val="single" w:color="000000" w:sz="4" w:space="0"/>
            </w:tcBorders>
            <w:vAlign w:val="center"/>
          </w:tcPr>
          <w:p w14:paraId="187D06E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质量检查</w:t>
            </w:r>
          </w:p>
        </w:tc>
        <w:tc>
          <w:tcPr>
            <w:tcW w:w="782" w:type="pct"/>
            <w:vMerge w:val="restart"/>
            <w:tcBorders>
              <w:top w:val="single" w:color="000000" w:sz="4" w:space="0"/>
              <w:left w:val="single" w:color="000000" w:sz="4" w:space="0"/>
              <w:bottom w:val="single" w:color="000000" w:sz="4" w:space="0"/>
              <w:right w:val="single" w:color="000000" w:sz="4" w:space="0"/>
            </w:tcBorders>
            <w:vAlign w:val="center"/>
          </w:tcPr>
          <w:p w14:paraId="555E54F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质量检查</w:t>
            </w:r>
          </w:p>
        </w:tc>
        <w:tc>
          <w:tcPr>
            <w:tcW w:w="1013" w:type="pct"/>
            <w:tcBorders>
              <w:top w:val="single" w:color="000000" w:sz="4" w:space="0"/>
              <w:left w:val="single" w:color="000000" w:sz="4" w:space="0"/>
              <w:bottom w:val="single" w:color="000000" w:sz="4" w:space="0"/>
              <w:right w:val="single" w:color="000000" w:sz="4" w:space="0"/>
            </w:tcBorders>
            <w:vAlign w:val="center"/>
          </w:tcPr>
          <w:p w14:paraId="05C6871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我的任务</w:t>
            </w:r>
          </w:p>
        </w:tc>
        <w:tc>
          <w:tcPr>
            <w:tcW w:w="2717" w:type="pct"/>
            <w:tcBorders>
              <w:top w:val="single" w:color="000000" w:sz="4" w:space="0"/>
              <w:left w:val="single" w:color="000000" w:sz="4" w:space="0"/>
              <w:bottom w:val="single" w:color="000000" w:sz="4" w:space="0"/>
              <w:right w:val="single" w:color="000000" w:sz="4" w:space="0"/>
            </w:tcBorders>
            <w:vAlign w:val="center"/>
          </w:tcPr>
          <w:p w14:paraId="5EC6A3C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用于查看分配给本人的任务，可通过进度条查看本人任务进度</w:t>
            </w:r>
          </w:p>
        </w:tc>
      </w:tr>
      <w:tr w14:paraId="313C42E9">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6449AA5D">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5BF7D4FF">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6A7D837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拍照上传</w:t>
            </w:r>
          </w:p>
        </w:tc>
        <w:tc>
          <w:tcPr>
            <w:tcW w:w="2717" w:type="pct"/>
            <w:tcBorders>
              <w:top w:val="single" w:color="000000" w:sz="4" w:space="0"/>
              <w:left w:val="single" w:color="000000" w:sz="4" w:space="0"/>
              <w:bottom w:val="single" w:color="000000" w:sz="4" w:space="0"/>
              <w:right w:val="single" w:color="000000" w:sz="4" w:space="0"/>
            </w:tcBorders>
            <w:vAlign w:val="center"/>
          </w:tcPr>
          <w:p w14:paraId="30E34F2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用于检查发现存在问题时拍照上传</w:t>
            </w:r>
          </w:p>
        </w:tc>
      </w:tr>
      <w:tr w14:paraId="5EE9CD01">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06189F38">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62647DB1">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320779F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任务管理</w:t>
            </w:r>
          </w:p>
        </w:tc>
        <w:tc>
          <w:tcPr>
            <w:tcW w:w="2717" w:type="pct"/>
            <w:tcBorders>
              <w:top w:val="single" w:color="000000" w:sz="4" w:space="0"/>
              <w:left w:val="single" w:color="000000" w:sz="4" w:space="0"/>
              <w:bottom w:val="single" w:color="000000" w:sz="4" w:space="0"/>
              <w:right w:val="single" w:color="000000" w:sz="4" w:space="0"/>
            </w:tcBorders>
            <w:vAlign w:val="center"/>
          </w:tcPr>
          <w:p w14:paraId="3D5362E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支持按照检查周期，检查人，检查标准安排检查任务并实时查看检查进度</w:t>
            </w:r>
          </w:p>
        </w:tc>
      </w:tr>
      <w:tr w14:paraId="236F8ED7">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58D74784">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5B0AA8CE">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6B225EA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★任务组</w:t>
            </w:r>
          </w:p>
        </w:tc>
        <w:tc>
          <w:tcPr>
            <w:tcW w:w="2717" w:type="pct"/>
            <w:tcBorders>
              <w:top w:val="single" w:color="000000" w:sz="4" w:space="0"/>
              <w:left w:val="single" w:color="000000" w:sz="4" w:space="0"/>
              <w:bottom w:val="single" w:color="000000" w:sz="4" w:space="0"/>
              <w:right w:val="single" w:color="000000" w:sz="4" w:space="0"/>
            </w:tcBorders>
            <w:vAlign w:val="center"/>
          </w:tcPr>
          <w:p w14:paraId="282CBFC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支持安排任务时将同一任务根据检查人，检查科室核检查标准分为不同检查组</w:t>
            </w:r>
          </w:p>
        </w:tc>
      </w:tr>
      <w:tr w14:paraId="2700CE22">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281FA539">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41E79CE0">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146D3C3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任务查看</w:t>
            </w:r>
          </w:p>
        </w:tc>
        <w:tc>
          <w:tcPr>
            <w:tcW w:w="2717" w:type="pct"/>
            <w:tcBorders>
              <w:top w:val="single" w:color="000000" w:sz="4" w:space="0"/>
              <w:left w:val="single" w:color="000000" w:sz="4" w:space="0"/>
              <w:bottom w:val="single" w:color="000000" w:sz="4" w:space="0"/>
              <w:right w:val="single" w:color="000000" w:sz="4" w:space="0"/>
            </w:tcBorders>
            <w:vAlign w:val="center"/>
          </w:tcPr>
          <w:p w14:paraId="5271E5F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支持按照已发布任务，待发布任务和已完成任务查看任务记录</w:t>
            </w:r>
          </w:p>
        </w:tc>
      </w:tr>
      <w:tr w14:paraId="6107E9D8">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46B8E504">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1218DC0A">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798BCA3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★任务进度查看</w:t>
            </w:r>
          </w:p>
        </w:tc>
        <w:tc>
          <w:tcPr>
            <w:tcW w:w="2717" w:type="pct"/>
            <w:tcBorders>
              <w:top w:val="single" w:color="000000" w:sz="4" w:space="0"/>
              <w:left w:val="single" w:color="000000" w:sz="4" w:space="0"/>
              <w:bottom w:val="single" w:color="000000" w:sz="4" w:space="0"/>
              <w:right w:val="single" w:color="000000" w:sz="4" w:space="0"/>
            </w:tcBorders>
            <w:vAlign w:val="center"/>
          </w:tcPr>
          <w:p w14:paraId="4170637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支持通过进度条追踪任务完成情况并查看已完成任务的检查结果</w:t>
            </w:r>
          </w:p>
        </w:tc>
      </w:tr>
      <w:tr w14:paraId="6B7877DA">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5C8CD09B">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5C7EDCC7">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57C3BBC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任务筛选</w:t>
            </w:r>
          </w:p>
        </w:tc>
        <w:tc>
          <w:tcPr>
            <w:tcW w:w="2717" w:type="pct"/>
            <w:tcBorders>
              <w:top w:val="single" w:color="000000" w:sz="4" w:space="0"/>
              <w:left w:val="single" w:color="000000" w:sz="4" w:space="0"/>
              <w:bottom w:val="single" w:color="000000" w:sz="4" w:space="0"/>
              <w:right w:val="single" w:color="000000" w:sz="4" w:space="0"/>
            </w:tcBorders>
            <w:vAlign w:val="center"/>
          </w:tcPr>
          <w:p w14:paraId="5DE2420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支持按照检查时间，检查级别，任务类型筛选任务记录</w:t>
            </w:r>
          </w:p>
        </w:tc>
      </w:tr>
      <w:tr w14:paraId="5164F070">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06C5440E">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1ED061B8">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0C8A1D5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抽查录入</w:t>
            </w:r>
          </w:p>
        </w:tc>
        <w:tc>
          <w:tcPr>
            <w:tcW w:w="2717" w:type="pct"/>
            <w:tcBorders>
              <w:top w:val="single" w:color="000000" w:sz="4" w:space="0"/>
              <w:left w:val="single" w:color="000000" w:sz="4" w:space="0"/>
              <w:bottom w:val="single" w:color="000000" w:sz="4" w:space="0"/>
              <w:right w:val="single" w:color="000000" w:sz="4" w:space="0"/>
            </w:tcBorders>
            <w:vAlign w:val="center"/>
          </w:tcPr>
          <w:p w14:paraId="41EA5A7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用于录入单个科室的检查记录，支持一级，二级，三级检查录入；</w:t>
            </w:r>
          </w:p>
        </w:tc>
      </w:tr>
      <w:tr w14:paraId="44479C58">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4D350DE6">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684F34BB">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500FB16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抽查记录筛选</w:t>
            </w:r>
          </w:p>
        </w:tc>
        <w:tc>
          <w:tcPr>
            <w:tcW w:w="2717" w:type="pct"/>
            <w:tcBorders>
              <w:top w:val="single" w:color="000000" w:sz="4" w:space="0"/>
              <w:left w:val="single" w:color="000000" w:sz="4" w:space="0"/>
              <w:bottom w:val="single" w:color="000000" w:sz="4" w:space="0"/>
              <w:right w:val="single" w:color="000000" w:sz="4" w:space="0"/>
            </w:tcBorders>
            <w:vAlign w:val="center"/>
          </w:tcPr>
          <w:p w14:paraId="05296A6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支持按照检查时间，检查级别，任务类型筛选抽查记录</w:t>
            </w:r>
          </w:p>
        </w:tc>
      </w:tr>
      <w:tr w14:paraId="05F52345">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2FE08B86">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20220A47">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4B13F08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★任务安排</w:t>
            </w:r>
          </w:p>
        </w:tc>
        <w:tc>
          <w:tcPr>
            <w:tcW w:w="2717" w:type="pct"/>
            <w:tcBorders>
              <w:top w:val="single" w:color="000000" w:sz="4" w:space="0"/>
              <w:left w:val="single" w:color="000000" w:sz="4" w:space="0"/>
              <w:bottom w:val="single" w:color="000000" w:sz="4" w:space="0"/>
              <w:right w:val="single" w:color="000000" w:sz="4" w:space="0"/>
            </w:tcBorders>
            <w:vAlign w:val="center"/>
          </w:tcPr>
          <w:p w14:paraId="4BE0B0A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支持按照每周，每月，每季度定时发布周期性任务</w:t>
            </w:r>
          </w:p>
        </w:tc>
      </w:tr>
      <w:tr w14:paraId="24EAB16E">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413C06B8">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423712F7">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25789F1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质量检查查看</w:t>
            </w:r>
          </w:p>
        </w:tc>
        <w:tc>
          <w:tcPr>
            <w:tcW w:w="2717" w:type="pct"/>
            <w:tcBorders>
              <w:top w:val="single" w:color="000000" w:sz="4" w:space="0"/>
              <w:left w:val="single" w:color="000000" w:sz="4" w:space="0"/>
              <w:bottom w:val="single" w:color="000000" w:sz="4" w:space="0"/>
              <w:right w:val="single" w:color="000000" w:sz="4" w:space="0"/>
            </w:tcBorders>
            <w:vAlign w:val="center"/>
          </w:tcPr>
          <w:p w14:paraId="5513730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用于查看科室全部检查记录，可从任务，抽查两个维度查看</w:t>
            </w:r>
          </w:p>
        </w:tc>
      </w:tr>
      <w:tr w14:paraId="11E7CEEB">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3C3C5368">
            <w:pPr>
              <w:jc w:val="center"/>
              <w:rPr>
                <w:rFonts w:hint="eastAsia" w:ascii="宋体" w:hAnsi="宋体" w:eastAsia="宋体" w:cs="宋体"/>
                <w:color w:val="000000"/>
                <w:sz w:val="21"/>
                <w:szCs w:val="21"/>
              </w:rPr>
            </w:pPr>
          </w:p>
        </w:tc>
        <w:tc>
          <w:tcPr>
            <w:tcW w:w="782" w:type="pct"/>
            <w:vMerge w:val="restart"/>
            <w:tcBorders>
              <w:top w:val="single" w:color="000000" w:sz="4" w:space="0"/>
              <w:left w:val="single" w:color="000000" w:sz="4" w:space="0"/>
              <w:bottom w:val="single" w:color="000000" w:sz="4" w:space="0"/>
              <w:right w:val="single" w:color="000000" w:sz="4" w:space="0"/>
            </w:tcBorders>
            <w:vAlign w:val="center"/>
          </w:tcPr>
          <w:p w14:paraId="7919FA1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检查标准维护</w:t>
            </w:r>
          </w:p>
        </w:tc>
        <w:tc>
          <w:tcPr>
            <w:tcW w:w="1013" w:type="pct"/>
            <w:tcBorders>
              <w:top w:val="single" w:color="000000" w:sz="4" w:space="0"/>
              <w:left w:val="single" w:color="000000" w:sz="4" w:space="0"/>
              <w:bottom w:val="single" w:color="000000" w:sz="4" w:space="0"/>
              <w:right w:val="single" w:color="000000" w:sz="4" w:space="0"/>
            </w:tcBorders>
            <w:vAlign w:val="center"/>
          </w:tcPr>
          <w:p w14:paraId="79A3E97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检查标准类型</w:t>
            </w:r>
          </w:p>
        </w:tc>
        <w:tc>
          <w:tcPr>
            <w:tcW w:w="2717" w:type="pct"/>
            <w:tcBorders>
              <w:top w:val="single" w:color="000000" w:sz="4" w:space="0"/>
              <w:left w:val="single" w:color="000000" w:sz="4" w:space="0"/>
              <w:bottom w:val="single" w:color="000000" w:sz="4" w:space="0"/>
              <w:right w:val="single" w:color="000000" w:sz="4" w:space="0"/>
            </w:tcBorders>
            <w:vAlign w:val="center"/>
          </w:tcPr>
          <w:p w14:paraId="278A984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支持维护得分式，选项式，符合率式检查标准</w:t>
            </w:r>
          </w:p>
        </w:tc>
      </w:tr>
      <w:tr w14:paraId="0AFEABBF">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6442F586">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64BB8B45">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08BDD10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★存在问题维护</w:t>
            </w:r>
          </w:p>
        </w:tc>
        <w:tc>
          <w:tcPr>
            <w:tcW w:w="2717" w:type="pct"/>
            <w:tcBorders>
              <w:top w:val="single" w:color="000000" w:sz="4" w:space="0"/>
              <w:left w:val="single" w:color="000000" w:sz="4" w:space="0"/>
              <w:bottom w:val="single" w:color="000000" w:sz="4" w:space="0"/>
              <w:right w:val="single" w:color="000000" w:sz="4" w:space="0"/>
            </w:tcBorders>
            <w:vAlign w:val="center"/>
          </w:tcPr>
          <w:p w14:paraId="7C698CD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支持维护各指标的常见扣分原因，维护后填写表单时存在问题可勾选录入</w:t>
            </w:r>
          </w:p>
        </w:tc>
      </w:tr>
      <w:tr w14:paraId="23C87629">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49B90047">
            <w:pPr>
              <w:jc w:val="center"/>
              <w:rPr>
                <w:rFonts w:hint="eastAsia" w:ascii="宋体" w:hAnsi="宋体" w:eastAsia="宋体" w:cs="宋体"/>
                <w:color w:val="000000"/>
                <w:sz w:val="21"/>
                <w:szCs w:val="21"/>
              </w:rPr>
            </w:pPr>
          </w:p>
        </w:tc>
        <w:tc>
          <w:tcPr>
            <w:tcW w:w="782" w:type="pct"/>
            <w:vMerge w:val="restart"/>
            <w:tcBorders>
              <w:top w:val="single" w:color="000000" w:sz="4" w:space="0"/>
              <w:left w:val="single" w:color="000000" w:sz="4" w:space="0"/>
              <w:bottom w:val="single" w:color="000000" w:sz="4" w:space="0"/>
              <w:right w:val="single" w:color="000000" w:sz="4" w:space="0"/>
            </w:tcBorders>
            <w:vAlign w:val="center"/>
          </w:tcPr>
          <w:p w14:paraId="1C82FA0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PDCA</w:t>
            </w:r>
          </w:p>
        </w:tc>
        <w:tc>
          <w:tcPr>
            <w:tcW w:w="1013" w:type="pct"/>
            <w:tcBorders>
              <w:top w:val="single" w:color="000000" w:sz="4" w:space="0"/>
              <w:left w:val="single" w:color="000000" w:sz="4" w:space="0"/>
              <w:bottom w:val="single" w:color="000000" w:sz="4" w:space="0"/>
              <w:right w:val="single" w:color="000000" w:sz="4" w:space="0"/>
            </w:tcBorders>
            <w:vAlign w:val="center"/>
          </w:tcPr>
          <w:p w14:paraId="4DD3602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问题审核</w:t>
            </w:r>
          </w:p>
        </w:tc>
        <w:tc>
          <w:tcPr>
            <w:tcW w:w="2717" w:type="pct"/>
            <w:tcBorders>
              <w:top w:val="single" w:color="000000" w:sz="4" w:space="0"/>
              <w:left w:val="single" w:color="000000" w:sz="4" w:space="0"/>
              <w:bottom w:val="single" w:color="000000" w:sz="4" w:space="0"/>
              <w:right w:val="single" w:color="000000" w:sz="4" w:space="0"/>
            </w:tcBorders>
            <w:vAlign w:val="center"/>
          </w:tcPr>
          <w:p w14:paraId="46BC91C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检查结果录入后，可由护理部对检查记录进行审核</w:t>
            </w:r>
          </w:p>
        </w:tc>
      </w:tr>
      <w:tr w14:paraId="33D8BAB2">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4D4C3D27">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78AAA10C">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7526FFC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★是否需PDCA标记</w:t>
            </w:r>
          </w:p>
        </w:tc>
        <w:tc>
          <w:tcPr>
            <w:tcW w:w="2717" w:type="pct"/>
            <w:tcBorders>
              <w:top w:val="single" w:color="000000" w:sz="4" w:space="0"/>
              <w:left w:val="single" w:color="000000" w:sz="4" w:space="0"/>
              <w:bottom w:val="single" w:color="000000" w:sz="4" w:space="0"/>
              <w:right w:val="single" w:color="000000" w:sz="4" w:space="0"/>
            </w:tcBorders>
            <w:vAlign w:val="center"/>
          </w:tcPr>
          <w:p w14:paraId="461CF7F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审核时，支持对不需要进行PDCA的问题指标进行标记</w:t>
            </w:r>
          </w:p>
        </w:tc>
      </w:tr>
      <w:tr w14:paraId="5C57AD48">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3A3F46E3">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67195851">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2067737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科室问题</w:t>
            </w:r>
          </w:p>
        </w:tc>
        <w:tc>
          <w:tcPr>
            <w:tcW w:w="2717" w:type="pct"/>
            <w:tcBorders>
              <w:top w:val="single" w:color="000000" w:sz="4" w:space="0"/>
              <w:left w:val="single" w:color="000000" w:sz="4" w:space="0"/>
              <w:bottom w:val="single" w:color="000000" w:sz="4" w:space="0"/>
              <w:right w:val="single" w:color="000000" w:sz="4" w:space="0"/>
            </w:tcBorders>
            <w:vAlign w:val="center"/>
          </w:tcPr>
          <w:p w14:paraId="654D8C0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科室被检查出问题后进行问题整改；</w:t>
            </w:r>
          </w:p>
        </w:tc>
      </w:tr>
      <w:tr w14:paraId="23A6A40E">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75B08B99">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6D5EC682">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017DDCE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问题督查</w:t>
            </w:r>
          </w:p>
        </w:tc>
        <w:tc>
          <w:tcPr>
            <w:tcW w:w="2717" w:type="pct"/>
            <w:tcBorders>
              <w:top w:val="single" w:color="000000" w:sz="4" w:space="0"/>
              <w:left w:val="single" w:color="000000" w:sz="4" w:space="0"/>
              <w:bottom w:val="single" w:color="000000" w:sz="4" w:space="0"/>
              <w:right w:val="single" w:color="000000" w:sz="4" w:space="0"/>
            </w:tcBorders>
            <w:vAlign w:val="center"/>
          </w:tcPr>
          <w:p w14:paraId="0892622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用于对科室整改的问题进行效果评价，可退回科室重新整改</w:t>
            </w:r>
          </w:p>
        </w:tc>
      </w:tr>
      <w:tr w14:paraId="6A4814AC">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2E2959F5">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39C86D81">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5CBB639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护理部意见</w:t>
            </w:r>
          </w:p>
        </w:tc>
        <w:tc>
          <w:tcPr>
            <w:tcW w:w="2717" w:type="pct"/>
            <w:tcBorders>
              <w:top w:val="single" w:color="000000" w:sz="4" w:space="0"/>
              <w:left w:val="single" w:color="000000" w:sz="4" w:space="0"/>
              <w:bottom w:val="single" w:color="000000" w:sz="4" w:space="0"/>
              <w:right w:val="single" w:color="000000" w:sz="4" w:space="0"/>
            </w:tcBorders>
            <w:vAlign w:val="center"/>
          </w:tcPr>
          <w:p w14:paraId="2D83198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用于护理部对督察效果和整改内容填写意见评价</w:t>
            </w:r>
          </w:p>
        </w:tc>
      </w:tr>
      <w:tr w14:paraId="6D74D83B">
        <w:tblPrEx>
          <w:tblCellMar>
            <w:top w:w="0" w:type="dxa"/>
            <w:left w:w="108" w:type="dxa"/>
            <w:bottom w:w="0" w:type="dxa"/>
            <w:right w:w="108" w:type="dxa"/>
          </w:tblCellMar>
        </w:tblPrEx>
        <w:trPr>
          <w:trHeight w:val="690"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664956B7">
            <w:pPr>
              <w:jc w:val="center"/>
              <w:rPr>
                <w:rFonts w:hint="eastAsia" w:ascii="宋体" w:hAnsi="宋体" w:eastAsia="宋体" w:cs="宋体"/>
                <w:color w:val="000000"/>
                <w:sz w:val="21"/>
                <w:szCs w:val="21"/>
              </w:rPr>
            </w:pPr>
          </w:p>
        </w:tc>
        <w:tc>
          <w:tcPr>
            <w:tcW w:w="782" w:type="pct"/>
            <w:vMerge w:val="restart"/>
            <w:tcBorders>
              <w:top w:val="single" w:color="000000" w:sz="4" w:space="0"/>
              <w:left w:val="single" w:color="000000" w:sz="4" w:space="0"/>
              <w:bottom w:val="single" w:color="000000" w:sz="4" w:space="0"/>
              <w:right w:val="single" w:color="000000" w:sz="4" w:space="0"/>
            </w:tcBorders>
            <w:vAlign w:val="center"/>
          </w:tcPr>
          <w:p w14:paraId="1352CB2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统计分析</w:t>
            </w:r>
          </w:p>
        </w:tc>
        <w:tc>
          <w:tcPr>
            <w:tcW w:w="1013" w:type="pct"/>
            <w:tcBorders>
              <w:top w:val="single" w:color="000000" w:sz="4" w:space="0"/>
              <w:left w:val="single" w:color="000000" w:sz="4" w:space="0"/>
              <w:bottom w:val="single" w:color="000000" w:sz="4" w:space="0"/>
              <w:right w:val="single" w:color="000000" w:sz="4" w:space="0"/>
            </w:tcBorders>
            <w:vAlign w:val="center"/>
          </w:tcPr>
          <w:p w14:paraId="40EEFE8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分析报告</w:t>
            </w:r>
          </w:p>
        </w:tc>
        <w:tc>
          <w:tcPr>
            <w:tcW w:w="2717" w:type="pct"/>
            <w:tcBorders>
              <w:top w:val="single" w:color="000000" w:sz="4" w:space="0"/>
              <w:left w:val="single" w:color="000000" w:sz="4" w:space="0"/>
              <w:bottom w:val="single" w:color="000000" w:sz="4" w:space="0"/>
              <w:right w:val="single" w:color="000000" w:sz="4" w:space="0"/>
            </w:tcBorders>
            <w:vAlign w:val="center"/>
          </w:tcPr>
          <w:p w14:paraId="68F2ED7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按检查级别，检查内容自动生成分析报告，包含统计周期内各科室的结果升降分析及存在问题汇总</w:t>
            </w:r>
          </w:p>
        </w:tc>
      </w:tr>
      <w:tr w14:paraId="236FD5A9">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6E3F790C">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48D10F9F">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102125E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存在问题统计</w:t>
            </w:r>
          </w:p>
        </w:tc>
        <w:tc>
          <w:tcPr>
            <w:tcW w:w="2717" w:type="pct"/>
            <w:tcBorders>
              <w:top w:val="single" w:color="000000" w:sz="4" w:space="0"/>
              <w:left w:val="single" w:color="000000" w:sz="4" w:space="0"/>
              <w:bottom w:val="single" w:color="000000" w:sz="4" w:space="0"/>
              <w:right w:val="single" w:color="000000" w:sz="4" w:space="0"/>
            </w:tcBorders>
            <w:vAlign w:val="center"/>
          </w:tcPr>
          <w:p w14:paraId="13D10FF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用于对指定检查内容的存在问题进行统计查询，支持自定义对比区间</w:t>
            </w:r>
          </w:p>
        </w:tc>
      </w:tr>
      <w:tr w14:paraId="12CF97F9">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75B7F24B">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328684A2">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3106A21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得分统计</w:t>
            </w:r>
          </w:p>
        </w:tc>
        <w:tc>
          <w:tcPr>
            <w:tcW w:w="2717" w:type="pct"/>
            <w:tcBorders>
              <w:top w:val="single" w:color="000000" w:sz="4" w:space="0"/>
              <w:left w:val="single" w:color="000000" w:sz="4" w:space="0"/>
              <w:bottom w:val="single" w:color="000000" w:sz="4" w:space="0"/>
              <w:right w:val="single" w:color="000000" w:sz="4" w:space="0"/>
            </w:tcBorders>
            <w:vAlign w:val="center"/>
          </w:tcPr>
          <w:p w14:paraId="766E9BF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用于对指定检查内容的得分进行统计查询，支持自定义对比区间</w:t>
            </w:r>
          </w:p>
        </w:tc>
      </w:tr>
      <w:tr w14:paraId="603D6863">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391698AE">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2392FF86">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77F817A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检查汇总</w:t>
            </w:r>
          </w:p>
        </w:tc>
        <w:tc>
          <w:tcPr>
            <w:tcW w:w="2717" w:type="pct"/>
            <w:tcBorders>
              <w:top w:val="single" w:color="000000" w:sz="4" w:space="0"/>
              <w:left w:val="single" w:color="000000" w:sz="4" w:space="0"/>
              <w:bottom w:val="single" w:color="000000" w:sz="4" w:space="0"/>
              <w:right w:val="single" w:color="000000" w:sz="4" w:space="0"/>
            </w:tcBorders>
            <w:vAlign w:val="center"/>
          </w:tcPr>
          <w:p w14:paraId="1636A95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科室检查完成后，科室检查结果进行汇总查看</w:t>
            </w:r>
          </w:p>
        </w:tc>
      </w:tr>
      <w:tr w14:paraId="14FE7CA2">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4F6531D4">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41D67D8E">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323EB4E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★按指标统计</w:t>
            </w:r>
          </w:p>
        </w:tc>
        <w:tc>
          <w:tcPr>
            <w:tcW w:w="2717" w:type="pct"/>
            <w:tcBorders>
              <w:top w:val="single" w:color="000000" w:sz="4" w:space="0"/>
              <w:left w:val="single" w:color="000000" w:sz="4" w:space="0"/>
              <w:bottom w:val="single" w:color="000000" w:sz="4" w:space="0"/>
              <w:right w:val="single" w:color="000000" w:sz="4" w:space="0"/>
            </w:tcBorders>
            <w:vAlign w:val="center"/>
          </w:tcPr>
          <w:p w14:paraId="4457643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支持按照指标统计各科室该指标的检查总次数以及满分率</w:t>
            </w:r>
          </w:p>
        </w:tc>
      </w:tr>
      <w:tr w14:paraId="06427217">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37A68F73">
            <w:pPr>
              <w:jc w:val="center"/>
              <w:rPr>
                <w:rFonts w:hint="eastAsia" w:ascii="宋体" w:hAnsi="宋体" w:eastAsia="宋体" w:cs="宋体"/>
                <w:color w:val="000000"/>
                <w:sz w:val="21"/>
                <w:szCs w:val="21"/>
              </w:rPr>
            </w:pPr>
          </w:p>
        </w:tc>
        <w:tc>
          <w:tcPr>
            <w:tcW w:w="782" w:type="pct"/>
            <w:tcBorders>
              <w:top w:val="single" w:color="000000" w:sz="4" w:space="0"/>
              <w:left w:val="single" w:color="000000" w:sz="4" w:space="0"/>
              <w:bottom w:val="single" w:color="000000" w:sz="4" w:space="0"/>
              <w:right w:val="single" w:color="000000" w:sz="4" w:space="0"/>
            </w:tcBorders>
            <w:vAlign w:val="center"/>
          </w:tcPr>
          <w:p w14:paraId="4EB393B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流程节点变化通知消息</w:t>
            </w:r>
          </w:p>
        </w:tc>
        <w:tc>
          <w:tcPr>
            <w:tcW w:w="3730" w:type="pct"/>
            <w:gridSpan w:val="2"/>
            <w:tcBorders>
              <w:top w:val="single" w:color="000000" w:sz="4" w:space="0"/>
              <w:left w:val="single" w:color="000000" w:sz="4" w:space="0"/>
              <w:bottom w:val="single" w:color="000000" w:sz="4" w:space="0"/>
              <w:right w:val="single" w:color="000000" w:sz="4" w:space="0"/>
            </w:tcBorders>
            <w:vAlign w:val="center"/>
          </w:tcPr>
          <w:p w14:paraId="6BA7C2E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质量检查结果存在问题，质量检查整改完成，质量检查整改确认将发送对应的流程消息到对应接收人</w:t>
            </w:r>
          </w:p>
        </w:tc>
      </w:tr>
      <w:tr w14:paraId="780E1E6A">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7749A7B7">
            <w:pPr>
              <w:jc w:val="center"/>
              <w:rPr>
                <w:rFonts w:hint="eastAsia" w:ascii="宋体" w:hAnsi="宋体" w:eastAsia="宋体" w:cs="宋体"/>
                <w:color w:val="000000"/>
                <w:sz w:val="21"/>
                <w:szCs w:val="21"/>
              </w:rPr>
            </w:pPr>
          </w:p>
        </w:tc>
        <w:tc>
          <w:tcPr>
            <w:tcW w:w="782" w:type="pct"/>
            <w:vMerge w:val="restart"/>
            <w:tcBorders>
              <w:top w:val="single" w:color="000000" w:sz="4" w:space="0"/>
              <w:left w:val="single" w:color="000000" w:sz="4" w:space="0"/>
              <w:bottom w:val="single" w:color="000000" w:sz="4" w:space="0"/>
              <w:right w:val="single" w:color="000000" w:sz="4" w:space="0"/>
            </w:tcBorders>
            <w:vAlign w:val="center"/>
          </w:tcPr>
          <w:p w14:paraId="7478F19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移动端</w:t>
            </w:r>
          </w:p>
        </w:tc>
        <w:tc>
          <w:tcPr>
            <w:tcW w:w="1013" w:type="pct"/>
            <w:tcBorders>
              <w:top w:val="single" w:color="000000" w:sz="4" w:space="0"/>
              <w:left w:val="single" w:color="000000" w:sz="4" w:space="0"/>
              <w:bottom w:val="single" w:color="000000" w:sz="4" w:space="0"/>
              <w:right w:val="single" w:color="000000" w:sz="4" w:space="0"/>
            </w:tcBorders>
            <w:vAlign w:val="center"/>
          </w:tcPr>
          <w:p w14:paraId="6B79C3A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我的任务</w:t>
            </w:r>
          </w:p>
        </w:tc>
        <w:tc>
          <w:tcPr>
            <w:tcW w:w="2717" w:type="pct"/>
            <w:tcBorders>
              <w:top w:val="single" w:color="000000" w:sz="4" w:space="0"/>
              <w:left w:val="single" w:color="000000" w:sz="4" w:space="0"/>
              <w:bottom w:val="single" w:color="000000" w:sz="4" w:space="0"/>
              <w:right w:val="single" w:color="000000" w:sz="4" w:space="0"/>
            </w:tcBorders>
            <w:vAlign w:val="center"/>
          </w:tcPr>
          <w:p w14:paraId="385014F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用于查看被分配给自己的任务</w:t>
            </w:r>
          </w:p>
        </w:tc>
      </w:tr>
      <w:tr w14:paraId="2C84F2A9">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5067E013">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038845C8">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0B89BAA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拍照上传</w:t>
            </w:r>
          </w:p>
        </w:tc>
        <w:tc>
          <w:tcPr>
            <w:tcW w:w="2717" w:type="pct"/>
            <w:tcBorders>
              <w:top w:val="single" w:color="000000" w:sz="4" w:space="0"/>
              <w:left w:val="single" w:color="000000" w:sz="4" w:space="0"/>
              <w:bottom w:val="single" w:color="000000" w:sz="4" w:space="0"/>
              <w:right w:val="single" w:color="000000" w:sz="4" w:space="0"/>
            </w:tcBorders>
            <w:vAlign w:val="center"/>
          </w:tcPr>
          <w:p w14:paraId="0D229A7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用于检查发现存在问题时拍照上传</w:t>
            </w:r>
          </w:p>
        </w:tc>
      </w:tr>
      <w:tr w14:paraId="6EC4789C">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3ADBFE3A">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170CAE0F">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4E04CA1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任务管理</w:t>
            </w:r>
          </w:p>
        </w:tc>
        <w:tc>
          <w:tcPr>
            <w:tcW w:w="2717" w:type="pct"/>
            <w:tcBorders>
              <w:top w:val="single" w:color="000000" w:sz="4" w:space="0"/>
              <w:left w:val="single" w:color="000000" w:sz="4" w:space="0"/>
              <w:bottom w:val="single" w:color="000000" w:sz="4" w:space="0"/>
              <w:right w:val="single" w:color="000000" w:sz="4" w:space="0"/>
            </w:tcBorders>
            <w:vAlign w:val="center"/>
          </w:tcPr>
          <w:p w14:paraId="742BB2D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支持按照检查周期，检查人，检查标准安排检查任务并实时查看检查进度</w:t>
            </w:r>
          </w:p>
        </w:tc>
      </w:tr>
      <w:tr w14:paraId="372C47AC">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08D95315">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26523573">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36B418A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任务查看</w:t>
            </w:r>
          </w:p>
        </w:tc>
        <w:tc>
          <w:tcPr>
            <w:tcW w:w="2717" w:type="pct"/>
            <w:tcBorders>
              <w:top w:val="single" w:color="000000" w:sz="4" w:space="0"/>
              <w:left w:val="single" w:color="000000" w:sz="4" w:space="0"/>
              <w:bottom w:val="single" w:color="000000" w:sz="4" w:space="0"/>
              <w:right w:val="single" w:color="000000" w:sz="4" w:space="0"/>
            </w:tcBorders>
            <w:vAlign w:val="center"/>
          </w:tcPr>
          <w:p w14:paraId="364B182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支持按照已发布任务，待发布任务和已完成任务查看任务记录</w:t>
            </w:r>
          </w:p>
        </w:tc>
      </w:tr>
      <w:tr w14:paraId="1841EF55">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324AED6F">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504AA202">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7D98CAF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任务筛选</w:t>
            </w:r>
          </w:p>
        </w:tc>
        <w:tc>
          <w:tcPr>
            <w:tcW w:w="2717" w:type="pct"/>
            <w:tcBorders>
              <w:top w:val="single" w:color="000000" w:sz="4" w:space="0"/>
              <w:left w:val="single" w:color="000000" w:sz="4" w:space="0"/>
              <w:bottom w:val="single" w:color="000000" w:sz="4" w:space="0"/>
              <w:right w:val="single" w:color="000000" w:sz="4" w:space="0"/>
            </w:tcBorders>
            <w:vAlign w:val="center"/>
          </w:tcPr>
          <w:p w14:paraId="5CC4B40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支持按照检查时间，检查级别，任务类型筛选任务记录</w:t>
            </w:r>
          </w:p>
        </w:tc>
      </w:tr>
      <w:tr w14:paraId="47A3BA56">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14E41274">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4B2938E3">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639D545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抽查录入</w:t>
            </w:r>
          </w:p>
        </w:tc>
        <w:tc>
          <w:tcPr>
            <w:tcW w:w="2717" w:type="pct"/>
            <w:tcBorders>
              <w:top w:val="single" w:color="000000" w:sz="4" w:space="0"/>
              <w:left w:val="single" w:color="000000" w:sz="4" w:space="0"/>
              <w:bottom w:val="single" w:color="000000" w:sz="4" w:space="0"/>
              <w:right w:val="single" w:color="000000" w:sz="4" w:space="0"/>
            </w:tcBorders>
            <w:vAlign w:val="center"/>
          </w:tcPr>
          <w:p w14:paraId="0C6553D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用于录入单个科室的检查记录</w:t>
            </w:r>
          </w:p>
        </w:tc>
      </w:tr>
      <w:tr w14:paraId="28FCAD6E">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2676F1BE">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612955A9">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156B4DB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抽查记录筛选</w:t>
            </w:r>
          </w:p>
        </w:tc>
        <w:tc>
          <w:tcPr>
            <w:tcW w:w="2717" w:type="pct"/>
            <w:tcBorders>
              <w:top w:val="single" w:color="000000" w:sz="4" w:space="0"/>
              <w:left w:val="single" w:color="000000" w:sz="4" w:space="0"/>
              <w:bottom w:val="single" w:color="000000" w:sz="4" w:space="0"/>
              <w:right w:val="single" w:color="000000" w:sz="4" w:space="0"/>
            </w:tcBorders>
            <w:vAlign w:val="center"/>
          </w:tcPr>
          <w:p w14:paraId="7DA339B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支持按照检查时间，检查级别，任务类型筛选抽查记录</w:t>
            </w:r>
          </w:p>
        </w:tc>
      </w:tr>
      <w:tr w14:paraId="47DE5FDE">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179C4577">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2FEE71B8">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5B9958D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科室问题</w:t>
            </w:r>
          </w:p>
        </w:tc>
        <w:tc>
          <w:tcPr>
            <w:tcW w:w="2717" w:type="pct"/>
            <w:tcBorders>
              <w:top w:val="single" w:color="000000" w:sz="4" w:space="0"/>
              <w:left w:val="single" w:color="000000" w:sz="4" w:space="0"/>
              <w:bottom w:val="single" w:color="000000" w:sz="4" w:space="0"/>
              <w:right w:val="single" w:color="000000" w:sz="4" w:space="0"/>
            </w:tcBorders>
            <w:vAlign w:val="center"/>
          </w:tcPr>
          <w:p w14:paraId="0F5A2D7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科室被检查出问题后进行问题整改；</w:t>
            </w:r>
          </w:p>
        </w:tc>
      </w:tr>
      <w:tr w14:paraId="4F3DD907">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51FCFBE9">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6226E502">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3800415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问题督查</w:t>
            </w:r>
          </w:p>
        </w:tc>
        <w:tc>
          <w:tcPr>
            <w:tcW w:w="2717" w:type="pct"/>
            <w:tcBorders>
              <w:top w:val="single" w:color="000000" w:sz="4" w:space="0"/>
              <w:left w:val="single" w:color="000000" w:sz="4" w:space="0"/>
              <w:bottom w:val="single" w:color="000000" w:sz="4" w:space="0"/>
              <w:right w:val="single" w:color="000000" w:sz="4" w:space="0"/>
            </w:tcBorders>
            <w:vAlign w:val="center"/>
          </w:tcPr>
          <w:p w14:paraId="5ADD984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用于对科室整改的问题进行效果评价</w:t>
            </w:r>
          </w:p>
        </w:tc>
      </w:tr>
      <w:tr w14:paraId="2E8105D1">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1A093C67">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48387155">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554AC49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护理部意见</w:t>
            </w:r>
          </w:p>
        </w:tc>
        <w:tc>
          <w:tcPr>
            <w:tcW w:w="2717" w:type="pct"/>
            <w:tcBorders>
              <w:top w:val="single" w:color="000000" w:sz="4" w:space="0"/>
              <w:left w:val="single" w:color="000000" w:sz="4" w:space="0"/>
              <w:bottom w:val="single" w:color="000000" w:sz="4" w:space="0"/>
              <w:right w:val="single" w:color="000000" w:sz="4" w:space="0"/>
            </w:tcBorders>
            <w:vAlign w:val="center"/>
          </w:tcPr>
          <w:p w14:paraId="72087B5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用于护理部对督察效果和整改内容填写意见评价</w:t>
            </w:r>
          </w:p>
        </w:tc>
      </w:tr>
      <w:tr w14:paraId="041C1FE0">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552B81AC">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6620C487">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36F4D0A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与我相关</w:t>
            </w:r>
          </w:p>
        </w:tc>
        <w:tc>
          <w:tcPr>
            <w:tcW w:w="2717" w:type="pct"/>
            <w:tcBorders>
              <w:top w:val="single" w:color="000000" w:sz="4" w:space="0"/>
              <w:left w:val="single" w:color="000000" w:sz="4" w:space="0"/>
              <w:bottom w:val="single" w:color="000000" w:sz="4" w:space="0"/>
              <w:right w:val="single" w:color="000000" w:sz="4" w:space="0"/>
            </w:tcBorders>
            <w:vAlign w:val="center"/>
          </w:tcPr>
          <w:p w14:paraId="26F9CAA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检查时存在问题当班人被添加为自己时，相关的检查内容可进行查看</w:t>
            </w:r>
          </w:p>
        </w:tc>
      </w:tr>
      <w:tr w14:paraId="5E38E396">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1BC7CF67">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62840BB8">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4C4F1E5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记录退回</w:t>
            </w:r>
          </w:p>
        </w:tc>
        <w:tc>
          <w:tcPr>
            <w:tcW w:w="2717" w:type="pct"/>
            <w:tcBorders>
              <w:top w:val="single" w:color="000000" w:sz="4" w:space="0"/>
              <w:left w:val="single" w:color="000000" w:sz="4" w:space="0"/>
              <w:bottom w:val="single" w:color="000000" w:sz="4" w:space="0"/>
              <w:right w:val="single" w:color="000000" w:sz="4" w:space="0"/>
            </w:tcBorders>
            <w:vAlign w:val="center"/>
          </w:tcPr>
          <w:p w14:paraId="761B1AD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支持在效果评价及护理部意见时退回检查记录至重新整改</w:t>
            </w:r>
          </w:p>
        </w:tc>
      </w:tr>
      <w:tr w14:paraId="0080D832">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3C6F2790">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586BD3D7">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49357D5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分析报告</w:t>
            </w:r>
          </w:p>
        </w:tc>
        <w:tc>
          <w:tcPr>
            <w:tcW w:w="2717" w:type="pct"/>
            <w:tcBorders>
              <w:top w:val="single" w:color="000000" w:sz="4" w:space="0"/>
              <w:left w:val="single" w:color="000000" w:sz="4" w:space="0"/>
              <w:bottom w:val="single" w:color="000000" w:sz="4" w:space="0"/>
              <w:right w:val="single" w:color="000000" w:sz="4" w:space="0"/>
            </w:tcBorders>
            <w:vAlign w:val="center"/>
          </w:tcPr>
          <w:p w14:paraId="4A6263C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按检查级别，检查内容自动生成分析报告</w:t>
            </w:r>
          </w:p>
        </w:tc>
      </w:tr>
      <w:tr w14:paraId="127E85DE">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0FCD6105">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5BB1DC42">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53A5FDA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存在问题统计</w:t>
            </w:r>
          </w:p>
        </w:tc>
        <w:tc>
          <w:tcPr>
            <w:tcW w:w="2717" w:type="pct"/>
            <w:tcBorders>
              <w:top w:val="single" w:color="000000" w:sz="4" w:space="0"/>
              <w:left w:val="single" w:color="000000" w:sz="4" w:space="0"/>
              <w:bottom w:val="single" w:color="000000" w:sz="4" w:space="0"/>
              <w:right w:val="single" w:color="000000" w:sz="4" w:space="0"/>
            </w:tcBorders>
            <w:vAlign w:val="center"/>
          </w:tcPr>
          <w:p w14:paraId="52148CC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用于对指定检查内容的存在问题进行统计查询</w:t>
            </w:r>
          </w:p>
        </w:tc>
      </w:tr>
      <w:tr w14:paraId="6E9D012F">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4EDAFB91">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616403E1">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0A9ABF7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得分统计</w:t>
            </w:r>
          </w:p>
        </w:tc>
        <w:tc>
          <w:tcPr>
            <w:tcW w:w="2717" w:type="pct"/>
            <w:tcBorders>
              <w:top w:val="single" w:color="000000" w:sz="4" w:space="0"/>
              <w:left w:val="single" w:color="000000" w:sz="4" w:space="0"/>
              <w:bottom w:val="single" w:color="000000" w:sz="4" w:space="0"/>
              <w:right w:val="single" w:color="000000" w:sz="4" w:space="0"/>
            </w:tcBorders>
            <w:vAlign w:val="center"/>
          </w:tcPr>
          <w:p w14:paraId="4D2486D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用于对指定检查内容的得分进行统计查询</w:t>
            </w:r>
          </w:p>
        </w:tc>
      </w:tr>
      <w:tr w14:paraId="5523E3A6">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108BF898">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7DA0FFA9">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612ADCB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检查汇总</w:t>
            </w:r>
          </w:p>
        </w:tc>
        <w:tc>
          <w:tcPr>
            <w:tcW w:w="2717" w:type="pct"/>
            <w:tcBorders>
              <w:top w:val="single" w:color="000000" w:sz="4" w:space="0"/>
              <w:left w:val="single" w:color="000000" w:sz="4" w:space="0"/>
              <w:bottom w:val="single" w:color="000000" w:sz="4" w:space="0"/>
              <w:right w:val="single" w:color="000000" w:sz="4" w:space="0"/>
            </w:tcBorders>
            <w:vAlign w:val="center"/>
          </w:tcPr>
          <w:p w14:paraId="5D5C15B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科室检查完成后，科室检查结果进行汇总查看</w:t>
            </w:r>
          </w:p>
        </w:tc>
      </w:tr>
      <w:tr w14:paraId="51CC7EDF">
        <w:tblPrEx>
          <w:tblCellMar>
            <w:top w:w="0" w:type="dxa"/>
            <w:left w:w="108" w:type="dxa"/>
            <w:bottom w:w="0" w:type="dxa"/>
            <w:right w:w="108" w:type="dxa"/>
          </w:tblCellMar>
        </w:tblPrEx>
        <w:trPr>
          <w:trHeight w:val="690"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69609E68">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76535FF3">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5F27A64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消息通知</w:t>
            </w:r>
          </w:p>
        </w:tc>
        <w:tc>
          <w:tcPr>
            <w:tcW w:w="2717" w:type="pct"/>
            <w:tcBorders>
              <w:top w:val="single" w:color="000000" w:sz="4" w:space="0"/>
              <w:left w:val="single" w:color="000000" w:sz="4" w:space="0"/>
              <w:bottom w:val="single" w:color="000000" w:sz="4" w:space="0"/>
              <w:right w:val="single" w:color="000000" w:sz="4" w:space="0"/>
            </w:tcBorders>
            <w:vAlign w:val="center"/>
          </w:tcPr>
          <w:p w14:paraId="25AB47E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质量检查结果存在问题，质量检查整改完成，质量检查整改确认将发送对应的流程消息到对应接收人</w:t>
            </w:r>
          </w:p>
        </w:tc>
      </w:tr>
      <w:tr w14:paraId="00130792">
        <w:tblPrEx>
          <w:tblCellMar>
            <w:top w:w="0" w:type="dxa"/>
            <w:left w:w="108" w:type="dxa"/>
            <w:bottom w:w="0" w:type="dxa"/>
            <w:right w:w="108" w:type="dxa"/>
          </w:tblCellMar>
        </w:tblPrEx>
        <w:trPr>
          <w:trHeight w:val="345" w:hRule="atLeast"/>
        </w:trPr>
        <w:tc>
          <w:tcPr>
            <w:tcW w:w="486" w:type="pct"/>
            <w:vMerge w:val="restart"/>
            <w:tcBorders>
              <w:top w:val="single" w:color="000000" w:sz="4" w:space="0"/>
              <w:left w:val="single" w:color="000000" w:sz="4" w:space="0"/>
              <w:bottom w:val="single" w:color="000000" w:sz="4" w:space="0"/>
              <w:right w:val="single" w:color="000000" w:sz="4" w:space="0"/>
            </w:tcBorders>
            <w:vAlign w:val="center"/>
          </w:tcPr>
          <w:p w14:paraId="75D4C99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不良事件管理</w:t>
            </w:r>
          </w:p>
        </w:tc>
        <w:tc>
          <w:tcPr>
            <w:tcW w:w="1795" w:type="pct"/>
            <w:gridSpan w:val="2"/>
            <w:tcBorders>
              <w:top w:val="single" w:color="000000" w:sz="4" w:space="0"/>
              <w:left w:val="single" w:color="000000" w:sz="4" w:space="0"/>
              <w:bottom w:val="single" w:color="000000" w:sz="4" w:space="0"/>
              <w:right w:val="single" w:color="000000" w:sz="4" w:space="0"/>
            </w:tcBorders>
            <w:vAlign w:val="center"/>
          </w:tcPr>
          <w:p w14:paraId="4C1F2C4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不良事件填报表管理</w:t>
            </w:r>
          </w:p>
        </w:tc>
        <w:tc>
          <w:tcPr>
            <w:tcW w:w="2717" w:type="pct"/>
            <w:tcBorders>
              <w:top w:val="single" w:color="000000" w:sz="4" w:space="0"/>
              <w:left w:val="single" w:color="000000" w:sz="4" w:space="0"/>
              <w:bottom w:val="single" w:color="000000" w:sz="4" w:space="0"/>
              <w:right w:val="single" w:color="000000" w:sz="4" w:space="0"/>
            </w:tcBorders>
            <w:vAlign w:val="center"/>
          </w:tcPr>
          <w:p w14:paraId="022CA79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定制符合医院要求的护理不良事件模板</w:t>
            </w:r>
          </w:p>
        </w:tc>
      </w:tr>
      <w:tr w14:paraId="066ED34E">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4C88F5EA">
            <w:pPr>
              <w:jc w:val="center"/>
              <w:rPr>
                <w:rFonts w:hint="eastAsia" w:ascii="宋体" w:hAnsi="宋体" w:eastAsia="宋体" w:cs="宋体"/>
                <w:color w:val="000000"/>
                <w:sz w:val="21"/>
                <w:szCs w:val="21"/>
              </w:rPr>
            </w:pPr>
          </w:p>
        </w:tc>
        <w:tc>
          <w:tcPr>
            <w:tcW w:w="1795" w:type="pct"/>
            <w:gridSpan w:val="2"/>
            <w:tcBorders>
              <w:top w:val="single" w:color="000000" w:sz="4" w:space="0"/>
              <w:left w:val="single" w:color="000000" w:sz="4" w:space="0"/>
              <w:bottom w:val="single" w:color="000000" w:sz="4" w:space="0"/>
              <w:right w:val="single" w:color="000000" w:sz="4" w:space="0"/>
            </w:tcBorders>
            <w:vAlign w:val="center"/>
          </w:tcPr>
          <w:p w14:paraId="3C395F8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不良事件上报</w:t>
            </w:r>
          </w:p>
        </w:tc>
        <w:tc>
          <w:tcPr>
            <w:tcW w:w="2717" w:type="pct"/>
            <w:tcBorders>
              <w:top w:val="single" w:color="000000" w:sz="4" w:space="0"/>
              <w:left w:val="single" w:color="000000" w:sz="4" w:space="0"/>
              <w:bottom w:val="single" w:color="000000" w:sz="4" w:space="0"/>
              <w:right w:val="single" w:color="000000" w:sz="4" w:space="0"/>
            </w:tcBorders>
            <w:vAlign w:val="center"/>
          </w:tcPr>
          <w:p w14:paraId="2B9A28A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支持实名及匿名方式的不良事件上报</w:t>
            </w:r>
          </w:p>
        </w:tc>
      </w:tr>
      <w:tr w14:paraId="43747F64">
        <w:tblPrEx>
          <w:tblCellMar>
            <w:top w:w="0" w:type="dxa"/>
            <w:left w:w="108" w:type="dxa"/>
            <w:bottom w:w="0" w:type="dxa"/>
            <w:right w:w="108" w:type="dxa"/>
          </w:tblCellMar>
        </w:tblPrEx>
        <w:trPr>
          <w:trHeight w:val="690"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48AB556F">
            <w:pPr>
              <w:jc w:val="center"/>
              <w:rPr>
                <w:rFonts w:hint="eastAsia" w:ascii="宋体" w:hAnsi="宋体" w:eastAsia="宋体" w:cs="宋体"/>
                <w:color w:val="000000"/>
                <w:sz w:val="21"/>
                <w:szCs w:val="21"/>
              </w:rPr>
            </w:pPr>
          </w:p>
        </w:tc>
        <w:tc>
          <w:tcPr>
            <w:tcW w:w="1795" w:type="pct"/>
            <w:gridSpan w:val="2"/>
            <w:tcBorders>
              <w:top w:val="single" w:color="000000" w:sz="4" w:space="0"/>
              <w:left w:val="single" w:color="000000" w:sz="4" w:space="0"/>
              <w:bottom w:val="single" w:color="000000" w:sz="4" w:space="0"/>
              <w:right w:val="single" w:color="000000" w:sz="4" w:space="0"/>
            </w:tcBorders>
            <w:vAlign w:val="center"/>
          </w:tcPr>
          <w:p w14:paraId="4FA9237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不良事件管理（护理部）</w:t>
            </w:r>
          </w:p>
        </w:tc>
        <w:tc>
          <w:tcPr>
            <w:tcW w:w="2717" w:type="pct"/>
            <w:tcBorders>
              <w:top w:val="single" w:color="000000" w:sz="4" w:space="0"/>
              <w:left w:val="single" w:color="000000" w:sz="4" w:space="0"/>
              <w:bottom w:val="single" w:color="000000" w:sz="4" w:space="0"/>
              <w:right w:val="single" w:color="000000" w:sz="4" w:space="0"/>
            </w:tcBorders>
            <w:vAlign w:val="center"/>
          </w:tcPr>
          <w:p w14:paraId="28E4DB3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护理根据实际情况可以对各护理单元的不良事件提出整改意见等，也可以转交给质控组进行处理</w:t>
            </w:r>
          </w:p>
        </w:tc>
      </w:tr>
      <w:tr w14:paraId="4ADB3B3B">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53494A9E">
            <w:pPr>
              <w:jc w:val="center"/>
              <w:rPr>
                <w:rFonts w:hint="eastAsia" w:ascii="宋体" w:hAnsi="宋体" w:eastAsia="宋体" w:cs="宋体"/>
                <w:color w:val="000000"/>
                <w:sz w:val="21"/>
                <w:szCs w:val="21"/>
              </w:rPr>
            </w:pPr>
          </w:p>
        </w:tc>
        <w:tc>
          <w:tcPr>
            <w:tcW w:w="1795" w:type="pct"/>
            <w:gridSpan w:val="2"/>
            <w:tcBorders>
              <w:top w:val="single" w:color="000000" w:sz="4" w:space="0"/>
              <w:left w:val="single" w:color="000000" w:sz="4" w:space="0"/>
              <w:bottom w:val="single" w:color="000000" w:sz="4" w:space="0"/>
              <w:right w:val="single" w:color="000000" w:sz="4" w:space="0"/>
            </w:tcBorders>
            <w:vAlign w:val="center"/>
          </w:tcPr>
          <w:p w14:paraId="0CDA264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不良事件管理（质控组）</w:t>
            </w:r>
          </w:p>
        </w:tc>
        <w:tc>
          <w:tcPr>
            <w:tcW w:w="2717" w:type="pct"/>
            <w:tcBorders>
              <w:top w:val="single" w:color="000000" w:sz="4" w:space="0"/>
              <w:left w:val="single" w:color="000000" w:sz="4" w:space="0"/>
              <w:bottom w:val="single" w:color="000000" w:sz="4" w:space="0"/>
              <w:right w:val="single" w:color="000000" w:sz="4" w:space="0"/>
            </w:tcBorders>
            <w:vAlign w:val="center"/>
          </w:tcPr>
          <w:p w14:paraId="5F2F800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各质控组(如压疮小组)对不良事件提出整改意见</w:t>
            </w:r>
          </w:p>
        </w:tc>
      </w:tr>
      <w:tr w14:paraId="7397D6BF">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1B011E03">
            <w:pPr>
              <w:jc w:val="center"/>
              <w:rPr>
                <w:rFonts w:hint="eastAsia" w:ascii="宋体" w:hAnsi="宋体" w:eastAsia="宋体" w:cs="宋体"/>
                <w:color w:val="000000"/>
                <w:sz w:val="21"/>
                <w:szCs w:val="21"/>
              </w:rPr>
            </w:pPr>
          </w:p>
        </w:tc>
        <w:tc>
          <w:tcPr>
            <w:tcW w:w="1795" w:type="pct"/>
            <w:gridSpan w:val="2"/>
            <w:tcBorders>
              <w:top w:val="single" w:color="000000" w:sz="4" w:space="0"/>
              <w:left w:val="single" w:color="000000" w:sz="4" w:space="0"/>
              <w:bottom w:val="single" w:color="000000" w:sz="4" w:space="0"/>
              <w:right w:val="single" w:color="000000" w:sz="4" w:space="0"/>
            </w:tcBorders>
            <w:vAlign w:val="center"/>
          </w:tcPr>
          <w:p w14:paraId="1ACEC38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质控小组设置</w:t>
            </w:r>
          </w:p>
        </w:tc>
        <w:tc>
          <w:tcPr>
            <w:tcW w:w="2717" w:type="pct"/>
            <w:tcBorders>
              <w:top w:val="single" w:color="000000" w:sz="4" w:space="0"/>
              <w:left w:val="single" w:color="000000" w:sz="4" w:space="0"/>
              <w:bottom w:val="single" w:color="000000" w:sz="4" w:space="0"/>
              <w:right w:val="single" w:color="000000" w:sz="4" w:space="0"/>
            </w:tcBorders>
            <w:vAlign w:val="center"/>
          </w:tcPr>
          <w:p w14:paraId="3CC8CAF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设置和管理不良事件质控小组名单</w:t>
            </w:r>
          </w:p>
        </w:tc>
      </w:tr>
      <w:tr w14:paraId="2EAB0FA0">
        <w:tblPrEx>
          <w:tblCellMar>
            <w:top w:w="0" w:type="dxa"/>
            <w:left w:w="108" w:type="dxa"/>
            <w:bottom w:w="0" w:type="dxa"/>
            <w:right w:w="108" w:type="dxa"/>
          </w:tblCellMar>
        </w:tblPrEx>
        <w:trPr>
          <w:trHeight w:val="690"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476ABF74">
            <w:pPr>
              <w:jc w:val="center"/>
              <w:rPr>
                <w:rFonts w:hint="eastAsia" w:ascii="宋体" w:hAnsi="宋体" w:eastAsia="宋体" w:cs="宋体"/>
                <w:color w:val="000000"/>
                <w:sz w:val="21"/>
                <w:szCs w:val="21"/>
              </w:rPr>
            </w:pPr>
          </w:p>
        </w:tc>
        <w:tc>
          <w:tcPr>
            <w:tcW w:w="1795" w:type="pct"/>
            <w:gridSpan w:val="2"/>
            <w:tcBorders>
              <w:top w:val="single" w:color="000000" w:sz="4" w:space="0"/>
              <w:left w:val="single" w:color="000000" w:sz="4" w:space="0"/>
              <w:bottom w:val="single" w:color="000000" w:sz="4" w:space="0"/>
              <w:right w:val="single" w:color="000000" w:sz="4" w:space="0"/>
            </w:tcBorders>
            <w:vAlign w:val="center"/>
          </w:tcPr>
          <w:p w14:paraId="3C0F562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不良事件跟踪</w:t>
            </w:r>
          </w:p>
        </w:tc>
        <w:tc>
          <w:tcPr>
            <w:tcW w:w="2717" w:type="pct"/>
            <w:tcBorders>
              <w:top w:val="single" w:color="000000" w:sz="4" w:space="0"/>
              <w:left w:val="single" w:color="000000" w:sz="4" w:space="0"/>
              <w:bottom w:val="single" w:color="000000" w:sz="4" w:space="0"/>
              <w:right w:val="single" w:color="000000" w:sz="4" w:space="0"/>
            </w:tcBorders>
            <w:vAlign w:val="center"/>
          </w:tcPr>
          <w:p w14:paraId="5F55B8E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可以根据闭环管理流程进行不良事件的分析、整改以及评价，包括质量委员会和护理部两种跟踪模型</w:t>
            </w:r>
          </w:p>
        </w:tc>
      </w:tr>
      <w:tr w14:paraId="5EE54433">
        <w:tblPrEx>
          <w:tblCellMar>
            <w:top w:w="0" w:type="dxa"/>
            <w:left w:w="108" w:type="dxa"/>
            <w:bottom w:w="0" w:type="dxa"/>
            <w:right w:w="108" w:type="dxa"/>
          </w:tblCellMar>
        </w:tblPrEx>
        <w:trPr>
          <w:trHeight w:val="690"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0DC2A437">
            <w:pPr>
              <w:jc w:val="center"/>
              <w:rPr>
                <w:rFonts w:hint="eastAsia" w:ascii="宋体" w:hAnsi="宋体" w:eastAsia="宋体" w:cs="宋体"/>
                <w:color w:val="000000"/>
                <w:sz w:val="21"/>
                <w:szCs w:val="21"/>
              </w:rPr>
            </w:pPr>
          </w:p>
        </w:tc>
        <w:tc>
          <w:tcPr>
            <w:tcW w:w="1795" w:type="pct"/>
            <w:gridSpan w:val="2"/>
            <w:tcBorders>
              <w:top w:val="single" w:color="000000" w:sz="4" w:space="0"/>
              <w:left w:val="single" w:color="000000" w:sz="4" w:space="0"/>
              <w:bottom w:val="single" w:color="000000" w:sz="4" w:space="0"/>
              <w:right w:val="single" w:color="000000" w:sz="4" w:space="0"/>
            </w:tcBorders>
            <w:vAlign w:val="center"/>
          </w:tcPr>
          <w:p w14:paraId="5C57445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不良事件案例分享</w:t>
            </w:r>
          </w:p>
        </w:tc>
        <w:tc>
          <w:tcPr>
            <w:tcW w:w="2717" w:type="pct"/>
            <w:tcBorders>
              <w:top w:val="single" w:color="000000" w:sz="4" w:space="0"/>
              <w:left w:val="single" w:color="000000" w:sz="4" w:space="0"/>
              <w:bottom w:val="single" w:color="000000" w:sz="4" w:space="0"/>
              <w:right w:val="single" w:color="000000" w:sz="4" w:space="0"/>
            </w:tcBorders>
            <w:vAlign w:val="center"/>
          </w:tcPr>
          <w:p w14:paraId="79EF1F2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分享不良事件案例，发放给各科室学习（在分享时，系统支持隐藏不良事件中的敏感信息如：病人信息、责任人信息）</w:t>
            </w:r>
          </w:p>
        </w:tc>
      </w:tr>
      <w:tr w14:paraId="062C74B8">
        <w:tblPrEx>
          <w:tblCellMar>
            <w:top w:w="0" w:type="dxa"/>
            <w:left w:w="108" w:type="dxa"/>
            <w:bottom w:w="0" w:type="dxa"/>
            <w:right w:w="108" w:type="dxa"/>
          </w:tblCellMar>
        </w:tblPrEx>
        <w:trPr>
          <w:trHeight w:val="690"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3A8396A4">
            <w:pPr>
              <w:jc w:val="center"/>
              <w:rPr>
                <w:rFonts w:hint="eastAsia" w:ascii="宋体" w:hAnsi="宋体" w:eastAsia="宋体" w:cs="宋体"/>
                <w:color w:val="000000"/>
                <w:sz w:val="21"/>
                <w:szCs w:val="21"/>
              </w:rPr>
            </w:pPr>
          </w:p>
        </w:tc>
        <w:tc>
          <w:tcPr>
            <w:tcW w:w="782" w:type="pct"/>
            <w:tcBorders>
              <w:top w:val="single" w:color="000000" w:sz="4" w:space="0"/>
              <w:left w:val="single" w:color="000000" w:sz="4" w:space="0"/>
              <w:bottom w:val="single" w:color="000000" w:sz="4" w:space="0"/>
              <w:right w:val="single" w:color="000000" w:sz="4" w:space="0"/>
            </w:tcBorders>
            <w:vAlign w:val="center"/>
          </w:tcPr>
          <w:p w14:paraId="15224FF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不良事件专项分析</w:t>
            </w:r>
          </w:p>
        </w:tc>
        <w:tc>
          <w:tcPr>
            <w:tcW w:w="1013" w:type="pct"/>
            <w:tcBorders>
              <w:top w:val="single" w:color="000000" w:sz="4" w:space="0"/>
              <w:left w:val="single" w:color="000000" w:sz="4" w:space="0"/>
              <w:bottom w:val="single" w:color="000000" w:sz="4" w:space="0"/>
              <w:right w:val="single" w:color="000000" w:sz="4" w:space="0"/>
            </w:tcBorders>
            <w:vAlign w:val="center"/>
          </w:tcPr>
          <w:p w14:paraId="6A31D90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专项分析</w:t>
            </w:r>
          </w:p>
        </w:tc>
        <w:tc>
          <w:tcPr>
            <w:tcW w:w="2717" w:type="pct"/>
            <w:tcBorders>
              <w:top w:val="single" w:color="000000" w:sz="4" w:space="0"/>
              <w:left w:val="single" w:color="000000" w:sz="4" w:space="0"/>
              <w:bottom w:val="single" w:color="000000" w:sz="4" w:space="0"/>
              <w:right w:val="single" w:color="000000" w:sz="4" w:space="0"/>
            </w:tcBorders>
            <w:vAlign w:val="center"/>
          </w:tcPr>
          <w:p w14:paraId="49D170B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根据医院要求对不同科室、不同类型的不良事件进行专项分析，如压疮事件，提供包括数量、发生时间段、压疮部位、患者年龄段等信息进行专项分析，支持饼图、柏拉图分析形式</w:t>
            </w:r>
          </w:p>
        </w:tc>
      </w:tr>
      <w:tr w14:paraId="7FB425E5">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3B97F7F9">
            <w:pPr>
              <w:jc w:val="center"/>
              <w:rPr>
                <w:rFonts w:hint="eastAsia" w:ascii="宋体" w:hAnsi="宋体" w:eastAsia="宋体" w:cs="宋体"/>
                <w:color w:val="000000"/>
                <w:sz w:val="21"/>
                <w:szCs w:val="21"/>
              </w:rPr>
            </w:pPr>
          </w:p>
        </w:tc>
        <w:tc>
          <w:tcPr>
            <w:tcW w:w="782" w:type="pct"/>
            <w:vMerge w:val="restart"/>
            <w:tcBorders>
              <w:top w:val="single" w:color="000000" w:sz="4" w:space="0"/>
              <w:left w:val="single" w:color="000000" w:sz="4" w:space="0"/>
              <w:bottom w:val="single" w:color="000000" w:sz="4" w:space="0"/>
              <w:right w:val="single" w:color="000000" w:sz="4" w:space="0"/>
            </w:tcBorders>
            <w:vAlign w:val="center"/>
          </w:tcPr>
          <w:p w14:paraId="7355D28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不良事件设置</w:t>
            </w:r>
          </w:p>
        </w:tc>
        <w:tc>
          <w:tcPr>
            <w:tcW w:w="1013" w:type="pct"/>
            <w:tcBorders>
              <w:top w:val="single" w:color="000000" w:sz="4" w:space="0"/>
              <w:left w:val="single" w:color="000000" w:sz="4" w:space="0"/>
              <w:bottom w:val="single" w:color="000000" w:sz="4" w:space="0"/>
              <w:right w:val="single" w:color="000000" w:sz="4" w:space="0"/>
            </w:tcBorders>
            <w:vAlign w:val="center"/>
          </w:tcPr>
          <w:p w14:paraId="3BF2E72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不良事件统计设置</w:t>
            </w:r>
          </w:p>
        </w:tc>
        <w:tc>
          <w:tcPr>
            <w:tcW w:w="2717" w:type="pct"/>
            <w:tcBorders>
              <w:top w:val="single" w:color="000000" w:sz="4" w:space="0"/>
              <w:left w:val="single" w:color="000000" w:sz="4" w:space="0"/>
              <w:bottom w:val="single" w:color="000000" w:sz="4" w:space="0"/>
              <w:right w:val="single" w:color="000000" w:sz="4" w:space="0"/>
            </w:tcBorders>
            <w:vAlign w:val="center"/>
          </w:tcPr>
          <w:p w14:paraId="6DEDD1C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不良事件专项统计类型设置</w:t>
            </w:r>
          </w:p>
        </w:tc>
      </w:tr>
      <w:tr w14:paraId="4B6CDA59">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2DD31DE4">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1E033731">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0CCA938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不良事件流程设置</w:t>
            </w:r>
          </w:p>
        </w:tc>
        <w:tc>
          <w:tcPr>
            <w:tcW w:w="2717" w:type="pct"/>
            <w:tcBorders>
              <w:top w:val="single" w:color="000000" w:sz="4" w:space="0"/>
              <w:left w:val="single" w:color="000000" w:sz="4" w:space="0"/>
              <w:bottom w:val="single" w:color="000000" w:sz="4" w:space="0"/>
              <w:right w:val="single" w:color="000000" w:sz="4" w:space="0"/>
            </w:tcBorders>
            <w:vAlign w:val="center"/>
          </w:tcPr>
          <w:p w14:paraId="4994DCA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针对不同事件，可设置不能的上报督查流程</w:t>
            </w:r>
          </w:p>
        </w:tc>
      </w:tr>
      <w:tr w14:paraId="0EC3C720">
        <w:tblPrEx>
          <w:tblCellMar>
            <w:top w:w="0" w:type="dxa"/>
            <w:left w:w="108" w:type="dxa"/>
            <w:bottom w:w="0" w:type="dxa"/>
            <w:right w:w="108" w:type="dxa"/>
          </w:tblCellMar>
        </w:tblPrEx>
        <w:trPr>
          <w:trHeight w:val="690"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7B243C08">
            <w:pPr>
              <w:jc w:val="center"/>
              <w:rPr>
                <w:rFonts w:hint="eastAsia" w:ascii="宋体" w:hAnsi="宋体" w:eastAsia="宋体" w:cs="宋体"/>
                <w:color w:val="000000"/>
                <w:sz w:val="21"/>
                <w:szCs w:val="21"/>
              </w:rPr>
            </w:pPr>
          </w:p>
        </w:tc>
        <w:tc>
          <w:tcPr>
            <w:tcW w:w="1795" w:type="pct"/>
            <w:gridSpan w:val="2"/>
            <w:tcBorders>
              <w:top w:val="single" w:color="000000" w:sz="4" w:space="0"/>
              <w:left w:val="single" w:color="000000" w:sz="4" w:space="0"/>
              <w:bottom w:val="single" w:color="000000" w:sz="4" w:space="0"/>
              <w:right w:val="single" w:color="000000" w:sz="4" w:space="0"/>
            </w:tcBorders>
            <w:vAlign w:val="center"/>
          </w:tcPr>
          <w:p w14:paraId="0FC55E2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流程节点变化通知消息</w:t>
            </w:r>
          </w:p>
        </w:tc>
        <w:tc>
          <w:tcPr>
            <w:tcW w:w="2717" w:type="pct"/>
            <w:tcBorders>
              <w:top w:val="single" w:color="000000" w:sz="4" w:space="0"/>
              <w:left w:val="single" w:color="000000" w:sz="4" w:space="0"/>
              <w:bottom w:val="single" w:color="000000" w:sz="4" w:space="0"/>
              <w:right w:val="single" w:color="000000" w:sz="4" w:space="0"/>
            </w:tcBorders>
            <w:vAlign w:val="center"/>
          </w:tcPr>
          <w:p w14:paraId="3DFEBAC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不良事件上报，不良事件退回，不良事件护理部整改意见，不良事件科室整改，不良事件科室整改护理部确认将发送对应的流程消息到对应接收人</w:t>
            </w:r>
          </w:p>
        </w:tc>
      </w:tr>
      <w:tr w14:paraId="387CE066">
        <w:tblPrEx>
          <w:tblCellMar>
            <w:top w:w="0" w:type="dxa"/>
            <w:left w:w="108" w:type="dxa"/>
            <w:bottom w:w="0" w:type="dxa"/>
            <w:right w:w="108" w:type="dxa"/>
          </w:tblCellMar>
        </w:tblPrEx>
        <w:trPr>
          <w:trHeight w:val="345" w:hRule="atLeast"/>
        </w:trPr>
        <w:tc>
          <w:tcPr>
            <w:tcW w:w="486" w:type="pct"/>
            <w:vMerge w:val="restart"/>
            <w:tcBorders>
              <w:top w:val="single" w:color="000000" w:sz="4" w:space="0"/>
              <w:left w:val="single" w:color="000000" w:sz="4" w:space="0"/>
              <w:bottom w:val="single" w:color="000000" w:sz="4" w:space="0"/>
              <w:right w:val="single" w:color="000000" w:sz="4" w:space="0"/>
            </w:tcBorders>
            <w:vAlign w:val="center"/>
          </w:tcPr>
          <w:p w14:paraId="213A248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满意度调查</w:t>
            </w:r>
          </w:p>
        </w:tc>
        <w:tc>
          <w:tcPr>
            <w:tcW w:w="782" w:type="pct"/>
            <w:vMerge w:val="restart"/>
            <w:tcBorders>
              <w:top w:val="single" w:color="000000" w:sz="4" w:space="0"/>
              <w:left w:val="single" w:color="000000" w:sz="4" w:space="0"/>
              <w:bottom w:val="single" w:color="000000" w:sz="4" w:space="0"/>
              <w:right w:val="single" w:color="000000" w:sz="4" w:space="0"/>
            </w:tcBorders>
            <w:vAlign w:val="center"/>
          </w:tcPr>
          <w:p w14:paraId="341A1EB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患者满意度</w:t>
            </w:r>
          </w:p>
        </w:tc>
        <w:tc>
          <w:tcPr>
            <w:tcW w:w="1013" w:type="pct"/>
            <w:tcBorders>
              <w:top w:val="single" w:color="000000" w:sz="4" w:space="0"/>
              <w:left w:val="single" w:color="000000" w:sz="4" w:space="0"/>
              <w:bottom w:val="single" w:color="000000" w:sz="4" w:space="0"/>
              <w:right w:val="single" w:color="000000" w:sz="4" w:space="0"/>
            </w:tcBorders>
            <w:vAlign w:val="center"/>
          </w:tcPr>
          <w:p w14:paraId="3E00263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住院患者满意度调查（病区）</w:t>
            </w:r>
          </w:p>
        </w:tc>
        <w:tc>
          <w:tcPr>
            <w:tcW w:w="2717" w:type="pct"/>
            <w:tcBorders>
              <w:top w:val="single" w:color="000000" w:sz="4" w:space="0"/>
              <w:left w:val="single" w:color="000000" w:sz="4" w:space="0"/>
              <w:bottom w:val="single" w:color="000000" w:sz="4" w:space="0"/>
              <w:right w:val="single" w:color="000000" w:sz="4" w:space="0"/>
            </w:tcBorders>
            <w:vAlign w:val="center"/>
          </w:tcPr>
          <w:p w14:paraId="02B974C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病区可以发起在院患者满意度调查</w:t>
            </w:r>
          </w:p>
        </w:tc>
      </w:tr>
      <w:tr w14:paraId="4CD0DB2B">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132DFF41">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7147CB7D">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183308D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住院患者满意度调查（科室）</w:t>
            </w:r>
          </w:p>
        </w:tc>
        <w:tc>
          <w:tcPr>
            <w:tcW w:w="2717" w:type="pct"/>
            <w:tcBorders>
              <w:top w:val="single" w:color="000000" w:sz="4" w:space="0"/>
              <w:left w:val="single" w:color="000000" w:sz="4" w:space="0"/>
              <w:bottom w:val="single" w:color="000000" w:sz="4" w:space="0"/>
              <w:right w:val="single" w:color="000000" w:sz="4" w:space="0"/>
            </w:tcBorders>
            <w:vAlign w:val="center"/>
          </w:tcPr>
          <w:p w14:paraId="40ADE22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科室可以发起在院患者满意度调查</w:t>
            </w:r>
          </w:p>
        </w:tc>
      </w:tr>
      <w:tr w14:paraId="7593B5BB">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143A265F">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6B101BF5">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2965B2B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住院患者满意度调查（护理部）</w:t>
            </w:r>
          </w:p>
        </w:tc>
        <w:tc>
          <w:tcPr>
            <w:tcW w:w="2717" w:type="pct"/>
            <w:tcBorders>
              <w:top w:val="single" w:color="000000" w:sz="4" w:space="0"/>
              <w:left w:val="single" w:color="000000" w:sz="4" w:space="0"/>
              <w:bottom w:val="single" w:color="000000" w:sz="4" w:space="0"/>
              <w:right w:val="single" w:color="000000" w:sz="4" w:space="0"/>
            </w:tcBorders>
            <w:vAlign w:val="center"/>
          </w:tcPr>
          <w:p w14:paraId="741FA7D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护理部可以发起在院患者满意度调查</w:t>
            </w:r>
          </w:p>
        </w:tc>
      </w:tr>
      <w:tr w14:paraId="446BF126">
        <w:tblPrEx>
          <w:tblCellMar>
            <w:top w:w="0" w:type="dxa"/>
            <w:left w:w="108" w:type="dxa"/>
            <w:bottom w:w="0" w:type="dxa"/>
            <w:right w:w="108" w:type="dxa"/>
          </w:tblCellMar>
        </w:tblPrEx>
        <w:trPr>
          <w:trHeight w:val="690"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29587731">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0AE5EE85">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227BA5C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住院患者满意度分析</w:t>
            </w:r>
          </w:p>
        </w:tc>
        <w:tc>
          <w:tcPr>
            <w:tcW w:w="2717" w:type="pct"/>
            <w:tcBorders>
              <w:top w:val="single" w:color="000000" w:sz="4" w:space="0"/>
              <w:left w:val="single" w:color="000000" w:sz="4" w:space="0"/>
              <w:bottom w:val="single" w:color="000000" w:sz="4" w:space="0"/>
              <w:right w:val="single" w:color="000000" w:sz="4" w:space="0"/>
            </w:tcBorders>
            <w:vAlign w:val="center"/>
          </w:tcPr>
          <w:p w14:paraId="1E4F561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可以统计各科室/全院的患者满意度得分情况以及排名，分析各调查项目的得分情况，患者提出的意见/建议进行汇总</w:t>
            </w:r>
          </w:p>
        </w:tc>
      </w:tr>
      <w:tr w14:paraId="3E198052">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62E69045">
            <w:pPr>
              <w:jc w:val="center"/>
              <w:rPr>
                <w:rFonts w:hint="eastAsia" w:ascii="宋体" w:hAnsi="宋体" w:eastAsia="宋体" w:cs="宋体"/>
                <w:color w:val="000000"/>
                <w:sz w:val="21"/>
                <w:szCs w:val="21"/>
              </w:rPr>
            </w:pPr>
          </w:p>
        </w:tc>
        <w:tc>
          <w:tcPr>
            <w:tcW w:w="782" w:type="pct"/>
            <w:vMerge w:val="restart"/>
            <w:tcBorders>
              <w:top w:val="single" w:color="000000" w:sz="4" w:space="0"/>
              <w:left w:val="single" w:color="000000" w:sz="4" w:space="0"/>
              <w:bottom w:val="single" w:color="000000" w:sz="4" w:space="0"/>
              <w:right w:val="single" w:color="000000" w:sz="4" w:space="0"/>
            </w:tcBorders>
            <w:vAlign w:val="center"/>
          </w:tcPr>
          <w:p w14:paraId="05D0DD6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护士满意度</w:t>
            </w:r>
          </w:p>
        </w:tc>
        <w:tc>
          <w:tcPr>
            <w:tcW w:w="1013" w:type="pct"/>
            <w:tcBorders>
              <w:top w:val="single" w:color="000000" w:sz="4" w:space="0"/>
              <w:left w:val="single" w:color="000000" w:sz="4" w:space="0"/>
              <w:bottom w:val="single" w:color="000000" w:sz="4" w:space="0"/>
              <w:right w:val="single" w:color="000000" w:sz="4" w:space="0"/>
            </w:tcBorders>
            <w:vAlign w:val="center"/>
          </w:tcPr>
          <w:p w14:paraId="58D88C6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发起护士满意度调查</w:t>
            </w:r>
          </w:p>
        </w:tc>
        <w:tc>
          <w:tcPr>
            <w:tcW w:w="2717" w:type="pct"/>
            <w:tcBorders>
              <w:top w:val="single" w:color="000000" w:sz="4" w:space="0"/>
              <w:left w:val="single" w:color="000000" w:sz="4" w:space="0"/>
              <w:bottom w:val="single" w:color="000000" w:sz="4" w:space="0"/>
              <w:right w:val="single" w:color="000000" w:sz="4" w:space="0"/>
            </w:tcBorders>
            <w:vAlign w:val="center"/>
          </w:tcPr>
          <w:p w14:paraId="0238F8E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可以对不同层级/工作年限/职称/职务的护士进行随机满意度调查</w:t>
            </w:r>
          </w:p>
        </w:tc>
      </w:tr>
      <w:tr w14:paraId="788DADC0">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47BA9A27">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1C6AA1BA">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26109C4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护士满意度填写</w:t>
            </w:r>
          </w:p>
        </w:tc>
        <w:tc>
          <w:tcPr>
            <w:tcW w:w="2717" w:type="pct"/>
            <w:tcBorders>
              <w:top w:val="single" w:color="000000" w:sz="4" w:space="0"/>
              <w:left w:val="single" w:color="000000" w:sz="4" w:space="0"/>
              <w:bottom w:val="single" w:color="000000" w:sz="4" w:space="0"/>
              <w:right w:val="single" w:color="000000" w:sz="4" w:space="0"/>
            </w:tcBorders>
            <w:vAlign w:val="center"/>
          </w:tcPr>
          <w:p w14:paraId="4C77D0F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护士完成满意度填写</w:t>
            </w:r>
          </w:p>
        </w:tc>
      </w:tr>
      <w:tr w14:paraId="6F1A9947">
        <w:tblPrEx>
          <w:tblCellMar>
            <w:top w:w="0" w:type="dxa"/>
            <w:left w:w="108" w:type="dxa"/>
            <w:bottom w:w="0" w:type="dxa"/>
            <w:right w:w="108" w:type="dxa"/>
          </w:tblCellMar>
        </w:tblPrEx>
        <w:trPr>
          <w:trHeight w:val="690"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3431F2DF">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18ADF37D">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4BEA742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护士满意度分析</w:t>
            </w:r>
          </w:p>
        </w:tc>
        <w:tc>
          <w:tcPr>
            <w:tcW w:w="2717" w:type="pct"/>
            <w:tcBorders>
              <w:top w:val="single" w:color="000000" w:sz="4" w:space="0"/>
              <w:left w:val="single" w:color="000000" w:sz="4" w:space="0"/>
              <w:bottom w:val="single" w:color="000000" w:sz="4" w:space="0"/>
              <w:right w:val="single" w:color="000000" w:sz="4" w:space="0"/>
            </w:tcBorders>
            <w:vAlign w:val="center"/>
          </w:tcPr>
          <w:p w14:paraId="083E7A4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可以统计各科室/全院的护士满意度得分情况，分析各调查项目的得分情况，同时按护士工龄进行得分及满意率分析</w:t>
            </w:r>
          </w:p>
        </w:tc>
      </w:tr>
      <w:tr w14:paraId="7B6CF951">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4C884616">
            <w:pPr>
              <w:jc w:val="center"/>
              <w:rPr>
                <w:rFonts w:hint="eastAsia" w:ascii="宋体" w:hAnsi="宋体" w:eastAsia="宋体" w:cs="宋体"/>
                <w:color w:val="000000"/>
                <w:sz w:val="21"/>
                <w:szCs w:val="21"/>
              </w:rPr>
            </w:pPr>
          </w:p>
        </w:tc>
        <w:tc>
          <w:tcPr>
            <w:tcW w:w="782" w:type="pct"/>
            <w:vMerge w:val="restart"/>
            <w:tcBorders>
              <w:top w:val="single" w:color="000000" w:sz="4" w:space="0"/>
              <w:left w:val="single" w:color="000000" w:sz="4" w:space="0"/>
              <w:bottom w:val="single" w:color="000000" w:sz="4" w:space="0"/>
              <w:right w:val="single" w:color="000000" w:sz="4" w:space="0"/>
            </w:tcBorders>
            <w:vAlign w:val="center"/>
          </w:tcPr>
          <w:p w14:paraId="1FFEC23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护士对护士长满意度</w:t>
            </w:r>
          </w:p>
        </w:tc>
        <w:tc>
          <w:tcPr>
            <w:tcW w:w="1013" w:type="pct"/>
            <w:tcBorders>
              <w:top w:val="single" w:color="000000" w:sz="4" w:space="0"/>
              <w:left w:val="single" w:color="000000" w:sz="4" w:space="0"/>
              <w:bottom w:val="single" w:color="000000" w:sz="4" w:space="0"/>
              <w:right w:val="single" w:color="000000" w:sz="4" w:space="0"/>
            </w:tcBorders>
            <w:vAlign w:val="center"/>
          </w:tcPr>
          <w:p w14:paraId="54E1C47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发起对护士长满意度调查</w:t>
            </w:r>
          </w:p>
        </w:tc>
        <w:tc>
          <w:tcPr>
            <w:tcW w:w="2717" w:type="pct"/>
            <w:tcBorders>
              <w:top w:val="single" w:color="000000" w:sz="4" w:space="0"/>
              <w:left w:val="single" w:color="000000" w:sz="4" w:space="0"/>
              <w:bottom w:val="single" w:color="000000" w:sz="4" w:space="0"/>
              <w:right w:val="single" w:color="000000" w:sz="4" w:space="0"/>
            </w:tcBorders>
            <w:vAlign w:val="center"/>
          </w:tcPr>
          <w:p w14:paraId="46F9BF9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可以针对不同层级/工作年限/职称/职务的护士进行对某护士长的随机满意度调查</w:t>
            </w:r>
          </w:p>
        </w:tc>
      </w:tr>
      <w:tr w14:paraId="396CBC37">
        <w:tblPrEx>
          <w:tblCellMar>
            <w:top w:w="0" w:type="dxa"/>
            <w:left w:w="108" w:type="dxa"/>
            <w:bottom w:w="0" w:type="dxa"/>
            <w:right w:w="108" w:type="dxa"/>
          </w:tblCellMar>
        </w:tblPrEx>
        <w:trPr>
          <w:trHeight w:val="690"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7E9490F7">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66E86AC3">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11F3422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护士长满意度调查统计</w:t>
            </w:r>
          </w:p>
        </w:tc>
        <w:tc>
          <w:tcPr>
            <w:tcW w:w="2717" w:type="pct"/>
            <w:tcBorders>
              <w:top w:val="single" w:color="000000" w:sz="4" w:space="0"/>
              <w:left w:val="single" w:color="000000" w:sz="4" w:space="0"/>
              <w:bottom w:val="single" w:color="000000" w:sz="4" w:space="0"/>
              <w:right w:val="single" w:color="000000" w:sz="4" w:space="0"/>
            </w:tcBorders>
            <w:vAlign w:val="center"/>
          </w:tcPr>
          <w:p w14:paraId="1140DAE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可以分析对被调查护士长的满意度得分情况，分析各调查项目的得分情况，调查表意见收集统计</w:t>
            </w:r>
          </w:p>
        </w:tc>
      </w:tr>
      <w:tr w14:paraId="3611EB20">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49154F08">
            <w:pPr>
              <w:jc w:val="center"/>
              <w:rPr>
                <w:rFonts w:hint="eastAsia" w:ascii="宋体" w:hAnsi="宋体" w:eastAsia="宋体" w:cs="宋体"/>
                <w:color w:val="000000"/>
                <w:sz w:val="21"/>
                <w:szCs w:val="21"/>
              </w:rPr>
            </w:pPr>
          </w:p>
        </w:tc>
        <w:tc>
          <w:tcPr>
            <w:tcW w:w="1795" w:type="pct"/>
            <w:gridSpan w:val="2"/>
            <w:tcBorders>
              <w:top w:val="single" w:color="000000" w:sz="4" w:space="0"/>
              <w:left w:val="single" w:color="000000" w:sz="4" w:space="0"/>
              <w:bottom w:val="single" w:color="000000" w:sz="4" w:space="0"/>
              <w:right w:val="single" w:color="000000" w:sz="4" w:space="0"/>
            </w:tcBorders>
            <w:vAlign w:val="center"/>
          </w:tcPr>
          <w:p w14:paraId="1CA577D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满意度选项设置</w:t>
            </w:r>
          </w:p>
        </w:tc>
        <w:tc>
          <w:tcPr>
            <w:tcW w:w="2717" w:type="pct"/>
            <w:tcBorders>
              <w:top w:val="single" w:color="000000" w:sz="4" w:space="0"/>
              <w:left w:val="single" w:color="000000" w:sz="4" w:space="0"/>
              <w:bottom w:val="single" w:color="000000" w:sz="4" w:space="0"/>
              <w:right w:val="single" w:color="000000" w:sz="4" w:space="0"/>
            </w:tcBorders>
            <w:vAlign w:val="center"/>
          </w:tcPr>
          <w:p w14:paraId="1B9CC08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维护满意度的各种选项类型</w:t>
            </w:r>
          </w:p>
        </w:tc>
      </w:tr>
      <w:tr w14:paraId="476798AC">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05AE2BAB">
            <w:pPr>
              <w:jc w:val="center"/>
              <w:rPr>
                <w:rFonts w:hint="eastAsia" w:ascii="宋体" w:hAnsi="宋体" w:eastAsia="宋体" w:cs="宋体"/>
                <w:color w:val="000000"/>
                <w:sz w:val="21"/>
                <w:szCs w:val="21"/>
              </w:rPr>
            </w:pPr>
          </w:p>
        </w:tc>
        <w:tc>
          <w:tcPr>
            <w:tcW w:w="1795" w:type="pct"/>
            <w:gridSpan w:val="2"/>
            <w:tcBorders>
              <w:top w:val="single" w:color="000000" w:sz="4" w:space="0"/>
              <w:left w:val="single" w:color="000000" w:sz="4" w:space="0"/>
              <w:bottom w:val="single" w:color="000000" w:sz="4" w:space="0"/>
              <w:right w:val="single" w:color="000000" w:sz="4" w:space="0"/>
            </w:tcBorders>
            <w:vAlign w:val="center"/>
          </w:tcPr>
          <w:p w14:paraId="3010EBF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满意度选项维护</w:t>
            </w:r>
          </w:p>
        </w:tc>
        <w:tc>
          <w:tcPr>
            <w:tcW w:w="2717" w:type="pct"/>
            <w:tcBorders>
              <w:top w:val="single" w:color="000000" w:sz="4" w:space="0"/>
              <w:left w:val="single" w:color="000000" w:sz="4" w:space="0"/>
              <w:bottom w:val="single" w:color="000000" w:sz="4" w:space="0"/>
              <w:right w:val="single" w:color="000000" w:sz="4" w:space="0"/>
            </w:tcBorders>
            <w:vAlign w:val="center"/>
          </w:tcPr>
          <w:p w14:paraId="604D1F3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维护满意度的各种选项</w:t>
            </w:r>
          </w:p>
        </w:tc>
      </w:tr>
      <w:tr w14:paraId="0E13C04A">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558E3B6E">
            <w:pPr>
              <w:jc w:val="center"/>
              <w:rPr>
                <w:rFonts w:hint="eastAsia" w:ascii="宋体" w:hAnsi="宋体" w:eastAsia="宋体" w:cs="宋体"/>
                <w:color w:val="000000"/>
                <w:sz w:val="21"/>
                <w:szCs w:val="21"/>
              </w:rPr>
            </w:pPr>
          </w:p>
        </w:tc>
        <w:tc>
          <w:tcPr>
            <w:tcW w:w="1795" w:type="pct"/>
            <w:gridSpan w:val="2"/>
            <w:tcBorders>
              <w:top w:val="single" w:color="000000" w:sz="4" w:space="0"/>
              <w:left w:val="single" w:color="000000" w:sz="4" w:space="0"/>
              <w:bottom w:val="single" w:color="000000" w:sz="4" w:space="0"/>
              <w:right w:val="single" w:color="000000" w:sz="4" w:space="0"/>
            </w:tcBorders>
            <w:vAlign w:val="center"/>
          </w:tcPr>
          <w:p w14:paraId="72E9C10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满意度调查表管理</w:t>
            </w:r>
          </w:p>
        </w:tc>
        <w:tc>
          <w:tcPr>
            <w:tcW w:w="2717" w:type="pct"/>
            <w:tcBorders>
              <w:top w:val="single" w:color="000000" w:sz="4" w:space="0"/>
              <w:left w:val="single" w:color="000000" w:sz="4" w:space="0"/>
              <w:bottom w:val="single" w:color="000000" w:sz="4" w:space="0"/>
              <w:right w:val="single" w:color="000000" w:sz="4" w:space="0"/>
            </w:tcBorders>
            <w:vAlign w:val="center"/>
          </w:tcPr>
          <w:p w14:paraId="19A4B95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可以维护符合医院/科室要求的在院患者满意度调查表和护士满意度调查表</w:t>
            </w:r>
          </w:p>
        </w:tc>
      </w:tr>
      <w:tr w14:paraId="56222095">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6EE84155">
            <w:pPr>
              <w:jc w:val="center"/>
              <w:rPr>
                <w:rFonts w:hint="eastAsia" w:ascii="宋体" w:hAnsi="宋体" w:eastAsia="宋体" w:cs="宋体"/>
                <w:color w:val="000000"/>
                <w:sz w:val="21"/>
                <w:szCs w:val="21"/>
              </w:rPr>
            </w:pPr>
          </w:p>
        </w:tc>
        <w:tc>
          <w:tcPr>
            <w:tcW w:w="1795" w:type="pct"/>
            <w:gridSpan w:val="2"/>
            <w:tcBorders>
              <w:top w:val="single" w:color="000000" w:sz="4" w:space="0"/>
              <w:left w:val="single" w:color="000000" w:sz="4" w:space="0"/>
              <w:bottom w:val="single" w:color="000000" w:sz="4" w:space="0"/>
              <w:right w:val="single" w:color="000000" w:sz="4" w:space="0"/>
            </w:tcBorders>
            <w:vAlign w:val="center"/>
          </w:tcPr>
          <w:p w14:paraId="79AEC97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移动端</w:t>
            </w:r>
          </w:p>
        </w:tc>
        <w:tc>
          <w:tcPr>
            <w:tcW w:w="2717" w:type="pct"/>
            <w:tcBorders>
              <w:top w:val="single" w:color="000000" w:sz="4" w:space="0"/>
              <w:left w:val="single" w:color="000000" w:sz="4" w:space="0"/>
              <w:bottom w:val="single" w:color="000000" w:sz="4" w:space="0"/>
              <w:right w:val="single" w:color="000000" w:sz="4" w:space="0"/>
            </w:tcBorders>
            <w:vAlign w:val="center"/>
          </w:tcPr>
          <w:p w14:paraId="2BA3590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移动端支持患者满意度调查</w:t>
            </w:r>
          </w:p>
        </w:tc>
      </w:tr>
      <w:tr w14:paraId="606FCD95">
        <w:tblPrEx>
          <w:tblCellMar>
            <w:top w:w="0" w:type="dxa"/>
            <w:left w:w="108" w:type="dxa"/>
            <w:bottom w:w="0" w:type="dxa"/>
            <w:right w:w="108" w:type="dxa"/>
          </w:tblCellMar>
        </w:tblPrEx>
        <w:trPr>
          <w:trHeight w:val="345" w:hRule="atLeast"/>
        </w:trPr>
        <w:tc>
          <w:tcPr>
            <w:tcW w:w="486" w:type="pct"/>
            <w:vMerge w:val="restart"/>
            <w:tcBorders>
              <w:top w:val="single" w:color="000000" w:sz="4" w:space="0"/>
              <w:left w:val="single" w:color="000000" w:sz="4" w:space="0"/>
              <w:bottom w:val="single" w:color="000000" w:sz="4" w:space="0"/>
              <w:right w:val="single" w:color="000000" w:sz="4" w:space="0"/>
            </w:tcBorders>
            <w:vAlign w:val="center"/>
          </w:tcPr>
          <w:p w14:paraId="6E78D6A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继续教育和科研</w:t>
            </w:r>
          </w:p>
        </w:tc>
        <w:tc>
          <w:tcPr>
            <w:tcW w:w="782" w:type="pct"/>
            <w:vMerge w:val="restart"/>
            <w:tcBorders>
              <w:top w:val="single" w:color="000000" w:sz="4" w:space="0"/>
              <w:left w:val="single" w:color="000000" w:sz="4" w:space="0"/>
              <w:bottom w:val="single" w:color="000000" w:sz="4" w:space="0"/>
              <w:right w:val="single" w:color="000000" w:sz="4" w:space="0"/>
            </w:tcBorders>
            <w:vAlign w:val="center"/>
          </w:tcPr>
          <w:p w14:paraId="2CAA5BD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护理科研</w:t>
            </w:r>
          </w:p>
        </w:tc>
        <w:tc>
          <w:tcPr>
            <w:tcW w:w="1013" w:type="pct"/>
            <w:tcBorders>
              <w:top w:val="single" w:color="000000" w:sz="4" w:space="0"/>
              <w:left w:val="single" w:color="000000" w:sz="4" w:space="0"/>
              <w:bottom w:val="single" w:color="000000" w:sz="4" w:space="0"/>
              <w:right w:val="single" w:color="000000" w:sz="4" w:space="0"/>
            </w:tcBorders>
            <w:vAlign w:val="center"/>
          </w:tcPr>
          <w:p w14:paraId="32B03CD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科研类型配置</w:t>
            </w:r>
          </w:p>
        </w:tc>
        <w:tc>
          <w:tcPr>
            <w:tcW w:w="2717" w:type="pct"/>
            <w:tcBorders>
              <w:top w:val="single" w:color="000000" w:sz="4" w:space="0"/>
              <w:left w:val="single" w:color="000000" w:sz="4" w:space="0"/>
              <w:bottom w:val="single" w:color="000000" w:sz="4" w:space="0"/>
              <w:right w:val="single" w:color="000000" w:sz="4" w:space="0"/>
            </w:tcBorders>
            <w:vAlign w:val="center"/>
          </w:tcPr>
          <w:p w14:paraId="0A67B43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设置各个继续教育项目需要登记的信息</w:t>
            </w:r>
          </w:p>
        </w:tc>
      </w:tr>
      <w:tr w14:paraId="6BDF16B3">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539DBF7B">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23268F62">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7B72E5C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论文</w:t>
            </w:r>
          </w:p>
        </w:tc>
        <w:tc>
          <w:tcPr>
            <w:tcW w:w="2717" w:type="pct"/>
            <w:tcBorders>
              <w:top w:val="single" w:color="000000" w:sz="4" w:space="0"/>
              <w:left w:val="single" w:color="000000" w:sz="4" w:space="0"/>
              <w:bottom w:val="single" w:color="000000" w:sz="4" w:space="0"/>
              <w:right w:val="single" w:color="000000" w:sz="4" w:space="0"/>
            </w:tcBorders>
            <w:vAlign w:val="center"/>
          </w:tcPr>
          <w:p w14:paraId="6D684FB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护士长或者护理部登记论文情况，并自动写入档案</w:t>
            </w:r>
          </w:p>
        </w:tc>
      </w:tr>
      <w:tr w14:paraId="3199B4AD">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59C9C298">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15F3FEE5">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191C1BC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著作</w:t>
            </w:r>
          </w:p>
        </w:tc>
        <w:tc>
          <w:tcPr>
            <w:tcW w:w="2717" w:type="pct"/>
            <w:tcBorders>
              <w:top w:val="single" w:color="000000" w:sz="4" w:space="0"/>
              <w:left w:val="single" w:color="000000" w:sz="4" w:space="0"/>
              <w:bottom w:val="single" w:color="000000" w:sz="4" w:space="0"/>
              <w:right w:val="single" w:color="000000" w:sz="4" w:space="0"/>
            </w:tcBorders>
            <w:vAlign w:val="center"/>
          </w:tcPr>
          <w:p w14:paraId="126BB2B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护士长或者护理部登记著作情况，并自动写入档案</w:t>
            </w:r>
          </w:p>
        </w:tc>
      </w:tr>
      <w:tr w14:paraId="44E76510">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4A9886FE">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13F8252E">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26CA05C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专利</w:t>
            </w:r>
          </w:p>
        </w:tc>
        <w:tc>
          <w:tcPr>
            <w:tcW w:w="2717" w:type="pct"/>
            <w:tcBorders>
              <w:top w:val="single" w:color="000000" w:sz="4" w:space="0"/>
              <w:left w:val="single" w:color="000000" w:sz="4" w:space="0"/>
              <w:bottom w:val="single" w:color="000000" w:sz="4" w:space="0"/>
              <w:right w:val="single" w:color="000000" w:sz="4" w:space="0"/>
            </w:tcBorders>
            <w:vAlign w:val="center"/>
          </w:tcPr>
          <w:p w14:paraId="63930A7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护士长或者护理部登记专利情况，并自动写入档案</w:t>
            </w:r>
          </w:p>
        </w:tc>
      </w:tr>
      <w:tr w14:paraId="640947C1">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7642DA93">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755AB063">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2273F6B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奖励</w:t>
            </w:r>
          </w:p>
        </w:tc>
        <w:tc>
          <w:tcPr>
            <w:tcW w:w="2717" w:type="pct"/>
            <w:tcBorders>
              <w:top w:val="single" w:color="000000" w:sz="4" w:space="0"/>
              <w:left w:val="single" w:color="000000" w:sz="4" w:space="0"/>
              <w:bottom w:val="single" w:color="000000" w:sz="4" w:space="0"/>
              <w:right w:val="single" w:color="000000" w:sz="4" w:space="0"/>
            </w:tcBorders>
            <w:vAlign w:val="center"/>
          </w:tcPr>
          <w:p w14:paraId="0A52E6E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护士长或者护理部登记奖励情况，并自动写入档案</w:t>
            </w:r>
          </w:p>
        </w:tc>
      </w:tr>
      <w:tr w14:paraId="336AC6E1">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605B349B">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7B2C4128">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7935C76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学术会议</w:t>
            </w:r>
          </w:p>
        </w:tc>
        <w:tc>
          <w:tcPr>
            <w:tcW w:w="2717" w:type="pct"/>
            <w:tcBorders>
              <w:top w:val="single" w:color="000000" w:sz="4" w:space="0"/>
              <w:left w:val="single" w:color="000000" w:sz="4" w:space="0"/>
              <w:bottom w:val="single" w:color="000000" w:sz="4" w:space="0"/>
              <w:right w:val="single" w:color="000000" w:sz="4" w:space="0"/>
            </w:tcBorders>
            <w:vAlign w:val="center"/>
          </w:tcPr>
          <w:p w14:paraId="2A00C88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护士长或者护理部登记学术会议情况，并自动写入档案</w:t>
            </w:r>
          </w:p>
        </w:tc>
      </w:tr>
      <w:tr w14:paraId="3D2F231F">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6DE80FEE">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07E80926">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64C1899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学术任职</w:t>
            </w:r>
          </w:p>
        </w:tc>
        <w:tc>
          <w:tcPr>
            <w:tcW w:w="2717" w:type="pct"/>
            <w:tcBorders>
              <w:top w:val="single" w:color="000000" w:sz="4" w:space="0"/>
              <w:left w:val="single" w:color="000000" w:sz="4" w:space="0"/>
              <w:bottom w:val="single" w:color="000000" w:sz="4" w:space="0"/>
              <w:right w:val="single" w:color="000000" w:sz="4" w:space="0"/>
            </w:tcBorders>
            <w:vAlign w:val="center"/>
          </w:tcPr>
          <w:p w14:paraId="570F908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护士长或者护理部登记学术任职情况，并自动写入档案</w:t>
            </w:r>
          </w:p>
        </w:tc>
      </w:tr>
      <w:tr w14:paraId="67246832">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6CD95523">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22CB3F96">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1DA5A38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课题</w:t>
            </w:r>
          </w:p>
        </w:tc>
        <w:tc>
          <w:tcPr>
            <w:tcW w:w="2717" w:type="pct"/>
            <w:tcBorders>
              <w:top w:val="single" w:color="000000" w:sz="4" w:space="0"/>
              <w:left w:val="single" w:color="000000" w:sz="4" w:space="0"/>
              <w:bottom w:val="single" w:color="000000" w:sz="4" w:space="0"/>
              <w:right w:val="single" w:color="000000" w:sz="4" w:space="0"/>
            </w:tcBorders>
            <w:vAlign w:val="center"/>
          </w:tcPr>
          <w:p w14:paraId="1CB5222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护士长或者护理部登记课题情况，并自动写入档案</w:t>
            </w:r>
          </w:p>
        </w:tc>
      </w:tr>
      <w:tr w14:paraId="4274EC7C">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29B4B0EF">
            <w:pPr>
              <w:jc w:val="center"/>
              <w:rPr>
                <w:rFonts w:hint="eastAsia" w:ascii="宋体" w:hAnsi="宋体" w:eastAsia="宋体" w:cs="宋体"/>
                <w:color w:val="000000"/>
                <w:sz w:val="21"/>
                <w:szCs w:val="21"/>
              </w:rPr>
            </w:pPr>
          </w:p>
        </w:tc>
        <w:tc>
          <w:tcPr>
            <w:tcW w:w="782" w:type="pct"/>
            <w:vMerge w:val="restart"/>
            <w:tcBorders>
              <w:top w:val="single" w:color="000000" w:sz="4" w:space="0"/>
              <w:left w:val="single" w:color="000000" w:sz="4" w:space="0"/>
              <w:bottom w:val="single" w:color="000000" w:sz="4" w:space="0"/>
              <w:right w:val="single" w:color="000000" w:sz="4" w:space="0"/>
            </w:tcBorders>
            <w:vAlign w:val="center"/>
          </w:tcPr>
          <w:p w14:paraId="19EC55D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学习培训</w:t>
            </w:r>
          </w:p>
        </w:tc>
        <w:tc>
          <w:tcPr>
            <w:tcW w:w="1013" w:type="pct"/>
            <w:tcBorders>
              <w:top w:val="single" w:color="000000" w:sz="4" w:space="0"/>
              <w:left w:val="single" w:color="000000" w:sz="4" w:space="0"/>
              <w:bottom w:val="single" w:color="000000" w:sz="4" w:space="0"/>
              <w:right w:val="single" w:color="000000" w:sz="4" w:space="0"/>
            </w:tcBorders>
            <w:vAlign w:val="center"/>
          </w:tcPr>
          <w:p w14:paraId="7392ABB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科内业务学习</w:t>
            </w:r>
          </w:p>
        </w:tc>
        <w:tc>
          <w:tcPr>
            <w:tcW w:w="2717" w:type="pct"/>
            <w:tcBorders>
              <w:top w:val="single" w:color="000000" w:sz="4" w:space="0"/>
              <w:left w:val="single" w:color="000000" w:sz="4" w:space="0"/>
              <w:bottom w:val="single" w:color="000000" w:sz="4" w:space="0"/>
              <w:right w:val="single" w:color="000000" w:sz="4" w:space="0"/>
            </w:tcBorders>
            <w:vAlign w:val="center"/>
          </w:tcPr>
          <w:p w14:paraId="0FB45CF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登记科内业务学习的信息，包括课程名称、授课老师、时间、学分等内容</w:t>
            </w:r>
          </w:p>
        </w:tc>
      </w:tr>
      <w:tr w14:paraId="26DE449C">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367785F2">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19BB6B71">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2190B13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院内业务学习</w:t>
            </w:r>
          </w:p>
        </w:tc>
        <w:tc>
          <w:tcPr>
            <w:tcW w:w="2717" w:type="pct"/>
            <w:tcBorders>
              <w:top w:val="single" w:color="000000" w:sz="4" w:space="0"/>
              <w:left w:val="single" w:color="000000" w:sz="4" w:space="0"/>
              <w:bottom w:val="single" w:color="000000" w:sz="4" w:space="0"/>
              <w:right w:val="single" w:color="000000" w:sz="4" w:space="0"/>
            </w:tcBorders>
            <w:vAlign w:val="center"/>
          </w:tcPr>
          <w:p w14:paraId="0D6880A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登记院内学习的信息，包括课程名称、开课时间、学分、学时、授课老师等内容</w:t>
            </w:r>
          </w:p>
        </w:tc>
      </w:tr>
      <w:tr w14:paraId="4B4A7A05">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0B0EFF24">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03CE0D26">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535836B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外出进修</w:t>
            </w:r>
          </w:p>
        </w:tc>
        <w:tc>
          <w:tcPr>
            <w:tcW w:w="2717" w:type="pct"/>
            <w:tcBorders>
              <w:top w:val="single" w:color="000000" w:sz="4" w:space="0"/>
              <w:left w:val="single" w:color="000000" w:sz="4" w:space="0"/>
              <w:bottom w:val="single" w:color="000000" w:sz="4" w:space="0"/>
              <w:right w:val="single" w:color="000000" w:sz="4" w:space="0"/>
            </w:tcBorders>
            <w:vAlign w:val="center"/>
          </w:tcPr>
          <w:p w14:paraId="30FB739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登记外出进修的信息，包括类别、级别、专业、学分等内容</w:t>
            </w:r>
          </w:p>
        </w:tc>
      </w:tr>
      <w:tr w14:paraId="2D71D73F">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7DDE7D9F">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23084CED">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6D30FE3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学习班</w:t>
            </w:r>
          </w:p>
        </w:tc>
        <w:tc>
          <w:tcPr>
            <w:tcW w:w="2717" w:type="pct"/>
            <w:tcBorders>
              <w:top w:val="single" w:color="000000" w:sz="4" w:space="0"/>
              <w:left w:val="single" w:color="000000" w:sz="4" w:space="0"/>
              <w:bottom w:val="single" w:color="000000" w:sz="4" w:space="0"/>
              <w:right w:val="single" w:color="000000" w:sz="4" w:space="0"/>
            </w:tcBorders>
            <w:vAlign w:val="center"/>
          </w:tcPr>
          <w:p w14:paraId="040593E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登记学习班的信息，包括培训类别、学习班内容、时间、学分等内容</w:t>
            </w:r>
          </w:p>
        </w:tc>
      </w:tr>
      <w:tr w14:paraId="28CFD6C2">
        <w:tblPrEx>
          <w:tblCellMar>
            <w:top w:w="0" w:type="dxa"/>
            <w:left w:w="108" w:type="dxa"/>
            <w:bottom w:w="0" w:type="dxa"/>
            <w:right w:w="108" w:type="dxa"/>
          </w:tblCellMar>
        </w:tblPrEx>
        <w:trPr>
          <w:trHeight w:val="690"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4694A8C3">
            <w:pPr>
              <w:jc w:val="center"/>
              <w:rPr>
                <w:rFonts w:hint="eastAsia" w:ascii="宋体" w:hAnsi="宋体" w:eastAsia="宋体" w:cs="宋体"/>
                <w:color w:val="000000"/>
                <w:sz w:val="21"/>
                <w:szCs w:val="21"/>
              </w:rPr>
            </w:pPr>
          </w:p>
        </w:tc>
        <w:tc>
          <w:tcPr>
            <w:tcW w:w="782" w:type="pct"/>
            <w:vMerge w:val="restart"/>
            <w:tcBorders>
              <w:top w:val="single" w:color="000000" w:sz="4" w:space="0"/>
              <w:left w:val="single" w:color="000000" w:sz="4" w:space="0"/>
              <w:bottom w:val="single" w:color="000000" w:sz="4" w:space="0"/>
              <w:right w:val="single" w:color="000000" w:sz="4" w:space="0"/>
            </w:tcBorders>
            <w:vAlign w:val="center"/>
          </w:tcPr>
          <w:p w14:paraId="6D1A9CE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专业技术档案</w:t>
            </w:r>
          </w:p>
        </w:tc>
        <w:tc>
          <w:tcPr>
            <w:tcW w:w="1013" w:type="pct"/>
            <w:tcBorders>
              <w:top w:val="single" w:color="000000" w:sz="4" w:space="0"/>
              <w:left w:val="single" w:color="000000" w:sz="4" w:space="0"/>
              <w:bottom w:val="single" w:color="000000" w:sz="4" w:space="0"/>
              <w:right w:val="single" w:color="000000" w:sz="4" w:space="0"/>
            </w:tcBorders>
            <w:vAlign w:val="center"/>
          </w:tcPr>
          <w:p w14:paraId="3D3F128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个人档案</w:t>
            </w:r>
          </w:p>
        </w:tc>
        <w:tc>
          <w:tcPr>
            <w:tcW w:w="2717" w:type="pct"/>
            <w:tcBorders>
              <w:top w:val="single" w:color="000000" w:sz="4" w:space="0"/>
              <w:left w:val="single" w:color="000000" w:sz="4" w:space="0"/>
              <w:bottom w:val="single" w:color="000000" w:sz="4" w:space="0"/>
              <w:right w:val="single" w:color="000000" w:sz="4" w:space="0"/>
            </w:tcBorders>
            <w:vAlign w:val="center"/>
          </w:tcPr>
          <w:p w14:paraId="2BC371B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个人申请和查看专业技术档案（包括学习班、学术会议、院内业务学习、科内业务学习、论文、著作、课题、奖励、专利、学术任职）</w:t>
            </w:r>
          </w:p>
        </w:tc>
      </w:tr>
      <w:tr w14:paraId="2155190C">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5DCA8CE9">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5CC95CEF">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345E1F2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档案审核</w:t>
            </w:r>
          </w:p>
        </w:tc>
        <w:tc>
          <w:tcPr>
            <w:tcW w:w="2717" w:type="pct"/>
            <w:tcBorders>
              <w:top w:val="single" w:color="000000" w:sz="4" w:space="0"/>
              <w:left w:val="single" w:color="000000" w:sz="4" w:space="0"/>
              <w:bottom w:val="single" w:color="000000" w:sz="4" w:space="0"/>
              <w:right w:val="single" w:color="000000" w:sz="4" w:space="0"/>
            </w:tcBorders>
            <w:vAlign w:val="center"/>
          </w:tcPr>
          <w:p w14:paraId="3CF1EDC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护士长或者护理部审批护士提交的技术档案申请</w:t>
            </w:r>
          </w:p>
        </w:tc>
      </w:tr>
      <w:tr w14:paraId="6FB2C532">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76E35BB2">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2837715E">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13F7895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档案查看</w:t>
            </w:r>
          </w:p>
        </w:tc>
        <w:tc>
          <w:tcPr>
            <w:tcW w:w="2717" w:type="pct"/>
            <w:tcBorders>
              <w:top w:val="single" w:color="000000" w:sz="4" w:space="0"/>
              <w:left w:val="single" w:color="000000" w:sz="4" w:space="0"/>
              <w:bottom w:val="single" w:color="000000" w:sz="4" w:space="0"/>
              <w:right w:val="single" w:color="000000" w:sz="4" w:space="0"/>
            </w:tcBorders>
            <w:vAlign w:val="center"/>
          </w:tcPr>
          <w:p w14:paraId="5F7F9F7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支持按全院或者按科室，查看每个人的技术档案记录</w:t>
            </w:r>
          </w:p>
        </w:tc>
      </w:tr>
      <w:tr w14:paraId="7FD84948">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69136B92">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76C1B0BF">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2AE98BC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档案检索</w:t>
            </w:r>
          </w:p>
        </w:tc>
        <w:tc>
          <w:tcPr>
            <w:tcW w:w="2717" w:type="pct"/>
            <w:tcBorders>
              <w:top w:val="single" w:color="000000" w:sz="4" w:space="0"/>
              <w:left w:val="single" w:color="000000" w:sz="4" w:space="0"/>
              <w:bottom w:val="single" w:color="000000" w:sz="4" w:space="0"/>
              <w:right w:val="single" w:color="000000" w:sz="4" w:space="0"/>
            </w:tcBorders>
            <w:vAlign w:val="center"/>
          </w:tcPr>
          <w:p w14:paraId="55A21C6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支持按全院或者按科室，查看所有的技术档案记录</w:t>
            </w:r>
          </w:p>
        </w:tc>
      </w:tr>
      <w:tr w14:paraId="16A5822E">
        <w:tblPrEx>
          <w:tblCellMar>
            <w:top w:w="0" w:type="dxa"/>
            <w:left w:w="108" w:type="dxa"/>
            <w:bottom w:w="0" w:type="dxa"/>
            <w:right w:w="108" w:type="dxa"/>
          </w:tblCellMar>
        </w:tblPrEx>
        <w:trPr>
          <w:trHeight w:val="690"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1D1623C5">
            <w:pPr>
              <w:jc w:val="center"/>
              <w:rPr>
                <w:rFonts w:hint="eastAsia" w:ascii="宋体" w:hAnsi="宋体" w:eastAsia="宋体" w:cs="宋体"/>
                <w:color w:val="000000"/>
                <w:sz w:val="21"/>
                <w:szCs w:val="21"/>
              </w:rPr>
            </w:pPr>
          </w:p>
        </w:tc>
        <w:tc>
          <w:tcPr>
            <w:tcW w:w="782" w:type="pct"/>
            <w:vMerge w:val="restart"/>
            <w:tcBorders>
              <w:top w:val="single" w:color="000000" w:sz="4" w:space="0"/>
              <w:left w:val="single" w:color="000000" w:sz="4" w:space="0"/>
              <w:bottom w:val="single" w:color="000000" w:sz="4" w:space="0"/>
              <w:right w:val="single" w:color="000000" w:sz="4" w:space="0"/>
            </w:tcBorders>
            <w:vAlign w:val="center"/>
          </w:tcPr>
          <w:p w14:paraId="5AF9141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学时学分管理</w:t>
            </w:r>
          </w:p>
        </w:tc>
        <w:tc>
          <w:tcPr>
            <w:tcW w:w="1013" w:type="pct"/>
            <w:tcBorders>
              <w:top w:val="single" w:color="000000" w:sz="4" w:space="0"/>
              <w:left w:val="single" w:color="000000" w:sz="4" w:space="0"/>
              <w:bottom w:val="single" w:color="000000" w:sz="4" w:space="0"/>
              <w:right w:val="single" w:color="000000" w:sz="4" w:space="0"/>
            </w:tcBorders>
            <w:vAlign w:val="center"/>
          </w:tcPr>
          <w:p w14:paraId="3E7CBE2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★学时学分要求</w:t>
            </w:r>
          </w:p>
        </w:tc>
        <w:tc>
          <w:tcPr>
            <w:tcW w:w="2717" w:type="pct"/>
            <w:tcBorders>
              <w:top w:val="single" w:color="000000" w:sz="4" w:space="0"/>
              <w:left w:val="single" w:color="000000" w:sz="4" w:space="0"/>
              <w:bottom w:val="single" w:color="000000" w:sz="4" w:space="0"/>
              <w:right w:val="single" w:color="000000" w:sz="4" w:space="0"/>
            </w:tcBorders>
            <w:vAlign w:val="center"/>
          </w:tcPr>
          <w:p w14:paraId="3E746FE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按职称、职务、层级设置学时学分规则要求，设置提醒任务，当学时学分要求未达标时，提醒个人未完成</w:t>
            </w:r>
          </w:p>
        </w:tc>
      </w:tr>
      <w:tr w14:paraId="2B37D8BB">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5461EF5A">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416845A3">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238B69D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学时学分查看</w:t>
            </w:r>
          </w:p>
        </w:tc>
        <w:tc>
          <w:tcPr>
            <w:tcW w:w="2717" w:type="pct"/>
            <w:tcBorders>
              <w:top w:val="single" w:color="000000" w:sz="4" w:space="0"/>
              <w:left w:val="single" w:color="000000" w:sz="4" w:space="0"/>
              <w:bottom w:val="single" w:color="000000" w:sz="4" w:space="0"/>
              <w:right w:val="single" w:color="000000" w:sz="4" w:space="0"/>
            </w:tcBorders>
            <w:vAlign w:val="center"/>
          </w:tcPr>
          <w:p w14:paraId="5E00873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按年度汇总查看每个人的学时学分完成情况</w:t>
            </w:r>
          </w:p>
        </w:tc>
      </w:tr>
      <w:tr w14:paraId="14206133">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6F174F64">
            <w:pPr>
              <w:jc w:val="center"/>
              <w:rPr>
                <w:rFonts w:hint="eastAsia" w:ascii="宋体" w:hAnsi="宋体" w:eastAsia="宋体" w:cs="宋体"/>
                <w:color w:val="000000"/>
                <w:sz w:val="21"/>
                <w:szCs w:val="21"/>
              </w:rPr>
            </w:pPr>
          </w:p>
        </w:tc>
        <w:tc>
          <w:tcPr>
            <w:tcW w:w="782" w:type="pct"/>
            <w:vMerge w:val="restart"/>
            <w:tcBorders>
              <w:top w:val="single" w:color="000000" w:sz="4" w:space="0"/>
              <w:left w:val="single" w:color="000000" w:sz="4" w:space="0"/>
              <w:bottom w:val="single" w:color="000000" w:sz="4" w:space="0"/>
              <w:right w:val="single" w:color="000000" w:sz="4" w:space="0"/>
            </w:tcBorders>
            <w:vAlign w:val="center"/>
          </w:tcPr>
          <w:p w14:paraId="516A771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继续教育统计</w:t>
            </w:r>
          </w:p>
        </w:tc>
        <w:tc>
          <w:tcPr>
            <w:tcW w:w="1013" w:type="pct"/>
            <w:tcBorders>
              <w:top w:val="single" w:color="000000" w:sz="4" w:space="0"/>
              <w:left w:val="single" w:color="000000" w:sz="4" w:space="0"/>
              <w:bottom w:val="single" w:color="000000" w:sz="4" w:space="0"/>
              <w:right w:val="single" w:color="000000" w:sz="4" w:space="0"/>
            </w:tcBorders>
            <w:vAlign w:val="center"/>
          </w:tcPr>
          <w:p w14:paraId="5282CA9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科研统计</w:t>
            </w:r>
          </w:p>
        </w:tc>
        <w:tc>
          <w:tcPr>
            <w:tcW w:w="2717" w:type="pct"/>
            <w:tcBorders>
              <w:top w:val="single" w:color="000000" w:sz="4" w:space="0"/>
              <w:left w:val="single" w:color="000000" w:sz="4" w:space="0"/>
              <w:bottom w:val="single" w:color="000000" w:sz="4" w:space="0"/>
              <w:right w:val="single" w:color="000000" w:sz="4" w:space="0"/>
            </w:tcBorders>
            <w:vAlign w:val="center"/>
          </w:tcPr>
          <w:p w14:paraId="330CE70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对科研项目进行分类统计，支持查看明细</w:t>
            </w:r>
          </w:p>
        </w:tc>
      </w:tr>
      <w:tr w14:paraId="3D88DB8C">
        <w:tblPrEx>
          <w:tblCellMar>
            <w:top w:w="0" w:type="dxa"/>
            <w:left w:w="108" w:type="dxa"/>
            <w:bottom w:w="0" w:type="dxa"/>
            <w:right w:w="108" w:type="dxa"/>
          </w:tblCellMar>
        </w:tblPrEx>
        <w:trPr>
          <w:trHeight w:val="690"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26755B1C">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64CF9054">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7932958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学习培训统计</w:t>
            </w:r>
          </w:p>
        </w:tc>
        <w:tc>
          <w:tcPr>
            <w:tcW w:w="2717" w:type="pct"/>
            <w:tcBorders>
              <w:top w:val="single" w:color="000000" w:sz="4" w:space="0"/>
              <w:left w:val="single" w:color="000000" w:sz="4" w:space="0"/>
              <w:bottom w:val="single" w:color="000000" w:sz="4" w:space="0"/>
              <w:right w:val="single" w:color="000000" w:sz="4" w:space="0"/>
            </w:tcBorders>
            <w:vAlign w:val="center"/>
          </w:tcPr>
          <w:p w14:paraId="0E413E09">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按个人维度统计参加学习培训的合计次数和合计学时</w:t>
            </w:r>
          </w:p>
          <w:p w14:paraId="6C5DB60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全院按护理单元、按层级、按职称、按到院年限、按职务，统计人均次数及人均学时情况</w:t>
            </w:r>
          </w:p>
        </w:tc>
      </w:tr>
      <w:tr w14:paraId="28E84C6F">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34115492">
            <w:pPr>
              <w:jc w:val="center"/>
              <w:rPr>
                <w:rFonts w:hint="eastAsia" w:ascii="宋体" w:hAnsi="宋体" w:eastAsia="宋体" w:cs="宋体"/>
                <w:color w:val="000000"/>
                <w:sz w:val="21"/>
                <w:szCs w:val="21"/>
              </w:rPr>
            </w:pPr>
          </w:p>
        </w:tc>
        <w:tc>
          <w:tcPr>
            <w:tcW w:w="782" w:type="pct"/>
            <w:vMerge w:val="continue"/>
            <w:tcBorders>
              <w:top w:val="single" w:color="000000" w:sz="4" w:space="0"/>
              <w:left w:val="single" w:color="000000" w:sz="4" w:space="0"/>
              <w:bottom w:val="single" w:color="000000" w:sz="4" w:space="0"/>
              <w:right w:val="single" w:color="000000" w:sz="4" w:space="0"/>
            </w:tcBorders>
            <w:vAlign w:val="center"/>
          </w:tcPr>
          <w:p w14:paraId="0B321E9E">
            <w:pPr>
              <w:jc w:val="left"/>
              <w:rPr>
                <w:rFonts w:hint="eastAsia" w:ascii="宋体" w:hAnsi="宋体" w:eastAsia="宋体" w:cs="宋体"/>
                <w:color w:val="000000"/>
                <w:sz w:val="21"/>
                <w:szCs w:val="21"/>
              </w:rPr>
            </w:pPr>
          </w:p>
        </w:tc>
        <w:tc>
          <w:tcPr>
            <w:tcW w:w="1013" w:type="pct"/>
            <w:tcBorders>
              <w:top w:val="single" w:color="000000" w:sz="4" w:space="0"/>
              <w:left w:val="single" w:color="000000" w:sz="4" w:space="0"/>
              <w:bottom w:val="single" w:color="000000" w:sz="4" w:space="0"/>
              <w:right w:val="single" w:color="000000" w:sz="4" w:space="0"/>
            </w:tcBorders>
            <w:vAlign w:val="center"/>
          </w:tcPr>
          <w:p w14:paraId="1AC4169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主讲人统计</w:t>
            </w:r>
          </w:p>
        </w:tc>
        <w:tc>
          <w:tcPr>
            <w:tcW w:w="2717" w:type="pct"/>
            <w:tcBorders>
              <w:top w:val="single" w:color="000000" w:sz="4" w:space="0"/>
              <w:left w:val="single" w:color="000000" w:sz="4" w:space="0"/>
              <w:bottom w:val="single" w:color="000000" w:sz="4" w:space="0"/>
              <w:right w:val="single" w:color="000000" w:sz="4" w:space="0"/>
            </w:tcBorders>
            <w:vAlign w:val="center"/>
          </w:tcPr>
          <w:p w14:paraId="4A43BA1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支持统计查看主讲人主讲次数，支持查看主讲明细</w:t>
            </w:r>
          </w:p>
        </w:tc>
      </w:tr>
      <w:tr w14:paraId="78FB7667">
        <w:tblPrEx>
          <w:tblCellMar>
            <w:top w:w="0" w:type="dxa"/>
            <w:left w:w="108" w:type="dxa"/>
            <w:bottom w:w="0" w:type="dxa"/>
            <w:right w:w="108" w:type="dxa"/>
          </w:tblCellMar>
        </w:tblPrEx>
        <w:trPr>
          <w:trHeight w:val="345" w:hRule="atLeast"/>
        </w:trPr>
        <w:tc>
          <w:tcPr>
            <w:tcW w:w="486" w:type="pct"/>
            <w:tcBorders>
              <w:top w:val="single" w:color="000000" w:sz="4" w:space="0"/>
              <w:left w:val="single" w:color="000000" w:sz="4" w:space="0"/>
              <w:bottom w:val="single" w:color="000000" w:sz="4" w:space="0"/>
              <w:right w:val="single" w:color="000000" w:sz="4" w:space="0"/>
            </w:tcBorders>
            <w:vAlign w:val="center"/>
          </w:tcPr>
          <w:p w14:paraId="16F3CFC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消息中心</w:t>
            </w:r>
          </w:p>
        </w:tc>
        <w:tc>
          <w:tcPr>
            <w:tcW w:w="1795" w:type="pct"/>
            <w:gridSpan w:val="2"/>
            <w:tcBorders>
              <w:top w:val="single" w:color="000000" w:sz="4" w:space="0"/>
              <w:left w:val="single" w:color="000000" w:sz="4" w:space="0"/>
              <w:bottom w:val="single" w:color="000000" w:sz="4" w:space="0"/>
              <w:right w:val="single" w:color="000000" w:sz="4" w:space="0"/>
            </w:tcBorders>
            <w:vAlign w:val="center"/>
          </w:tcPr>
          <w:p w14:paraId="0F076B7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院内消息通知通告</w:t>
            </w:r>
          </w:p>
        </w:tc>
        <w:tc>
          <w:tcPr>
            <w:tcW w:w="2717" w:type="pct"/>
            <w:tcBorders>
              <w:top w:val="single" w:color="000000" w:sz="4" w:space="0"/>
              <w:left w:val="single" w:color="000000" w:sz="4" w:space="0"/>
              <w:bottom w:val="single" w:color="000000" w:sz="4" w:space="0"/>
              <w:right w:val="single" w:color="000000" w:sz="4" w:space="0"/>
            </w:tcBorders>
            <w:vAlign w:val="center"/>
          </w:tcPr>
          <w:p w14:paraId="6E469D3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可以发送通知通告给指定人员，以便传达信息</w:t>
            </w:r>
          </w:p>
        </w:tc>
      </w:tr>
      <w:tr w14:paraId="1CB60857">
        <w:tblPrEx>
          <w:tblCellMar>
            <w:top w:w="0" w:type="dxa"/>
            <w:left w:w="108" w:type="dxa"/>
            <w:bottom w:w="0" w:type="dxa"/>
            <w:right w:w="108" w:type="dxa"/>
          </w:tblCellMar>
        </w:tblPrEx>
        <w:trPr>
          <w:trHeight w:val="345" w:hRule="atLeast"/>
        </w:trPr>
        <w:tc>
          <w:tcPr>
            <w:tcW w:w="486" w:type="pct"/>
            <w:vMerge w:val="restart"/>
            <w:tcBorders>
              <w:top w:val="single" w:color="000000" w:sz="4" w:space="0"/>
              <w:left w:val="single" w:color="000000" w:sz="4" w:space="0"/>
              <w:bottom w:val="single" w:color="000000" w:sz="4" w:space="0"/>
              <w:right w:val="single" w:color="000000" w:sz="4" w:space="0"/>
            </w:tcBorders>
            <w:vAlign w:val="center"/>
          </w:tcPr>
          <w:p w14:paraId="7557B61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系统设置</w:t>
            </w:r>
          </w:p>
        </w:tc>
        <w:tc>
          <w:tcPr>
            <w:tcW w:w="1795" w:type="pct"/>
            <w:gridSpan w:val="2"/>
            <w:tcBorders>
              <w:top w:val="single" w:color="000000" w:sz="4" w:space="0"/>
              <w:left w:val="single" w:color="000000" w:sz="4" w:space="0"/>
              <w:bottom w:val="single" w:color="000000" w:sz="4" w:space="0"/>
              <w:right w:val="single" w:color="000000" w:sz="4" w:space="0"/>
            </w:tcBorders>
            <w:vAlign w:val="center"/>
          </w:tcPr>
          <w:p w14:paraId="5BB9718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系统字典维护</w:t>
            </w:r>
          </w:p>
        </w:tc>
        <w:tc>
          <w:tcPr>
            <w:tcW w:w="2717" w:type="pct"/>
            <w:tcBorders>
              <w:top w:val="single" w:color="000000" w:sz="4" w:space="0"/>
              <w:left w:val="single" w:color="000000" w:sz="4" w:space="0"/>
              <w:bottom w:val="single" w:color="000000" w:sz="4" w:space="0"/>
              <w:right w:val="single" w:color="000000" w:sz="4" w:space="0"/>
            </w:tcBorders>
            <w:vAlign w:val="center"/>
          </w:tcPr>
          <w:p w14:paraId="1155A6D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维护系统内使用的基础数据，比如职务等</w:t>
            </w:r>
          </w:p>
        </w:tc>
      </w:tr>
      <w:tr w14:paraId="22F371AD">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4E78339E">
            <w:pPr>
              <w:jc w:val="center"/>
              <w:rPr>
                <w:rFonts w:hint="eastAsia" w:ascii="宋体" w:hAnsi="宋体" w:eastAsia="宋体" w:cs="宋体"/>
                <w:color w:val="000000"/>
                <w:sz w:val="21"/>
                <w:szCs w:val="21"/>
              </w:rPr>
            </w:pPr>
          </w:p>
        </w:tc>
        <w:tc>
          <w:tcPr>
            <w:tcW w:w="1795" w:type="pct"/>
            <w:gridSpan w:val="2"/>
            <w:tcBorders>
              <w:top w:val="single" w:color="000000" w:sz="4" w:space="0"/>
              <w:left w:val="single" w:color="000000" w:sz="4" w:space="0"/>
              <w:bottom w:val="single" w:color="000000" w:sz="4" w:space="0"/>
              <w:right w:val="single" w:color="000000" w:sz="4" w:space="0"/>
            </w:tcBorders>
            <w:vAlign w:val="center"/>
          </w:tcPr>
          <w:p w14:paraId="6CF1741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护理单元维护</w:t>
            </w:r>
          </w:p>
        </w:tc>
        <w:tc>
          <w:tcPr>
            <w:tcW w:w="2717" w:type="pct"/>
            <w:tcBorders>
              <w:top w:val="single" w:color="000000" w:sz="4" w:space="0"/>
              <w:left w:val="single" w:color="000000" w:sz="4" w:space="0"/>
              <w:bottom w:val="single" w:color="000000" w:sz="4" w:space="0"/>
              <w:right w:val="single" w:color="000000" w:sz="4" w:space="0"/>
            </w:tcBorders>
            <w:vAlign w:val="center"/>
          </w:tcPr>
          <w:p w14:paraId="28B76EC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维护医院的各护理单元</w:t>
            </w:r>
          </w:p>
        </w:tc>
      </w:tr>
      <w:tr w14:paraId="3E288894">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559834BE">
            <w:pPr>
              <w:jc w:val="center"/>
              <w:rPr>
                <w:rFonts w:hint="eastAsia" w:ascii="宋体" w:hAnsi="宋体" w:eastAsia="宋体" w:cs="宋体"/>
                <w:color w:val="000000"/>
                <w:sz w:val="21"/>
                <w:szCs w:val="21"/>
              </w:rPr>
            </w:pPr>
          </w:p>
        </w:tc>
        <w:tc>
          <w:tcPr>
            <w:tcW w:w="1795" w:type="pct"/>
            <w:gridSpan w:val="2"/>
            <w:tcBorders>
              <w:top w:val="single" w:color="000000" w:sz="4" w:space="0"/>
              <w:left w:val="single" w:color="000000" w:sz="4" w:space="0"/>
              <w:bottom w:val="single" w:color="000000" w:sz="4" w:space="0"/>
              <w:right w:val="single" w:color="000000" w:sz="4" w:space="0"/>
            </w:tcBorders>
            <w:vAlign w:val="center"/>
          </w:tcPr>
          <w:p w14:paraId="285AE64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系统用户角色维护</w:t>
            </w:r>
          </w:p>
        </w:tc>
        <w:tc>
          <w:tcPr>
            <w:tcW w:w="2717" w:type="pct"/>
            <w:tcBorders>
              <w:top w:val="single" w:color="000000" w:sz="4" w:space="0"/>
              <w:left w:val="single" w:color="000000" w:sz="4" w:space="0"/>
              <w:bottom w:val="single" w:color="000000" w:sz="4" w:space="0"/>
              <w:right w:val="single" w:color="000000" w:sz="4" w:space="0"/>
            </w:tcBorders>
            <w:vAlign w:val="center"/>
          </w:tcPr>
          <w:p w14:paraId="6FDD8AB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维护系统内的各种角色</w:t>
            </w:r>
          </w:p>
        </w:tc>
      </w:tr>
      <w:tr w14:paraId="563FBACA">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69BC341F">
            <w:pPr>
              <w:jc w:val="center"/>
              <w:rPr>
                <w:rFonts w:hint="eastAsia" w:ascii="宋体" w:hAnsi="宋体" w:eastAsia="宋体" w:cs="宋体"/>
                <w:color w:val="000000"/>
                <w:sz w:val="21"/>
                <w:szCs w:val="21"/>
              </w:rPr>
            </w:pPr>
          </w:p>
        </w:tc>
        <w:tc>
          <w:tcPr>
            <w:tcW w:w="1795" w:type="pct"/>
            <w:gridSpan w:val="2"/>
            <w:tcBorders>
              <w:top w:val="single" w:color="000000" w:sz="4" w:space="0"/>
              <w:left w:val="single" w:color="000000" w:sz="4" w:space="0"/>
              <w:bottom w:val="single" w:color="000000" w:sz="4" w:space="0"/>
              <w:right w:val="single" w:color="000000" w:sz="4" w:space="0"/>
            </w:tcBorders>
            <w:vAlign w:val="center"/>
          </w:tcPr>
          <w:p w14:paraId="4B3F1F1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系统用户维护</w:t>
            </w:r>
          </w:p>
        </w:tc>
        <w:tc>
          <w:tcPr>
            <w:tcW w:w="2717" w:type="pct"/>
            <w:tcBorders>
              <w:top w:val="single" w:color="000000" w:sz="4" w:space="0"/>
              <w:left w:val="single" w:color="000000" w:sz="4" w:space="0"/>
              <w:bottom w:val="single" w:color="000000" w:sz="4" w:space="0"/>
              <w:right w:val="single" w:color="000000" w:sz="4" w:space="0"/>
            </w:tcBorders>
            <w:vAlign w:val="center"/>
          </w:tcPr>
          <w:p w14:paraId="2F6F325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维护系统内的用户，包括角色分配，数据权限分配等</w:t>
            </w:r>
          </w:p>
        </w:tc>
      </w:tr>
      <w:tr w14:paraId="11597F3E">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680F4D57">
            <w:pPr>
              <w:jc w:val="center"/>
              <w:rPr>
                <w:rFonts w:hint="eastAsia" w:ascii="宋体" w:hAnsi="宋体" w:eastAsia="宋体" w:cs="宋体"/>
                <w:color w:val="000000"/>
                <w:sz w:val="21"/>
                <w:szCs w:val="21"/>
              </w:rPr>
            </w:pPr>
          </w:p>
        </w:tc>
        <w:tc>
          <w:tcPr>
            <w:tcW w:w="1795" w:type="pct"/>
            <w:gridSpan w:val="2"/>
            <w:tcBorders>
              <w:top w:val="single" w:color="000000" w:sz="4" w:space="0"/>
              <w:left w:val="single" w:color="000000" w:sz="4" w:space="0"/>
              <w:bottom w:val="single" w:color="000000" w:sz="4" w:space="0"/>
              <w:right w:val="single" w:color="000000" w:sz="4" w:space="0"/>
            </w:tcBorders>
            <w:vAlign w:val="center"/>
          </w:tcPr>
          <w:p w14:paraId="682FEA1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文书模板管理</w:t>
            </w:r>
          </w:p>
        </w:tc>
        <w:tc>
          <w:tcPr>
            <w:tcW w:w="2717" w:type="pct"/>
            <w:tcBorders>
              <w:top w:val="single" w:color="000000" w:sz="4" w:space="0"/>
              <w:left w:val="single" w:color="000000" w:sz="4" w:space="0"/>
              <w:bottom w:val="single" w:color="000000" w:sz="4" w:space="0"/>
              <w:right w:val="single" w:color="000000" w:sz="4" w:space="0"/>
            </w:tcBorders>
            <w:vAlign w:val="center"/>
          </w:tcPr>
          <w:p w14:paraId="2A0B13E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维护系统内的文书模板</w:t>
            </w:r>
          </w:p>
        </w:tc>
      </w:tr>
      <w:tr w14:paraId="0085F184">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793AB032">
            <w:pPr>
              <w:jc w:val="center"/>
              <w:rPr>
                <w:rFonts w:hint="eastAsia" w:ascii="宋体" w:hAnsi="宋体" w:eastAsia="宋体" w:cs="宋体"/>
                <w:color w:val="000000"/>
                <w:sz w:val="21"/>
                <w:szCs w:val="21"/>
              </w:rPr>
            </w:pPr>
          </w:p>
        </w:tc>
        <w:tc>
          <w:tcPr>
            <w:tcW w:w="1795" w:type="pct"/>
            <w:gridSpan w:val="2"/>
            <w:tcBorders>
              <w:top w:val="single" w:color="000000" w:sz="4" w:space="0"/>
              <w:left w:val="single" w:color="000000" w:sz="4" w:space="0"/>
              <w:bottom w:val="single" w:color="000000" w:sz="4" w:space="0"/>
              <w:right w:val="single" w:color="000000" w:sz="4" w:space="0"/>
            </w:tcBorders>
            <w:vAlign w:val="center"/>
          </w:tcPr>
          <w:p w14:paraId="550F86A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科室设置</w:t>
            </w:r>
          </w:p>
        </w:tc>
        <w:tc>
          <w:tcPr>
            <w:tcW w:w="2717" w:type="pct"/>
            <w:tcBorders>
              <w:top w:val="single" w:color="000000" w:sz="4" w:space="0"/>
              <w:left w:val="single" w:color="000000" w:sz="4" w:space="0"/>
              <w:bottom w:val="single" w:color="000000" w:sz="4" w:space="0"/>
              <w:right w:val="single" w:color="000000" w:sz="4" w:space="0"/>
            </w:tcBorders>
            <w:vAlign w:val="center"/>
          </w:tcPr>
          <w:p w14:paraId="08D947B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维护医院的科室信息</w:t>
            </w:r>
          </w:p>
        </w:tc>
      </w:tr>
      <w:tr w14:paraId="60BF35D0">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12C78EED">
            <w:pPr>
              <w:jc w:val="center"/>
              <w:rPr>
                <w:rFonts w:hint="eastAsia" w:ascii="宋体" w:hAnsi="宋体" w:eastAsia="宋体" w:cs="宋体"/>
                <w:color w:val="000000"/>
                <w:sz w:val="21"/>
                <w:szCs w:val="21"/>
              </w:rPr>
            </w:pPr>
          </w:p>
        </w:tc>
        <w:tc>
          <w:tcPr>
            <w:tcW w:w="1795" w:type="pct"/>
            <w:gridSpan w:val="2"/>
            <w:tcBorders>
              <w:top w:val="single" w:color="000000" w:sz="4" w:space="0"/>
              <w:left w:val="single" w:color="000000" w:sz="4" w:space="0"/>
              <w:bottom w:val="single" w:color="000000" w:sz="4" w:space="0"/>
              <w:right w:val="single" w:color="000000" w:sz="4" w:space="0"/>
            </w:tcBorders>
            <w:vAlign w:val="center"/>
          </w:tcPr>
          <w:p w14:paraId="1DBC07D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院区设置</w:t>
            </w:r>
          </w:p>
        </w:tc>
        <w:tc>
          <w:tcPr>
            <w:tcW w:w="2717" w:type="pct"/>
            <w:tcBorders>
              <w:top w:val="single" w:color="000000" w:sz="4" w:space="0"/>
              <w:left w:val="single" w:color="000000" w:sz="4" w:space="0"/>
              <w:bottom w:val="single" w:color="000000" w:sz="4" w:space="0"/>
              <w:right w:val="single" w:color="000000" w:sz="4" w:space="0"/>
            </w:tcBorders>
            <w:vAlign w:val="center"/>
          </w:tcPr>
          <w:p w14:paraId="5E423F3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维护医院的院区信息</w:t>
            </w:r>
          </w:p>
        </w:tc>
      </w:tr>
      <w:tr w14:paraId="266FEF24">
        <w:tblPrEx>
          <w:tblCellMar>
            <w:top w:w="0" w:type="dxa"/>
            <w:left w:w="108" w:type="dxa"/>
            <w:bottom w:w="0" w:type="dxa"/>
            <w:right w:w="108" w:type="dxa"/>
          </w:tblCellMar>
        </w:tblPrEx>
        <w:trPr>
          <w:trHeight w:val="345" w:hRule="atLeast"/>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7D6CD79C">
            <w:pPr>
              <w:jc w:val="center"/>
              <w:rPr>
                <w:rFonts w:hint="eastAsia" w:ascii="宋体" w:hAnsi="宋体" w:eastAsia="宋体" w:cs="宋体"/>
                <w:color w:val="000000"/>
                <w:sz w:val="21"/>
                <w:szCs w:val="21"/>
              </w:rPr>
            </w:pPr>
          </w:p>
        </w:tc>
        <w:tc>
          <w:tcPr>
            <w:tcW w:w="1795" w:type="pct"/>
            <w:gridSpan w:val="2"/>
            <w:tcBorders>
              <w:top w:val="single" w:color="000000" w:sz="4" w:space="0"/>
              <w:left w:val="single" w:color="000000" w:sz="4" w:space="0"/>
              <w:bottom w:val="single" w:color="000000" w:sz="4" w:space="0"/>
              <w:right w:val="single" w:color="000000" w:sz="4" w:space="0"/>
            </w:tcBorders>
            <w:vAlign w:val="center"/>
          </w:tcPr>
          <w:p w14:paraId="5266BFE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消息提醒设置</w:t>
            </w:r>
          </w:p>
        </w:tc>
        <w:tc>
          <w:tcPr>
            <w:tcW w:w="2717" w:type="pct"/>
            <w:tcBorders>
              <w:top w:val="single" w:color="000000" w:sz="4" w:space="0"/>
              <w:left w:val="single" w:color="000000" w:sz="4" w:space="0"/>
              <w:bottom w:val="single" w:color="000000" w:sz="4" w:space="0"/>
              <w:right w:val="single" w:color="000000" w:sz="4" w:space="0"/>
            </w:tcBorders>
            <w:vAlign w:val="center"/>
          </w:tcPr>
          <w:p w14:paraId="5B3B637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维护系统内的消息提醒信息，比如什么消息需要通知</w:t>
            </w:r>
          </w:p>
        </w:tc>
      </w:tr>
    </w:tbl>
    <w:p w14:paraId="1795E422">
      <w:pPr>
        <w:rPr>
          <w:rFonts w:hint="eastAsia" w:ascii="宋体" w:hAnsi="宋体" w:eastAsia="宋体" w:cs="宋体"/>
          <w:sz w:val="21"/>
          <w:szCs w:val="21"/>
        </w:rPr>
      </w:pPr>
    </w:p>
    <w:p w14:paraId="7644AAD3">
      <w:pPr>
        <w:pStyle w:val="5"/>
        <w:spacing w:before="156" w:after="156"/>
        <w:rPr>
          <w:rFonts w:hint="eastAsia" w:ascii="宋体" w:hAnsi="宋体" w:eastAsia="宋体" w:cs="宋体"/>
          <w:b/>
          <w:bCs w:val="0"/>
          <w:sz w:val="21"/>
          <w:szCs w:val="21"/>
        </w:rPr>
      </w:pPr>
      <w:bookmarkStart w:id="81" w:name="_Toc935100080"/>
      <w:r>
        <w:rPr>
          <w:rFonts w:hint="eastAsia" w:ascii="宋体" w:hAnsi="宋体" w:eastAsia="宋体" w:cs="宋体"/>
          <w:b/>
          <w:bCs w:val="0"/>
          <w:sz w:val="21"/>
          <w:szCs w:val="21"/>
          <w:lang w:val="en-US" w:eastAsia="zh-CN"/>
        </w:rPr>
        <w:t>三、</w:t>
      </w:r>
      <w:r>
        <w:rPr>
          <w:rFonts w:hint="eastAsia" w:ascii="宋体" w:hAnsi="宋体" w:eastAsia="宋体" w:cs="宋体"/>
          <w:b/>
          <w:bCs w:val="0"/>
          <w:sz w:val="21"/>
          <w:szCs w:val="21"/>
        </w:rPr>
        <w:t>敏感指标管理系统</w:t>
      </w:r>
    </w:p>
    <w:tbl>
      <w:tblPr>
        <w:tblStyle w:val="42"/>
        <w:tblW w:w="0" w:type="auto"/>
        <w:jc w:val="center"/>
        <w:tblLayout w:type="fixed"/>
        <w:tblCellMar>
          <w:top w:w="0" w:type="dxa"/>
          <w:left w:w="108" w:type="dxa"/>
          <w:bottom w:w="0" w:type="dxa"/>
          <w:right w:w="108" w:type="dxa"/>
        </w:tblCellMar>
      </w:tblPr>
      <w:tblGrid>
        <w:gridCol w:w="1093"/>
        <w:gridCol w:w="804"/>
        <w:gridCol w:w="987"/>
        <w:gridCol w:w="6314"/>
      </w:tblGrid>
      <w:tr w14:paraId="1C2FF11D">
        <w:tblPrEx>
          <w:tblCellMar>
            <w:top w:w="0" w:type="dxa"/>
            <w:left w:w="108" w:type="dxa"/>
            <w:bottom w:w="0" w:type="dxa"/>
            <w:right w:w="108" w:type="dxa"/>
          </w:tblCellMar>
        </w:tblPrEx>
        <w:trPr>
          <w:trHeight w:val="360"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4067B52F">
            <w:pPr>
              <w:widowControl/>
              <w:jc w:val="center"/>
              <w:textAlignment w:val="center"/>
              <w:rPr>
                <w:rFonts w:hint="eastAsia" w:ascii="宋体" w:hAnsi="宋体" w:eastAsia="宋体" w:cs="宋体"/>
                <w:b/>
                <w:bCs/>
                <w:color w:val="FFFFFF"/>
                <w:sz w:val="21"/>
                <w:szCs w:val="21"/>
              </w:rPr>
            </w:pPr>
            <w:r>
              <w:rPr>
                <w:rFonts w:hint="eastAsia" w:ascii="宋体" w:hAnsi="宋体" w:eastAsia="宋体" w:cs="宋体"/>
                <w:b/>
                <w:bCs/>
                <w:color w:val="FFFFFF"/>
                <w:kern w:val="0"/>
                <w:sz w:val="21"/>
                <w:szCs w:val="21"/>
                <w:lang w:bidi="ar"/>
              </w:rPr>
              <w:t>一级功能</w:t>
            </w:r>
          </w:p>
        </w:tc>
        <w:tc>
          <w:tcPr>
            <w:tcW w:w="1791"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1D525424">
            <w:pPr>
              <w:widowControl/>
              <w:jc w:val="center"/>
              <w:textAlignment w:val="center"/>
              <w:rPr>
                <w:rFonts w:hint="eastAsia" w:ascii="宋体" w:hAnsi="宋体" w:eastAsia="宋体" w:cs="宋体"/>
                <w:b/>
                <w:bCs/>
                <w:color w:val="FFFFFF"/>
                <w:sz w:val="21"/>
                <w:szCs w:val="21"/>
              </w:rPr>
            </w:pPr>
            <w:r>
              <w:rPr>
                <w:rFonts w:hint="eastAsia" w:ascii="宋体" w:hAnsi="宋体" w:eastAsia="宋体" w:cs="宋体"/>
                <w:b/>
                <w:bCs/>
                <w:color w:val="FFFFFF"/>
                <w:kern w:val="0"/>
                <w:sz w:val="21"/>
                <w:szCs w:val="21"/>
                <w:lang w:bidi="ar"/>
              </w:rPr>
              <w:t>二级功能</w:t>
            </w:r>
          </w:p>
        </w:tc>
        <w:tc>
          <w:tcPr>
            <w:tcW w:w="6314"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76F4C378">
            <w:pPr>
              <w:widowControl/>
              <w:jc w:val="center"/>
              <w:textAlignment w:val="center"/>
              <w:rPr>
                <w:rFonts w:hint="eastAsia" w:ascii="宋体" w:hAnsi="宋体" w:eastAsia="宋体" w:cs="宋体"/>
                <w:b/>
                <w:bCs/>
                <w:color w:val="FFFFFF"/>
                <w:sz w:val="21"/>
                <w:szCs w:val="21"/>
              </w:rPr>
            </w:pPr>
            <w:r>
              <w:rPr>
                <w:rFonts w:hint="eastAsia" w:ascii="宋体" w:hAnsi="宋体" w:eastAsia="宋体" w:cs="宋体"/>
                <w:b/>
                <w:bCs/>
                <w:color w:val="FFFFFF"/>
                <w:kern w:val="0"/>
                <w:sz w:val="21"/>
                <w:szCs w:val="21"/>
                <w:lang w:bidi="ar"/>
              </w:rPr>
              <w:t>说明</w:t>
            </w:r>
          </w:p>
        </w:tc>
      </w:tr>
      <w:tr w14:paraId="4E9D0240">
        <w:tblPrEx>
          <w:tblCellMar>
            <w:top w:w="0" w:type="dxa"/>
            <w:left w:w="108" w:type="dxa"/>
            <w:bottom w:w="0" w:type="dxa"/>
            <w:right w:w="108" w:type="dxa"/>
          </w:tblCellMar>
        </w:tblPrEx>
        <w:trPr>
          <w:trHeight w:val="720" w:hRule="atLeast"/>
          <w:jc w:val="center"/>
        </w:trPr>
        <w:tc>
          <w:tcPr>
            <w:tcW w:w="1093" w:type="dxa"/>
            <w:vMerge w:val="restart"/>
            <w:tcBorders>
              <w:top w:val="single" w:color="000000" w:sz="4" w:space="0"/>
              <w:left w:val="single" w:color="000000" w:sz="4" w:space="0"/>
              <w:bottom w:val="single" w:color="000000" w:sz="4" w:space="0"/>
              <w:right w:val="single" w:color="000000" w:sz="4" w:space="0"/>
            </w:tcBorders>
            <w:vAlign w:val="center"/>
          </w:tcPr>
          <w:p w14:paraId="4370DD2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敏感性指标管理（含数据引擎）</w:t>
            </w:r>
          </w:p>
        </w:tc>
        <w:tc>
          <w:tcPr>
            <w:tcW w:w="804" w:type="dxa"/>
            <w:vMerge w:val="restart"/>
            <w:tcBorders>
              <w:top w:val="single" w:color="000000" w:sz="4" w:space="0"/>
              <w:left w:val="single" w:color="000000" w:sz="4" w:space="0"/>
              <w:bottom w:val="single" w:color="000000" w:sz="4" w:space="0"/>
              <w:right w:val="single" w:color="000000" w:sz="4" w:space="0"/>
            </w:tcBorders>
            <w:vAlign w:val="center"/>
          </w:tcPr>
          <w:p w14:paraId="69A5639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指标管理</w:t>
            </w:r>
          </w:p>
        </w:tc>
        <w:tc>
          <w:tcPr>
            <w:tcW w:w="987" w:type="dxa"/>
            <w:tcBorders>
              <w:top w:val="single" w:color="000000" w:sz="4" w:space="0"/>
              <w:left w:val="single" w:color="000000" w:sz="4" w:space="0"/>
              <w:bottom w:val="single" w:color="000000" w:sz="4" w:space="0"/>
              <w:right w:val="single" w:color="000000" w:sz="4" w:space="0"/>
            </w:tcBorders>
            <w:vAlign w:val="center"/>
          </w:tcPr>
          <w:p w14:paraId="1BD9985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指标库建设</w:t>
            </w:r>
          </w:p>
        </w:tc>
        <w:tc>
          <w:tcPr>
            <w:tcW w:w="6314" w:type="dxa"/>
            <w:tcBorders>
              <w:top w:val="single" w:color="000000" w:sz="4" w:space="0"/>
              <w:left w:val="single" w:color="000000" w:sz="4" w:space="0"/>
              <w:bottom w:val="single" w:color="000000" w:sz="4" w:space="0"/>
              <w:right w:val="single" w:color="000000" w:sz="4" w:space="0"/>
            </w:tcBorders>
            <w:vAlign w:val="center"/>
          </w:tcPr>
          <w:p w14:paraId="20CCB78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系统内置指标库，支持选用符合医院需求的质量指标，同时支持将医院专科指标建设入指标库内</w:t>
            </w:r>
          </w:p>
        </w:tc>
      </w:tr>
      <w:tr w14:paraId="622A60CB">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37D0CBD6">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6E28A484">
            <w:pPr>
              <w:jc w:val="left"/>
              <w:rPr>
                <w:rFonts w:hint="eastAsia" w:ascii="宋体" w:hAnsi="宋体" w:eastAsia="宋体" w:cs="宋体"/>
                <w:color w:val="000000"/>
                <w:sz w:val="21"/>
                <w:szCs w:val="21"/>
              </w:rPr>
            </w:pPr>
          </w:p>
        </w:tc>
        <w:tc>
          <w:tcPr>
            <w:tcW w:w="987" w:type="dxa"/>
            <w:tcBorders>
              <w:top w:val="single" w:color="000000" w:sz="4" w:space="0"/>
              <w:left w:val="single" w:color="000000" w:sz="4" w:space="0"/>
              <w:bottom w:val="single" w:color="000000" w:sz="4" w:space="0"/>
              <w:right w:val="single" w:color="000000" w:sz="4" w:space="0"/>
            </w:tcBorders>
            <w:vAlign w:val="center"/>
          </w:tcPr>
          <w:p w14:paraId="2E0E210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采集科室管理</w:t>
            </w:r>
          </w:p>
        </w:tc>
        <w:tc>
          <w:tcPr>
            <w:tcW w:w="6314" w:type="dxa"/>
            <w:tcBorders>
              <w:top w:val="single" w:color="000000" w:sz="4" w:space="0"/>
              <w:left w:val="single" w:color="000000" w:sz="4" w:space="0"/>
              <w:bottom w:val="single" w:color="000000" w:sz="4" w:space="0"/>
              <w:right w:val="single" w:color="000000" w:sz="4" w:space="0"/>
            </w:tcBorders>
            <w:vAlign w:val="center"/>
          </w:tcPr>
          <w:p w14:paraId="3E67533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可以对选用指标设置指标采集单元，支持快速选择全院采集、病区采集</w:t>
            </w:r>
          </w:p>
        </w:tc>
      </w:tr>
      <w:tr w14:paraId="1AF1CED8">
        <w:tblPrEx>
          <w:tblCellMar>
            <w:top w:w="0" w:type="dxa"/>
            <w:left w:w="108" w:type="dxa"/>
            <w:bottom w:w="0" w:type="dxa"/>
            <w:right w:w="108" w:type="dxa"/>
          </w:tblCellMar>
        </w:tblPrEx>
        <w:trPr>
          <w:trHeight w:val="72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79133597">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0B51BC05">
            <w:pPr>
              <w:jc w:val="left"/>
              <w:rPr>
                <w:rFonts w:hint="eastAsia" w:ascii="宋体" w:hAnsi="宋体" w:eastAsia="宋体" w:cs="宋体"/>
                <w:color w:val="000000"/>
                <w:sz w:val="21"/>
                <w:szCs w:val="21"/>
              </w:rPr>
            </w:pPr>
          </w:p>
        </w:tc>
        <w:tc>
          <w:tcPr>
            <w:tcW w:w="987" w:type="dxa"/>
            <w:tcBorders>
              <w:top w:val="single" w:color="000000" w:sz="4" w:space="0"/>
              <w:left w:val="single" w:color="000000" w:sz="4" w:space="0"/>
              <w:bottom w:val="single" w:color="000000" w:sz="4" w:space="0"/>
              <w:right w:val="single" w:color="000000" w:sz="4" w:space="0"/>
            </w:tcBorders>
            <w:vAlign w:val="center"/>
          </w:tcPr>
          <w:p w14:paraId="440BB20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采集周期管理</w:t>
            </w:r>
          </w:p>
        </w:tc>
        <w:tc>
          <w:tcPr>
            <w:tcW w:w="6314" w:type="dxa"/>
            <w:tcBorders>
              <w:top w:val="single" w:color="000000" w:sz="4" w:space="0"/>
              <w:left w:val="single" w:color="000000" w:sz="4" w:space="0"/>
              <w:bottom w:val="single" w:color="000000" w:sz="4" w:space="0"/>
              <w:right w:val="single" w:color="000000" w:sz="4" w:space="0"/>
            </w:tcBorders>
            <w:vAlign w:val="center"/>
          </w:tcPr>
          <w:p w14:paraId="403D9AB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支持指标指标采集、停用时间，指标停用后不影响历史采集数据的查看；同时停用指标支持再次启用</w:t>
            </w:r>
          </w:p>
        </w:tc>
      </w:tr>
      <w:tr w14:paraId="43B4BF42">
        <w:tblPrEx>
          <w:tblCellMar>
            <w:top w:w="0" w:type="dxa"/>
            <w:left w:w="108" w:type="dxa"/>
            <w:bottom w:w="0" w:type="dxa"/>
            <w:right w:w="108" w:type="dxa"/>
          </w:tblCellMar>
        </w:tblPrEx>
        <w:trPr>
          <w:trHeight w:val="72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06BCCFF6">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031A1287">
            <w:pPr>
              <w:jc w:val="left"/>
              <w:rPr>
                <w:rFonts w:hint="eastAsia" w:ascii="宋体" w:hAnsi="宋体" w:eastAsia="宋体" w:cs="宋体"/>
                <w:color w:val="000000"/>
                <w:sz w:val="21"/>
                <w:szCs w:val="21"/>
              </w:rPr>
            </w:pPr>
          </w:p>
        </w:tc>
        <w:tc>
          <w:tcPr>
            <w:tcW w:w="987" w:type="dxa"/>
            <w:tcBorders>
              <w:top w:val="single" w:color="000000" w:sz="4" w:space="0"/>
              <w:left w:val="single" w:color="000000" w:sz="4" w:space="0"/>
              <w:bottom w:val="single" w:color="000000" w:sz="4" w:space="0"/>
              <w:right w:val="single" w:color="000000" w:sz="4" w:space="0"/>
            </w:tcBorders>
            <w:vAlign w:val="center"/>
          </w:tcPr>
          <w:p w14:paraId="6E6B139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指标值形式管理</w:t>
            </w:r>
          </w:p>
        </w:tc>
        <w:tc>
          <w:tcPr>
            <w:tcW w:w="6314" w:type="dxa"/>
            <w:tcBorders>
              <w:top w:val="single" w:color="000000" w:sz="4" w:space="0"/>
              <w:left w:val="single" w:color="000000" w:sz="4" w:space="0"/>
              <w:bottom w:val="single" w:color="000000" w:sz="4" w:space="0"/>
              <w:right w:val="single" w:color="000000" w:sz="4" w:space="0"/>
            </w:tcBorders>
            <w:vAlign w:val="center"/>
          </w:tcPr>
          <w:p w14:paraId="459F4FD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选用指标内置标准值形式，系统支持值形式调整，率指标最高支持万分比形式展示</w:t>
            </w:r>
          </w:p>
        </w:tc>
      </w:tr>
      <w:tr w14:paraId="2FC19926">
        <w:tblPrEx>
          <w:tblCellMar>
            <w:top w:w="0" w:type="dxa"/>
            <w:left w:w="108" w:type="dxa"/>
            <w:bottom w:w="0" w:type="dxa"/>
            <w:right w:w="108" w:type="dxa"/>
          </w:tblCellMar>
        </w:tblPrEx>
        <w:trPr>
          <w:trHeight w:val="72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39493346">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6C0627E1">
            <w:pPr>
              <w:jc w:val="left"/>
              <w:rPr>
                <w:rFonts w:hint="eastAsia" w:ascii="宋体" w:hAnsi="宋体" w:eastAsia="宋体" w:cs="宋体"/>
                <w:color w:val="000000"/>
                <w:sz w:val="21"/>
                <w:szCs w:val="21"/>
              </w:rPr>
            </w:pPr>
          </w:p>
        </w:tc>
        <w:tc>
          <w:tcPr>
            <w:tcW w:w="987" w:type="dxa"/>
            <w:tcBorders>
              <w:top w:val="single" w:color="000000" w:sz="4" w:space="0"/>
              <w:left w:val="single" w:color="000000" w:sz="4" w:space="0"/>
              <w:bottom w:val="single" w:color="000000" w:sz="4" w:space="0"/>
              <w:right w:val="single" w:color="000000" w:sz="4" w:space="0"/>
            </w:tcBorders>
            <w:vAlign w:val="center"/>
          </w:tcPr>
          <w:p w14:paraId="454D46B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指标预警值管理</w:t>
            </w:r>
          </w:p>
        </w:tc>
        <w:tc>
          <w:tcPr>
            <w:tcW w:w="6314" w:type="dxa"/>
            <w:tcBorders>
              <w:top w:val="single" w:color="000000" w:sz="4" w:space="0"/>
              <w:left w:val="single" w:color="000000" w:sz="4" w:space="0"/>
              <w:bottom w:val="single" w:color="000000" w:sz="4" w:space="0"/>
              <w:right w:val="single" w:color="000000" w:sz="4" w:space="0"/>
            </w:tcBorders>
            <w:vAlign w:val="center"/>
          </w:tcPr>
          <w:p w14:paraId="76A879F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支持对每个指标设定全院预警值、单元预警值，并在统计分析内对应显示预警结果</w:t>
            </w:r>
          </w:p>
        </w:tc>
      </w:tr>
      <w:tr w14:paraId="48D07047">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14744759">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42F85DC5">
            <w:pPr>
              <w:jc w:val="left"/>
              <w:rPr>
                <w:rFonts w:hint="eastAsia" w:ascii="宋体" w:hAnsi="宋体" w:eastAsia="宋体" w:cs="宋体"/>
                <w:color w:val="000000"/>
                <w:sz w:val="21"/>
                <w:szCs w:val="21"/>
              </w:rPr>
            </w:pPr>
          </w:p>
        </w:tc>
        <w:tc>
          <w:tcPr>
            <w:tcW w:w="987" w:type="dxa"/>
            <w:tcBorders>
              <w:top w:val="single" w:color="000000" w:sz="4" w:space="0"/>
              <w:left w:val="single" w:color="000000" w:sz="4" w:space="0"/>
              <w:bottom w:val="single" w:color="000000" w:sz="4" w:space="0"/>
              <w:right w:val="single" w:color="000000" w:sz="4" w:space="0"/>
            </w:tcBorders>
            <w:vAlign w:val="center"/>
          </w:tcPr>
          <w:p w14:paraId="20D992C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指标分类排序</w:t>
            </w:r>
          </w:p>
        </w:tc>
        <w:tc>
          <w:tcPr>
            <w:tcW w:w="6314" w:type="dxa"/>
            <w:tcBorders>
              <w:top w:val="single" w:color="000000" w:sz="4" w:space="0"/>
              <w:left w:val="single" w:color="000000" w:sz="4" w:space="0"/>
              <w:bottom w:val="single" w:color="000000" w:sz="4" w:space="0"/>
              <w:right w:val="single" w:color="000000" w:sz="4" w:space="0"/>
            </w:tcBorders>
            <w:vAlign w:val="center"/>
          </w:tcPr>
          <w:p w14:paraId="6D566E3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支持将选用指标按医院所需进行分类排序</w:t>
            </w:r>
          </w:p>
        </w:tc>
      </w:tr>
      <w:tr w14:paraId="7FEEFC8C">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0A345F6A">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6D893314">
            <w:pPr>
              <w:jc w:val="left"/>
              <w:rPr>
                <w:rFonts w:hint="eastAsia" w:ascii="宋体" w:hAnsi="宋体" w:eastAsia="宋体" w:cs="宋体"/>
                <w:color w:val="000000"/>
                <w:sz w:val="21"/>
                <w:szCs w:val="21"/>
              </w:rPr>
            </w:pPr>
          </w:p>
        </w:tc>
        <w:tc>
          <w:tcPr>
            <w:tcW w:w="987" w:type="dxa"/>
            <w:tcBorders>
              <w:top w:val="single" w:color="000000" w:sz="4" w:space="0"/>
              <w:left w:val="single" w:color="000000" w:sz="4" w:space="0"/>
              <w:bottom w:val="single" w:color="000000" w:sz="4" w:space="0"/>
              <w:right w:val="single" w:color="000000" w:sz="4" w:space="0"/>
            </w:tcBorders>
            <w:vAlign w:val="center"/>
          </w:tcPr>
          <w:p w14:paraId="642B8EF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★指标快速选用</w:t>
            </w:r>
          </w:p>
        </w:tc>
        <w:tc>
          <w:tcPr>
            <w:tcW w:w="6314" w:type="dxa"/>
            <w:tcBorders>
              <w:top w:val="single" w:color="000000" w:sz="4" w:space="0"/>
              <w:left w:val="single" w:color="000000" w:sz="4" w:space="0"/>
              <w:bottom w:val="single" w:color="000000" w:sz="4" w:space="0"/>
              <w:right w:val="single" w:color="000000" w:sz="4" w:space="0"/>
            </w:tcBorders>
            <w:vAlign w:val="center"/>
          </w:tcPr>
          <w:p w14:paraId="1780FA0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支持一键选用国家质控平台上报指标入医院指标库内</w:t>
            </w:r>
          </w:p>
        </w:tc>
      </w:tr>
      <w:tr w14:paraId="40DA4AD3">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6106B986">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603729AC">
            <w:pPr>
              <w:jc w:val="left"/>
              <w:rPr>
                <w:rFonts w:hint="eastAsia" w:ascii="宋体" w:hAnsi="宋体" w:eastAsia="宋体" w:cs="宋体"/>
                <w:color w:val="000000"/>
                <w:sz w:val="21"/>
                <w:szCs w:val="21"/>
              </w:rPr>
            </w:pPr>
          </w:p>
        </w:tc>
        <w:tc>
          <w:tcPr>
            <w:tcW w:w="987" w:type="dxa"/>
            <w:tcBorders>
              <w:top w:val="single" w:color="000000" w:sz="4" w:space="0"/>
              <w:left w:val="single" w:color="000000" w:sz="4" w:space="0"/>
              <w:bottom w:val="single" w:color="000000" w:sz="4" w:space="0"/>
              <w:right w:val="single" w:color="000000" w:sz="4" w:space="0"/>
            </w:tcBorders>
            <w:vAlign w:val="center"/>
          </w:tcPr>
          <w:p w14:paraId="5A7E046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★操作记录查看</w:t>
            </w:r>
          </w:p>
        </w:tc>
        <w:tc>
          <w:tcPr>
            <w:tcW w:w="6314" w:type="dxa"/>
            <w:tcBorders>
              <w:top w:val="single" w:color="000000" w:sz="4" w:space="0"/>
              <w:left w:val="single" w:color="000000" w:sz="4" w:space="0"/>
              <w:bottom w:val="single" w:color="000000" w:sz="4" w:space="0"/>
              <w:right w:val="single" w:color="000000" w:sz="4" w:space="0"/>
            </w:tcBorders>
            <w:vAlign w:val="center"/>
          </w:tcPr>
          <w:p w14:paraId="4D30A13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支持查看指标编辑修改记录</w:t>
            </w:r>
          </w:p>
        </w:tc>
      </w:tr>
      <w:tr w14:paraId="5F04C0C4">
        <w:tblPrEx>
          <w:tblCellMar>
            <w:top w:w="0" w:type="dxa"/>
            <w:left w:w="108" w:type="dxa"/>
            <w:bottom w:w="0" w:type="dxa"/>
            <w:right w:w="108" w:type="dxa"/>
          </w:tblCellMar>
        </w:tblPrEx>
        <w:trPr>
          <w:trHeight w:val="72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55D2AAC0">
            <w:pPr>
              <w:jc w:val="center"/>
              <w:rPr>
                <w:rFonts w:hint="eastAsia" w:ascii="宋体" w:hAnsi="宋体" w:eastAsia="宋体" w:cs="宋体"/>
                <w:color w:val="000000"/>
                <w:sz w:val="21"/>
                <w:szCs w:val="21"/>
              </w:rPr>
            </w:pPr>
          </w:p>
        </w:tc>
        <w:tc>
          <w:tcPr>
            <w:tcW w:w="804" w:type="dxa"/>
            <w:vMerge w:val="restart"/>
            <w:tcBorders>
              <w:top w:val="single" w:color="000000" w:sz="4" w:space="0"/>
              <w:left w:val="single" w:color="000000" w:sz="4" w:space="0"/>
              <w:bottom w:val="single" w:color="000000" w:sz="4" w:space="0"/>
              <w:right w:val="single" w:color="000000" w:sz="4" w:space="0"/>
            </w:tcBorders>
            <w:vAlign w:val="center"/>
          </w:tcPr>
          <w:p w14:paraId="1489CC0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指标采集</w:t>
            </w:r>
          </w:p>
        </w:tc>
        <w:tc>
          <w:tcPr>
            <w:tcW w:w="987" w:type="dxa"/>
            <w:tcBorders>
              <w:top w:val="single" w:color="000000" w:sz="4" w:space="0"/>
              <w:left w:val="single" w:color="000000" w:sz="4" w:space="0"/>
              <w:bottom w:val="single" w:color="000000" w:sz="4" w:space="0"/>
              <w:right w:val="single" w:color="000000" w:sz="4" w:space="0"/>
            </w:tcBorders>
            <w:vAlign w:val="center"/>
          </w:tcPr>
          <w:p w14:paraId="6FBB01F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采集值填写</w:t>
            </w:r>
          </w:p>
        </w:tc>
        <w:tc>
          <w:tcPr>
            <w:tcW w:w="6314" w:type="dxa"/>
            <w:tcBorders>
              <w:top w:val="single" w:color="000000" w:sz="4" w:space="0"/>
              <w:left w:val="single" w:color="000000" w:sz="4" w:space="0"/>
              <w:bottom w:val="single" w:color="000000" w:sz="4" w:space="0"/>
              <w:right w:val="single" w:color="000000" w:sz="4" w:space="0"/>
            </w:tcBorders>
            <w:vAlign w:val="center"/>
          </w:tcPr>
          <w:p w14:paraId="55F93D6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支持护士长按采集日期手填维护指标值，同一元素在多个指标被引用，仅需填写一次即可同步赋值给所有指标</w:t>
            </w:r>
          </w:p>
        </w:tc>
      </w:tr>
      <w:tr w14:paraId="14A13CA4">
        <w:tblPrEx>
          <w:tblCellMar>
            <w:top w:w="0" w:type="dxa"/>
            <w:left w:w="108" w:type="dxa"/>
            <w:bottom w:w="0" w:type="dxa"/>
            <w:right w:w="108" w:type="dxa"/>
          </w:tblCellMar>
        </w:tblPrEx>
        <w:trPr>
          <w:trHeight w:val="72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0A3B40A2">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30B2D092">
            <w:pPr>
              <w:jc w:val="left"/>
              <w:rPr>
                <w:rFonts w:hint="eastAsia" w:ascii="宋体" w:hAnsi="宋体" w:eastAsia="宋体" w:cs="宋体"/>
                <w:color w:val="000000"/>
                <w:sz w:val="21"/>
                <w:szCs w:val="21"/>
              </w:rPr>
            </w:pPr>
          </w:p>
        </w:tc>
        <w:tc>
          <w:tcPr>
            <w:tcW w:w="987" w:type="dxa"/>
            <w:tcBorders>
              <w:top w:val="single" w:color="000000" w:sz="4" w:space="0"/>
              <w:left w:val="single" w:color="000000" w:sz="4" w:space="0"/>
              <w:bottom w:val="single" w:color="000000" w:sz="4" w:space="0"/>
              <w:right w:val="single" w:color="000000" w:sz="4" w:space="0"/>
            </w:tcBorders>
            <w:vAlign w:val="center"/>
          </w:tcPr>
          <w:p w14:paraId="096B69B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采集值查看</w:t>
            </w:r>
          </w:p>
        </w:tc>
        <w:tc>
          <w:tcPr>
            <w:tcW w:w="6314" w:type="dxa"/>
            <w:tcBorders>
              <w:top w:val="single" w:color="000000" w:sz="4" w:space="0"/>
              <w:left w:val="single" w:color="000000" w:sz="4" w:space="0"/>
              <w:bottom w:val="single" w:color="000000" w:sz="4" w:space="0"/>
              <w:right w:val="single" w:color="000000" w:sz="4" w:space="0"/>
            </w:tcBorders>
            <w:vAlign w:val="center"/>
          </w:tcPr>
          <w:p w14:paraId="39539C5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系统支持以元素视角查看护理单元采集值，同时也支持以指标视角查看护理单元采集值</w:t>
            </w:r>
          </w:p>
        </w:tc>
      </w:tr>
      <w:tr w14:paraId="3D28925C">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3AD03D32">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7CA11390">
            <w:pPr>
              <w:jc w:val="left"/>
              <w:rPr>
                <w:rFonts w:hint="eastAsia" w:ascii="宋体" w:hAnsi="宋体" w:eastAsia="宋体" w:cs="宋体"/>
                <w:color w:val="000000"/>
                <w:sz w:val="21"/>
                <w:szCs w:val="21"/>
              </w:rPr>
            </w:pPr>
          </w:p>
        </w:tc>
        <w:tc>
          <w:tcPr>
            <w:tcW w:w="987" w:type="dxa"/>
            <w:tcBorders>
              <w:top w:val="single" w:color="000000" w:sz="4" w:space="0"/>
              <w:left w:val="single" w:color="000000" w:sz="4" w:space="0"/>
              <w:bottom w:val="single" w:color="000000" w:sz="4" w:space="0"/>
              <w:right w:val="single" w:color="000000" w:sz="4" w:space="0"/>
            </w:tcBorders>
            <w:vAlign w:val="center"/>
          </w:tcPr>
          <w:p w14:paraId="0D30A88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采集值上报</w:t>
            </w:r>
          </w:p>
        </w:tc>
        <w:tc>
          <w:tcPr>
            <w:tcW w:w="6314" w:type="dxa"/>
            <w:tcBorders>
              <w:top w:val="single" w:color="000000" w:sz="4" w:space="0"/>
              <w:left w:val="single" w:color="000000" w:sz="4" w:space="0"/>
              <w:bottom w:val="single" w:color="000000" w:sz="4" w:space="0"/>
              <w:right w:val="single" w:color="000000" w:sz="4" w:space="0"/>
            </w:tcBorders>
            <w:vAlign w:val="center"/>
          </w:tcPr>
          <w:p w14:paraId="5672AAD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支持护士长可以按月上报指标数据</w:t>
            </w:r>
          </w:p>
        </w:tc>
      </w:tr>
      <w:tr w14:paraId="7085B2A7">
        <w:tblPrEx>
          <w:tblCellMar>
            <w:top w:w="0" w:type="dxa"/>
            <w:left w:w="108" w:type="dxa"/>
            <w:bottom w:w="0" w:type="dxa"/>
            <w:right w:w="108" w:type="dxa"/>
          </w:tblCellMar>
        </w:tblPrEx>
        <w:trPr>
          <w:trHeight w:val="72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5DB981AC">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1DF7799C">
            <w:pPr>
              <w:jc w:val="left"/>
              <w:rPr>
                <w:rFonts w:hint="eastAsia" w:ascii="宋体" w:hAnsi="宋体" w:eastAsia="宋体" w:cs="宋体"/>
                <w:color w:val="000000"/>
                <w:sz w:val="21"/>
                <w:szCs w:val="21"/>
              </w:rPr>
            </w:pPr>
          </w:p>
        </w:tc>
        <w:tc>
          <w:tcPr>
            <w:tcW w:w="987" w:type="dxa"/>
            <w:tcBorders>
              <w:top w:val="single" w:color="000000" w:sz="4" w:space="0"/>
              <w:left w:val="single" w:color="000000" w:sz="4" w:space="0"/>
              <w:bottom w:val="single" w:color="000000" w:sz="4" w:space="0"/>
              <w:right w:val="single" w:color="000000" w:sz="4" w:space="0"/>
            </w:tcBorders>
            <w:vAlign w:val="center"/>
          </w:tcPr>
          <w:p w14:paraId="5DAF722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采集规则查看</w:t>
            </w:r>
          </w:p>
        </w:tc>
        <w:tc>
          <w:tcPr>
            <w:tcW w:w="6314" w:type="dxa"/>
            <w:tcBorders>
              <w:top w:val="single" w:color="000000" w:sz="4" w:space="0"/>
              <w:left w:val="single" w:color="000000" w:sz="4" w:space="0"/>
              <w:bottom w:val="single" w:color="000000" w:sz="4" w:space="0"/>
              <w:right w:val="single" w:color="000000" w:sz="4" w:space="0"/>
            </w:tcBorders>
            <w:vAlign w:val="center"/>
          </w:tcPr>
          <w:p w14:paraId="3A98F3D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系统内置指标采集规则，在指标采集时可作参考，规则取自国家护理质量数据上报平台&amp;《护理质量指标监测基本数据集实施指南（2022版）》</w:t>
            </w:r>
          </w:p>
        </w:tc>
      </w:tr>
      <w:tr w14:paraId="6BA57F07">
        <w:tblPrEx>
          <w:tblCellMar>
            <w:top w:w="0" w:type="dxa"/>
            <w:left w:w="108" w:type="dxa"/>
            <w:bottom w:w="0" w:type="dxa"/>
            <w:right w:w="108" w:type="dxa"/>
          </w:tblCellMar>
        </w:tblPrEx>
        <w:trPr>
          <w:trHeight w:val="72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0BCA2AE5">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3C9B82AC">
            <w:pPr>
              <w:jc w:val="left"/>
              <w:rPr>
                <w:rFonts w:hint="eastAsia" w:ascii="宋体" w:hAnsi="宋体" w:eastAsia="宋体" w:cs="宋体"/>
                <w:color w:val="000000"/>
                <w:sz w:val="21"/>
                <w:szCs w:val="21"/>
              </w:rPr>
            </w:pPr>
          </w:p>
        </w:tc>
        <w:tc>
          <w:tcPr>
            <w:tcW w:w="987" w:type="dxa"/>
            <w:tcBorders>
              <w:top w:val="single" w:color="000000" w:sz="4" w:space="0"/>
              <w:left w:val="single" w:color="000000" w:sz="4" w:space="0"/>
              <w:bottom w:val="single" w:color="000000" w:sz="4" w:space="0"/>
              <w:right w:val="single" w:color="000000" w:sz="4" w:space="0"/>
            </w:tcBorders>
            <w:vAlign w:val="center"/>
          </w:tcPr>
          <w:p w14:paraId="28CFAD7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★自动采集</w:t>
            </w:r>
          </w:p>
        </w:tc>
        <w:tc>
          <w:tcPr>
            <w:tcW w:w="6314" w:type="dxa"/>
            <w:tcBorders>
              <w:top w:val="single" w:color="000000" w:sz="4" w:space="0"/>
              <w:left w:val="single" w:color="000000" w:sz="4" w:space="0"/>
              <w:bottom w:val="single" w:color="000000" w:sz="4" w:space="0"/>
              <w:right w:val="single" w:color="000000" w:sz="4" w:space="0"/>
            </w:tcBorders>
            <w:vAlign w:val="center"/>
          </w:tcPr>
          <w:p w14:paraId="1BE0878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通过指标引擎，支持从HIS、移动护理、院感、重症、护理管理等系统内自动采集元素数据</w:t>
            </w:r>
          </w:p>
        </w:tc>
      </w:tr>
      <w:tr w14:paraId="1273EE6C">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679D246F">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1CF808BE">
            <w:pPr>
              <w:jc w:val="left"/>
              <w:rPr>
                <w:rFonts w:hint="eastAsia" w:ascii="宋体" w:hAnsi="宋体" w:eastAsia="宋体" w:cs="宋体"/>
                <w:color w:val="000000"/>
                <w:sz w:val="21"/>
                <w:szCs w:val="21"/>
              </w:rPr>
            </w:pPr>
          </w:p>
        </w:tc>
        <w:tc>
          <w:tcPr>
            <w:tcW w:w="987" w:type="dxa"/>
            <w:tcBorders>
              <w:top w:val="single" w:color="000000" w:sz="4" w:space="0"/>
              <w:left w:val="single" w:color="000000" w:sz="4" w:space="0"/>
              <w:bottom w:val="single" w:color="000000" w:sz="4" w:space="0"/>
              <w:right w:val="single" w:color="000000" w:sz="4" w:space="0"/>
            </w:tcBorders>
            <w:vAlign w:val="center"/>
          </w:tcPr>
          <w:p w14:paraId="09AC915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★自动采集修正</w:t>
            </w:r>
          </w:p>
        </w:tc>
        <w:tc>
          <w:tcPr>
            <w:tcW w:w="6314" w:type="dxa"/>
            <w:tcBorders>
              <w:top w:val="single" w:color="000000" w:sz="4" w:space="0"/>
              <w:left w:val="single" w:color="000000" w:sz="4" w:space="0"/>
              <w:bottom w:val="single" w:color="000000" w:sz="4" w:space="0"/>
              <w:right w:val="single" w:color="000000" w:sz="4" w:space="0"/>
            </w:tcBorders>
            <w:vAlign w:val="center"/>
          </w:tcPr>
          <w:p w14:paraId="20F462E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当指标源头数据更改后，系统支持手动触发修订自动采集的指标数据</w:t>
            </w:r>
          </w:p>
        </w:tc>
      </w:tr>
      <w:tr w14:paraId="2A1B0002">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6CD74D9B">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1FA08FD7">
            <w:pPr>
              <w:jc w:val="left"/>
              <w:rPr>
                <w:rFonts w:hint="eastAsia" w:ascii="宋体" w:hAnsi="宋体" w:eastAsia="宋体" w:cs="宋体"/>
                <w:color w:val="000000"/>
                <w:sz w:val="21"/>
                <w:szCs w:val="21"/>
              </w:rPr>
            </w:pPr>
          </w:p>
        </w:tc>
        <w:tc>
          <w:tcPr>
            <w:tcW w:w="987" w:type="dxa"/>
            <w:tcBorders>
              <w:top w:val="single" w:color="000000" w:sz="4" w:space="0"/>
              <w:left w:val="single" w:color="000000" w:sz="4" w:space="0"/>
              <w:bottom w:val="single" w:color="000000" w:sz="4" w:space="0"/>
              <w:right w:val="single" w:color="000000" w:sz="4" w:space="0"/>
            </w:tcBorders>
            <w:vAlign w:val="center"/>
          </w:tcPr>
          <w:p w14:paraId="0A34875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★自动采集值详情查看</w:t>
            </w:r>
          </w:p>
        </w:tc>
        <w:tc>
          <w:tcPr>
            <w:tcW w:w="6314" w:type="dxa"/>
            <w:tcBorders>
              <w:top w:val="single" w:color="000000" w:sz="4" w:space="0"/>
              <w:left w:val="single" w:color="000000" w:sz="4" w:space="0"/>
              <w:bottom w:val="single" w:color="000000" w:sz="4" w:space="0"/>
              <w:right w:val="single" w:color="000000" w:sz="4" w:space="0"/>
            </w:tcBorders>
            <w:vAlign w:val="center"/>
          </w:tcPr>
          <w:p w14:paraId="446FCA1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通过指标引擎采集数据在接口符合要求前提下，支持展示数据详情信息</w:t>
            </w:r>
          </w:p>
        </w:tc>
      </w:tr>
      <w:tr w14:paraId="75B99B05">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3717123F">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43135B43">
            <w:pPr>
              <w:jc w:val="left"/>
              <w:rPr>
                <w:rFonts w:hint="eastAsia" w:ascii="宋体" w:hAnsi="宋体" w:eastAsia="宋体" w:cs="宋体"/>
                <w:color w:val="000000"/>
                <w:sz w:val="21"/>
                <w:szCs w:val="21"/>
              </w:rPr>
            </w:pPr>
          </w:p>
        </w:tc>
        <w:tc>
          <w:tcPr>
            <w:tcW w:w="987" w:type="dxa"/>
            <w:tcBorders>
              <w:top w:val="single" w:color="000000" w:sz="4" w:space="0"/>
              <w:left w:val="single" w:color="000000" w:sz="4" w:space="0"/>
              <w:bottom w:val="single" w:color="000000" w:sz="4" w:space="0"/>
              <w:right w:val="single" w:color="000000" w:sz="4" w:space="0"/>
            </w:tcBorders>
            <w:vAlign w:val="center"/>
          </w:tcPr>
          <w:p w14:paraId="7DEE6D0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★自动采集数据来源标签查看</w:t>
            </w:r>
          </w:p>
        </w:tc>
        <w:tc>
          <w:tcPr>
            <w:tcW w:w="6314" w:type="dxa"/>
            <w:tcBorders>
              <w:top w:val="single" w:color="000000" w:sz="4" w:space="0"/>
              <w:left w:val="single" w:color="000000" w:sz="4" w:space="0"/>
              <w:bottom w:val="single" w:color="000000" w:sz="4" w:space="0"/>
              <w:right w:val="single" w:color="000000" w:sz="4" w:space="0"/>
            </w:tcBorders>
            <w:vAlign w:val="center"/>
          </w:tcPr>
          <w:p w14:paraId="0AE4870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支持在采集界面看到所有自动采集数据取自哪方系统</w:t>
            </w:r>
          </w:p>
        </w:tc>
      </w:tr>
      <w:tr w14:paraId="25771C6C">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6DF2A1A3">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28AAED11">
            <w:pPr>
              <w:jc w:val="left"/>
              <w:rPr>
                <w:rFonts w:hint="eastAsia" w:ascii="宋体" w:hAnsi="宋体" w:eastAsia="宋体" w:cs="宋体"/>
                <w:color w:val="000000"/>
                <w:sz w:val="21"/>
                <w:szCs w:val="21"/>
              </w:rPr>
            </w:pPr>
          </w:p>
        </w:tc>
        <w:tc>
          <w:tcPr>
            <w:tcW w:w="987" w:type="dxa"/>
            <w:tcBorders>
              <w:top w:val="single" w:color="000000" w:sz="4" w:space="0"/>
              <w:left w:val="single" w:color="000000" w:sz="4" w:space="0"/>
              <w:bottom w:val="single" w:color="000000" w:sz="4" w:space="0"/>
              <w:right w:val="single" w:color="000000" w:sz="4" w:space="0"/>
            </w:tcBorders>
            <w:vAlign w:val="center"/>
          </w:tcPr>
          <w:p w14:paraId="320C4CA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★自动检测数值逻辑</w:t>
            </w:r>
          </w:p>
        </w:tc>
        <w:tc>
          <w:tcPr>
            <w:tcW w:w="6314" w:type="dxa"/>
            <w:tcBorders>
              <w:top w:val="single" w:color="000000" w:sz="4" w:space="0"/>
              <w:left w:val="single" w:color="000000" w:sz="4" w:space="0"/>
              <w:bottom w:val="single" w:color="000000" w:sz="4" w:space="0"/>
              <w:right w:val="single" w:color="000000" w:sz="4" w:space="0"/>
            </w:tcBorders>
            <w:vAlign w:val="center"/>
          </w:tcPr>
          <w:p w14:paraId="3028B9F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系统对元素采集值内置了数据逻辑判断，可对检测有误数据做核查提示</w:t>
            </w:r>
          </w:p>
        </w:tc>
      </w:tr>
      <w:tr w14:paraId="730AB527">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2E371D43">
            <w:pPr>
              <w:jc w:val="center"/>
              <w:rPr>
                <w:rFonts w:hint="eastAsia" w:ascii="宋体" w:hAnsi="宋体" w:eastAsia="宋体" w:cs="宋体"/>
                <w:color w:val="000000"/>
                <w:sz w:val="21"/>
                <w:szCs w:val="21"/>
              </w:rPr>
            </w:pPr>
          </w:p>
        </w:tc>
        <w:tc>
          <w:tcPr>
            <w:tcW w:w="804" w:type="dxa"/>
            <w:vMerge w:val="restart"/>
            <w:tcBorders>
              <w:top w:val="single" w:color="000000" w:sz="4" w:space="0"/>
              <w:left w:val="single" w:color="000000" w:sz="4" w:space="0"/>
              <w:bottom w:val="single" w:color="000000" w:sz="4" w:space="0"/>
              <w:right w:val="single" w:color="000000" w:sz="4" w:space="0"/>
            </w:tcBorders>
            <w:vAlign w:val="center"/>
          </w:tcPr>
          <w:p w14:paraId="6D71925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指标上报管理</w:t>
            </w:r>
          </w:p>
        </w:tc>
        <w:tc>
          <w:tcPr>
            <w:tcW w:w="987" w:type="dxa"/>
            <w:tcBorders>
              <w:top w:val="single" w:color="000000" w:sz="4" w:space="0"/>
              <w:left w:val="single" w:color="000000" w:sz="4" w:space="0"/>
              <w:bottom w:val="single" w:color="000000" w:sz="4" w:space="0"/>
              <w:right w:val="single" w:color="000000" w:sz="4" w:space="0"/>
            </w:tcBorders>
            <w:vAlign w:val="center"/>
          </w:tcPr>
          <w:p w14:paraId="775ADF6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指标上报科室查看</w:t>
            </w:r>
          </w:p>
        </w:tc>
        <w:tc>
          <w:tcPr>
            <w:tcW w:w="6314" w:type="dxa"/>
            <w:tcBorders>
              <w:top w:val="single" w:color="000000" w:sz="4" w:space="0"/>
              <w:left w:val="single" w:color="000000" w:sz="4" w:space="0"/>
              <w:bottom w:val="single" w:color="000000" w:sz="4" w:space="0"/>
              <w:right w:val="single" w:color="000000" w:sz="4" w:space="0"/>
            </w:tcBorders>
            <w:vAlign w:val="center"/>
          </w:tcPr>
          <w:p w14:paraId="38238A2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支持按月、季、年查看每个月都有哪些科室已上报，哪些科室未上报数据</w:t>
            </w:r>
          </w:p>
        </w:tc>
      </w:tr>
      <w:tr w14:paraId="6F67CE94">
        <w:tblPrEx>
          <w:tblCellMar>
            <w:top w:w="0" w:type="dxa"/>
            <w:left w:w="108" w:type="dxa"/>
            <w:bottom w:w="0" w:type="dxa"/>
            <w:right w:w="108" w:type="dxa"/>
          </w:tblCellMar>
        </w:tblPrEx>
        <w:trPr>
          <w:trHeight w:val="72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44953354">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00F2996D">
            <w:pPr>
              <w:jc w:val="left"/>
              <w:rPr>
                <w:rFonts w:hint="eastAsia" w:ascii="宋体" w:hAnsi="宋体" w:eastAsia="宋体" w:cs="宋体"/>
                <w:color w:val="000000"/>
                <w:sz w:val="21"/>
                <w:szCs w:val="21"/>
              </w:rPr>
            </w:pPr>
          </w:p>
        </w:tc>
        <w:tc>
          <w:tcPr>
            <w:tcW w:w="987" w:type="dxa"/>
            <w:tcBorders>
              <w:top w:val="single" w:color="000000" w:sz="4" w:space="0"/>
              <w:left w:val="single" w:color="000000" w:sz="4" w:space="0"/>
              <w:bottom w:val="single" w:color="000000" w:sz="4" w:space="0"/>
              <w:right w:val="single" w:color="000000" w:sz="4" w:space="0"/>
            </w:tcBorders>
            <w:vAlign w:val="center"/>
          </w:tcPr>
          <w:p w14:paraId="5DC36DE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指标上报数据退回</w:t>
            </w:r>
          </w:p>
        </w:tc>
        <w:tc>
          <w:tcPr>
            <w:tcW w:w="6314" w:type="dxa"/>
            <w:tcBorders>
              <w:top w:val="single" w:color="000000" w:sz="4" w:space="0"/>
              <w:left w:val="single" w:color="000000" w:sz="4" w:space="0"/>
              <w:bottom w:val="single" w:color="000000" w:sz="4" w:space="0"/>
              <w:right w:val="single" w:color="000000" w:sz="4" w:space="0"/>
            </w:tcBorders>
            <w:vAlign w:val="center"/>
          </w:tcPr>
          <w:p w14:paraId="6848594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护理部可以查看并退回某护理单元某月上报指标数据，退回时支持添加退回原因，退回后护理单元可重新修订数据</w:t>
            </w:r>
          </w:p>
        </w:tc>
      </w:tr>
      <w:tr w14:paraId="2364A1A5">
        <w:tblPrEx>
          <w:tblCellMar>
            <w:top w:w="0" w:type="dxa"/>
            <w:left w:w="108" w:type="dxa"/>
            <w:bottom w:w="0" w:type="dxa"/>
            <w:right w:w="108" w:type="dxa"/>
          </w:tblCellMar>
        </w:tblPrEx>
        <w:trPr>
          <w:trHeight w:val="72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4E01C844">
            <w:pPr>
              <w:jc w:val="center"/>
              <w:rPr>
                <w:rFonts w:hint="eastAsia" w:ascii="宋体" w:hAnsi="宋体" w:eastAsia="宋体" w:cs="宋体"/>
                <w:color w:val="000000"/>
                <w:sz w:val="21"/>
                <w:szCs w:val="21"/>
              </w:rPr>
            </w:pPr>
          </w:p>
        </w:tc>
        <w:tc>
          <w:tcPr>
            <w:tcW w:w="804" w:type="dxa"/>
            <w:vMerge w:val="restart"/>
            <w:tcBorders>
              <w:top w:val="single" w:color="000000" w:sz="4" w:space="0"/>
              <w:left w:val="single" w:color="000000" w:sz="4" w:space="0"/>
              <w:bottom w:val="single" w:color="000000" w:sz="4" w:space="0"/>
              <w:right w:val="single" w:color="000000" w:sz="4" w:space="0"/>
            </w:tcBorders>
            <w:vAlign w:val="center"/>
          </w:tcPr>
          <w:p w14:paraId="3A792A1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指标分析</w:t>
            </w:r>
          </w:p>
        </w:tc>
        <w:tc>
          <w:tcPr>
            <w:tcW w:w="987" w:type="dxa"/>
            <w:tcBorders>
              <w:top w:val="single" w:color="000000" w:sz="4" w:space="0"/>
              <w:left w:val="single" w:color="000000" w:sz="4" w:space="0"/>
              <w:bottom w:val="single" w:color="000000" w:sz="4" w:space="0"/>
              <w:right w:val="single" w:color="000000" w:sz="4" w:space="0"/>
            </w:tcBorders>
            <w:vAlign w:val="center"/>
          </w:tcPr>
          <w:p w14:paraId="38332C2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指标汇总查看</w:t>
            </w:r>
          </w:p>
        </w:tc>
        <w:tc>
          <w:tcPr>
            <w:tcW w:w="6314" w:type="dxa"/>
            <w:tcBorders>
              <w:top w:val="single" w:color="000000" w:sz="4" w:space="0"/>
              <w:left w:val="single" w:color="000000" w:sz="4" w:space="0"/>
              <w:bottom w:val="single" w:color="000000" w:sz="4" w:space="0"/>
              <w:right w:val="single" w:color="000000" w:sz="4" w:space="0"/>
            </w:tcBorders>
            <w:vAlign w:val="center"/>
          </w:tcPr>
          <w:p w14:paraId="74C289C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支持按所属权限查看各科汇总数据，护理部支持查看全院汇总数据，各科室支持查看科室汇总数据</w:t>
            </w:r>
          </w:p>
        </w:tc>
      </w:tr>
      <w:tr w14:paraId="792440C0">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6C23C969">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14ADDE72">
            <w:pPr>
              <w:jc w:val="left"/>
              <w:rPr>
                <w:rFonts w:hint="eastAsia" w:ascii="宋体" w:hAnsi="宋体" w:eastAsia="宋体" w:cs="宋体"/>
                <w:color w:val="000000"/>
                <w:sz w:val="21"/>
                <w:szCs w:val="21"/>
              </w:rPr>
            </w:pPr>
          </w:p>
        </w:tc>
        <w:tc>
          <w:tcPr>
            <w:tcW w:w="987" w:type="dxa"/>
            <w:tcBorders>
              <w:top w:val="single" w:color="000000" w:sz="4" w:space="0"/>
              <w:left w:val="single" w:color="000000" w:sz="4" w:space="0"/>
              <w:bottom w:val="single" w:color="000000" w:sz="4" w:space="0"/>
              <w:right w:val="single" w:color="000000" w:sz="4" w:space="0"/>
            </w:tcBorders>
            <w:vAlign w:val="center"/>
          </w:tcPr>
          <w:p w14:paraId="35BBCBC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汇总明细查看</w:t>
            </w:r>
          </w:p>
        </w:tc>
        <w:tc>
          <w:tcPr>
            <w:tcW w:w="6314" w:type="dxa"/>
            <w:tcBorders>
              <w:top w:val="single" w:color="000000" w:sz="4" w:space="0"/>
              <w:left w:val="single" w:color="000000" w:sz="4" w:space="0"/>
              <w:bottom w:val="single" w:color="000000" w:sz="4" w:space="0"/>
              <w:right w:val="single" w:color="000000" w:sz="4" w:space="0"/>
            </w:tcBorders>
            <w:vAlign w:val="center"/>
          </w:tcPr>
          <w:p w14:paraId="449D745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汇总数据支持穿透至各科室、各采集日查看明细信息</w:t>
            </w:r>
          </w:p>
        </w:tc>
      </w:tr>
      <w:tr w14:paraId="3BA333D0">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368674C3">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597BFCF2">
            <w:pPr>
              <w:jc w:val="left"/>
              <w:rPr>
                <w:rFonts w:hint="eastAsia" w:ascii="宋体" w:hAnsi="宋体" w:eastAsia="宋体" w:cs="宋体"/>
                <w:color w:val="000000"/>
                <w:sz w:val="21"/>
                <w:szCs w:val="21"/>
              </w:rPr>
            </w:pPr>
          </w:p>
        </w:tc>
        <w:tc>
          <w:tcPr>
            <w:tcW w:w="987" w:type="dxa"/>
            <w:tcBorders>
              <w:top w:val="single" w:color="000000" w:sz="4" w:space="0"/>
              <w:left w:val="single" w:color="000000" w:sz="4" w:space="0"/>
              <w:bottom w:val="single" w:color="000000" w:sz="4" w:space="0"/>
              <w:right w:val="single" w:color="000000" w:sz="4" w:space="0"/>
            </w:tcBorders>
            <w:vAlign w:val="center"/>
          </w:tcPr>
          <w:p w14:paraId="586BD47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汇总周期查看</w:t>
            </w:r>
          </w:p>
        </w:tc>
        <w:tc>
          <w:tcPr>
            <w:tcW w:w="6314" w:type="dxa"/>
            <w:tcBorders>
              <w:top w:val="single" w:color="000000" w:sz="4" w:space="0"/>
              <w:left w:val="single" w:color="000000" w:sz="4" w:space="0"/>
              <w:bottom w:val="single" w:color="000000" w:sz="4" w:space="0"/>
              <w:right w:val="single" w:color="000000" w:sz="4" w:space="0"/>
            </w:tcBorders>
            <w:vAlign w:val="center"/>
          </w:tcPr>
          <w:p w14:paraId="1A3DEB1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系统支持按月、季对汇总数据做周期查看</w:t>
            </w:r>
          </w:p>
        </w:tc>
      </w:tr>
      <w:tr w14:paraId="2AD50B07">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43182C88">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27E721E2">
            <w:pPr>
              <w:jc w:val="left"/>
              <w:rPr>
                <w:rFonts w:hint="eastAsia" w:ascii="宋体" w:hAnsi="宋体" w:eastAsia="宋体" w:cs="宋体"/>
                <w:color w:val="000000"/>
                <w:sz w:val="21"/>
                <w:szCs w:val="21"/>
              </w:rPr>
            </w:pPr>
          </w:p>
        </w:tc>
        <w:tc>
          <w:tcPr>
            <w:tcW w:w="987" w:type="dxa"/>
            <w:tcBorders>
              <w:top w:val="single" w:color="000000" w:sz="4" w:space="0"/>
              <w:left w:val="single" w:color="000000" w:sz="4" w:space="0"/>
              <w:bottom w:val="single" w:color="000000" w:sz="4" w:space="0"/>
              <w:right w:val="single" w:color="000000" w:sz="4" w:space="0"/>
            </w:tcBorders>
            <w:vAlign w:val="center"/>
          </w:tcPr>
          <w:p w14:paraId="6167FAB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指标对比查看（时间维度）</w:t>
            </w:r>
          </w:p>
        </w:tc>
        <w:tc>
          <w:tcPr>
            <w:tcW w:w="6314" w:type="dxa"/>
            <w:tcBorders>
              <w:top w:val="single" w:color="000000" w:sz="4" w:space="0"/>
              <w:left w:val="single" w:color="000000" w:sz="4" w:space="0"/>
              <w:bottom w:val="single" w:color="000000" w:sz="4" w:space="0"/>
              <w:right w:val="single" w:color="000000" w:sz="4" w:space="0"/>
            </w:tcBorders>
            <w:vAlign w:val="center"/>
          </w:tcPr>
          <w:p w14:paraId="6C52771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支持查看各项指标按月、季、半年、年的数据变化趋势，支持图表展示</w:t>
            </w:r>
          </w:p>
        </w:tc>
      </w:tr>
      <w:tr w14:paraId="24EACD6A">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1D10DDB2">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696B9C98">
            <w:pPr>
              <w:jc w:val="left"/>
              <w:rPr>
                <w:rFonts w:hint="eastAsia" w:ascii="宋体" w:hAnsi="宋体" w:eastAsia="宋体" w:cs="宋体"/>
                <w:color w:val="000000"/>
                <w:sz w:val="21"/>
                <w:szCs w:val="21"/>
              </w:rPr>
            </w:pPr>
          </w:p>
        </w:tc>
        <w:tc>
          <w:tcPr>
            <w:tcW w:w="987" w:type="dxa"/>
            <w:tcBorders>
              <w:top w:val="single" w:color="000000" w:sz="4" w:space="0"/>
              <w:left w:val="single" w:color="000000" w:sz="4" w:space="0"/>
              <w:bottom w:val="single" w:color="000000" w:sz="4" w:space="0"/>
              <w:right w:val="single" w:color="000000" w:sz="4" w:space="0"/>
            </w:tcBorders>
            <w:vAlign w:val="center"/>
          </w:tcPr>
          <w:p w14:paraId="062B85B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指标对比查看（科室维度）</w:t>
            </w:r>
          </w:p>
        </w:tc>
        <w:tc>
          <w:tcPr>
            <w:tcW w:w="6314" w:type="dxa"/>
            <w:tcBorders>
              <w:top w:val="single" w:color="000000" w:sz="4" w:space="0"/>
              <w:left w:val="single" w:color="000000" w:sz="4" w:space="0"/>
              <w:bottom w:val="single" w:color="000000" w:sz="4" w:space="0"/>
              <w:right w:val="single" w:color="000000" w:sz="4" w:space="0"/>
            </w:tcBorders>
            <w:vAlign w:val="center"/>
          </w:tcPr>
          <w:p w14:paraId="6E54D5B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支持查看各项指标在某个统计周期内各科室间的数据对比情况</w:t>
            </w:r>
          </w:p>
        </w:tc>
      </w:tr>
      <w:tr w14:paraId="12AD3074">
        <w:tblPrEx>
          <w:tblCellMar>
            <w:top w:w="0" w:type="dxa"/>
            <w:left w:w="108" w:type="dxa"/>
            <w:bottom w:w="0" w:type="dxa"/>
            <w:right w:w="108" w:type="dxa"/>
          </w:tblCellMar>
        </w:tblPrEx>
        <w:trPr>
          <w:trHeight w:val="72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6DCC4B95">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6D6B2C5A">
            <w:pPr>
              <w:jc w:val="left"/>
              <w:rPr>
                <w:rFonts w:hint="eastAsia" w:ascii="宋体" w:hAnsi="宋体" w:eastAsia="宋体" w:cs="宋体"/>
                <w:color w:val="000000"/>
                <w:sz w:val="21"/>
                <w:szCs w:val="21"/>
              </w:rPr>
            </w:pPr>
          </w:p>
        </w:tc>
        <w:tc>
          <w:tcPr>
            <w:tcW w:w="987" w:type="dxa"/>
            <w:tcBorders>
              <w:top w:val="single" w:color="000000" w:sz="4" w:space="0"/>
              <w:left w:val="single" w:color="000000" w:sz="4" w:space="0"/>
              <w:bottom w:val="single" w:color="000000" w:sz="4" w:space="0"/>
              <w:right w:val="single" w:color="000000" w:sz="4" w:space="0"/>
            </w:tcBorders>
            <w:vAlign w:val="center"/>
          </w:tcPr>
          <w:p w14:paraId="6F6E8E7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指标分布查看（四分位数）</w:t>
            </w:r>
          </w:p>
        </w:tc>
        <w:tc>
          <w:tcPr>
            <w:tcW w:w="6314" w:type="dxa"/>
            <w:tcBorders>
              <w:top w:val="single" w:color="000000" w:sz="4" w:space="0"/>
              <w:left w:val="single" w:color="000000" w:sz="4" w:space="0"/>
              <w:bottom w:val="single" w:color="000000" w:sz="4" w:space="0"/>
              <w:right w:val="single" w:color="000000" w:sz="4" w:space="0"/>
            </w:tcBorders>
            <w:vAlign w:val="center"/>
          </w:tcPr>
          <w:p w14:paraId="5FFD364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支持展示各项指标在某个统计周期内的最大值、上四分位数、中位数、下四分位数、最小值，用于护理单元了解自身数据在全院所有护理单元中的分位</w:t>
            </w:r>
          </w:p>
        </w:tc>
      </w:tr>
      <w:tr w14:paraId="1F544492">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05ECFEFD">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2C83DD0A">
            <w:pPr>
              <w:jc w:val="left"/>
              <w:rPr>
                <w:rFonts w:hint="eastAsia" w:ascii="宋体" w:hAnsi="宋体" w:eastAsia="宋体" w:cs="宋体"/>
                <w:color w:val="000000"/>
                <w:sz w:val="21"/>
                <w:szCs w:val="21"/>
              </w:rPr>
            </w:pPr>
          </w:p>
        </w:tc>
        <w:tc>
          <w:tcPr>
            <w:tcW w:w="987" w:type="dxa"/>
            <w:tcBorders>
              <w:top w:val="single" w:color="000000" w:sz="4" w:space="0"/>
              <w:left w:val="single" w:color="000000" w:sz="4" w:space="0"/>
              <w:bottom w:val="single" w:color="000000" w:sz="4" w:space="0"/>
              <w:right w:val="single" w:color="000000" w:sz="4" w:space="0"/>
            </w:tcBorders>
            <w:vAlign w:val="center"/>
          </w:tcPr>
          <w:p w14:paraId="7243C60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指标预警查看</w:t>
            </w:r>
          </w:p>
        </w:tc>
        <w:tc>
          <w:tcPr>
            <w:tcW w:w="6314" w:type="dxa"/>
            <w:tcBorders>
              <w:top w:val="single" w:color="000000" w:sz="4" w:space="0"/>
              <w:left w:val="single" w:color="000000" w:sz="4" w:space="0"/>
              <w:bottom w:val="single" w:color="000000" w:sz="4" w:space="0"/>
              <w:right w:val="single" w:color="000000" w:sz="4" w:space="0"/>
            </w:tcBorders>
            <w:vAlign w:val="center"/>
          </w:tcPr>
          <w:p w14:paraId="66B7C35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支持按设置的预警值，对预警指标做突出显示</w:t>
            </w:r>
          </w:p>
        </w:tc>
      </w:tr>
      <w:tr w14:paraId="075B8997">
        <w:tblPrEx>
          <w:tblCellMar>
            <w:top w:w="0" w:type="dxa"/>
            <w:left w:w="108" w:type="dxa"/>
            <w:bottom w:w="0" w:type="dxa"/>
            <w:right w:w="108" w:type="dxa"/>
          </w:tblCellMar>
        </w:tblPrEx>
        <w:trPr>
          <w:trHeight w:val="72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3FC94815">
            <w:pPr>
              <w:jc w:val="center"/>
              <w:rPr>
                <w:rFonts w:hint="eastAsia" w:ascii="宋体" w:hAnsi="宋体" w:eastAsia="宋体" w:cs="宋体"/>
                <w:color w:val="000000"/>
                <w:sz w:val="21"/>
                <w:szCs w:val="21"/>
              </w:rPr>
            </w:pPr>
          </w:p>
        </w:tc>
        <w:tc>
          <w:tcPr>
            <w:tcW w:w="1791" w:type="dxa"/>
            <w:gridSpan w:val="2"/>
            <w:tcBorders>
              <w:top w:val="single" w:color="000000" w:sz="4" w:space="0"/>
              <w:left w:val="single" w:color="000000" w:sz="4" w:space="0"/>
              <w:bottom w:val="single" w:color="000000" w:sz="4" w:space="0"/>
              <w:right w:val="single" w:color="000000" w:sz="4" w:space="0"/>
            </w:tcBorders>
            <w:vAlign w:val="center"/>
          </w:tcPr>
          <w:p w14:paraId="2EF0FBEE">
            <w:pPr>
              <w:widowControl/>
              <w:jc w:val="left"/>
              <w:textAlignment w:val="center"/>
              <w:rPr>
                <w:rFonts w:hint="eastAsia" w:ascii="宋体" w:hAnsi="宋体" w:eastAsia="宋体" w:cs="宋体"/>
                <w:color w:val="000000"/>
                <w:sz w:val="21"/>
                <w:szCs w:val="21"/>
              </w:rPr>
            </w:pPr>
            <w:bookmarkStart w:id="82" w:name="OLE_LINK1"/>
            <w:r>
              <w:rPr>
                <w:rFonts w:hint="eastAsia" w:ascii="宋体" w:hAnsi="宋体" w:eastAsia="宋体" w:cs="宋体"/>
                <w:color w:val="000000"/>
                <w:kern w:val="0"/>
                <w:sz w:val="21"/>
                <w:szCs w:val="21"/>
                <w:lang w:bidi="ar"/>
              </w:rPr>
              <w:t>★</w:t>
            </w:r>
            <w:bookmarkEnd w:id="82"/>
            <w:r>
              <w:rPr>
                <w:rFonts w:hint="eastAsia" w:ascii="宋体" w:hAnsi="宋体" w:eastAsia="宋体" w:cs="宋体"/>
                <w:color w:val="000000"/>
                <w:kern w:val="0"/>
                <w:sz w:val="21"/>
                <w:szCs w:val="21"/>
                <w:lang w:bidi="ar"/>
              </w:rPr>
              <w:t>国家上报平台数据表导出</w:t>
            </w:r>
          </w:p>
        </w:tc>
        <w:tc>
          <w:tcPr>
            <w:tcW w:w="6314" w:type="dxa"/>
            <w:tcBorders>
              <w:top w:val="single" w:color="000000" w:sz="4" w:space="0"/>
              <w:left w:val="single" w:color="000000" w:sz="4" w:space="0"/>
              <w:bottom w:val="single" w:color="000000" w:sz="4" w:space="0"/>
              <w:right w:val="single" w:color="000000" w:sz="4" w:space="0"/>
            </w:tcBorders>
            <w:vAlign w:val="center"/>
          </w:tcPr>
          <w:p w14:paraId="0C5BAAA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支持按国家护理质量平台上报数据模板导出数据，导出文件支持上传至国家护理质量数据平台</w:t>
            </w:r>
          </w:p>
        </w:tc>
      </w:tr>
      <w:tr w14:paraId="6F949200">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34F31F0E">
            <w:pPr>
              <w:jc w:val="center"/>
              <w:rPr>
                <w:rFonts w:hint="eastAsia" w:ascii="宋体" w:hAnsi="宋体" w:eastAsia="宋体" w:cs="宋体"/>
                <w:color w:val="000000"/>
                <w:sz w:val="21"/>
                <w:szCs w:val="21"/>
              </w:rPr>
            </w:pPr>
          </w:p>
        </w:tc>
        <w:tc>
          <w:tcPr>
            <w:tcW w:w="804" w:type="dxa"/>
            <w:vMerge w:val="restart"/>
            <w:tcBorders>
              <w:top w:val="single" w:color="000000" w:sz="4" w:space="0"/>
              <w:left w:val="single" w:color="000000" w:sz="4" w:space="0"/>
              <w:bottom w:val="single" w:color="000000" w:sz="4" w:space="0"/>
              <w:right w:val="single" w:color="000000" w:sz="4" w:space="0"/>
            </w:tcBorders>
            <w:vAlign w:val="center"/>
          </w:tcPr>
          <w:p w14:paraId="6855114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采集引擎</w:t>
            </w:r>
          </w:p>
        </w:tc>
        <w:tc>
          <w:tcPr>
            <w:tcW w:w="987" w:type="dxa"/>
            <w:tcBorders>
              <w:top w:val="single" w:color="000000" w:sz="4" w:space="0"/>
              <w:left w:val="single" w:color="000000" w:sz="4" w:space="0"/>
              <w:bottom w:val="single" w:color="000000" w:sz="4" w:space="0"/>
              <w:right w:val="single" w:color="000000" w:sz="4" w:space="0"/>
            </w:tcBorders>
            <w:vAlign w:val="center"/>
          </w:tcPr>
          <w:p w14:paraId="0E50EC2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数据接入</w:t>
            </w:r>
          </w:p>
        </w:tc>
        <w:tc>
          <w:tcPr>
            <w:tcW w:w="6314" w:type="dxa"/>
            <w:tcBorders>
              <w:top w:val="single" w:color="000000" w:sz="4" w:space="0"/>
              <w:left w:val="single" w:color="000000" w:sz="4" w:space="0"/>
              <w:bottom w:val="single" w:color="000000" w:sz="4" w:space="0"/>
              <w:right w:val="single" w:color="000000" w:sz="4" w:space="0"/>
            </w:tcBorders>
            <w:vAlign w:val="center"/>
          </w:tcPr>
          <w:p w14:paraId="3B83425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可以接入不同系统的初始数据，如HIS、移动护理、不良事件等</w:t>
            </w:r>
          </w:p>
        </w:tc>
      </w:tr>
      <w:tr w14:paraId="6B4D11E9">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2584C9C1">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76BA484F">
            <w:pPr>
              <w:jc w:val="left"/>
              <w:rPr>
                <w:rFonts w:hint="eastAsia" w:ascii="宋体" w:hAnsi="宋体" w:eastAsia="宋体" w:cs="宋体"/>
                <w:color w:val="000000"/>
                <w:sz w:val="21"/>
                <w:szCs w:val="21"/>
              </w:rPr>
            </w:pPr>
          </w:p>
        </w:tc>
        <w:tc>
          <w:tcPr>
            <w:tcW w:w="987" w:type="dxa"/>
            <w:tcBorders>
              <w:top w:val="single" w:color="000000" w:sz="4" w:space="0"/>
              <w:left w:val="single" w:color="000000" w:sz="4" w:space="0"/>
              <w:bottom w:val="single" w:color="000000" w:sz="4" w:space="0"/>
              <w:right w:val="single" w:color="000000" w:sz="4" w:space="0"/>
            </w:tcBorders>
            <w:vAlign w:val="center"/>
          </w:tcPr>
          <w:p w14:paraId="67B227E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数据校验</w:t>
            </w:r>
          </w:p>
        </w:tc>
        <w:tc>
          <w:tcPr>
            <w:tcW w:w="6314" w:type="dxa"/>
            <w:tcBorders>
              <w:top w:val="single" w:color="000000" w:sz="4" w:space="0"/>
              <w:left w:val="single" w:color="000000" w:sz="4" w:space="0"/>
              <w:bottom w:val="single" w:color="000000" w:sz="4" w:space="0"/>
              <w:right w:val="single" w:color="000000" w:sz="4" w:space="0"/>
            </w:tcBorders>
            <w:vAlign w:val="center"/>
          </w:tcPr>
          <w:p w14:paraId="2BFE7C6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对于接入的数据，进行结构校验，是否符合需要</w:t>
            </w:r>
          </w:p>
        </w:tc>
      </w:tr>
      <w:tr w14:paraId="6AFEB55B">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4EC1C56C">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56A50436">
            <w:pPr>
              <w:jc w:val="left"/>
              <w:rPr>
                <w:rFonts w:hint="eastAsia" w:ascii="宋体" w:hAnsi="宋体" w:eastAsia="宋体" w:cs="宋体"/>
                <w:color w:val="000000"/>
                <w:sz w:val="21"/>
                <w:szCs w:val="21"/>
              </w:rPr>
            </w:pPr>
          </w:p>
        </w:tc>
        <w:tc>
          <w:tcPr>
            <w:tcW w:w="987" w:type="dxa"/>
            <w:tcBorders>
              <w:top w:val="single" w:color="000000" w:sz="4" w:space="0"/>
              <w:left w:val="single" w:color="000000" w:sz="4" w:space="0"/>
              <w:bottom w:val="single" w:color="000000" w:sz="4" w:space="0"/>
              <w:right w:val="single" w:color="000000" w:sz="4" w:space="0"/>
            </w:tcBorders>
            <w:vAlign w:val="center"/>
          </w:tcPr>
          <w:p w14:paraId="3541815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数据清洗</w:t>
            </w:r>
          </w:p>
        </w:tc>
        <w:tc>
          <w:tcPr>
            <w:tcW w:w="6314" w:type="dxa"/>
            <w:tcBorders>
              <w:top w:val="single" w:color="000000" w:sz="4" w:space="0"/>
              <w:left w:val="single" w:color="000000" w:sz="4" w:space="0"/>
              <w:bottom w:val="single" w:color="000000" w:sz="4" w:space="0"/>
              <w:right w:val="single" w:color="000000" w:sz="4" w:space="0"/>
            </w:tcBorders>
            <w:vAlign w:val="center"/>
          </w:tcPr>
          <w:p w14:paraId="7D54490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对于不符合条件的数据，通过去重、补值、剔除等手段，修正成符合条件的数据</w:t>
            </w:r>
          </w:p>
        </w:tc>
      </w:tr>
      <w:tr w14:paraId="5478C422">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1B682F6F">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2EAADAAE">
            <w:pPr>
              <w:jc w:val="left"/>
              <w:rPr>
                <w:rFonts w:hint="eastAsia" w:ascii="宋体" w:hAnsi="宋体" w:eastAsia="宋体" w:cs="宋体"/>
                <w:color w:val="000000"/>
                <w:sz w:val="21"/>
                <w:szCs w:val="21"/>
              </w:rPr>
            </w:pPr>
          </w:p>
        </w:tc>
        <w:tc>
          <w:tcPr>
            <w:tcW w:w="987" w:type="dxa"/>
            <w:tcBorders>
              <w:top w:val="single" w:color="000000" w:sz="4" w:space="0"/>
              <w:left w:val="single" w:color="000000" w:sz="4" w:space="0"/>
              <w:bottom w:val="single" w:color="000000" w:sz="4" w:space="0"/>
              <w:right w:val="single" w:color="000000" w:sz="4" w:space="0"/>
            </w:tcBorders>
            <w:vAlign w:val="center"/>
          </w:tcPr>
          <w:p w14:paraId="170D84D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数据建模</w:t>
            </w:r>
          </w:p>
        </w:tc>
        <w:tc>
          <w:tcPr>
            <w:tcW w:w="6314" w:type="dxa"/>
            <w:tcBorders>
              <w:top w:val="single" w:color="000000" w:sz="4" w:space="0"/>
              <w:left w:val="single" w:color="000000" w:sz="4" w:space="0"/>
              <w:bottom w:val="single" w:color="000000" w:sz="4" w:space="0"/>
              <w:right w:val="single" w:color="000000" w:sz="4" w:space="0"/>
            </w:tcBorders>
            <w:vAlign w:val="center"/>
          </w:tcPr>
          <w:p w14:paraId="2D3061C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把数据转换成敏感指标需要的内容，方便使用</w:t>
            </w:r>
          </w:p>
        </w:tc>
      </w:tr>
      <w:tr w14:paraId="4E84442A">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5FEC685A">
            <w:pPr>
              <w:jc w:val="center"/>
              <w:rPr>
                <w:rFonts w:hint="eastAsia" w:ascii="宋体" w:hAnsi="宋体" w:eastAsia="宋体" w:cs="宋体"/>
                <w:color w:val="000000"/>
                <w:sz w:val="21"/>
                <w:szCs w:val="21"/>
              </w:rPr>
            </w:pPr>
          </w:p>
        </w:tc>
        <w:tc>
          <w:tcPr>
            <w:tcW w:w="804" w:type="dxa"/>
            <w:vMerge w:val="restart"/>
            <w:tcBorders>
              <w:top w:val="single" w:color="000000" w:sz="4" w:space="0"/>
              <w:left w:val="single" w:color="000000" w:sz="4" w:space="0"/>
              <w:bottom w:val="single" w:color="000000" w:sz="4" w:space="0"/>
              <w:right w:val="single" w:color="000000" w:sz="4" w:space="0"/>
            </w:tcBorders>
            <w:vAlign w:val="center"/>
          </w:tcPr>
          <w:p w14:paraId="2A53001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核心数据指标库(除此标准指标库外，可按医院实际情况扩展)</w:t>
            </w:r>
          </w:p>
        </w:tc>
        <w:tc>
          <w:tcPr>
            <w:tcW w:w="987" w:type="dxa"/>
            <w:vMerge w:val="restart"/>
            <w:tcBorders>
              <w:top w:val="single" w:color="000000" w:sz="4" w:space="0"/>
              <w:left w:val="single" w:color="000000" w:sz="4" w:space="0"/>
              <w:bottom w:val="single" w:color="000000" w:sz="4" w:space="0"/>
              <w:right w:val="single" w:color="000000" w:sz="4" w:space="0"/>
            </w:tcBorders>
            <w:vAlign w:val="center"/>
          </w:tcPr>
          <w:p w14:paraId="419098E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护士数量配置相关指标</w:t>
            </w:r>
          </w:p>
        </w:tc>
        <w:tc>
          <w:tcPr>
            <w:tcW w:w="6314" w:type="dxa"/>
            <w:tcBorders>
              <w:top w:val="single" w:color="000000" w:sz="4" w:space="0"/>
              <w:left w:val="single" w:color="000000" w:sz="4" w:space="0"/>
              <w:bottom w:val="single" w:color="000000" w:sz="4" w:space="0"/>
              <w:right w:val="single" w:color="000000" w:sz="4" w:space="0"/>
            </w:tcBorders>
            <w:vAlign w:val="center"/>
          </w:tcPr>
          <w:p w14:paraId="59D8898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统计周期实际开放床位数</w:t>
            </w:r>
          </w:p>
        </w:tc>
      </w:tr>
      <w:tr w14:paraId="445750C2">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7E423D2B">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6A2DEF90">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12E7E9F7">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4C4D765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统计周期初全院执业护士总人数</w:t>
            </w:r>
          </w:p>
        </w:tc>
      </w:tr>
      <w:tr w14:paraId="32B7A682">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63F31404">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60407B61">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242DC0B0">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311C3ED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统计周期末全院执业护士总人数</w:t>
            </w:r>
          </w:p>
        </w:tc>
      </w:tr>
      <w:tr w14:paraId="501B61A4">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481DACEF">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34561D24">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27939C77">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6E5F371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统计周期初病区执业护士总人数</w:t>
            </w:r>
          </w:p>
        </w:tc>
      </w:tr>
      <w:tr w14:paraId="76361894">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4DEC0FE6">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1EBAD159">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634856D1">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056A214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统计周期末病区执业护士总人数</w:t>
            </w:r>
          </w:p>
        </w:tc>
      </w:tr>
      <w:tr w14:paraId="4C521CBC">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1C2C311D">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6AEBC65F">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134702BA">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3FFD3CB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统计周期白班责任护士数</w:t>
            </w:r>
          </w:p>
        </w:tc>
      </w:tr>
      <w:tr w14:paraId="4B26596A">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715DF73A">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3D5F386D">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19367A8D">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7EBA678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统计周期白班护理患者数</w:t>
            </w:r>
          </w:p>
        </w:tc>
      </w:tr>
      <w:tr w14:paraId="60D99F5D">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06709393">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4D276C2A">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4F330797">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39A899C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统计周期夜班责任护士数</w:t>
            </w:r>
          </w:p>
        </w:tc>
      </w:tr>
      <w:tr w14:paraId="563524B2">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205849F9">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4520F109">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36A1870F">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674D133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统计周期夜班护理患者数</w:t>
            </w:r>
          </w:p>
        </w:tc>
      </w:tr>
      <w:tr w14:paraId="352F3AAE">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1756A5DD">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0D886ED9">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191C1BBF">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4D80469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统计周期住院病区执业护士实际上班小时数</w:t>
            </w:r>
          </w:p>
        </w:tc>
      </w:tr>
      <w:tr w14:paraId="68A1925D">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410ADF3E">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0512926C">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5134CF54">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08F981F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统计周期住院患者实际占用床日数</w:t>
            </w:r>
          </w:p>
        </w:tc>
      </w:tr>
      <w:tr w14:paraId="70D7B394">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74EF3217">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4F9AF4F3">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7BA5F1B9">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3A08D22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统计周期初在院患者数</w:t>
            </w:r>
          </w:p>
        </w:tc>
      </w:tr>
      <w:tr w14:paraId="7FE02C2F">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032FF440">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053791B6">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116D48F9">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5B3652E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统计周期新入院患者总数</w:t>
            </w:r>
          </w:p>
        </w:tc>
      </w:tr>
      <w:tr w14:paraId="12548C96">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45DC2D3E">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73CE2554">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736A3BD9">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5A021AC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特级护理患者占用床日数</w:t>
            </w:r>
          </w:p>
        </w:tc>
      </w:tr>
      <w:tr w14:paraId="27552742">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59E4B97D">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0CFF0D89">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6681568A">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6538F3C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一级护理患者占用床日数</w:t>
            </w:r>
          </w:p>
        </w:tc>
      </w:tr>
      <w:tr w14:paraId="5FE866F0">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03686AC2">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19A8EDB7">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77C87982">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595EB9C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二级护理患者占用床日数</w:t>
            </w:r>
          </w:p>
        </w:tc>
      </w:tr>
      <w:tr w14:paraId="23D96D78">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0CB6B809">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0D622486">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3CD5F4C4">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3DA849F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三级护理患者占用床日数</w:t>
            </w:r>
          </w:p>
        </w:tc>
      </w:tr>
      <w:tr w14:paraId="7D61EC4D">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7AA77E1A">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41F94270">
            <w:pPr>
              <w:jc w:val="left"/>
              <w:rPr>
                <w:rFonts w:hint="eastAsia" w:ascii="宋体" w:hAnsi="宋体" w:eastAsia="宋体" w:cs="宋体"/>
                <w:color w:val="000000"/>
                <w:sz w:val="21"/>
                <w:szCs w:val="21"/>
              </w:rPr>
            </w:pPr>
          </w:p>
        </w:tc>
        <w:tc>
          <w:tcPr>
            <w:tcW w:w="987" w:type="dxa"/>
            <w:vMerge w:val="restart"/>
            <w:tcBorders>
              <w:top w:val="single" w:color="000000" w:sz="4" w:space="0"/>
              <w:left w:val="single" w:color="000000" w:sz="4" w:space="0"/>
              <w:bottom w:val="single" w:color="000000" w:sz="4" w:space="0"/>
              <w:right w:val="single" w:color="000000" w:sz="4" w:space="0"/>
            </w:tcBorders>
            <w:vAlign w:val="center"/>
          </w:tcPr>
          <w:p w14:paraId="541D1D0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人力资源结构--职称相关数据</w:t>
            </w:r>
          </w:p>
        </w:tc>
        <w:tc>
          <w:tcPr>
            <w:tcW w:w="6314" w:type="dxa"/>
            <w:tcBorders>
              <w:top w:val="single" w:color="000000" w:sz="4" w:space="0"/>
              <w:left w:val="single" w:color="000000" w:sz="4" w:space="0"/>
              <w:bottom w:val="single" w:color="000000" w:sz="4" w:space="0"/>
              <w:right w:val="single" w:color="000000" w:sz="4" w:space="0"/>
            </w:tcBorders>
            <w:vAlign w:val="center"/>
          </w:tcPr>
          <w:p w14:paraId="4086764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统计周期初护士（初级）人数</w:t>
            </w:r>
          </w:p>
        </w:tc>
      </w:tr>
      <w:tr w14:paraId="53BBBABF">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4CCF231F">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4CFD4FF7">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08591723">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6A5F928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统计周期末护士（初级）人数</w:t>
            </w:r>
          </w:p>
        </w:tc>
      </w:tr>
      <w:tr w14:paraId="79211D92">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5DE9A6DD">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599978C4">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4DB9C4DA">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61232E8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统计周期初护师人数</w:t>
            </w:r>
          </w:p>
        </w:tc>
      </w:tr>
      <w:tr w14:paraId="78A04241">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35265914">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4796EDB8">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6CA081E6">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648974A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统计周期末护师人数</w:t>
            </w:r>
          </w:p>
        </w:tc>
      </w:tr>
      <w:tr w14:paraId="1F2E61C2">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558E9A8C">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391C7D2B">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36AC0B62">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278D0BC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统计周期初主管护师人数</w:t>
            </w:r>
          </w:p>
        </w:tc>
      </w:tr>
      <w:tr w14:paraId="66121DB0">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14309641">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4C096055">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1CC406D4">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4233A46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统计周期末主管护师人数</w:t>
            </w:r>
          </w:p>
        </w:tc>
      </w:tr>
      <w:tr w14:paraId="00F02255">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1FE47C20">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23B767C3">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24E0DA9A">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78E74F0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统计周期初副主任护师人数</w:t>
            </w:r>
          </w:p>
        </w:tc>
      </w:tr>
      <w:tr w14:paraId="06F58ED1">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287753AD">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3C9B3EF5">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44B4FD80">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0BED634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统计周期末副主任护师人数</w:t>
            </w:r>
          </w:p>
        </w:tc>
      </w:tr>
      <w:tr w14:paraId="72EBF19E">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223762D8">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5CE22C3C">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716B68F7">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575AF0D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统计周期初主任护师人数</w:t>
            </w:r>
          </w:p>
        </w:tc>
      </w:tr>
      <w:tr w14:paraId="6883D835">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3FCFBD14">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1B51E591">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2A629E62">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31D4089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统计周期末主任护师人数</w:t>
            </w:r>
          </w:p>
        </w:tc>
      </w:tr>
      <w:tr w14:paraId="4FB4D01C">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145C5FCA">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24EB1D6D">
            <w:pPr>
              <w:jc w:val="left"/>
              <w:rPr>
                <w:rFonts w:hint="eastAsia" w:ascii="宋体" w:hAnsi="宋体" w:eastAsia="宋体" w:cs="宋体"/>
                <w:color w:val="000000"/>
                <w:sz w:val="21"/>
                <w:szCs w:val="21"/>
              </w:rPr>
            </w:pPr>
          </w:p>
        </w:tc>
        <w:tc>
          <w:tcPr>
            <w:tcW w:w="987" w:type="dxa"/>
            <w:vMerge w:val="restart"/>
            <w:tcBorders>
              <w:top w:val="single" w:color="000000" w:sz="4" w:space="0"/>
              <w:left w:val="single" w:color="000000" w:sz="4" w:space="0"/>
              <w:bottom w:val="single" w:color="000000" w:sz="4" w:space="0"/>
              <w:right w:val="single" w:color="000000" w:sz="4" w:space="0"/>
            </w:tcBorders>
            <w:vAlign w:val="center"/>
          </w:tcPr>
          <w:p w14:paraId="7B7E0AE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人力资源结构--学历相关数据</w:t>
            </w:r>
          </w:p>
        </w:tc>
        <w:tc>
          <w:tcPr>
            <w:tcW w:w="6314" w:type="dxa"/>
            <w:tcBorders>
              <w:top w:val="single" w:color="000000" w:sz="4" w:space="0"/>
              <w:left w:val="single" w:color="000000" w:sz="4" w:space="0"/>
              <w:bottom w:val="single" w:color="000000" w:sz="4" w:space="0"/>
              <w:right w:val="single" w:color="000000" w:sz="4" w:space="0"/>
            </w:tcBorders>
            <w:vAlign w:val="center"/>
          </w:tcPr>
          <w:p w14:paraId="4EE85E0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统计周期初中专护士人数</w:t>
            </w:r>
          </w:p>
        </w:tc>
      </w:tr>
      <w:tr w14:paraId="3EC11982">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3518CFF4">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47792921">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0D3C86D2">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1A74782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统计周期末中专护士人数</w:t>
            </w:r>
          </w:p>
        </w:tc>
      </w:tr>
      <w:tr w14:paraId="320F3DD5">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6887416A">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602AFDB3">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11326B91">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30AFD91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统计周期初大专护士人数</w:t>
            </w:r>
          </w:p>
        </w:tc>
      </w:tr>
      <w:tr w14:paraId="4ED3F041">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3F572A9F">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72ABF616">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5969180D">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7BB2057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统计周期末大专护士人数</w:t>
            </w:r>
          </w:p>
        </w:tc>
      </w:tr>
      <w:tr w14:paraId="623342B2">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4C36E347">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2D485A4D">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650BA9D6">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0A4D9E4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统计周期初本科护士人数</w:t>
            </w:r>
          </w:p>
        </w:tc>
      </w:tr>
      <w:tr w14:paraId="7E692D75">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482518E1">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14C68D4C">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1261DFD5">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02B67BC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统计周期末本科护士人数</w:t>
            </w:r>
          </w:p>
        </w:tc>
      </w:tr>
      <w:tr w14:paraId="16995D95">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201BD357">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4C8AA823">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6154FBE0">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34E3FF5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统计周期初硕士护士人数</w:t>
            </w:r>
          </w:p>
        </w:tc>
      </w:tr>
      <w:tr w14:paraId="21CFF85B">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2C5EE833">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065A7A72">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5975598E">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64515AB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统计周期末硕士护士人数</w:t>
            </w:r>
          </w:p>
        </w:tc>
      </w:tr>
      <w:tr w14:paraId="7305E095">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131B72E3">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1397501C">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5C906A57">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3286A65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统计周期初博士护士人数</w:t>
            </w:r>
          </w:p>
        </w:tc>
      </w:tr>
      <w:tr w14:paraId="5115D439">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2738900E">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0EA3ABC3">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63623130">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5785563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统计周期末博士护士人数</w:t>
            </w:r>
          </w:p>
        </w:tc>
      </w:tr>
      <w:tr w14:paraId="45D8C114">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382A6A2E">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1F00D472">
            <w:pPr>
              <w:jc w:val="left"/>
              <w:rPr>
                <w:rFonts w:hint="eastAsia" w:ascii="宋体" w:hAnsi="宋体" w:eastAsia="宋体" w:cs="宋体"/>
                <w:color w:val="000000"/>
                <w:sz w:val="21"/>
                <w:szCs w:val="21"/>
              </w:rPr>
            </w:pPr>
          </w:p>
        </w:tc>
        <w:tc>
          <w:tcPr>
            <w:tcW w:w="987" w:type="dxa"/>
            <w:vMerge w:val="restart"/>
            <w:tcBorders>
              <w:top w:val="single" w:color="000000" w:sz="4" w:space="0"/>
              <w:left w:val="single" w:color="000000" w:sz="4" w:space="0"/>
              <w:bottom w:val="single" w:color="000000" w:sz="4" w:space="0"/>
              <w:right w:val="single" w:color="000000" w:sz="4" w:space="0"/>
            </w:tcBorders>
            <w:vAlign w:val="center"/>
          </w:tcPr>
          <w:p w14:paraId="4EF9765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人力资源结构--工作年限相关数据</w:t>
            </w:r>
          </w:p>
        </w:tc>
        <w:tc>
          <w:tcPr>
            <w:tcW w:w="6314" w:type="dxa"/>
            <w:tcBorders>
              <w:top w:val="single" w:color="000000" w:sz="4" w:space="0"/>
              <w:left w:val="single" w:color="000000" w:sz="4" w:space="0"/>
              <w:bottom w:val="single" w:color="000000" w:sz="4" w:space="0"/>
              <w:right w:val="single" w:color="000000" w:sz="4" w:space="0"/>
            </w:tcBorders>
            <w:vAlign w:val="center"/>
          </w:tcPr>
          <w:p w14:paraId="59A4939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统计周期初&lt;1年资护士人数</w:t>
            </w:r>
          </w:p>
        </w:tc>
      </w:tr>
      <w:tr w14:paraId="350C66F2">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673DAFD2">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063BBC55">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3D16E87F">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4411BBF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统计周期末&lt;1年资护士人数</w:t>
            </w:r>
          </w:p>
        </w:tc>
      </w:tr>
      <w:tr w14:paraId="21774EAE">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043A941B">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1850AD7A">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65B05C42">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75EBF99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统计周期初1≤y&lt;2年资护士人数</w:t>
            </w:r>
          </w:p>
        </w:tc>
      </w:tr>
      <w:tr w14:paraId="71BCC8BE">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55F45015">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00938574">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5EAE9022">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4BA2218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统计周期末1≤y&lt;2年资护士人数</w:t>
            </w:r>
          </w:p>
        </w:tc>
      </w:tr>
      <w:tr w14:paraId="4E23F5D4">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0D59B6FE">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662D05C6">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0E4D505C">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29F7383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统计周期初2≤y&lt;5年资护士人数</w:t>
            </w:r>
          </w:p>
        </w:tc>
      </w:tr>
      <w:tr w14:paraId="412C659C">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5B5C1637">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0D4B00F9">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41B03320">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67FBCB0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统计周期末2≤y&lt;5年资护士人数</w:t>
            </w:r>
          </w:p>
        </w:tc>
      </w:tr>
      <w:tr w14:paraId="453BA868">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4DA4B6B3">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557C98AC">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63B2DF4F">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3CF1C76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统计周期初5≤y&lt;10年资护士人数</w:t>
            </w:r>
          </w:p>
        </w:tc>
      </w:tr>
      <w:tr w14:paraId="7515B74F">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4EACCBA6">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7CB2DCBC">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7351A5FA">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5874000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统计周期末5≤y&lt;10年资护士人数</w:t>
            </w:r>
          </w:p>
        </w:tc>
      </w:tr>
      <w:tr w14:paraId="7EFC1C62">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1FAEED91">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1632225E">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310B6899">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69EF50B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统计周期初10≤y&lt;20年资护士人数</w:t>
            </w:r>
          </w:p>
        </w:tc>
      </w:tr>
      <w:tr w14:paraId="20687D77">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4E67B5FE">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7A6B5617">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10EDD76A">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08CB723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统计周期末10≤y&lt;20年资护士人数</w:t>
            </w:r>
          </w:p>
        </w:tc>
      </w:tr>
      <w:tr w14:paraId="51FB2701">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22AEA690">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6C427897">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2A6A3A17">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06D0A40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统计周期初≥20年资护士人数</w:t>
            </w:r>
          </w:p>
        </w:tc>
      </w:tr>
      <w:tr w14:paraId="6D1F66F2">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622680C1">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4ABB248C">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27241550">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3D43C13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统计周期末≥20年资护士人数</w:t>
            </w:r>
          </w:p>
        </w:tc>
      </w:tr>
      <w:tr w14:paraId="427576B4">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1D66E28E">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7ED736B5">
            <w:pPr>
              <w:jc w:val="left"/>
              <w:rPr>
                <w:rFonts w:hint="eastAsia" w:ascii="宋体" w:hAnsi="宋体" w:eastAsia="宋体" w:cs="宋体"/>
                <w:color w:val="000000"/>
                <w:sz w:val="21"/>
                <w:szCs w:val="21"/>
              </w:rPr>
            </w:pPr>
          </w:p>
        </w:tc>
        <w:tc>
          <w:tcPr>
            <w:tcW w:w="987" w:type="dxa"/>
            <w:vMerge w:val="restart"/>
            <w:tcBorders>
              <w:top w:val="single" w:color="000000" w:sz="4" w:space="0"/>
              <w:left w:val="single" w:color="000000" w:sz="4" w:space="0"/>
              <w:bottom w:val="single" w:color="000000" w:sz="4" w:space="0"/>
              <w:right w:val="single" w:color="000000" w:sz="4" w:space="0"/>
            </w:tcBorders>
            <w:vAlign w:val="center"/>
          </w:tcPr>
          <w:p w14:paraId="64BF389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ICU科室工作年限相关数据</w:t>
            </w:r>
          </w:p>
        </w:tc>
        <w:tc>
          <w:tcPr>
            <w:tcW w:w="6314" w:type="dxa"/>
            <w:tcBorders>
              <w:top w:val="single" w:color="000000" w:sz="4" w:space="0"/>
              <w:left w:val="single" w:color="000000" w:sz="4" w:space="0"/>
              <w:bottom w:val="single" w:color="000000" w:sz="4" w:space="0"/>
              <w:right w:val="single" w:color="000000" w:sz="4" w:space="0"/>
            </w:tcBorders>
            <w:vAlign w:val="center"/>
          </w:tcPr>
          <w:p w14:paraId="33911B9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统计周期初ICU科室工作年限&lt;1年护士人数</w:t>
            </w:r>
          </w:p>
        </w:tc>
      </w:tr>
      <w:tr w14:paraId="067F9CD4">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197C6EE7">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22727FE6">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1766A9EA">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1496C7F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统计周期末ICU科室工作年限&lt;1年护士人数</w:t>
            </w:r>
          </w:p>
        </w:tc>
      </w:tr>
      <w:tr w14:paraId="284EE2CB">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18AF7FD9">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1290C709">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2F3B98E9">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5C61CCC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统计周期初ICU科室工作年限1≤y&lt;2年护士人数</w:t>
            </w:r>
          </w:p>
        </w:tc>
      </w:tr>
      <w:tr w14:paraId="3DBB7CD7">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6F312961">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1EC5757F">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11097968">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1D4670A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统计周期末ICU科室工作年限1≤y&lt;2年护士人数</w:t>
            </w:r>
          </w:p>
        </w:tc>
      </w:tr>
      <w:tr w14:paraId="7DC5F2C2">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04CF29CF">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2F009C61">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1AAF2439">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591FB90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统计周期初ICU科室工作年限2≤y&lt;5年护士人数</w:t>
            </w:r>
          </w:p>
        </w:tc>
      </w:tr>
      <w:tr w14:paraId="38CC62F9">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03DAAC32">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0E3BA050">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12E050C6">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2C0EF52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统计周期末ICU科室工作年限2≤y&lt;5年护士人数</w:t>
            </w:r>
          </w:p>
        </w:tc>
      </w:tr>
      <w:tr w14:paraId="682111DF">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54927C33">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72E1BCA0">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35012741">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19986EC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统计周期初ICU科室工作年限≥5年护士人数</w:t>
            </w:r>
          </w:p>
        </w:tc>
      </w:tr>
      <w:tr w14:paraId="0B235995">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372C8199">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78D1258F">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77114132">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4C1B5DB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统计周期末ICU科室工作年限≥5年护士人数</w:t>
            </w:r>
          </w:p>
        </w:tc>
      </w:tr>
      <w:tr w14:paraId="393FF55E">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08F0268D">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186ADB11">
            <w:pPr>
              <w:jc w:val="left"/>
              <w:rPr>
                <w:rFonts w:hint="eastAsia" w:ascii="宋体" w:hAnsi="宋体" w:eastAsia="宋体" w:cs="宋体"/>
                <w:color w:val="000000"/>
                <w:sz w:val="21"/>
                <w:szCs w:val="21"/>
              </w:rPr>
            </w:pPr>
          </w:p>
        </w:tc>
        <w:tc>
          <w:tcPr>
            <w:tcW w:w="987" w:type="dxa"/>
            <w:vMerge w:val="restart"/>
            <w:tcBorders>
              <w:top w:val="single" w:color="000000" w:sz="4" w:space="0"/>
              <w:left w:val="single" w:color="000000" w:sz="4" w:space="0"/>
              <w:bottom w:val="single" w:color="000000" w:sz="4" w:space="0"/>
              <w:right w:val="single" w:color="000000" w:sz="4" w:space="0"/>
            </w:tcBorders>
            <w:vAlign w:val="center"/>
          </w:tcPr>
          <w:p w14:paraId="762BFA3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离职相关数据</w:t>
            </w:r>
          </w:p>
        </w:tc>
        <w:tc>
          <w:tcPr>
            <w:tcW w:w="6314" w:type="dxa"/>
            <w:tcBorders>
              <w:top w:val="single" w:color="000000" w:sz="4" w:space="0"/>
              <w:left w:val="single" w:color="000000" w:sz="4" w:space="0"/>
              <w:bottom w:val="single" w:color="000000" w:sz="4" w:space="0"/>
              <w:right w:val="single" w:color="000000" w:sz="4" w:space="0"/>
            </w:tcBorders>
            <w:vAlign w:val="center"/>
          </w:tcPr>
          <w:p w14:paraId="660F833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执业护士离职总人数</w:t>
            </w:r>
          </w:p>
        </w:tc>
      </w:tr>
      <w:tr w14:paraId="7E6992FE">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25AE88DD">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0489C1BC">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699A610E">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2E95918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护士（初级）离职人数</w:t>
            </w:r>
          </w:p>
        </w:tc>
      </w:tr>
      <w:tr w14:paraId="3DEE14BD">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10A5E321">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47569CC0">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4F2567FD">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100A43D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护师离职人数</w:t>
            </w:r>
          </w:p>
        </w:tc>
      </w:tr>
      <w:tr w14:paraId="3342EDDB">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650C59B8">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0DCDE995">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164050F8">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3B0805A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主管护师离职人数</w:t>
            </w:r>
          </w:p>
        </w:tc>
      </w:tr>
      <w:tr w14:paraId="025F1B69">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23E219F9">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55019D14">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0B2CA1C8">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3560C72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副主任护师离职人数</w:t>
            </w:r>
          </w:p>
        </w:tc>
      </w:tr>
      <w:tr w14:paraId="35132A0A">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52349B77">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535DA1FD">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3EA2685A">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6DB9BD8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主任护师离职人数</w:t>
            </w:r>
          </w:p>
        </w:tc>
      </w:tr>
      <w:tr w14:paraId="132A9666">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7EDFE0D4">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6358630F">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65C5687C">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2468242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中专护士离职人数</w:t>
            </w:r>
          </w:p>
        </w:tc>
      </w:tr>
      <w:tr w14:paraId="0E8C7B92">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68EFBE16">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199CCBD0">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027245CD">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1CD8BC6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大专护士离职人数</w:t>
            </w:r>
          </w:p>
        </w:tc>
      </w:tr>
      <w:tr w14:paraId="4F8F131B">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031FC87F">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3DDF25D5">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7CBBC74A">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79208D4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本科护士离职人数</w:t>
            </w:r>
          </w:p>
        </w:tc>
      </w:tr>
      <w:tr w14:paraId="7335A352">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2225689B">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4F41EDC7">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664DE17F">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254A69D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硕士护士离职人数</w:t>
            </w:r>
          </w:p>
        </w:tc>
      </w:tr>
      <w:tr w14:paraId="1E5313DC">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1B3F78E1">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30F4E06B">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4559F446">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4D56543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博士护士离职人数</w:t>
            </w:r>
          </w:p>
        </w:tc>
      </w:tr>
      <w:tr w14:paraId="1010CE7C">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06418DD3">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6E022E6D">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442B15AA">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00298A7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&lt;1年资护士离职人数</w:t>
            </w:r>
          </w:p>
        </w:tc>
      </w:tr>
      <w:tr w14:paraId="588F905B">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434B86D5">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370D982F">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3A1519EE">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330EA04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1≤y&lt;2年资护士离职人数</w:t>
            </w:r>
          </w:p>
        </w:tc>
      </w:tr>
      <w:tr w14:paraId="7E5B37C2">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15134610">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09175193">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4F8D168F">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6B10790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2≤y&lt;5年资护士离职人数</w:t>
            </w:r>
          </w:p>
        </w:tc>
      </w:tr>
      <w:tr w14:paraId="0EFE60A1">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453F71FC">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4CE6C24C">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14097D3E">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4A87DB7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5≤y&lt;10年资护士离职人数</w:t>
            </w:r>
          </w:p>
        </w:tc>
      </w:tr>
      <w:tr w14:paraId="3A113CA9">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7B1FB0DB">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18508A43">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70712573">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6AA872F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10≤y&lt;20年资护士离职人数</w:t>
            </w:r>
          </w:p>
        </w:tc>
      </w:tr>
      <w:tr w14:paraId="1F08E9B2">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4D1203F1">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09181C71">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6A273C73">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3FE6E3A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≥20年资护士离职人数</w:t>
            </w:r>
          </w:p>
        </w:tc>
      </w:tr>
      <w:tr w14:paraId="7B59D96E">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2A4CB576">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4FB5A0C3">
            <w:pPr>
              <w:jc w:val="left"/>
              <w:rPr>
                <w:rFonts w:hint="eastAsia" w:ascii="宋体" w:hAnsi="宋体" w:eastAsia="宋体" w:cs="宋体"/>
                <w:color w:val="000000"/>
                <w:sz w:val="21"/>
                <w:szCs w:val="21"/>
              </w:rPr>
            </w:pPr>
          </w:p>
        </w:tc>
        <w:tc>
          <w:tcPr>
            <w:tcW w:w="987" w:type="dxa"/>
            <w:tcBorders>
              <w:top w:val="single" w:color="000000" w:sz="4" w:space="0"/>
              <w:left w:val="single" w:color="000000" w:sz="4" w:space="0"/>
              <w:bottom w:val="single" w:color="000000" w:sz="4" w:space="0"/>
              <w:right w:val="single" w:color="000000" w:sz="4" w:space="0"/>
            </w:tcBorders>
            <w:vAlign w:val="center"/>
          </w:tcPr>
          <w:p w14:paraId="1FEEECC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身体约束相关指标</w:t>
            </w:r>
          </w:p>
        </w:tc>
        <w:tc>
          <w:tcPr>
            <w:tcW w:w="6314" w:type="dxa"/>
            <w:tcBorders>
              <w:top w:val="single" w:color="000000" w:sz="4" w:space="0"/>
              <w:left w:val="single" w:color="000000" w:sz="4" w:space="0"/>
              <w:bottom w:val="single" w:color="000000" w:sz="4" w:space="0"/>
              <w:right w:val="single" w:color="000000" w:sz="4" w:space="0"/>
            </w:tcBorders>
            <w:vAlign w:val="center"/>
          </w:tcPr>
          <w:p w14:paraId="733E14E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住院患者身体约束日数</w:t>
            </w:r>
          </w:p>
        </w:tc>
      </w:tr>
      <w:tr w14:paraId="5CFE298F">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2240FECB">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75421673">
            <w:pPr>
              <w:jc w:val="left"/>
              <w:rPr>
                <w:rFonts w:hint="eastAsia" w:ascii="宋体" w:hAnsi="宋体" w:eastAsia="宋体" w:cs="宋体"/>
                <w:color w:val="000000"/>
                <w:sz w:val="21"/>
                <w:szCs w:val="21"/>
              </w:rPr>
            </w:pPr>
          </w:p>
        </w:tc>
        <w:tc>
          <w:tcPr>
            <w:tcW w:w="987" w:type="dxa"/>
            <w:vMerge w:val="restart"/>
            <w:tcBorders>
              <w:top w:val="single" w:color="000000" w:sz="4" w:space="0"/>
              <w:left w:val="single" w:color="000000" w:sz="4" w:space="0"/>
              <w:bottom w:val="single" w:color="000000" w:sz="4" w:space="0"/>
              <w:right w:val="single" w:color="000000" w:sz="4" w:space="0"/>
            </w:tcBorders>
            <w:vAlign w:val="center"/>
          </w:tcPr>
          <w:p w14:paraId="43D373B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导管非计划拔管相关指标</w:t>
            </w:r>
          </w:p>
        </w:tc>
        <w:tc>
          <w:tcPr>
            <w:tcW w:w="6314" w:type="dxa"/>
            <w:tcBorders>
              <w:top w:val="single" w:color="000000" w:sz="4" w:space="0"/>
              <w:left w:val="single" w:color="000000" w:sz="4" w:space="0"/>
              <w:bottom w:val="single" w:color="000000" w:sz="4" w:space="0"/>
              <w:right w:val="single" w:color="000000" w:sz="4" w:space="0"/>
            </w:tcBorders>
            <w:vAlign w:val="center"/>
          </w:tcPr>
          <w:p w14:paraId="39F82BA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气管导管非计划拔管例次数</w:t>
            </w:r>
          </w:p>
        </w:tc>
      </w:tr>
      <w:tr w14:paraId="06A398B6">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72F5AC37">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6357A3F9">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00AB7AFF">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2F1BB65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气管导管留置总日数</w:t>
            </w:r>
          </w:p>
        </w:tc>
      </w:tr>
      <w:tr w14:paraId="4C358C88">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00052B6B">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69906847">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50A767F0">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4679FD3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气管插管非计划拔管后24h内再插管次数</w:t>
            </w:r>
          </w:p>
        </w:tc>
      </w:tr>
      <w:tr w14:paraId="2E5D768D">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6E05DFEF">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49CE27C0">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5C21D814">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697E75F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CVC非计划拔管例次数</w:t>
            </w:r>
          </w:p>
        </w:tc>
      </w:tr>
      <w:tr w14:paraId="47D6989E">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129C49E9">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4F2BEB2E">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23A9D180">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5FD77BF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CVC留置总日数</w:t>
            </w:r>
          </w:p>
        </w:tc>
      </w:tr>
      <w:tr w14:paraId="7B88459A">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7FE50FA0">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7006B2C0">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7A095DF3">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2DC7AD2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PICC非计划拔管例次数</w:t>
            </w:r>
          </w:p>
        </w:tc>
      </w:tr>
      <w:tr w14:paraId="3D997724">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301C48D9">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411C1FFF">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2E464531">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78354F2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PICC留置总日数</w:t>
            </w:r>
          </w:p>
        </w:tc>
      </w:tr>
      <w:tr w14:paraId="47B79D6D">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5578BC56">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10ED3CC3">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4D40B094">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1BBFF8B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导尿管非计划拔管发生例次数</w:t>
            </w:r>
          </w:p>
        </w:tc>
      </w:tr>
      <w:tr w14:paraId="095022A1">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2E2AAC04">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5F8D0E7D">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5D0E844D">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58690CA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导尿管留置总日数</w:t>
            </w:r>
          </w:p>
        </w:tc>
      </w:tr>
      <w:tr w14:paraId="2A0EC0F1">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44E40FBF">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247327EC">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27665AB8">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4DC69EC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胃肠管（经口鼻）非计划拔管发生例次数</w:t>
            </w:r>
          </w:p>
        </w:tc>
      </w:tr>
      <w:tr w14:paraId="4CE09CC6">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79A145E8">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52A4884D">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6024FC7A">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6DA72A2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胃肠管（经口鼻）留置总日数</w:t>
            </w:r>
          </w:p>
        </w:tc>
      </w:tr>
      <w:tr w14:paraId="1C77BE1B">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62E85FF1">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5848315F">
            <w:pPr>
              <w:jc w:val="left"/>
              <w:rPr>
                <w:rFonts w:hint="eastAsia" w:ascii="宋体" w:hAnsi="宋体" w:eastAsia="宋体" w:cs="宋体"/>
                <w:color w:val="000000"/>
                <w:sz w:val="21"/>
                <w:szCs w:val="21"/>
              </w:rPr>
            </w:pPr>
          </w:p>
        </w:tc>
        <w:tc>
          <w:tcPr>
            <w:tcW w:w="987" w:type="dxa"/>
            <w:vMerge w:val="restart"/>
            <w:tcBorders>
              <w:top w:val="single" w:color="000000" w:sz="4" w:space="0"/>
              <w:left w:val="single" w:color="000000" w:sz="4" w:space="0"/>
              <w:bottom w:val="single" w:color="000000" w:sz="4" w:space="0"/>
              <w:right w:val="single" w:color="000000" w:sz="4" w:space="0"/>
            </w:tcBorders>
            <w:vAlign w:val="center"/>
          </w:tcPr>
          <w:p w14:paraId="6D231B2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导管相关性感染相关指标</w:t>
            </w:r>
          </w:p>
        </w:tc>
        <w:tc>
          <w:tcPr>
            <w:tcW w:w="6314" w:type="dxa"/>
            <w:tcBorders>
              <w:top w:val="single" w:color="000000" w:sz="4" w:space="0"/>
              <w:left w:val="single" w:color="000000" w:sz="4" w:space="0"/>
              <w:bottom w:val="single" w:color="000000" w:sz="4" w:space="0"/>
              <w:right w:val="single" w:color="000000" w:sz="4" w:space="0"/>
            </w:tcBorders>
            <w:vAlign w:val="center"/>
          </w:tcPr>
          <w:p w14:paraId="7BEBE75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CVC相关血流感染发生例次数</w:t>
            </w:r>
          </w:p>
        </w:tc>
      </w:tr>
      <w:tr w14:paraId="3891E70A">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69156970">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31FF389B">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2742A43E">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0093B37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PICC相关血流感染发生例次数</w:t>
            </w:r>
          </w:p>
        </w:tc>
      </w:tr>
      <w:tr w14:paraId="7DA385B3">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44A71DAE">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78948479">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42415404">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42C0D2D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导尿管相关尿路感染（CAUTI)发生例次数</w:t>
            </w:r>
          </w:p>
        </w:tc>
      </w:tr>
      <w:tr w14:paraId="2DB59EF1">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4535B01E">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6C4CFD78">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78122EE0">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0452824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VAP发生例次数</w:t>
            </w:r>
          </w:p>
        </w:tc>
      </w:tr>
      <w:tr w14:paraId="2AFAEDC0">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16ACE736">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7402DD74">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701D75FD">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2BFE9C8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有创机械通气的总日数</w:t>
            </w:r>
          </w:p>
        </w:tc>
      </w:tr>
      <w:tr w14:paraId="5681CCB0">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28F6D843">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149193E9">
            <w:pPr>
              <w:jc w:val="left"/>
              <w:rPr>
                <w:rFonts w:hint="eastAsia" w:ascii="宋体" w:hAnsi="宋体" w:eastAsia="宋体" w:cs="宋体"/>
                <w:color w:val="000000"/>
                <w:sz w:val="21"/>
                <w:szCs w:val="21"/>
              </w:rPr>
            </w:pPr>
          </w:p>
        </w:tc>
        <w:tc>
          <w:tcPr>
            <w:tcW w:w="987" w:type="dxa"/>
            <w:vMerge w:val="restart"/>
            <w:tcBorders>
              <w:top w:val="single" w:color="000000" w:sz="4" w:space="0"/>
              <w:left w:val="single" w:color="000000" w:sz="4" w:space="0"/>
              <w:bottom w:val="single" w:color="000000" w:sz="4" w:space="0"/>
              <w:right w:val="single" w:color="000000" w:sz="4" w:space="0"/>
            </w:tcBorders>
            <w:vAlign w:val="center"/>
          </w:tcPr>
          <w:p w14:paraId="56783BE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跌倒相关指标</w:t>
            </w:r>
          </w:p>
        </w:tc>
        <w:tc>
          <w:tcPr>
            <w:tcW w:w="6314" w:type="dxa"/>
            <w:tcBorders>
              <w:top w:val="single" w:color="000000" w:sz="4" w:space="0"/>
              <w:left w:val="single" w:color="000000" w:sz="4" w:space="0"/>
              <w:bottom w:val="single" w:color="000000" w:sz="4" w:space="0"/>
              <w:right w:val="single" w:color="000000" w:sz="4" w:space="0"/>
            </w:tcBorders>
            <w:vAlign w:val="center"/>
          </w:tcPr>
          <w:p w14:paraId="72BEB12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住院患者跌倒无伤害（0级）例次数</w:t>
            </w:r>
          </w:p>
        </w:tc>
      </w:tr>
      <w:tr w14:paraId="711DFD92">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1FDCDF43">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35BFE9BC">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45C9CE16">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239E955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住院患者跌倒轻度伤害（1级）例次数</w:t>
            </w:r>
          </w:p>
        </w:tc>
      </w:tr>
      <w:tr w14:paraId="0B06D990">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4E4FD338">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34B68356">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3A04DC28">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1C842BD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住院患者跌倒中度伤害（2级）例次数</w:t>
            </w:r>
          </w:p>
        </w:tc>
      </w:tr>
      <w:tr w14:paraId="662CA963">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364C27A7">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5A87C98A">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7F9FA12F">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7F6D27D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住院患者跌倒重度伤害（3级）例次数</w:t>
            </w:r>
          </w:p>
        </w:tc>
      </w:tr>
      <w:tr w14:paraId="25CA6B18">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4F1B20A9">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005249E4">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1060AF40">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26EAC3D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住院患者跌倒死亡例数</w:t>
            </w:r>
          </w:p>
        </w:tc>
      </w:tr>
      <w:tr w14:paraId="6B50E10C">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245A7A25">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485244D8">
            <w:pPr>
              <w:jc w:val="left"/>
              <w:rPr>
                <w:rFonts w:hint="eastAsia" w:ascii="宋体" w:hAnsi="宋体" w:eastAsia="宋体" w:cs="宋体"/>
                <w:color w:val="000000"/>
                <w:sz w:val="21"/>
                <w:szCs w:val="21"/>
              </w:rPr>
            </w:pPr>
          </w:p>
        </w:tc>
        <w:tc>
          <w:tcPr>
            <w:tcW w:w="987" w:type="dxa"/>
            <w:tcBorders>
              <w:top w:val="single" w:color="000000" w:sz="4" w:space="0"/>
              <w:left w:val="single" w:color="000000" w:sz="4" w:space="0"/>
              <w:bottom w:val="single" w:color="000000" w:sz="4" w:space="0"/>
              <w:right w:val="single" w:color="000000" w:sz="4" w:space="0"/>
            </w:tcBorders>
            <w:vAlign w:val="center"/>
          </w:tcPr>
          <w:p w14:paraId="666F8E3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压力性损伤相关指标</w:t>
            </w:r>
          </w:p>
        </w:tc>
        <w:tc>
          <w:tcPr>
            <w:tcW w:w="6314" w:type="dxa"/>
            <w:tcBorders>
              <w:top w:val="single" w:color="000000" w:sz="4" w:space="0"/>
              <w:left w:val="single" w:color="000000" w:sz="4" w:space="0"/>
              <w:bottom w:val="single" w:color="000000" w:sz="4" w:space="0"/>
              <w:right w:val="single" w:color="000000" w:sz="4" w:space="0"/>
            </w:tcBorders>
            <w:vAlign w:val="center"/>
          </w:tcPr>
          <w:p w14:paraId="144B203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住院患者2期及以上院内压力性损伤（包括粘膜压力性损伤）新发病例数</w:t>
            </w:r>
          </w:p>
        </w:tc>
      </w:tr>
      <w:tr w14:paraId="0E29BF96">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43285CA5">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14724ECD">
            <w:pPr>
              <w:jc w:val="left"/>
              <w:rPr>
                <w:rFonts w:hint="eastAsia" w:ascii="宋体" w:hAnsi="宋体" w:eastAsia="宋体" w:cs="宋体"/>
                <w:color w:val="000000"/>
                <w:sz w:val="21"/>
                <w:szCs w:val="21"/>
              </w:rPr>
            </w:pPr>
          </w:p>
        </w:tc>
        <w:tc>
          <w:tcPr>
            <w:tcW w:w="987" w:type="dxa"/>
            <w:tcBorders>
              <w:top w:val="single" w:color="000000" w:sz="4" w:space="0"/>
              <w:left w:val="single" w:color="000000" w:sz="4" w:space="0"/>
              <w:bottom w:val="single" w:color="000000" w:sz="4" w:space="0"/>
              <w:right w:val="single" w:color="000000" w:sz="4" w:space="0"/>
            </w:tcBorders>
            <w:vAlign w:val="center"/>
          </w:tcPr>
          <w:p w14:paraId="46BDE1A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职业暴露相关指标</w:t>
            </w:r>
          </w:p>
        </w:tc>
        <w:tc>
          <w:tcPr>
            <w:tcW w:w="6314" w:type="dxa"/>
            <w:tcBorders>
              <w:top w:val="single" w:color="000000" w:sz="4" w:space="0"/>
              <w:left w:val="single" w:color="000000" w:sz="4" w:space="0"/>
              <w:bottom w:val="single" w:color="000000" w:sz="4" w:space="0"/>
              <w:right w:val="single" w:color="000000" w:sz="4" w:space="0"/>
            </w:tcBorders>
            <w:vAlign w:val="center"/>
          </w:tcPr>
          <w:p w14:paraId="034BBE6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护士发生锐器伤例次数</w:t>
            </w:r>
          </w:p>
        </w:tc>
      </w:tr>
      <w:tr w14:paraId="033A4735">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06274AD3">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37EA7D3B">
            <w:pPr>
              <w:jc w:val="left"/>
              <w:rPr>
                <w:rFonts w:hint="eastAsia" w:ascii="宋体" w:hAnsi="宋体" w:eastAsia="宋体" w:cs="宋体"/>
                <w:color w:val="000000"/>
                <w:sz w:val="21"/>
                <w:szCs w:val="21"/>
              </w:rPr>
            </w:pPr>
          </w:p>
        </w:tc>
        <w:tc>
          <w:tcPr>
            <w:tcW w:w="987" w:type="dxa"/>
            <w:vMerge w:val="restart"/>
            <w:tcBorders>
              <w:top w:val="single" w:color="000000" w:sz="4" w:space="0"/>
              <w:left w:val="single" w:color="000000" w:sz="4" w:space="0"/>
              <w:bottom w:val="single" w:color="000000" w:sz="4" w:space="0"/>
              <w:right w:val="single" w:color="000000" w:sz="4" w:space="0"/>
            </w:tcBorders>
            <w:vAlign w:val="center"/>
          </w:tcPr>
          <w:p w14:paraId="0D7F240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儿科指标相关数据</w:t>
            </w:r>
          </w:p>
        </w:tc>
        <w:tc>
          <w:tcPr>
            <w:tcW w:w="6314" w:type="dxa"/>
            <w:tcBorders>
              <w:top w:val="single" w:color="000000" w:sz="4" w:space="0"/>
              <w:left w:val="single" w:color="000000" w:sz="4" w:space="0"/>
              <w:bottom w:val="single" w:color="000000" w:sz="4" w:space="0"/>
              <w:right w:val="single" w:color="000000" w:sz="4" w:space="0"/>
            </w:tcBorders>
            <w:vAlign w:val="center"/>
          </w:tcPr>
          <w:p w14:paraId="54533B2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新生儿院内尿布皮炎发生例次数</w:t>
            </w:r>
          </w:p>
        </w:tc>
      </w:tr>
      <w:tr w14:paraId="2F6C6379">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155CF06F">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267C986A">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7B570796">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0D407B0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住院新生儿实际占用床日数</w:t>
            </w:r>
          </w:p>
        </w:tc>
      </w:tr>
      <w:tr w14:paraId="024BC5CA">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26C22397">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2D7CD8A3">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4B3C8B74">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656F6A6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新生儿中度及以上院内尿布皮炎发生例次数</w:t>
            </w:r>
          </w:p>
        </w:tc>
      </w:tr>
      <w:tr w14:paraId="2065E35D">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768D404D">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0B96D446">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5A916F52">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302B565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患儿外周静脉输液渗出/外渗发生例次数</w:t>
            </w:r>
          </w:p>
        </w:tc>
      </w:tr>
      <w:tr w14:paraId="36AF441E">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0634EEFE">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0B53B5D5">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769902F6">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2674684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患儿外周静脉通路留置总日数</w:t>
            </w:r>
          </w:p>
        </w:tc>
      </w:tr>
      <w:tr w14:paraId="69266641">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0FAE6D51">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76BAC5D8">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29615AC6">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280CE6F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患儿外周静脉输液外渗发生例次数</w:t>
            </w:r>
          </w:p>
        </w:tc>
      </w:tr>
      <w:tr w14:paraId="390E3B71">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3721D045">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437B4DAA">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57B55C64">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6920769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出院患儿中持续母乳喂养的6月龄内患儿数</w:t>
            </w:r>
          </w:p>
        </w:tc>
      </w:tr>
      <w:tr w14:paraId="0E2B9E2F">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0EA43772">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5B15DB2A">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6D992DA5">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1D41F5F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出院患儿中入院时为母乳喂养的6月龄内患儿数</w:t>
            </w:r>
          </w:p>
        </w:tc>
      </w:tr>
      <w:tr w14:paraId="178A84D1">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39FD5590">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18297671">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2E810AA3">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5D366FE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6月龄内患儿母乳喂养中断例次数</w:t>
            </w:r>
          </w:p>
        </w:tc>
      </w:tr>
      <w:tr w14:paraId="3CDD8A35">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2EE9EF0B">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0BDE61BC">
            <w:pPr>
              <w:jc w:val="left"/>
              <w:rPr>
                <w:rFonts w:hint="eastAsia" w:ascii="宋体" w:hAnsi="宋体" w:eastAsia="宋体" w:cs="宋体"/>
                <w:color w:val="000000"/>
                <w:sz w:val="21"/>
                <w:szCs w:val="21"/>
              </w:rPr>
            </w:pPr>
          </w:p>
        </w:tc>
        <w:tc>
          <w:tcPr>
            <w:tcW w:w="987" w:type="dxa"/>
            <w:vMerge w:val="restart"/>
            <w:tcBorders>
              <w:top w:val="single" w:color="000000" w:sz="4" w:space="0"/>
              <w:left w:val="single" w:color="000000" w:sz="4" w:space="0"/>
              <w:bottom w:val="single" w:color="000000" w:sz="4" w:space="0"/>
              <w:right w:val="single" w:color="000000" w:sz="4" w:space="0"/>
            </w:tcBorders>
            <w:vAlign w:val="center"/>
          </w:tcPr>
          <w:p w14:paraId="447A724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APACHEII评分情况</w:t>
            </w:r>
          </w:p>
        </w:tc>
        <w:tc>
          <w:tcPr>
            <w:tcW w:w="6314" w:type="dxa"/>
            <w:tcBorders>
              <w:top w:val="single" w:color="000000" w:sz="4" w:space="0"/>
              <w:left w:val="single" w:color="000000" w:sz="4" w:space="0"/>
              <w:bottom w:val="single" w:color="000000" w:sz="4" w:space="0"/>
              <w:right w:val="single" w:color="000000" w:sz="4" w:space="0"/>
            </w:tcBorders>
            <w:vAlign w:val="center"/>
          </w:tcPr>
          <w:p w14:paraId="1046E23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APACHEⅡ评分＜10分患者总数</w:t>
            </w:r>
          </w:p>
        </w:tc>
      </w:tr>
      <w:tr w14:paraId="3BDFD05D">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2FBA82E2">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3A43DA69">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6723B2FE">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7F34382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10分≤APACHEⅡ评分＜15分患者总数</w:t>
            </w:r>
          </w:p>
        </w:tc>
      </w:tr>
      <w:tr w14:paraId="4AF805FA">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195BC5B2">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7DAF4C0C">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1073EAAC">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54A0D5A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15分≤APACHEⅡ评分＜20分患者总数</w:t>
            </w:r>
          </w:p>
        </w:tc>
      </w:tr>
      <w:tr w14:paraId="7DEADBF0">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56D4F26E">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22710BEE">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5B5154CF">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1CB6E6B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20分≤APACHEⅡ评分＜25分患者总数</w:t>
            </w:r>
          </w:p>
        </w:tc>
      </w:tr>
      <w:tr w14:paraId="11D3C84D">
        <w:tblPrEx>
          <w:tblCellMar>
            <w:top w:w="0" w:type="dxa"/>
            <w:left w:w="108" w:type="dxa"/>
            <w:bottom w:w="0" w:type="dxa"/>
            <w:right w:w="108" w:type="dxa"/>
          </w:tblCellMar>
        </w:tblPrEx>
        <w:trPr>
          <w:trHeight w:val="36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52740BCA">
            <w:pPr>
              <w:jc w:val="center"/>
              <w:rPr>
                <w:rFonts w:hint="eastAsia" w:ascii="宋体" w:hAnsi="宋体" w:eastAsia="宋体" w:cs="宋体"/>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40B61899">
            <w:pPr>
              <w:jc w:val="left"/>
              <w:rPr>
                <w:rFonts w:hint="eastAsia" w:ascii="宋体" w:hAnsi="宋体" w:eastAsia="宋体" w:cs="宋体"/>
                <w:color w:val="000000"/>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14:paraId="1BE8A9E4">
            <w:pPr>
              <w:jc w:val="left"/>
              <w:rPr>
                <w:rFonts w:hint="eastAsia" w:ascii="宋体" w:hAnsi="宋体" w:eastAsia="宋体" w:cs="宋体"/>
                <w:color w:val="000000"/>
                <w:sz w:val="21"/>
                <w:szCs w:val="21"/>
              </w:rPr>
            </w:pPr>
          </w:p>
        </w:tc>
        <w:tc>
          <w:tcPr>
            <w:tcW w:w="6314" w:type="dxa"/>
            <w:tcBorders>
              <w:top w:val="single" w:color="000000" w:sz="4" w:space="0"/>
              <w:left w:val="single" w:color="000000" w:sz="4" w:space="0"/>
              <w:bottom w:val="single" w:color="000000" w:sz="4" w:space="0"/>
              <w:right w:val="single" w:color="000000" w:sz="4" w:space="0"/>
            </w:tcBorders>
            <w:vAlign w:val="center"/>
          </w:tcPr>
          <w:p w14:paraId="1CD4BD6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APACHEⅡ评分≥25分患者总数</w:t>
            </w:r>
          </w:p>
        </w:tc>
      </w:tr>
    </w:tbl>
    <w:p w14:paraId="5DC82862">
      <w:pPr>
        <w:rPr>
          <w:rFonts w:hint="eastAsia" w:ascii="宋体" w:hAnsi="宋体" w:eastAsia="宋体" w:cs="宋体"/>
          <w:sz w:val="21"/>
          <w:szCs w:val="21"/>
        </w:rPr>
      </w:pPr>
    </w:p>
    <w:p w14:paraId="0121BE0B">
      <w:pPr>
        <w:pStyle w:val="5"/>
        <w:spacing w:before="156" w:after="156"/>
        <w:rPr>
          <w:rFonts w:hint="eastAsia" w:ascii="宋体" w:hAnsi="宋体" w:eastAsia="宋体" w:cs="宋体"/>
          <w:b/>
          <w:bCs w:val="0"/>
          <w:sz w:val="21"/>
          <w:szCs w:val="21"/>
        </w:rPr>
      </w:pPr>
      <w:r>
        <w:rPr>
          <w:rFonts w:hint="eastAsia" w:ascii="宋体" w:hAnsi="宋体" w:eastAsia="宋体" w:cs="宋体"/>
          <w:b/>
          <w:bCs w:val="0"/>
          <w:sz w:val="21"/>
          <w:szCs w:val="21"/>
          <w:lang w:val="en-US" w:eastAsia="zh-CN"/>
        </w:rPr>
        <w:t>三、</w:t>
      </w:r>
      <w:r>
        <w:rPr>
          <w:rFonts w:hint="eastAsia" w:ascii="宋体" w:hAnsi="宋体" w:eastAsia="宋体" w:cs="宋体"/>
          <w:b/>
          <w:bCs w:val="0"/>
          <w:sz w:val="21"/>
          <w:szCs w:val="21"/>
        </w:rPr>
        <w:t>知识库管理系统</w:t>
      </w:r>
    </w:p>
    <w:tbl>
      <w:tblPr>
        <w:tblStyle w:val="42"/>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088"/>
        <w:gridCol w:w="7235"/>
      </w:tblGrid>
      <w:tr w14:paraId="6EE4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3CDF7B6C">
            <w:pPr>
              <w:pStyle w:val="145"/>
              <w:kinsoku w:val="0"/>
              <w:overflowPunct w:val="0"/>
              <w:autoSpaceDE/>
              <w:autoSpaceDN/>
              <w:jc w:val="center"/>
              <w:rPr>
                <w:rFonts w:hint="eastAsia" w:ascii="宋体" w:hAnsi="宋体" w:eastAsia="宋体" w:cs="宋体"/>
                <w:sz w:val="21"/>
                <w:szCs w:val="21"/>
              </w:rPr>
            </w:pPr>
            <w:r>
              <w:rPr>
                <w:rFonts w:hint="eastAsia" w:ascii="宋体" w:hAnsi="宋体" w:eastAsia="宋体" w:cs="宋体"/>
                <w:sz w:val="21"/>
                <w:szCs w:val="21"/>
              </w:rPr>
              <w:t>模块名称</w:t>
            </w:r>
          </w:p>
        </w:tc>
        <w:tc>
          <w:tcPr>
            <w:tcW w:w="1088" w:type="dxa"/>
            <w:vAlign w:val="center"/>
          </w:tcPr>
          <w:p w14:paraId="4E4D83D7">
            <w:pPr>
              <w:pStyle w:val="145"/>
              <w:kinsoku w:val="0"/>
              <w:overflowPunct w:val="0"/>
              <w:autoSpaceDE/>
              <w:autoSpaceDN/>
              <w:jc w:val="center"/>
              <w:rPr>
                <w:rFonts w:hint="eastAsia" w:ascii="宋体" w:hAnsi="宋体" w:eastAsia="宋体" w:cs="宋体"/>
                <w:sz w:val="21"/>
                <w:szCs w:val="21"/>
              </w:rPr>
            </w:pPr>
            <w:r>
              <w:rPr>
                <w:rFonts w:hint="eastAsia" w:ascii="宋体" w:hAnsi="宋体" w:eastAsia="宋体" w:cs="宋体"/>
                <w:sz w:val="21"/>
                <w:szCs w:val="21"/>
              </w:rPr>
              <w:t>功能点</w:t>
            </w:r>
          </w:p>
        </w:tc>
        <w:tc>
          <w:tcPr>
            <w:tcW w:w="7235" w:type="dxa"/>
            <w:vAlign w:val="center"/>
          </w:tcPr>
          <w:p w14:paraId="7749CA2F">
            <w:pPr>
              <w:pStyle w:val="145"/>
              <w:kinsoku w:val="0"/>
              <w:overflowPunct w:val="0"/>
              <w:autoSpaceDE/>
              <w:autoSpaceDN/>
              <w:jc w:val="center"/>
              <w:rPr>
                <w:rFonts w:hint="eastAsia" w:ascii="宋体" w:hAnsi="宋体" w:eastAsia="宋体" w:cs="宋体"/>
                <w:sz w:val="21"/>
                <w:szCs w:val="21"/>
              </w:rPr>
            </w:pPr>
            <w:r>
              <w:rPr>
                <w:rFonts w:hint="eastAsia" w:ascii="宋体" w:hAnsi="宋体" w:eastAsia="宋体" w:cs="宋体"/>
                <w:sz w:val="21"/>
                <w:szCs w:val="21"/>
              </w:rPr>
              <w:t>功能描述及要求</w:t>
            </w:r>
          </w:p>
        </w:tc>
      </w:tr>
      <w:tr w14:paraId="6AF6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restart"/>
            <w:vAlign w:val="center"/>
          </w:tcPr>
          <w:p w14:paraId="0B53482A">
            <w:pPr>
              <w:pStyle w:val="145"/>
              <w:kinsoku w:val="0"/>
              <w:overflowPunct w:val="0"/>
              <w:autoSpaceDE/>
              <w:autoSpaceDN/>
              <w:jc w:val="center"/>
              <w:rPr>
                <w:rFonts w:hint="eastAsia" w:ascii="宋体" w:hAnsi="宋体" w:eastAsia="宋体" w:cs="宋体"/>
                <w:sz w:val="21"/>
                <w:szCs w:val="21"/>
              </w:rPr>
            </w:pPr>
            <w:r>
              <w:rPr>
                <w:rFonts w:hint="eastAsia" w:ascii="宋体" w:hAnsi="宋体" w:eastAsia="宋体" w:cs="宋体"/>
                <w:sz w:val="21"/>
                <w:szCs w:val="21"/>
              </w:rPr>
              <w:t>中西医临床知识库</w:t>
            </w:r>
          </w:p>
        </w:tc>
        <w:tc>
          <w:tcPr>
            <w:tcW w:w="1088" w:type="dxa"/>
            <w:vAlign w:val="center"/>
          </w:tcPr>
          <w:p w14:paraId="7E0168AC">
            <w:pPr>
              <w:pStyle w:val="145"/>
              <w:kinsoku w:val="0"/>
              <w:overflowPunct w:val="0"/>
              <w:autoSpaceDE/>
              <w:autoSpaceDN/>
              <w:jc w:val="center"/>
              <w:rPr>
                <w:rFonts w:hint="eastAsia" w:ascii="宋体" w:hAnsi="宋体" w:eastAsia="宋体" w:cs="宋体"/>
                <w:sz w:val="21"/>
                <w:szCs w:val="21"/>
              </w:rPr>
            </w:pPr>
            <w:r>
              <w:rPr>
                <w:rFonts w:hint="eastAsia" w:ascii="宋体" w:hAnsi="宋体" w:eastAsia="宋体" w:cs="宋体"/>
                <w:sz w:val="21"/>
                <w:szCs w:val="21"/>
              </w:rPr>
              <w:t>知识库检索</w:t>
            </w:r>
          </w:p>
        </w:tc>
        <w:tc>
          <w:tcPr>
            <w:tcW w:w="7235" w:type="dxa"/>
          </w:tcPr>
          <w:p w14:paraId="4FDCCE95">
            <w:pPr>
              <w:jc w:val="left"/>
              <w:rPr>
                <w:rFonts w:hint="eastAsia" w:ascii="宋体" w:hAnsi="宋体" w:eastAsia="宋体" w:cs="宋体"/>
                <w:sz w:val="21"/>
                <w:szCs w:val="21"/>
              </w:rPr>
            </w:pPr>
            <w:r>
              <w:rPr>
                <w:rFonts w:hint="eastAsia" w:ascii="宋体" w:hAnsi="宋体" w:eastAsia="宋体" w:cs="宋体"/>
                <w:spacing w:val="-2"/>
                <w:sz w:val="21"/>
                <w:szCs w:val="21"/>
              </w:rPr>
              <w:t>支持通过多种方式（关键字、标题首字母）检索知识库内容，涉及疾病知识、检验检查知识、评估表、药品说明书等</w:t>
            </w:r>
            <w:r>
              <w:rPr>
                <w:rFonts w:hint="eastAsia" w:ascii="宋体" w:hAnsi="宋体" w:eastAsia="宋体" w:cs="宋体"/>
                <w:sz w:val="21"/>
                <w:szCs w:val="21"/>
              </w:rPr>
              <w:t>知识内容。</w:t>
            </w:r>
          </w:p>
        </w:tc>
      </w:tr>
      <w:tr w14:paraId="39D5C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continue"/>
            <w:vAlign w:val="center"/>
          </w:tcPr>
          <w:p w14:paraId="774EC98B">
            <w:pPr>
              <w:pStyle w:val="145"/>
              <w:kinsoku w:val="0"/>
              <w:overflowPunct w:val="0"/>
              <w:autoSpaceDE/>
              <w:autoSpaceDN/>
              <w:jc w:val="center"/>
              <w:rPr>
                <w:rFonts w:hint="eastAsia" w:ascii="宋体" w:hAnsi="宋体" w:eastAsia="宋体" w:cs="宋体"/>
                <w:sz w:val="21"/>
                <w:szCs w:val="21"/>
              </w:rPr>
            </w:pPr>
          </w:p>
        </w:tc>
        <w:tc>
          <w:tcPr>
            <w:tcW w:w="1088" w:type="dxa"/>
            <w:vAlign w:val="center"/>
          </w:tcPr>
          <w:p w14:paraId="4F34B240">
            <w:pPr>
              <w:pStyle w:val="145"/>
              <w:kinsoku w:val="0"/>
              <w:overflowPunct w:val="0"/>
              <w:autoSpaceDE/>
              <w:autoSpaceDN/>
              <w:jc w:val="center"/>
              <w:rPr>
                <w:rFonts w:hint="eastAsia" w:ascii="宋体" w:hAnsi="宋体" w:eastAsia="宋体" w:cs="宋体"/>
                <w:sz w:val="21"/>
                <w:szCs w:val="21"/>
              </w:rPr>
            </w:pPr>
            <w:r>
              <w:rPr>
                <w:rFonts w:hint="eastAsia" w:ascii="宋体" w:hAnsi="宋体" w:eastAsia="宋体" w:cs="宋体"/>
                <w:sz w:val="21"/>
                <w:szCs w:val="21"/>
              </w:rPr>
              <w:t>疾病知识库</w:t>
            </w:r>
          </w:p>
        </w:tc>
        <w:tc>
          <w:tcPr>
            <w:tcW w:w="7235" w:type="dxa"/>
          </w:tcPr>
          <w:p w14:paraId="235BCA71">
            <w:pPr>
              <w:jc w:val="left"/>
              <w:rPr>
                <w:rFonts w:hint="eastAsia" w:ascii="宋体" w:hAnsi="宋体" w:eastAsia="宋体" w:cs="宋体"/>
                <w:spacing w:val="-2"/>
                <w:sz w:val="21"/>
                <w:szCs w:val="21"/>
              </w:rPr>
            </w:pPr>
            <w:r>
              <w:rPr>
                <w:rFonts w:hint="eastAsia" w:ascii="宋体" w:hAnsi="宋体" w:eastAsia="宋体" w:cs="宋体"/>
                <w:spacing w:val="-2"/>
                <w:sz w:val="21"/>
                <w:szCs w:val="21"/>
              </w:rPr>
              <w:t>疾病知识库能够提供3000</w:t>
            </w:r>
            <w:r>
              <w:rPr>
                <w:rFonts w:hint="eastAsia" w:ascii="宋体" w:hAnsi="宋体" w:eastAsia="宋体" w:cs="宋体"/>
                <w:spacing w:val="-2"/>
                <w:sz w:val="21"/>
                <w:szCs w:val="21"/>
                <w:lang w:eastAsia="zh-Hans"/>
              </w:rPr>
              <w:t>种</w:t>
            </w:r>
            <w:r>
              <w:rPr>
                <w:rFonts w:hint="eastAsia" w:ascii="宋体" w:hAnsi="宋体" w:eastAsia="宋体" w:cs="宋体"/>
                <w:spacing w:val="-2"/>
                <w:sz w:val="21"/>
                <w:szCs w:val="21"/>
              </w:rPr>
              <w:t>疾病的详细知识内容，应包含疾病定义、病因、病理、临床表现、检查、并发症、诊断、鉴别诊断、治疗、预防的详细知识库内容。</w:t>
            </w:r>
          </w:p>
        </w:tc>
      </w:tr>
      <w:tr w14:paraId="764B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33" w:type="dxa"/>
            <w:vMerge w:val="continue"/>
            <w:vAlign w:val="center"/>
          </w:tcPr>
          <w:p w14:paraId="5FB13BC7">
            <w:pPr>
              <w:pStyle w:val="145"/>
              <w:kinsoku w:val="0"/>
              <w:overflowPunct w:val="0"/>
              <w:autoSpaceDE/>
              <w:autoSpaceDN/>
              <w:jc w:val="center"/>
              <w:rPr>
                <w:rFonts w:hint="eastAsia" w:ascii="宋体" w:hAnsi="宋体" w:eastAsia="宋体" w:cs="宋体"/>
                <w:sz w:val="21"/>
                <w:szCs w:val="21"/>
              </w:rPr>
            </w:pPr>
          </w:p>
        </w:tc>
        <w:tc>
          <w:tcPr>
            <w:tcW w:w="1088" w:type="dxa"/>
            <w:vAlign w:val="center"/>
          </w:tcPr>
          <w:p w14:paraId="6AAA8A65">
            <w:pPr>
              <w:pStyle w:val="145"/>
              <w:kinsoku w:val="0"/>
              <w:overflowPunct w:val="0"/>
              <w:autoSpaceDE/>
              <w:autoSpaceDN/>
              <w:jc w:val="center"/>
              <w:rPr>
                <w:rFonts w:hint="eastAsia" w:ascii="宋体" w:hAnsi="宋体" w:eastAsia="宋体" w:cs="宋体"/>
                <w:spacing w:val="-2"/>
                <w:kern w:val="2"/>
                <w:sz w:val="21"/>
                <w:szCs w:val="21"/>
              </w:rPr>
            </w:pPr>
            <w:r>
              <w:rPr>
                <w:rFonts w:hint="eastAsia" w:ascii="宋体" w:hAnsi="宋体" w:eastAsia="宋体" w:cs="宋体"/>
                <w:spacing w:val="-2"/>
                <w:kern w:val="2"/>
                <w:sz w:val="21"/>
                <w:szCs w:val="21"/>
              </w:rPr>
              <w:t>中医知识库</w:t>
            </w:r>
          </w:p>
        </w:tc>
        <w:tc>
          <w:tcPr>
            <w:tcW w:w="7235" w:type="dxa"/>
          </w:tcPr>
          <w:p w14:paraId="317A3498">
            <w:pPr>
              <w:jc w:val="left"/>
              <w:rPr>
                <w:rFonts w:hint="eastAsia" w:ascii="宋体" w:hAnsi="宋体" w:eastAsia="宋体" w:cs="宋体"/>
                <w:spacing w:val="-2"/>
                <w:sz w:val="21"/>
                <w:szCs w:val="21"/>
              </w:rPr>
            </w:pPr>
            <w:r>
              <w:rPr>
                <w:rFonts w:hint="eastAsia" w:ascii="宋体" w:hAnsi="宋体" w:eastAsia="宋体" w:cs="宋体"/>
                <w:kern w:val="0"/>
                <w:sz w:val="21"/>
                <w:szCs w:val="21"/>
              </w:rPr>
              <w:t>★</w:t>
            </w:r>
            <w:r>
              <w:rPr>
                <w:rFonts w:hint="eastAsia" w:ascii="宋体" w:hAnsi="宋体" w:eastAsia="宋体" w:cs="宋体"/>
                <w:spacing w:val="-2"/>
                <w:sz w:val="21"/>
                <w:szCs w:val="21"/>
              </w:rPr>
              <w:t>医学知识库至少提供1100+中医诊断知识。医学知识库至少提供40000个中药方剂，中药方剂有权威出处。医生可在临床端通过关键字、首字母等方式自主检索中药方剂知识，可查看每个中药方剂的来源、方剂名称、来源、组成、用法、主治等内容。</w:t>
            </w:r>
          </w:p>
        </w:tc>
      </w:tr>
      <w:tr w14:paraId="756D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33" w:type="dxa"/>
            <w:vMerge w:val="continue"/>
            <w:vAlign w:val="center"/>
          </w:tcPr>
          <w:p w14:paraId="3B4BC59B">
            <w:pPr>
              <w:pStyle w:val="145"/>
              <w:kinsoku w:val="0"/>
              <w:overflowPunct w:val="0"/>
              <w:autoSpaceDE/>
              <w:autoSpaceDN/>
              <w:jc w:val="center"/>
              <w:rPr>
                <w:rFonts w:hint="eastAsia" w:ascii="宋体" w:hAnsi="宋体" w:eastAsia="宋体" w:cs="宋体"/>
                <w:sz w:val="21"/>
                <w:szCs w:val="21"/>
              </w:rPr>
            </w:pPr>
          </w:p>
        </w:tc>
        <w:tc>
          <w:tcPr>
            <w:tcW w:w="1088" w:type="dxa"/>
            <w:vAlign w:val="center"/>
          </w:tcPr>
          <w:p w14:paraId="5C9251BF">
            <w:pPr>
              <w:pStyle w:val="145"/>
              <w:kinsoku w:val="0"/>
              <w:overflowPunct w:val="0"/>
              <w:autoSpaceDE/>
              <w:autoSpaceDN/>
              <w:jc w:val="center"/>
              <w:rPr>
                <w:rFonts w:hint="eastAsia" w:ascii="宋体" w:hAnsi="宋体" w:eastAsia="宋体" w:cs="宋体"/>
                <w:spacing w:val="-2"/>
                <w:kern w:val="2"/>
                <w:sz w:val="21"/>
                <w:szCs w:val="21"/>
              </w:rPr>
            </w:pPr>
            <w:r>
              <w:rPr>
                <w:rFonts w:hint="eastAsia" w:ascii="宋体" w:hAnsi="宋体" w:eastAsia="宋体" w:cs="宋体"/>
                <w:spacing w:val="-2"/>
                <w:kern w:val="2"/>
                <w:sz w:val="21"/>
                <w:szCs w:val="21"/>
              </w:rPr>
              <w:t>文献库</w:t>
            </w:r>
          </w:p>
        </w:tc>
        <w:tc>
          <w:tcPr>
            <w:tcW w:w="7235" w:type="dxa"/>
          </w:tcPr>
          <w:p w14:paraId="698CF3C3">
            <w:pPr>
              <w:jc w:val="left"/>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color w:val="000000"/>
                <w:sz w:val="21"/>
                <w:szCs w:val="21"/>
              </w:rPr>
              <w:t>跟踪专业领域重要国际性期刊，遴选高质量文献，供医生在诊疗过程中查阅，数量不少于4000篇。临床医师可以在本地上传更多文献资料以丰富文献库内容。</w:t>
            </w:r>
          </w:p>
        </w:tc>
      </w:tr>
      <w:tr w14:paraId="0346F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3" w:type="dxa"/>
            <w:vMerge w:val="continue"/>
            <w:vAlign w:val="center"/>
          </w:tcPr>
          <w:p w14:paraId="13668322">
            <w:pPr>
              <w:pStyle w:val="145"/>
              <w:kinsoku w:val="0"/>
              <w:overflowPunct w:val="0"/>
              <w:autoSpaceDE/>
              <w:autoSpaceDN/>
              <w:jc w:val="center"/>
              <w:rPr>
                <w:rFonts w:hint="eastAsia" w:ascii="宋体" w:hAnsi="宋体" w:eastAsia="宋体" w:cs="宋体"/>
                <w:sz w:val="21"/>
                <w:szCs w:val="21"/>
              </w:rPr>
            </w:pPr>
          </w:p>
        </w:tc>
        <w:tc>
          <w:tcPr>
            <w:tcW w:w="1088" w:type="dxa"/>
            <w:vAlign w:val="center"/>
          </w:tcPr>
          <w:p w14:paraId="01FCA860">
            <w:pPr>
              <w:pStyle w:val="145"/>
              <w:kinsoku w:val="0"/>
              <w:overflowPunct w:val="0"/>
              <w:autoSpaceDE/>
              <w:autoSpaceDN/>
              <w:jc w:val="center"/>
              <w:rPr>
                <w:rFonts w:hint="eastAsia" w:ascii="宋体" w:hAnsi="宋体" w:eastAsia="宋体" w:cs="宋体"/>
                <w:sz w:val="21"/>
                <w:szCs w:val="21"/>
              </w:rPr>
            </w:pPr>
            <w:r>
              <w:rPr>
                <w:rFonts w:hint="eastAsia" w:ascii="宋体" w:hAnsi="宋体" w:eastAsia="宋体" w:cs="宋体"/>
                <w:sz w:val="21"/>
                <w:szCs w:val="21"/>
              </w:rPr>
              <w:t>处置建议</w:t>
            </w:r>
          </w:p>
        </w:tc>
        <w:tc>
          <w:tcPr>
            <w:tcW w:w="7235" w:type="dxa"/>
          </w:tcPr>
          <w:p w14:paraId="1EE90C3D">
            <w:pPr>
              <w:jc w:val="left"/>
              <w:rPr>
                <w:rFonts w:hint="eastAsia" w:ascii="宋体" w:hAnsi="宋体" w:eastAsia="宋体" w:cs="宋体"/>
                <w:spacing w:val="-2"/>
                <w:sz w:val="21"/>
                <w:szCs w:val="21"/>
              </w:rPr>
            </w:pPr>
            <w:r>
              <w:rPr>
                <w:rFonts w:hint="eastAsia" w:ascii="宋体" w:hAnsi="宋体" w:eastAsia="宋体" w:cs="宋体"/>
                <w:kern w:val="0"/>
                <w:sz w:val="21"/>
                <w:szCs w:val="21"/>
              </w:rPr>
              <w:t>★</w:t>
            </w:r>
            <w:r>
              <w:rPr>
                <w:rFonts w:hint="eastAsia" w:ascii="宋体" w:hAnsi="宋体" w:eastAsia="宋体" w:cs="宋体"/>
                <w:spacing w:val="-2"/>
                <w:sz w:val="21"/>
                <w:szCs w:val="21"/>
              </w:rPr>
              <w:t>知识库提供具有独立入口的疾病的处置知识库，覆盖病种不少于1千种。对于重要急症应提供必要的紧急处理诊疗流程图，例如脑梗死疾病处置知识中应包含卒中诊疗流程图，且具有权威来源。知识库支持开放给用户进行编辑、审核、驳回、发布上线。</w:t>
            </w:r>
          </w:p>
        </w:tc>
      </w:tr>
      <w:tr w14:paraId="6349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continue"/>
            <w:vAlign w:val="center"/>
          </w:tcPr>
          <w:p w14:paraId="13AE5287">
            <w:pPr>
              <w:pStyle w:val="145"/>
              <w:kinsoku w:val="0"/>
              <w:overflowPunct w:val="0"/>
              <w:autoSpaceDE/>
              <w:autoSpaceDN/>
              <w:jc w:val="center"/>
              <w:rPr>
                <w:rFonts w:hint="eastAsia" w:ascii="宋体" w:hAnsi="宋体" w:eastAsia="宋体" w:cs="宋体"/>
                <w:sz w:val="21"/>
                <w:szCs w:val="21"/>
              </w:rPr>
            </w:pPr>
          </w:p>
        </w:tc>
        <w:tc>
          <w:tcPr>
            <w:tcW w:w="1088" w:type="dxa"/>
            <w:vAlign w:val="center"/>
          </w:tcPr>
          <w:p w14:paraId="2DF85F9A">
            <w:pPr>
              <w:pStyle w:val="145"/>
              <w:kinsoku w:val="0"/>
              <w:overflowPunct w:val="0"/>
              <w:autoSpaceDE/>
              <w:autoSpaceDN/>
              <w:jc w:val="center"/>
              <w:rPr>
                <w:rFonts w:hint="eastAsia" w:ascii="宋体" w:hAnsi="宋体" w:eastAsia="宋体" w:cs="宋体"/>
                <w:kern w:val="2"/>
                <w:sz w:val="21"/>
                <w:szCs w:val="21"/>
              </w:rPr>
            </w:pPr>
            <w:r>
              <w:rPr>
                <w:rFonts w:hint="eastAsia" w:ascii="宋体" w:hAnsi="宋体" w:eastAsia="宋体" w:cs="宋体"/>
                <w:sz w:val="21"/>
                <w:szCs w:val="21"/>
              </w:rPr>
              <w:t>药品说明书</w:t>
            </w:r>
          </w:p>
        </w:tc>
        <w:tc>
          <w:tcPr>
            <w:tcW w:w="7235" w:type="dxa"/>
            <w:vAlign w:val="center"/>
          </w:tcPr>
          <w:p w14:paraId="1DADB58A">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涵盖临床常用的药品信息及合理用药信息，包括10000+药品说明书及合理用药信息，包括特殊人群用药禁忌、肝肾功能不全用药禁忌、妊娠期用药禁忌等；</w:t>
            </w:r>
          </w:p>
        </w:tc>
      </w:tr>
      <w:tr w14:paraId="58917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continue"/>
            <w:vAlign w:val="center"/>
          </w:tcPr>
          <w:p w14:paraId="2950DFD1">
            <w:pPr>
              <w:pStyle w:val="145"/>
              <w:kinsoku w:val="0"/>
              <w:overflowPunct w:val="0"/>
              <w:autoSpaceDE/>
              <w:autoSpaceDN/>
              <w:jc w:val="center"/>
              <w:rPr>
                <w:rFonts w:hint="eastAsia" w:ascii="宋体" w:hAnsi="宋体" w:eastAsia="宋体" w:cs="宋体"/>
                <w:sz w:val="21"/>
                <w:szCs w:val="21"/>
              </w:rPr>
            </w:pPr>
          </w:p>
        </w:tc>
        <w:tc>
          <w:tcPr>
            <w:tcW w:w="1088" w:type="dxa"/>
            <w:vAlign w:val="center"/>
          </w:tcPr>
          <w:p w14:paraId="62699943">
            <w:pPr>
              <w:pStyle w:val="145"/>
              <w:kinsoku w:val="0"/>
              <w:overflowPunct w:val="0"/>
              <w:autoSpaceDE/>
              <w:autoSpaceDN/>
              <w:jc w:val="center"/>
              <w:rPr>
                <w:rFonts w:hint="eastAsia" w:ascii="宋体" w:hAnsi="宋体" w:eastAsia="宋体" w:cs="宋体"/>
                <w:sz w:val="21"/>
                <w:szCs w:val="21"/>
              </w:rPr>
            </w:pPr>
            <w:r>
              <w:rPr>
                <w:rFonts w:hint="eastAsia" w:ascii="宋体" w:hAnsi="宋体" w:eastAsia="宋体" w:cs="宋体"/>
                <w:spacing w:val="2"/>
                <w:sz w:val="21"/>
                <w:szCs w:val="21"/>
              </w:rPr>
              <w:t>用药建议</w:t>
            </w:r>
          </w:p>
        </w:tc>
        <w:tc>
          <w:tcPr>
            <w:tcW w:w="7235" w:type="dxa"/>
          </w:tcPr>
          <w:p w14:paraId="21178E66">
            <w:pPr>
              <w:jc w:val="left"/>
              <w:rPr>
                <w:rFonts w:hint="eastAsia" w:ascii="宋体" w:hAnsi="宋体" w:eastAsia="宋体" w:cs="宋体"/>
                <w:spacing w:val="-2"/>
                <w:sz w:val="21"/>
                <w:szCs w:val="21"/>
              </w:rPr>
            </w:pPr>
            <w:r>
              <w:rPr>
                <w:rFonts w:hint="eastAsia" w:ascii="宋体" w:hAnsi="宋体" w:eastAsia="宋体" w:cs="宋体"/>
                <w:kern w:val="0"/>
                <w:sz w:val="21"/>
                <w:szCs w:val="21"/>
              </w:rPr>
              <w:t>★</w:t>
            </w:r>
            <w:r>
              <w:rPr>
                <w:rFonts w:hint="eastAsia" w:ascii="宋体" w:hAnsi="宋体" w:eastAsia="宋体" w:cs="宋体"/>
                <w:spacing w:val="-2"/>
                <w:sz w:val="21"/>
                <w:szCs w:val="21"/>
              </w:rPr>
              <w:t>除药品说明书知识库以外，系统另提供具有独立入口的用药建议知识库，至少覆盖800</w:t>
            </w:r>
            <w:r>
              <w:rPr>
                <w:rFonts w:hint="eastAsia" w:ascii="宋体" w:hAnsi="宋体" w:eastAsia="宋体" w:cs="宋体"/>
                <w:spacing w:val="-2"/>
                <w:sz w:val="21"/>
                <w:szCs w:val="21"/>
                <w:lang w:eastAsia="zh-Hans"/>
              </w:rPr>
              <w:t>余种</w:t>
            </w:r>
            <w:r>
              <w:rPr>
                <w:rFonts w:hint="eastAsia" w:ascii="宋体" w:hAnsi="宋体" w:eastAsia="宋体" w:cs="宋体"/>
                <w:spacing w:val="-2"/>
                <w:sz w:val="21"/>
                <w:szCs w:val="21"/>
              </w:rPr>
              <w:t>疾病的用药建议，内容来源于指南、诊疗规范、权威书籍等权威出处，知识库支持开放给用户进行编辑、审核、驳回、发布上线。</w:t>
            </w:r>
          </w:p>
        </w:tc>
      </w:tr>
      <w:tr w14:paraId="2669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continue"/>
            <w:vAlign w:val="center"/>
          </w:tcPr>
          <w:p w14:paraId="65284D8A">
            <w:pPr>
              <w:pStyle w:val="145"/>
              <w:kinsoku w:val="0"/>
              <w:overflowPunct w:val="0"/>
              <w:autoSpaceDE/>
              <w:autoSpaceDN/>
              <w:jc w:val="center"/>
              <w:rPr>
                <w:rFonts w:hint="eastAsia" w:ascii="宋体" w:hAnsi="宋体" w:eastAsia="宋体" w:cs="宋体"/>
                <w:sz w:val="21"/>
                <w:szCs w:val="21"/>
              </w:rPr>
            </w:pPr>
          </w:p>
        </w:tc>
        <w:tc>
          <w:tcPr>
            <w:tcW w:w="1088" w:type="dxa"/>
            <w:vAlign w:val="center"/>
          </w:tcPr>
          <w:p w14:paraId="57BCB4F7">
            <w:pPr>
              <w:pStyle w:val="145"/>
              <w:kinsoku w:val="0"/>
              <w:overflowPunct w:val="0"/>
              <w:autoSpaceDE/>
              <w:autoSpaceDN/>
              <w:jc w:val="center"/>
              <w:rPr>
                <w:rFonts w:hint="eastAsia" w:ascii="宋体" w:hAnsi="宋体" w:eastAsia="宋体" w:cs="宋体"/>
                <w:spacing w:val="2"/>
                <w:sz w:val="21"/>
                <w:szCs w:val="21"/>
              </w:rPr>
            </w:pPr>
            <w:r>
              <w:rPr>
                <w:rFonts w:hint="eastAsia" w:ascii="宋体" w:hAnsi="宋体" w:eastAsia="宋体" w:cs="宋体"/>
                <w:spacing w:val="2"/>
                <w:sz w:val="21"/>
                <w:szCs w:val="21"/>
              </w:rPr>
              <w:t>检查建议</w:t>
            </w:r>
          </w:p>
        </w:tc>
        <w:tc>
          <w:tcPr>
            <w:tcW w:w="7235" w:type="dxa"/>
          </w:tcPr>
          <w:p w14:paraId="0A353097">
            <w:pPr>
              <w:jc w:val="left"/>
              <w:rPr>
                <w:rFonts w:hint="eastAsia" w:ascii="宋体" w:hAnsi="宋体" w:eastAsia="宋体" w:cs="宋体"/>
                <w:spacing w:val="2"/>
                <w:sz w:val="21"/>
                <w:szCs w:val="21"/>
              </w:rPr>
            </w:pPr>
            <w:r>
              <w:rPr>
                <w:rFonts w:hint="eastAsia" w:ascii="宋体" w:hAnsi="宋体" w:eastAsia="宋体" w:cs="宋体"/>
                <w:spacing w:val="-2"/>
                <w:sz w:val="21"/>
                <w:szCs w:val="21"/>
              </w:rPr>
              <w:t>知识库提供具有独立入口的检查建议知识库，包含900</w:t>
            </w:r>
            <w:r>
              <w:rPr>
                <w:rFonts w:hint="eastAsia" w:ascii="宋体" w:hAnsi="宋体" w:eastAsia="宋体" w:cs="宋体"/>
                <w:spacing w:val="-2"/>
                <w:sz w:val="21"/>
                <w:szCs w:val="21"/>
                <w:lang w:eastAsia="zh-Hans"/>
              </w:rPr>
              <w:t>余种</w:t>
            </w:r>
            <w:r>
              <w:rPr>
                <w:rFonts w:hint="eastAsia" w:ascii="宋体" w:hAnsi="宋体" w:eastAsia="宋体" w:cs="宋体"/>
                <w:spacing w:val="2"/>
                <w:sz w:val="21"/>
                <w:szCs w:val="21"/>
              </w:rPr>
              <w:t>疾病的检查建议，应包含疾病相关的实验室检查、影像学检查、病原学检查的详细知识内容。</w:t>
            </w:r>
            <w:r>
              <w:rPr>
                <w:rFonts w:hint="eastAsia" w:ascii="宋体" w:hAnsi="宋体" w:eastAsia="宋体" w:cs="宋体"/>
                <w:spacing w:val="-2"/>
                <w:sz w:val="21"/>
                <w:szCs w:val="21"/>
              </w:rPr>
              <w:t>内容来源于指南、诊疗规范、权威书籍等权威出处，知识库支持开放给用户进行编辑、审核、驳回、发布上线。</w:t>
            </w:r>
          </w:p>
        </w:tc>
      </w:tr>
      <w:tr w14:paraId="514B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continue"/>
            <w:vAlign w:val="center"/>
          </w:tcPr>
          <w:p w14:paraId="7C2A37C2">
            <w:pPr>
              <w:pStyle w:val="145"/>
              <w:kinsoku w:val="0"/>
              <w:overflowPunct w:val="0"/>
              <w:autoSpaceDE/>
              <w:autoSpaceDN/>
              <w:jc w:val="center"/>
              <w:rPr>
                <w:rFonts w:hint="eastAsia" w:ascii="宋体" w:hAnsi="宋体" w:eastAsia="宋体" w:cs="宋体"/>
                <w:sz w:val="21"/>
                <w:szCs w:val="21"/>
              </w:rPr>
            </w:pPr>
          </w:p>
        </w:tc>
        <w:tc>
          <w:tcPr>
            <w:tcW w:w="1088" w:type="dxa"/>
            <w:vAlign w:val="center"/>
          </w:tcPr>
          <w:p w14:paraId="66AC628A">
            <w:pPr>
              <w:pStyle w:val="145"/>
              <w:kinsoku w:val="0"/>
              <w:overflowPunct w:val="0"/>
              <w:autoSpaceDE/>
              <w:autoSpaceDN/>
              <w:jc w:val="center"/>
              <w:rPr>
                <w:rFonts w:hint="eastAsia" w:ascii="宋体" w:hAnsi="宋体" w:eastAsia="宋体" w:cs="宋体"/>
                <w:spacing w:val="2"/>
                <w:sz w:val="21"/>
                <w:szCs w:val="21"/>
              </w:rPr>
            </w:pPr>
            <w:r>
              <w:rPr>
                <w:rFonts w:hint="eastAsia" w:ascii="宋体" w:hAnsi="宋体" w:eastAsia="宋体" w:cs="宋体"/>
                <w:spacing w:val="2"/>
                <w:sz w:val="21"/>
                <w:szCs w:val="21"/>
              </w:rPr>
              <w:t>患者指</w:t>
            </w:r>
            <w:r>
              <w:rPr>
                <w:rFonts w:hint="eastAsia" w:ascii="宋体" w:hAnsi="宋体" w:eastAsia="宋体" w:cs="宋体"/>
                <w:sz w:val="21"/>
                <w:szCs w:val="21"/>
              </w:rPr>
              <w:t>导</w:t>
            </w:r>
          </w:p>
        </w:tc>
        <w:tc>
          <w:tcPr>
            <w:tcW w:w="7235" w:type="dxa"/>
          </w:tcPr>
          <w:p w14:paraId="44B99D48">
            <w:pPr>
              <w:jc w:val="left"/>
              <w:rPr>
                <w:rFonts w:hint="eastAsia" w:ascii="宋体" w:hAnsi="宋体" w:eastAsia="宋体" w:cs="宋体"/>
                <w:spacing w:val="2"/>
                <w:sz w:val="21"/>
                <w:szCs w:val="21"/>
              </w:rPr>
            </w:pPr>
            <w:r>
              <w:rPr>
                <w:rFonts w:hint="eastAsia" w:ascii="宋体" w:hAnsi="宋体" w:eastAsia="宋体" w:cs="宋体"/>
                <w:spacing w:val="-2"/>
                <w:sz w:val="21"/>
                <w:szCs w:val="21"/>
              </w:rPr>
              <w:t>知识库能够提供700</w:t>
            </w:r>
            <w:r>
              <w:rPr>
                <w:rFonts w:hint="eastAsia" w:ascii="宋体" w:hAnsi="宋体" w:eastAsia="宋体" w:cs="宋体"/>
                <w:spacing w:val="-2"/>
                <w:sz w:val="21"/>
                <w:szCs w:val="21"/>
                <w:lang w:eastAsia="zh-Hans"/>
              </w:rPr>
              <w:t>余种</w:t>
            </w:r>
            <w:r>
              <w:rPr>
                <w:rFonts w:hint="eastAsia" w:ascii="宋体" w:hAnsi="宋体" w:eastAsia="宋体" w:cs="宋体"/>
                <w:spacing w:val="2"/>
                <w:sz w:val="21"/>
                <w:szCs w:val="21"/>
              </w:rPr>
              <w:t>疾病相关的患者出院指导说明。</w:t>
            </w:r>
          </w:p>
        </w:tc>
      </w:tr>
      <w:tr w14:paraId="765C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continue"/>
            <w:vAlign w:val="center"/>
          </w:tcPr>
          <w:p w14:paraId="713A42DC">
            <w:pPr>
              <w:pStyle w:val="145"/>
              <w:kinsoku w:val="0"/>
              <w:overflowPunct w:val="0"/>
              <w:autoSpaceDE/>
              <w:autoSpaceDN/>
              <w:jc w:val="center"/>
              <w:rPr>
                <w:rFonts w:hint="eastAsia" w:ascii="宋体" w:hAnsi="宋体" w:eastAsia="宋体" w:cs="宋体"/>
                <w:sz w:val="21"/>
                <w:szCs w:val="21"/>
              </w:rPr>
            </w:pPr>
          </w:p>
        </w:tc>
        <w:tc>
          <w:tcPr>
            <w:tcW w:w="1088" w:type="dxa"/>
            <w:vAlign w:val="center"/>
          </w:tcPr>
          <w:p w14:paraId="0AE3D134">
            <w:pPr>
              <w:pStyle w:val="145"/>
              <w:kinsoku w:val="0"/>
              <w:overflowPunct w:val="0"/>
              <w:autoSpaceDE/>
              <w:autoSpaceDN/>
              <w:jc w:val="center"/>
              <w:rPr>
                <w:rFonts w:hint="eastAsia" w:ascii="宋体" w:hAnsi="宋体" w:eastAsia="宋体" w:cs="宋体"/>
                <w:spacing w:val="2"/>
                <w:kern w:val="2"/>
                <w:sz w:val="21"/>
                <w:szCs w:val="21"/>
                <w:lang w:eastAsia="zh-Hans"/>
              </w:rPr>
            </w:pPr>
            <w:r>
              <w:rPr>
                <w:rFonts w:hint="eastAsia" w:ascii="宋体" w:hAnsi="宋体" w:eastAsia="宋体" w:cs="宋体"/>
                <w:spacing w:val="2"/>
                <w:sz w:val="21"/>
                <w:szCs w:val="21"/>
                <w:lang w:eastAsia="zh-Hans"/>
              </w:rPr>
              <w:t>诊断依据</w:t>
            </w:r>
          </w:p>
        </w:tc>
        <w:tc>
          <w:tcPr>
            <w:tcW w:w="7235" w:type="dxa"/>
          </w:tcPr>
          <w:p w14:paraId="4D12DF00">
            <w:pPr>
              <w:jc w:val="left"/>
              <w:rPr>
                <w:rFonts w:hint="eastAsia" w:ascii="宋体" w:hAnsi="宋体" w:eastAsia="宋体" w:cs="宋体"/>
                <w:spacing w:val="-2"/>
                <w:sz w:val="21"/>
                <w:szCs w:val="21"/>
                <w:lang w:eastAsia="zh-Hans"/>
              </w:rPr>
            </w:pPr>
            <w:r>
              <w:rPr>
                <w:rFonts w:hint="eastAsia" w:ascii="宋体" w:hAnsi="宋体" w:eastAsia="宋体" w:cs="宋体"/>
                <w:kern w:val="0"/>
                <w:sz w:val="21"/>
                <w:szCs w:val="21"/>
              </w:rPr>
              <w:t>★</w:t>
            </w:r>
            <w:r>
              <w:rPr>
                <w:rFonts w:hint="eastAsia" w:ascii="宋体" w:hAnsi="宋体" w:eastAsia="宋体" w:cs="宋体"/>
                <w:spacing w:val="-2"/>
                <w:sz w:val="21"/>
                <w:szCs w:val="21"/>
              </w:rPr>
              <w:t>系统另提供具有独立入口的诊断依据</w:t>
            </w:r>
            <w:r>
              <w:rPr>
                <w:rFonts w:hint="eastAsia" w:ascii="宋体" w:hAnsi="宋体" w:eastAsia="宋体" w:cs="宋体"/>
                <w:spacing w:val="-2"/>
                <w:sz w:val="21"/>
                <w:szCs w:val="21"/>
                <w:lang w:eastAsia="zh-Hans"/>
              </w:rPr>
              <w:t>知识库</w:t>
            </w:r>
            <w:r>
              <w:rPr>
                <w:rFonts w:hint="eastAsia" w:ascii="宋体" w:hAnsi="宋体" w:eastAsia="宋体" w:cs="宋体"/>
                <w:spacing w:val="-2"/>
                <w:sz w:val="21"/>
                <w:szCs w:val="21"/>
              </w:rPr>
              <w:t>，</w:t>
            </w:r>
            <w:r>
              <w:rPr>
                <w:rFonts w:hint="eastAsia" w:ascii="宋体" w:hAnsi="宋体" w:eastAsia="宋体" w:cs="宋体"/>
                <w:spacing w:val="-2"/>
                <w:sz w:val="21"/>
                <w:szCs w:val="21"/>
                <w:lang w:eastAsia="zh-Hans"/>
              </w:rPr>
              <w:t>能提供</w:t>
            </w:r>
            <w:r>
              <w:rPr>
                <w:rFonts w:hint="eastAsia" w:ascii="宋体" w:hAnsi="宋体" w:eastAsia="宋体" w:cs="宋体"/>
                <w:spacing w:val="-2"/>
                <w:sz w:val="21"/>
                <w:szCs w:val="21"/>
              </w:rPr>
              <w:t>10</w:t>
            </w:r>
            <w:r>
              <w:rPr>
                <w:rFonts w:hint="eastAsia" w:ascii="宋体" w:hAnsi="宋体" w:eastAsia="宋体" w:cs="宋体"/>
                <w:spacing w:val="-2"/>
                <w:sz w:val="21"/>
                <w:szCs w:val="21"/>
                <w:lang w:eastAsia="zh-Hans"/>
              </w:rPr>
              <w:t>00余种疾病的诊断依据，供医生查看。</w:t>
            </w:r>
            <w:r>
              <w:rPr>
                <w:rFonts w:hint="eastAsia" w:ascii="宋体" w:hAnsi="宋体" w:eastAsia="宋体" w:cs="宋体"/>
                <w:spacing w:val="-2"/>
                <w:sz w:val="21"/>
                <w:szCs w:val="21"/>
              </w:rPr>
              <w:t>内容来源于指南、诊疗规范、权威书籍等权威出处，知识库支持开放给用户进行编辑、审核、驳回、发布上线。</w:t>
            </w:r>
          </w:p>
        </w:tc>
      </w:tr>
      <w:tr w14:paraId="0137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continue"/>
            <w:vAlign w:val="center"/>
          </w:tcPr>
          <w:p w14:paraId="571D73CB">
            <w:pPr>
              <w:pStyle w:val="145"/>
              <w:kinsoku w:val="0"/>
              <w:overflowPunct w:val="0"/>
              <w:autoSpaceDE/>
              <w:autoSpaceDN/>
              <w:jc w:val="center"/>
              <w:rPr>
                <w:rFonts w:hint="eastAsia" w:ascii="宋体" w:hAnsi="宋体" w:eastAsia="宋体" w:cs="宋体"/>
                <w:sz w:val="21"/>
                <w:szCs w:val="21"/>
              </w:rPr>
            </w:pPr>
          </w:p>
        </w:tc>
        <w:tc>
          <w:tcPr>
            <w:tcW w:w="1088" w:type="dxa"/>
            <w:vAlign w:val="center"/>
          </w:tcPr>
          <w:p w14:paraId="1CE084D6">
            <w:pPr>
              <w:jc w:val="center"/>
              <w:rPr>
                <w:rFonts w:hint="eastAsia" w:ascii="宋体" w:hAnsi="宋体" w:eastAsia="宋体" w:cs="宋体"/>
                <w:spacing w:val="-2"/>
                <w:sz w:val="21"/>
                <w:szCs w:val="21"/>
              </w:rPr>
            </w:pPr>
            <w:r>
              <w:rPr>
                <w:rFonts w:hint="eastAsia" w:ascii="宋体" w:hAnsi="宋体" w:eastAsia="宋体" w:cs="宋体"/>
                <w:spacing w:val="-2"/>
                <w:sz w:val="21"/>
                <w:szCs w:val="21"/>
              </w:rPr>
              <w:t>检验/检查知识库</w:t>
            </w:r>
          </w:p>
        </w:tc>
        <w:tc>
          <w:tcPr>
            <w:tcW w:w="7235" w:type="dxa"/>
          </w:tcPr>
          <w:p w14:paraId="54087BA6">
            <w:pPr>
              <w:jc w:val="left"/>
              <w:rPr>
                <w:rFonts w:hint="eastAsia" w:ascii="宋体" w:hAnsi="宋体" w:eastAsia="宋体" w:cs="宋体"/>
                <w:spacing w:val="-2"/>
                <w:sz w:val="21"/>
                <w:szCs w:val="21"/>
              </w:rPr>
            </w:pPr>
            <w:r>
              <w:rPr>
                <w:rFonts w:hint="eastAsia" w:ascii="宋体" w:hAnsi="宋体" w:eastAsia="宋体" w:cs="宋体"/>
                <w:spacing w:val="-2"/>
                <w:sz w:val="21"/>
                <w:szCs w:val="21"/>
              </w:rPr>
              <w:t>知识库能够提供1400</w:t>
            </w:r>
            <w:r>
              <w:rPr>
                <w:rFonts w:hint="eastAsia" w:ascii="宋体" w:hAnsi="宋体" w:eastAsia="宋体" w:cs="宋体"/>
                <w:spacing w:val="-2"/>
                <w:sz w:val="21"/>
                <w:szCs w:val="21"/>
                <w:lang w:eastAsia="zh-Hans"/>
              </w:rPr>
              <w:t>多</w:t>
            </w:r>
            <w:r>
              <w:rPr>
                <w:rFonts w:hint="eastAsia" w:ascii="宋体" w:hAnsi="宋体" w:eastAsia="宋体" w:cs="宋体"/>
                <w:spacing w:val="-2"/>
                <w:sz w:val="21"/>
                <w:szCs w:val="21"/>
              </w:rPr>
              <w:t>种检验/检查项目说明。检验项目说明涵盖检验项目定义、合理参考范围和临床意义等内容；检查项目说明涵盖检查项目定义、检查适用范围以及影像学结果说明等内容。</w:t>
            </w:r>
          </w:p>
        </w:tc>
      </w:tr>
      <w:tr w14:paraId="68DD1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continue"/>
            <w:vAlign w:val="center"/>
          </w:tcPr>
          <w:p w14:paraId="4195F9D1">
            <w:pPr>
              <w:pStyle w:val="145"/>
              <w:kinsoku w:val="0"/>
              <w:overflowPunct w:val="0"/>
              <w:autoSpaceDE/>
              <w:autoSpaceDN/>
              <w:jc w:val="center"/>
              <w:rPr>
                <w:rFonts w:hint="eastAsia" w:ascii="宋体" w:hAnsi="宋体" w:eastAsia="宋体" w:cs="宋体"/>
                <w:sz w:val="21"/>
                <w:szCs w:val="21"/>
              </w:rPr>
            </w:pPr>
          </w:p>
        </w:tc>
        <w:tc>
          <w:tcPr>
            <w:tcW w:w="1088" w:type="dxa"/>
            <w:vAlign w:val="center"/>
          </w:tcPr>
          <w:p w14:paraId="07D0150C">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lang w:bidi="ar"/>
              </w:rPr>
              <w:t>评估表及医学计算公式</w:t>
            </w:r>
          </w:p>
        </w:tc>
        <w:tc>
          <w:tcPr>
            <w:tcW w:w="7235" w:type="dxa"/>
            <w:vAlign w:val="center"/>
          </w:tcPr>
          <w:p w14:paraId="0E936DFD">
            <w:pPr>
              <w:widowControl/>
              <w:jc w:val="left"/>
              <w:textAlignment w:val="center"/>
              <w:rPr>
                <w:rFonts w:hint="eastAsia" w:ascii="宋体" w:hAnsi="宋体" w:eastAsia="宋体" w:cs="宋体"/>
                <w:spacing w:val="-2"/>
                <w:sz w:val="21"/>
                <w:szCs w:val="21"/>
              </w:rPr>
            </w:pPr>
            <w:r>
              <w:rPr>
                <w:rFonts w:hint="eastAsia" w:ascii="宋体" w:hAnsi="宋体" w:eastAsia="宋体" w:cs="宋体"/>
                <w:sz w:val="21"/>
                <w:szCs w:val="21"/>
              </w:rPr>
              <w:t>知识库至少能够提供1000张临床常见评估表，支持根据不同勾选项，得出不同的的分值和评估结论。支持评估表打印预览、打印、以PDF格式下载到本地。支持在同一个界面中查看该患者的所有历史评估记录。支持点击历史评估结论立即调取评估表详情，支持修改评估结果、重新评估、对历史评估记录进行作废处理。</w:t>
            </w:r>
          </w:p>
        </w:tc>
      </w:tr>
      <w:tr w14:paraId="7C3D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continue"/>
            <w:vAlign w:val="center"/>
          </w:tcPr>
          <w:p w14:paraId="1CF34966">
            <w:pPr>
              <w:pStyle w:val="145"/>
              <w:kinsoku w:val="0"/>
              <w:overflowPunct w:val="0"/>
              <w:autoSpaceDE/>
              <w:autoSpaceDN/>
              <w:jc w:val="center"/>
              <w:rPr>
                <w:rFonts w:hint="eastAsia" w:ascii="宋体" w:hAnsi="宋体" w:eastAsia="宋体" w:cs="宋体"/>
                <w:sz w:val="21"/>
                <w:szCs w:val="21"/>
              </w:rPr>
            </w:pPr>
          </w:p>
        </w:tc>
        <w:tc>
          <w:tcPr>
            <w:tcW w:w="1088" w:type="dxa"/>
            <w:vAlign w:val="center"/>
          </w:tcPr>
          <w:p w14:paraId="42FDF536">
            <w:pPr>
              <w:pStyle w:val="145"/>
              <w:kinsoku w:val="0"/>
              <w:overflowPunct w:val="0"/>
              <w:autoSpaceDE/>
              <w:autoSpaceDN/>
              <w:jc w:val="center"/>
              <w:rPr>
                <w:rFonts w:hint="eastAsia" w:ascii="宋体" w:hAnsi="宋体" w:eastAsia="宋体" w:cs="宋体"/>
                <w:spacing w:val="-2"/>
                <w:kern w:val="2"/>
                <w:sz w:val="21"/>
                <w:szCs w:val="21"/>
                <w:lang w:eastAsia="zh-Hans"/>
              </w:rPr>
            </w:pPr>
            <w:r>
              <w:rPr>
                <w:rFonts w:hint="eastAsia" w:ascii="宋体" w:hAnsi="宋体" w:eastAsia="宋体" w:cs="宋体"/>
                <w:spacing w:val="-2"/>
                <w:sz w:val="21"/>
                <w:szCs w:val="21"/>
                <w:lang w:eastAsia="zh-Hans"/>
              </w:rPr>
              <w:t>手术知识库</w:t>
            </w:r>
          </w:p>
        </w:tc>
        <w:tc>
          <w:tcPr>
            <w:tcW w:w="7235" w:type="dxa"/>
            <w:vAlign w:val="center"/>
          </w:tcPr>
          <w:p w14:paraId="4F7F8AEA">
            <w:pPr>
              <w:rPr>
                <w:rFonts w:hint="eastAsia" w:ascii="宋体" w:hAnsi="宋体" w:eastAsia="宋体" w:cs="宋体"/>
                <w:spacing w:val="-2"/>
                <w:sz w:val="21"/>
                <w:szCs w:val="21"/>
                <w:lang w:eastAsia="zh-Hans"/>
              </w:rPr>
            </w:pPr>
            <w:r>
              <w:rPr>
                <w:rFonts w:hint="eastAsia" w:ascii="宋体" w:hAnsi="宋体" w:eastAsia="宋体" w:cs="宋体"/>
                <w:spacing w:val="-2"/>
                <w:sz w:val="21"/>
                <w:szCs w:val="21"/>
              </w:rPr>
              <w:t>系统提供具有独立入口的手术</w:t>
            </w:r>
            <w:r>
              <w:rPr>
                <w:rFonts w:hint="eastAsia" w:ascii="宋体" w:hAnsi="宋体" w:eastAsia="宋体" w:cs="宋体"/>
                <w:spacing w:val="-2"/>
                <w:sz w:val="21"/>
                <w:szCs w:val="21"/>
                <w:lang w:eastAsia="zh-Hans"/>
              </w:rPr>
              <w:t>知识库</w:t>
            </w:r>
            <w:r>
              <w:rPr>
                <w:rFonts w:hint="eastAsia" w:ascii="宋体" w:hAnsi="宋体" w:eastAsia="宋体" w:cs="宋体"/>
                <w:spacing w:val="-2"/>
                <w:sz w:val="21"/>
                <w:szCs w:val="21"/>
              </w:rPr>
              <w:t>，不少于400种术式，</w:t>
            </w:r>
            <w:r>
              <w:rPr>
                <w:rFonts w:hint="eastAsia" w:ascii="宋体" w:hAnsi="宋体" w:eastAsia="宋体" w:cs="宋体"/>
                <w:spacing w:val="-2"/>
                <w:sz w:val="21"/>
                <w:szCs w:val="21"/>
                <w:lang w:eastAsia="zh-Hans"/>
              </w:rPr>
              <w:t>供医生在电子病历界面同屏查看，例如“移植肾切除术”包含手术编码、适应症、术前准备、手术步骤、术后处理、手术意外的预防与处理等内容。</w:t>
            </w:r>
          </w:p>
        </w:tc>
      </w:tr>
      <w:tr w14:paraId="0C44E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continue"/>
            <w:vAlign w:val="center"/>
          </w:tcPr>
          <w:p w14:paraId="1A9347D0">
            <w:pPr>
              <w:pStyle w:val="145"/>
              <w:kinsoku w:val="0"/>
              <w:overflowPunct w:val="0"/>
              <w:autoSpaceDE/>
              <w:autoSpaceDN/>
              <w:jc w:val="center"/>
              <w:rPr>
                <w:rFonts w:hint="eastAsia" w:ascii="宋体" w:hAnsi="宋体" w:eastAsia="宋体" w:cs="宋体"/>
                <w:sz w:val="21"/>
                <w:szCs w:val="21"/>
              </w:rPr>
            </w:pPr>
          </w:p>
        </w:tc>
        <w:tc>
          <w:tcPr>
            <w:tcW w:w="1088" w:type="dxa"/>
            <w:vAlign w:val="center"/>
          </w:tcPr>
          <w:p w14:paraId="2AABA4E5">
            <w:pPr>
              <w:pStyle w:val="145"/>
              <w:kinsoku w:val="0"/>
              <w:overflowPunct w:val="0"/>
              <w:autoSpaceDE/>
              <w:autoSpaceDN/>
              <w:jc w:val="center"/>
              <w:rPr>
                <w:rFonts w:hint="eastAsia" w:ascii="宋体" w:hAnsi="宋体" w:eastAsia="宋体" w:cs="宋体"/>
                <w:sz w:val="21"/>
                <w:szCs w:val="21"/>
              </w:rPr>
            </w:pPr>
            <w:r>
              <w:rPr>
                <w:rFonts w:hint="eastAsia" w:ascii="宋体" w:hAnsi="宋体" w:eastAsia="宋体" w:cs="宋体"/>
                <w:spacing w:val="-2"/>
                <w:sz w:val="21"/>
                <w:szCs w:val="21"/>
              </w:rPr>
              <w:t>护理知识库</w:t>
            </w:r>
          </w:p>
        </w:tc>
        <w:tc>
          <w:tcPr>
            <w:tcW w:w="7235" w:type="dxa"/>
            <w:vAlign w:val="center"/>
          </w:tcPr>
          <w:p w14:paraId="2B7312A7">
            <w:pPr>
              <w:rPr>
                <w:rFonts w:hint="eastAsia" w:ascii="宋体" w:hAnsi="宋体" w:eastAsia="宋体" w:cs="宋体"/>
                <w:kern w:val="0"/>
                <w:sz w:val="21"/>
                <w:szCs w:val="21"/>
              </w:rPr>
            </w:pPr>
            <w:r>
              <w:rPr>
                <w:rFonts w:hint="eastAsia" w:ascii="宋体" w:hAnsi="宋体" w:eastAsia="宋体" w:cs="宋体"/>
                <w:spacing w:val="-2"/>
                <w:sz w:val="21"/>
                <w:szCs w:val="21"/>
              </w:rPr>
              <w:t>系统提供具有独立入口的护理知识库，能够</w:t>
            </w:r>
            <w:r>
              <w:rPr>
                <w:rFonts w:hint="eastAsia" w:ascii="宋体" w:hAnsi="宋体" w:eastAsia="宋体" w:cs="宋体"/>
                <w:spacing w:val="-2"/>
                <w:sz w:val="21"/>
                <w:szCs w:val="21"/>
                <w:lang w:eastAsia="zh-Hans"/>
              </w:rPr>
              <w:t>提供</w:t>
            </w:r>
            <w:r>
              <w:rPr>
                <w:rFonts w:hint="eastAsia" w:ascii="宋体" w:hAnsi="宋体" w:eastAsia="宋体" w:cs="宋体"/>
                <w:spacing w:val="-2"/>
                <w:sz w:val="21"/>
                <w:szCs w:val="21"/>
              </w:rPr>
              <w:t>护理、治疗</w:t>
            </w:r>
            <w:r>
              <w:rPr>
                <w:rFonts w:hint="eastAsia" w:ascii="宋体" w:hAnsi="宋体" w:eastAsia="宋体" w:cs="宋体"/>
                <w:spacing w:val="-2"/>
                <w:sz w:val="21"/>
                <w:szCs w:val="21"/>
                <w:lang w:eastAsia="zh-Hans"/>
              </w:rPr>
              <w:t>相关</w:t>
            </w:r>
            <w:r>
              <w:rPr>
                <w:rFonts w:hint="eastAsia" w:ascii="宋体" w:hAnsi="宋体" w:eastAsia="宋体" w:cs="宋体"/>
                <w:spacing w:val="-2"/>
                <w:sz w:val="21"/>
                <w:szCs w:val="21"/>
              </w:rPr>
              <w:t>知识,包含操作前准备、操作程序及方法、适应症、禁忌症、注意事项、患者健康指导、护理措施等，数量不少于700篇。</w:t>
            </w:r>
          </w:p>
        </w:tc>
      </w:tr>
      <w:tr w14:paraId="6F66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continue"/>
            <w:vAlign w:val="center"/>
          </w:tcPr>
          <w:p w14:paraId="1765F6ED">
            <w:pPr>
              <w:pStyle w:val="145"/>
              <w:kinsoku w:val="0"/>
              <w:overflowPunct w:val="0"/>
              <w:autoSpaceDE/>
              <w:autoSpaceDN/>
              <w:jc w:val="center"/>
              <w:rPr>
                <w:rFonts w:hint="eastAsia" w:ascii="宋体" w:hAnsi="宋体" w:eastAsia="宋体" w:cs="宋体"/>
                <w:sz w:val="21"/>
                <w:szCs w:val="21"/>
              </w:rPr>
            </w:pPr>
          </w:p>
        </w:tc>
        <w:tc>
          <w:tcPr>
            <w:tcW w:w="1088" w:type="dxa"/>
            <w:vAlign w:val="center"/>
          </w:tcPr>
          <w:p w14:paraId="425E16C4">
            <w:pPr>
              <w:pStyle w:val="145"/>
              <w:kinsoku w:val="0"/>
              <w:overflowPunct w:val="0"/>
              <w:autoSpaceDE/>
              <w:autoSpaceDN/>
              <w:jc w:val="center"/>
              <w:rPr>
                <w:rFonts w:hint="eastAsia" w:ascii="宋体" w:hAnsi="宋体" w:eastAsia="宋体" w:cs="宋体"/>
                <w:spacing w:val="-2"/>
                <w:sz w:val="21"/>
                <w:szCs w:val="21"/>
              </w:rPr>
            </w:pPr>
            <w:r>
              <w:rPr>
                <w:rFonts w:hint="eastAsia" w:ascii="宋体" w:hAnsi="宋体" w:eastAsia="宋体" w:cs="宋体"/>
                <w:spacing w:val="-2"/>
                <w:sz w:val="21"/>
                <w:szCs w:val="21"/>
              </w:rPr>
              <w:t>医管视频课程库</w:t>
            </w:r>
          </w:p>
        </w:tc>
        <w:tc>
          <w:tcPr>
            <w:tcW w:w="7235" w:type="dxa"/>
            <w:vAlign w:val="center"/>
          </w:tcPr>
          <w:p w14:paraId="1A044F7E">
            <w:pPr>
              <w:rPr>
                <w:rFonts w:hint="eastAsia" w:ascii="宋体" w:hAnsi="宋体" w:eastAsia="宋体" w:cs="宋体"/>
                <w:spacing w:val="-2"/>
                <w:sz w:val="21"/>
                <w:szCs w:val="21"/>
              </w:rPr>
            </w:pPr>
            <w:r>
              <w:rPr>
                <w:rFonts w:hint="eastAsia" w:ascii="宋体" w:hAnsi="宋体" w:eastAsia="宋体" w:cs="宋体"/>
                <w:kern w:val="0"/>
                <w:sz w:val="21"/>
                <w:szCs w:val="21"/>
              </w:rPr>
              <w:t>★提供拥有完全版权的医管视频课程资源，内容包括国内知名医院医管课程，提供不少于5个课程，主题至少包含智慧医疗促进医院高质量发展、DRG付费下的医院医保管理实践、三级公立医院绩效考核部分指标解读等方面的内容，支持通过手机端观看学习。</w:t>
            </w:r>
          </w:p>
        </w:tc>
      </w:tr>
      <w:tr w14:paraId="217F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933" w:type="dxa"/>
            <w:vMerge w:val="restart"/>
            <w:vAlign w:val="center"/>
          </w:tcPr>
          <w:p w14:paraId="39FFA098">
            <w:pPr>
              <w:jc w:val="center"/>
              <w:rPr>
                <w:rFonts w:hint="eastAsia" w:ascii="宋体" w:hAnsi="宋体" w:eastAsia="宋体" w:cs="宋体"/>
                <w:sz w:val="21"/>
                <w:szCs w:val="21"/>
              </w:rPr>
            </w:pPr>
            <w:r>
              <w:rPr>
                <w:rFonts w:hint="eastAsia" w:ascii="宋体" w:hAnsi="宋体" w:eastAsia="宋体" w:cs="宋体"/>
                <w:sz w:val="21"/>
                <w:szCs w:val="21"/>
              </w:rPr>
              <w:t>门诊及住院医生辅助决策系统</w:t>
            </w:r>
          </w:p>
        </w:tc>
        <w:tc>
          <w:tcPr>
            <w:tcW w:w="1088" w:type="dxa"/>
            <w:vMerge w:val="restart"/>
            <w:vAlign w:val="center"/>
          </w:tcPr>
          <w:p w14:paraId="53A8DF6E">
            <w:pPr>
              <w:pStyle w:val="145"/>
              <w:kinsoku w:val="0"/>
              <w:overflowPunct w:val="0"/>
              <w:autoSpaceDE/>
              <w:autoSpaceDN/>
              <w:jc w:val="center"/>
              <w:rPr>
                <w:rFonts w:hint="eastAsia" w:ascii="宋体" w:hAnsi="宋体" w:eastAsia="宋体" w:cs="宋体"/>
                <w:sz w:val="21"/>
                <w:szCs w:val="21"/>
              </w:rPr>
            </w:pPr>
            <w:r>
              <w:rPr>
                <w:rFonts w:hint="eastAsia" w:ascii="宋体" w:hAnsi="宋体" w:eastAsia="宋体" w:cs="宋体"/>
                <w:sz w:val="21"/>
                <w:szCs w:val="21"/>
              </w:rPr>
              <w:t>辅助问诊（限门诊）</w:t>
            </w:r>
          </w:p>
        </w:tc>
        <w:tc>
          <w:tcPr>
            <w:tcW w:w="7235" w:type="dxa"/>
            <w:vAlign w:val="center"/>
          </w:tcPr>
          <w:p w14:paraId="589D0D27">
            <w:pPr>
              <w:pStyle w:val="37"/>
              <w:spacing w:before="0" w:beforeAutospacing="0" w:after="0" w:afterAutospacing="0"/>
              <w:rPr>
                <w:rFonts w:hint="eastAsia" w:ascii="宋体" w:hAnsi="宋体" w:eastAsia="宋体" w:cs="宋体"/>
                <w:spacing w:val="2"/>
                <w:sz w:val="21"/>
                <w:szCs w:val="21"/>
                <w:lang w:bidi="ar"/>
              </w:rPr>
            </w:pPr>
            <w:r>
              <w:rPr>
                <w:rFonts w:hint="eastAsia" w:ascii="宋体" w:hAnsi="宋体" w:eastAsia="宋体" w:cs="宋体"/>
                <w:spacing w:val="2"/>
                <w:sz w:val="21"/>
                <w:szCs w:val="21"/>
              </w:rPr>
              <w:t>★辅助问诊：提供图形可视化问诊路径，从主要症状出发，以流程图的形式将相关问诊要点呈树状串联在一起，医生可直接点击每个问诊要点是否存在逐步完善问诊过程，并最终得出最可能的诊断，以及相应的处置措施。可自动生成问诊病历。</w:t>
            </w:r>
          </w:p>
        </w:tc>
      </w:tr>
      <w:tr w14:paraId="5368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3" w:type="dxa"/>
            <w:vMerge w:val="continue"/>
            <w:vAlign w:val="center"/>
          </w:tcPr>
          <w:p w14:paraId="68C3C32D">
            <w:pPr>
              <w:jc w:val="center"/>
              <w:rPr>
                <w:rFonts w:hint="eastAsia" w:ascii="宋体" w:hAnsi="宋体" w:eastAsia="宋体" w:cs="宋体"/>
                <w:sz w:val="21"/>
                <w:szCs w:val="21"/>
              </w:rPr>
            </w:pPr>
          </w:p>
        </w:tc>
        <w:tc>
          <w:tcPr>
            <w:tcW w:w="1088" w:type="dxa"/>
            <w:vMerge w:val="continue"/>
            <w:vAlign w:val="center"/>
          </w:tcPr>
          <w:p w14:paraId="4A1F2AD9">
            <w:pPr>
              <w:pStyle w:val="145"/>
              <w:kinsoku w:val="0"/>
              <w:overflowPunct w:val="0"/>
              <w:autoSpaceDE/>
              <w:autoSpaceDN/>
              <w:jc w:val="center"/>
              <w:rPr>
                <w:rFonts w:hint="eastAsia" w:ascii="宋体" w:hAnsi="宋体" w:eastAsia="宋体" w:cs="宋体"/>
                <w:sz w:val="21"/>
                <w:szCs w:val="21"/>
              </w:rPr>
            </w:pPr>
          </w:p>
        </w:tc>
        <w:tc>
          <w:tcPr>
            <w:tcW w:w="7235" w:type="dxa"/>
            <w:vAlign w:val="center"/>
          </w:tcPr>
          <w:p w14:paraId="1BC66C11">
            <w:pPr>
              <w:pStyle w:val="37"/>
              <w:spacing w:before="0" w:beforeAutospacing="0" w:after="0" w:afterAutospacing="0"/>
              <w:rPr>
                <w:rFonts w:hint="eastAsia" w:ascii="宋体" w:hAnsi="宋体" w:eastAsia="宋体" w:cs="宋体"/>
                <w:spacing w:val="2"/>
                <w:sz w:val="21"/>
                <w:szCs w:val="21"/>
                <w:lang w:bidi="ar"/>
              </w:rPr>
            </w:pPr>
            <w:r>
              <w:rPr>
                <w:rFonts w:hint="eastAsia" w:ascii="宋体" w:hAnsi="宋体" w:eastAsia="宋体" w:cs="宋体"/>
                <w:sz w:val="21"/>
                <w:szCs w:val="21"/>
              </w:rPr>
              <w:t>危险信号提醒</w:t>
            </w:r>
            <w:r>
              <w:rPr>
                <w:rFonts w:hint="eastAsia" w:ascii="宋体" w:hAnsi="宋体" w:eastAsia="宋体" w:cs="宋体"/>
                <w:spacing w:val="2"/>
                <w:sz w:val="21"/>
                <w:szCs w:val="21"/>
              </w:rPr>
              <w:t>，针对该症状需要优先排除/确认的症状、体征，在图形问诊页面的最上方用"危险信号"进行提醒。在问诊路径中，对急症用红色线框以及警示标示进行提醒并提供紧急处理意见。</w:t>
            </w:r>
          </w:p>
        </w:tc>
      </w:tr>
      <w:tr w14:paraId="36EA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3" w:type="dxa"/>
            <w:vMerge w:val="continue"/>
            <w:vAlign w:val="center"/>
          </w:tcPr>
          <w:p w14:paraId="6B968234">
            <w:pPr>
              <w:jc w:val="center"/>
              <w:rPr>
                <w:rFonts w:hint="eastAsia" w:ascii="宋体" w:hAnsi="宋体" w:eastAsia="宋体" w:cs="宋体"/>
                <w:sz w:val="21"/>
                <w:szCs w:val="21"/>
              </w:rPr>
            </w:pPr>
          </w:p>
        </w:tc>
        <w:tc>
          <w:tcPr>
            <w:tcW w:w="1088" w:type="dxa"/>
            <w:vMerge w:val="continue"/>
            <w:vAlign w:val="center"/>
          </w:tcPr>
          <w:p w14:paraId="673BC963">
            <w:pPr>
              <w:pStyle w:val="145"/>
              <w:kinsoku w:val="0"/>
              <w:overflowPunct w:val="0"/>
              <w:autoSpaceDE/>
              <w:autoSpaceDN/>
              <w:jc w:val="center"/>
              <w:rPr>
                <w:rFonts w:hint="eastAsia" w:ascii="宋体" w:hAnsi="宋体" w:eastAsia="宋体" w:cs="宋体"/>
                <w:sz w:val="21"/>
                <w:szCs w:val="21"/>
              </w:rPr>
            </w:pPr>
          </w:p>
        </w:tc>
        <w:tc>
          <w:tcPr>
            <w:tcW w:w="7235" w:type="dxa"/>
            <w:vAlign w:val="center"/>
          </w:tcPr>
          <w:p w14:paraId="65EEF500">
            <w:pPr>
              <w:pStyle w:val="37"/>
              <w:spacing w:before="0" w:beforeAutospacing="0" w:after="0" w:afterAutospacing="0"/>
              <w:rPr>
                <w:rFonts w:hint="eastAsia" w:ascii="宋体" w:hAnsi="宋体" w:eastAsia="宋体" w:cs="宋体"/>
                <w:spacing w:val="2"/>
                <w:sz w:val="21"/>
                <w:szCs w:val="21"/>
                <w:lang w:bidi="ar"/>
              </w:rPr>
            </w:pPr>
            <w:r>
              <w:rPr>
                <w:rFonts w:hint="eastAsia" w:ascii="宋体" w:hAnsi="宋体" w:eastAsia="宋体" w:cs="宋体"/>
                <w:sz w:val="21"/>
                <w:szCs w:val="21"/>
              </w:rPr>
              <w:t>路径跳转：从某个症状出发进行图形可视化问诊的过程中，当该症状与其他症状合并存在时，可直接跳转至相关症状的问诊路径。</w:t>
            </w:r>
          </w:p>
        </w:tc>
      </w:tr>
      <w:tr w14:paraId="23779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3" w:type="dxa"/>
            <w:vMerge w:val="continue"/>
            <w:vAlign w:val="center"/>
          </w:tcPr>
          <w:p w14:paraId="4B85D766">
            <w:pPr>
              <w:jc w:val="center"/>
              <w:rPr>
                <w:rFonts w:hint="eastAsia" w:ascii="宋体" w:hAnsi="宋体" w:eastAsia="宋体" w:cs="宋体"/>
                <w:sz w:val="21"/>
                <w:szCs w:val="21"/>
              </w:rPr>
            </w:pPr>
          </w:p>
        </w:tc>
        <w:tc>
          <w:tcPr>
            <w:tcW w:w="1088" w:type="dxa"/>
            <w:vAlign w:val="center"/>
          </w:tcPr>
          <w:p w14:paraId="73045C1B">
            <w:pPr>
              <w:pStyle w:val="37"/>
              <w:spacing w:before="0" w:beforeAutospacing="0" w:after="0" w:afterAutospacing="0"/>
              <w:rPr>
                <w:rFonts w:hint="eastAsia" w:ascii="宋体" w:hAnsi="宋体" w:eastAsia="宋体" w:cs="宋体"/>
                <w:sz w:val="21"/>
                <w:szCs w:val="21"/>
              </w:rPr>
            </w:pPr>
            <w:r>
              <w:rPr>
                <w:rFonts w:hint="eastAsia" w:ascii="宋体" w:hAnsi="宋体" w:eastAsia="宋体" w:cs="宋体"/>
                <w:sz w:val="21"/>
                <w:szCs w:val="21"/>
              </w:rPr>
              <w:t>鉴别诊断</w:t>
            </w:r>
          </w:p>
          <w:p w14:paraId="11B646BD">
            <w:pPr>
              <w:pStyle w:val="145"/>
              <w:kinsoku w:val="0"/>
              <w:overflowPunct w:val="0"/>
              <w:autoSpaceDE/>
              <w:autoSpaceDN/>
              <w:jc w:val="center"/>
              <w:rPr>
                <w:rFonts w:hint="eastAsia" w:ascii="宋体" w:hAnsi="宋体" w:eastAsia="宋体" w:cs="宋体"/>
                <w:sz w:val="21"/>
                <w:szCs w:val="21"/>
              </w:rPr>
            </w:pPr>
          </w:p>
        </w:tc>
        <w:tc>
          <w:tcPr>
            <w:tcW w:w="7235" w:type="dxa"/>
            <w:vAlign w:val="center"/>
          </w:tcPr>
          <w:p w14:paraId="6B5DBDC4">
            <w:pPr>
              <w:pStyle w:val="37"/>
              <w:spacing w:before="0" w:beforeAutospacing="0" w:after="0" w:afterAutospacing="0"/>
              <w:rPr>
                <w:rFonts w:hint="eastAsia" w:ascii="宋体" w:hAnsi="宋体" w:eastAsia="宋体" w:cs="宋体"/>
                <w:sz w:val="21"/>
                <w:szCs w:val="21"/>
              </w:rPr>
            </w:pPr>
            <w:r>
              <w:rPr>
                <w:rFonts w:hint="eastAsia" w:ascii="宋体" w:hAnsi="宋体" w:eastAsia="宋体" w:cs="宋体"/>
                <w:sz w:val="21"/>
                <w:szCs w:val="21"/>
              </w:rPr>
              <w:t>支持基于患者信息向医生推送需要鉴别的诊断，并按可能性从高到低排列。支持一键查看需要鉴别诊断的疾病详情知识、相关文献。</w:t>
            </w:r>
          </w:p>
        </w:tc>
      </w:tr>
      <w:tr w14:paraId="179EF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933" w:type="dxa"/>
            <w:vMerge w:val="continue"/>
            <w:vAlign w:val="center"/>
          </w:tcPr>
          <w:p w14:paraId="752212AC">
            <w:pPr>
              <w:jc w:val="center"/>
              <w:rPr>
                <w:rFonts w:hint="eastAsia" w:ascii="宋体" w:hAnsi="宋体" w:eastAsia="宋体" w:cs="宋体"/>
                <w:sz w:val="21"/>
                <w:szCs w:val="21"/>
              </w:rPr>
            </w:pPr>
          </w:p>
        </w:tc>
        <w:tc>
          <w:tcPr>
            <w:tcW w:w="1088" w:type="dxa"/>
            <w:vAlign w:val="center"/>
          </w:tcPr>
          <w:p w14:paraId="168E6F38">
            <w:pPr>
              <w:pStyle w:val="145"/>
              <w:kinsoku w:val="0"/>
              <w:overflowPunct w:val="0"/>
              <w:autoSpaceDE/>
              <w:autoSpaceDN/>
              <w:jc w:val="center"/>
              <w:rPr>
                <w:rFonts w:hint="eastAsia" w:ascii="宋体" w:hAnsi="宋体" w:eastAsia="宋体" w:cs="宋体"/>
                <w:sz w:val="21"/>
                <w:szCs w:val="21"/>
              </w:rPr>
            </w:pPr>
            <w:r>
              <w:rPr>
                <w:rFonts w:hint="eastAsia" w:ascii="宋体" w:hAnsi="宋体" w:eastAsia="宋体" w:cs="宋体"/>
                <w:spacing w:val="2"/>
                <w:sz w:val="21"/>
                <w:szCs w:val="21"/>
              </w:rPr>
              <w:t>检查/检验方案推荐</w:t>
            </w:r>
          </w:p>
        </w:tc>
        <w:tc>
          <w:tcPr>
            <w:tcW w:w="7235" w:type="dxa"/>
          </w:tcPr>
          <w:p w14:paraId="76DC6058">
            <w:pPr>
              <w:pStyle w:val="145"/>
              <w:kinsoku w:val="0"/>
              <w:overflowPunct w:val="0"/>
              <w:autoSpaceDE/>
              <w:autoSpaceDN/>
              <w:rPr>
                <w:rFonts w:hint="eastAsia" w:ascii="宋体" w:hAnsi="宋体" w:eastAsia="宋体" w:cs="宋体"/>
                <w:spacing w:val="-2"/>
                <w:sz w:val="21"/>
                <w:szCs w:val="21"/>
              </w:rPr>
            </w:pPr>
            <w:r>
              <w:rPr>
                <w:rFonts w:hint="eastAsia" w:ascii="宋体" w:hAnsi="宋体" w:eastAsia="宋体" w:cs="宋体"/>
                <w:spacing w:val="2"/>
                <w:sz w:val="21"/>
                <w:szCs w:val="21"/>
              </w:rPr>
              <w:t>基于患者诊断，根据指南推荐适</w:t>
            </w:r>
            <w:r>
              <w:rPr>
                <w:rFonts w:hint="eastAsia" w:ascii="宋体" w:hAnsi="宋体" w:eastAsia="宋体" w:cs="宋体"/>
                <w:spacing w:val="-105"/>
                <w:sz w:val="21"/>
                <w:szCs w:val="21"/>
              </w:rPr>
              <w:t xml:space="preserve"> </w:t>
            </w:r>
            <w:r>
              <w:rPr>
                <w:rFonts w:hint="eastAsia" w:ascii="宋体" w:hAnsi="宋体" w:eastAsia="宋体" w:cs="宋体"/>
                <w:sz w:val="21"/>
                <w:szCs w:val="21"/>
              </w:rPr>
              <w:t>宜的检查/检验方案，供医生参考。对于危重疾病，如急性脑梗死，推荐的检查方案应包括：紧急检查（凝血功能监测）、确诊检查（头颅CT）、鉴别检查（头颅MRI等）一般检查、合并症检查（超声心动图、动态心电图），并说明各项检查的检查目的。</w:t>
            </w:r>
          </w:p>
        </w:tc>
      </w:tr>
      <w:tr w14:paraId="0F7D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933" w:type="dxa"/>
            <w:vMerge w:val="continue"/>
            <w:vAlign w:val="center"/>
          </w:tcPr>
          <w:p w14:paraId="3F962409">
            <w:pPr>
              <w:jc w:val="center"/>
              <w:rPr>
                <w:rFonts w:hint="eastAsia" w:ascii="宋体" w:hAnsi="宋体" w:eastAsia="宋体" w:cs="宋体"/>
                <w:sz w:val="21"/>
                <w:szCs w:val="21"/>
              </w:rPr>
            </w:pPr>
          </w:p>
        </w:tc>
        <w:tc>
          <w:tcPr>
            <w:tcW w:w="1088" w:type="dxa"/>
            <w:vAlign w:val="center"/>
          </w:tcPr>
          <w:p w14:paraId="57933A7D">
            <w:pPr>
              <w:pStyle w:val="145"/>
              <w:kinsoku w:val="0"/>
              <w:overflowPunct w:val="0"/>
              <w:autoSpaceDE/>
              <w:autoSpaceDN/>
              <w:jc w:val="center"/>
              <w:rPr>
                <w:rFonts w:hint="eastAsia" w:ascii="宋体" w:hAnsi="宋体" w:eastAsia="宋体" w:cs="宋体"/>
                <w:sz w:val="21"/>
                <w:szCs w:val="21"/>
              </w:rPr>
            </w:pPr>
            <w:r>
              <w:rPr>
                <w:rFonts w:hint="eastAsia" w:ascii="宋体" w:hAnsi="宋体" w:eastAsia="宋体" w:cs="宋体"/>
                <w:iCs/>
                <w:color w:val="000000"/>
                <w:sz w:val="21"/>
                <w:szCs w:val="21"/>
              </w:rPr>
              <w:t>★</w:t>
            </w:r>
            <w:r>
              <w:rPr>
                <w:rFonts w:hint="eastAsia" w:ascii="宋体" w:hAnsi="宋体" w:eastAsia="宋体" w:cs="宋体"/>
                <w:sz w:val="21"/>
                <w:szCs w:val="21"/>
              </w:rPr>
              <w:t>文献速递</w:t>
            </w:r>
          </w:p>
        </w:tc>
        <w:tc>
          <w:tcPr>
            <w:tcW w:w="7235" w:type="dxa"/>
          </w:tcPr>
          <w:p w14:paraId="7C1397C7">
            <w:pPr>
              <w:pStyle w:val="145"/>
              <w:kinsoku w:val="0"/>
              <w:overflowPunct w:val="0"/>
              <w:autoSpaceDE/>
              <w:autoSpaceDN/>
              <w:rPr>
                <w:rFonts w:hint="eastAsia" w:ascii="宋体" w:hAnsi="宋体" w:eastAsia="宋体" w:cs="宋体"/>
                <w:spacing w:val="2"/>
                <w:sz w:val="21"/>
                <w:szCs w:val="21"/>
              </w:rPr>
            </w:pPr>
            <w:r>
              <w:rPr>
                <w:rFonts w:hint="eastAsia" w:ascii="宋体" w:hAnsi="宋体" w:eastAsia="宋体" w:cs="宋体"/>
                <w:color w:val="000000"/>
                <w:sz w:val="21"/>
                <w:szCs w:val="21"/>
              </w:rPr>
              <w:t>可根据患者诊断信息，直接在浮窗页面推荐知识库中与诊断相关的最新的三条临床研究进展信息，点击后可查看详细内容。也可在文献速递栏一键跳转至文献知识库，并展示该诊断所对应的文献检索结果，可查看文献库内容。</w:t>
            </w:r>
          </w:p>
        </w:tc>
      </w:tr>
      <w:tr w14:paraId="7A70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continue"/>
            <w:vAlign w:val="center"/>
          </w:tcPr>
          <w:p w14:paraId="01247D97">
            <w:pPr>
              <w:pStyle w:val="145"/>
              <w:kinsoku w:val="0"/>
              <w:overflowPunct w:val="0"/>
              <w:autoSpaceDE/>
              <w:autoSpaceDN/>
              <w:jc w:val="center"/>
              <w:rPr>
                <w:rFonts w:hint="eastAsia" w:ascii="宋体" w:hAnsi="宋体" w:eastAsia="宋体" w:cs="宋体"/>
                <w:sz w:val="21"/>
                <w:szCs w:val="21"/>
              </w:rPr>
            </w:pPr>
          </w:p>
        </w:tc>
        <w:tc>
          <w:tcPr>
            <w:tcW w:w="1088" w:type="dxa"/>
            <w:vAlign w:val="center"/>
          </w:tcPr>
          <w:p w14:paraId="2216B30E">
            <w:pPr>
              <w:pStyle w:val="145"/>
              <w:kinsoku w:val="0"/>
              <w:overflowPunct w:val="0"/>
              <w:autoSpaceDE/>
              <w:autoSpaceDN/>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pacing w:val="2"/>
                <w:sz w:val="21"/>
                <w:szCs w:val="21"/>
              </w:rPr>
              <w:t>治疗方案推荐</w:t>
            </w:r>
          </w:p>
        </w:tc>
        <w:tc>
          <w:tcPr>
            <w:tcW w:w="7235" w:type="dxa"/>
          </w:tcPr>
          <w:p w14:paraId="51A0DD79">
            <w:pPr>
              <w:pStyle w:val="145"/>
              <w:kinsoku w:val="0"/>
              <w:overflowPunct w:val="0"/>
              <w:autoSpaceDE/>
              <w:autoSpaceDN/>
              <w:rPr>
                <w:rFonts w:hint="eastAsia" w:ascii="宋体" w:hAnsi="宋体" w:eastAsia="宋体" w:cs="宋体"/>
                <w:sz w:val="21"/>
                <w:szCs w:val="21"/>
              </w:rPr>
            </w:pPr>
            <w:r>
              <w:rPr>
                <w:rFonts w:hint="eastAsia" w:ascii="宋体" w:hAnsi="宋体" w:eastAsia="宋体" w:cs="宋体"/>
                <w:spacing w:val="2"/>
                <w:sz w:val="21"/>
                <w:szCs w:val="21"/>
              </w:rPr>
              <w:t>根据患者诊断，基于指南等权威来源为医生推荐</w:t>
            </w:r>
            <w:r>
              <w:rPr>
                <w:rFonts w:hint="eastAsia" w:ascii="宋体" w:hAnsi="宋体" w:eastAsia="宋体" w:cs="宋体"/>
                <w:sz w:val="21"/>
                <w:szCs w:val="21"/>
              </w:rPr>
              <w:t>的治疗方案及对应的用药方案。</w:t>
            </w:r>
          </w:p>
          <w:p w14:paraId="587B978F">
            <w:pPr>
              <w:pStyle w:val="145"/>
              <w:numPr>
                <w:ilvl w:val="0"/>
                <w:numId w:val="3"/>
              </w:numPr>
              <w:kinsoku w:val="0"/>
              <w:overflowPunct w:val="0"/>
              <w:autoSpaceDE/>
              <w:autoSpaceDN/>
              <w:rPr>
                <w:rFonts w:hint="eastAsia" w:ascii="宋体" w:hAnsi="宋体" w:eastAsia="宋体" w:cs="宋体"/>
                <w:spacing w:val="2"/>
                <w:sz w:val="21"/>
                <w:szCs w:val="21"/>
              </w:rPr>
            </w:pPr>
            <w:r>
              <w:rPr>
                <w:rFonts w:hint="eastAsia" w:ascii="宋体" w:hAnsi="宋体" w:eastAsia="宋体" w:cs="宋体"/>
                <w:spacing w:val="2"/>
                <w:sz w:val="21"/>
                <w:szCs w:val="21"/>
              </w:rPr>
              <w:t>大类方案推荐，如对于急性脑梗死患者应推荐：静脉溶栓、血管内介入、抗凝治疗、降颅压治疗、改善脑循环及脑保护、康复治疗、吞咽障碍评定。</w:t>
            </w:r>
          </w:p>
          <w:p w14:paraId="066B4E97">
            <w:pPr>
              <w:pStyle w:val="145"/>
              <w:numPr>
                <w:ilvl w:val="0"/>
                <w:numId w:val="3"/>
              </w:numPr>
              <w:kinsoku w:val="0"/>
              <w:overflowPunct w:val="0"/>
              <w:autoSpaceDE/>
              <w:autoSpaceDN/>
              <w:rPr>
                <w:rFonts w:hint="eastAsia" w:ascii="宋体" w:hAnsi="宋体" w:eastAsia="宋体" w:cs="宋体"/>
                <w:spacing w:val="2"/>
                <w:sz w:val="21"/>
                <w:szCs w:val="21"/>
              </w:rPr>
            </w:pPr>
            <w:r>
              <w:rPr>
                <w:rFonts w:hint="eastAsia" w:ascii="宋体" w:hAnsi="宋体" w:eastAsia="宋体" w:cs="宋体"/>
                <w:spacing w:val="2"/>
                <w:sz w:val="21"/>
                <w:szCs w:val="21"/>
              </w:rPr>
              <w:t>大类方案的应用原则，如对于急性脑梗死患者使用静脉溶栓，系统应提醒：</w:t>
            </w:r>
            <w:r>
              <w:rPr>
                <w:rFonts w:hint="eastAsia" w:ascii="宋体" w:hAnsi="宋体" w:eastAsia="宋体" w:cs="宋体"/>
                <w:sz w:val="21"/>
                <w:szCs w:val="21"/>
              </w:rPr>
              <w:t>有效抢救半暗带组织的时间窗为4.5h内(rtPA)或6h内(尿激酶)。</w:t>
            </w:r>
          </w:p>
          <w:p w14:paraId="6F61D733">
            <w:pPr>
              <w:pStyle w:val="145"/>
              <w:kinsoku w:val="0"/>
              <w:overflowPunct w:val="0"/>
              <w:autoSpaceDE/>
              <w:autoSpaceDN/>
              <w:rPr>
                <w:rFonts w:hint="eastAsia" w:ascii="宋体" w:hAnsi="宋体" w:eastAsia="宋体" w:cs="宋体"/>
                <w:sz w:val="21"/>
                <w:szCs w:val="21"/>
              </w:rPr>
            </w:pPr>
            <w:r>
              <w:rPr>
                <w:rFonts w:hint="eastAsia" w:ascii="宋体" w:hAnsi="宋体" w:eastAsia="宋体" w:cs="宋体"/>
                <w:spacing w:val="2"/>
                <w:sz w:val="21"/>
                <w:szCs w:val="21"/>
              </w:rPr>
              <w:t>具体方案推荐，包括药品名称+给药方式+剂量：例如对于静脉溶栓药物，系统应至少推荐注射用阿替普酶 静脉注射 0.9mg/kg/次、注射用尿激酶  静脉注射 100万IU-150万IU/次两种具体用药方案。</w:t>
            </w:r>
          </w:p>
        </w:tc>
      </w:tr>
      <w:tr w14:paraId="7DF8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jc w:val="center"/>
        </w:trPr>
        <w:tc>
          <w:tcPr>
            <w:tcW w:w="933" w:type="dxa"/>
            <w:vMerge w:val="continue"/>
            <w:vAlign w:val="center"/>
          </w:tcPr>
          <w:p w14:paraId="0567E70E">
            <w:pPr>
              <w:pStyle w:val="145"/>
              <w:kinsoku w:val="0"/>
              <w:overflowPunct w:val="0"/>
              <w:autoSpaceDE/>
              <w:autoSpaceDN/>
              <w:jc w:val="center"/>
              <w:rPr>
                <w:rFonts w:hint="eastAsia" w:ascii="宋体" w:hAnsi="宋体" w:eastAsia="宋体" w:cs="宋体"/>
                <w:sz w:val="21"/>
                <w:szCs w:val="21"/>
              </w:rPr>
            </w:pPr>
          </w:p>
        </w:tc>
        <w:tc>
          <w:tcPr>
            <w:tcW w:w="1088" w:type="dxa"/>
            <w:vAlign w:val="center"/>
          </w:tcPr>
          <w:p w14:paraId="4C1141E8">
            <w:pPr>
              <w:pStyle w:val="145"/>
              <w:kinsoku w:val="0"/>
              <w:overflowPunct w:val="0"/>
              <w:autoSpaceDE/>
              <w:autoSpaceDN/>
              <w:jc w:val="center"/>
              <w:rPr>
                <w:rFonts w:hint="eastAsia" w:ascii="宋体" w:hAnsi="宋体" w:eastAsia="宋体" w:cs="宋体"/>
                <w:sz w:val="21"/>
                <w:szCs w:val="21"/>
                <w:lang w:eastAsia="zh-Hans"/>
              </w:rPr>
            </w:pPr>
            <w:r>
              <w:rPr>
                <w:rFonts w:hint="eastAsia" w:ascii="宋体" w:hAnsi="宋体" w:eastAsia="宋体" w:cs="宋体"/>
                <w:sz w:val="21"/>
                <w:szCs w:val="21"/>
                <w:lang w:eastAsia="zh-Hans"/>
              </w:rPr>
              <w:t>智能推荐</w:t>
            </w:r>
          </w:p>
          <w:p w14:paraId="1A6629B9">
            <w:pPr>
              <w:pStyle w:val="145"/>
              <w:kinsoku w:val="0"/>
              <w:overflowPunct w:val="0"/>
              <w:autoSpaceDE/>
              <w:autoSpaceDN/>
              <w:jc w:val="center"/>
              <w:rPr>
                <w:rFonts w:hint="eastAsia" w:ascii="宋体" w:hAnsi="宋体" w:eastAsia="宋体" w:cs="宋体"/>
                <w:sz w:val="21"/>
                <w:szCs w:val="21"/>
              </w:rPr>
            </w:pPr>
            <w:r>
              <w:rPr>
                <w:rFonts w:hint="eastAsia" w:ascii="宋体" w:hAnsi="宋体" w:eastAsia="宋体" w:cs="宋体"/>
                <w:sz w:val="21"/>
                <w:szCs w:val="21"/>
              </w:rPr>
              <w:t>评估表</w:t>
            </w:r>
          </w:p>
          <w:p w14:paraId="7E77B3A3">
            <w:pPr>
              <w:pStyle w:val="145"/>
              <w:kinsoku w:val="0"/>
              <w:overflowPunct w:val="0"/>
              <w:autoSpaceDE/>
              <w:autoSpaceDN/>
              <w:jc w:val="center"/>
              <w:rPr>
                <w:rFonts w:hint="eastAsia" w:ascii="宋体" w:hAnsi="宋体" w:eastAsia="宋体" w:cs="宋体"/>
                <w:sz w:val="21"/>
                <w:szCs w:val="21"/>
              </w:rPr>
            </w:pPr>
          </w:p>
        </w:tc>
        <w:tc>
          <w:tcPr>
            <w:tcW w:w="7235" w:type="dxa"/>
          </w:tcPr>
          <w:p w14:paraId="30A2E13C">
            <w:pPr>
              <w:pStyle w:val="145"/>
              <w:kinsoku w:val="0"/>
              <w:overflowPunct w:val="0"/>
              <w:autoSpaceDE/>
              <w:autoSpaceDN/>
              <w:rPr>
                <w:rFonts w:hint="eastAsia" w:ascii="宋体" w:hAnsi="宋体" w:eastAsia="宋体" w:cs="宋体"/>
                <w:sz w:val="21"/>
                <w:szCs w:val="21"/>
              </w:rPr>
            </w:pPr>
            <w:r>
              <w:rPr>
                <w:rFonts w:hint="eastAsia" w:ascii="宋体" w:hAnsi="宋体" w:eastAsia="宋体" w:cs="宋体"/>
                <w:spacing w:val="2"/>
                <w:sz w:val="21"/>
                <w:szCs w:val="21"/>
              </w:rPr>
              <w:t>基于患者诊断，</w:t>
            </w:r>
            <w:r>
              <w:rPr>
                <w:rFonts w:hint="eastAsia" w:ascii="宋体" w:hAnsi="宋体" w:eastAsia="宋体" w:cs="宋体"/>
                <w:sz w:val="21"/>
                <w:szCs w:val="21"/>
              </w:rPr>
              <w:t>为医生推荐该患者需要进行评估的评估表，包含以下功能：</w:t>
            </w:r>
          </w:p>
          <w:p w14:paraId="0E06CA07">
            <w:pPr>
              <w:pStyle w:val="145"/>
              <w:numPr>
                <w:ilvl w:val="0"/>
                <w:numId w:val="4"/>
              </w:numPr>
              <w:kinsoku w:val="0"/>
              <w:overflowPunct w:val="0"/>
              <w:autoSpaceDE/>
              <w:autoSpaceDN/>
              <w:rPr>
                <w:rFonts w:hint="eastAsia" w:ascii="宋体" w:hAnsi="宋体" w:eastAsia="宋体" w:cs="宋体"/>
                <w:spacing w:val="-2"/>
                <w:sz w:val="21"/>
                <w:szCs w:val="21"/>
              </w:rPr>
            </w:pPr>
            <w:r>
              <w:rPr>
                <w:rFonts w:hint="eastAsia" w:ascii="宋体" w:hAnsi="宋体" w:eastAsia="宋体" w:cs="宋体"/>
                <w:spacing w:val="-2"/>
                <w:sz w:val="21"/>
                <w:szCs w:val="21"/>
              </w:rPr>
              <w:t>医生可直接点击查看评估表详情。例如，当患者初步诊断为急性脑梗时，系统自动推NIHSS卒中量表、卒中静脉溶栓禁忌、mRS量表、TOAST缺血性卒中分型等量表供医生选用，医生可直接点击进入评估表明细页面。</w:t>
            </w:r>
          </w:p>
          <w:p w14:paraId="1FD55CF8">
            <w:pPr>
              <w:pStyle w:val="145"/>
              <w:numPr>
                <w:ilvl w:val="0"/>
                <w:numId w:val="4"/>
              </w:numPr>
              <w:kinsoku w:val="0"/>
              <w:overflowPunct w:val="0"/>
              <w:autoSpaceDE/>
              <w:autoSpaceDN/>
              <w:rPr>
                <w:rFonts w:hint="eastAsia" w:ascii="宋体" w:hAnsi="宋体" w:eastAsia="宋体" w:cs="宋体"/>
                <w:spacing w:val="-2"/>
                <w:sz w:val="21"/>
                <w:szCs w:val="21"/>
              </w:rPr>
            </w:pPr>
            <w:r>
              <w:rPr>
                <w:rFonts w:hint="eastAsia" w:ascii="宋体" w:hAnsi="宋体" w:eastAsia="宋体" w:cs="宋体"/>
                <w:sz w:val="21"/>
                <w:szCs w:val="21"/>
              </w:rPr>
              <w:t>根据患者评分情况给出病情严重风险程度建议，并自动累加勾选中的细项分值</w:t>
            </w:r>
          </w:p>
          <w:p w14:paraId="40D5C2A3">
            <w:pPr>
              <w:pStyle w:val="145"/>
              <w:numPr>
                <w:ilvl w:val="0"/>
                <w:numId w:val="4"/>
              </w:numPr>
              <w:kinsoku w:val="0"/>
              <w:overflowPunct w:val="0"/>
              <w:autoSpaceDE/>
              <w:autoSpaceDN/>
              <w:rPr>
                <w:rFonts w:hint="eastAsia" w:ascii="宋体" w:hAnsi="宋体" w:eastAsia="宋体" w:cs="宋体"/>
                <w:spacing w:val="-2"/>
                <w:sz w:val="21"/>
                <w:szCs w:val="21"/>
              </w:rPr>
            </w:pPr>
            <w:r>
              <w:rPr>
                <w:rFonts w:hint="eastAsia" w:ascii="宋体" w:hAnsi="宋体" w:eastAsia="宋体" w:cs="宋体"/>
                <w:spacing w:val="2"/>
                <w:sz w:val="21"/>
                <w:szCs w:val="21"/>
              </w:rPr>
              <w:t>支持查阅在本系统中评估的历史评估记录。</w:t>
            </w:r>
          </w:p>
          <w:p w14:paraId="5BA2FBD4">
            <w:pPr>
              <w:pStyle w:val="145"/>
              <w:numPr>
                <w:ilvl w:val="0"/>
                <w:numId w:val="4"/>
              </w:numPr>
              <w:kinsoku w:val="0"/>
              <w:overflowPunct w:val="0"/>
              <w:autoSpaceDE/>
              <w:autoSpaceDN/>
              <w:rPr>
                <w:rFonts w:hint="eastAsia" w:ascii="宋体" w:hAnsi="宋体" w:eastAsia="宋体" w:cs="宋体"/>
                <w:spacing w:val="2"/>
                <w:sz w:val="21"/>
                <w:szCs w:val="21"/>
              </w:rPr>
            </w:pPr>
            <w:r>
              <w:rPr>
                <w:rFonts w:hint="eastAsia" w:ascii="宋体" w:hAnsi="宋体" w:eastAsia="宋体" w:cs="宋体"/>
                <w:spacing w:val="2"/>
                <w:sz w:val="21"/>
                <w:szCs w:val="21"/>
              </w:rPr>
              <w:t>支持评估完成的评估表进行在线打印或以PDF格式下载。</w:t>
            </w:r>
          </w:p>
          <w:p w14:paraId="7A62437C">
            <w:pPr>
              <w:pStyle w:val="145"/>
              <w:numPr>
                <w:ilvl w:val="0"/>
                <w:numId w:val="4"/>
              </w:numPr>
              <w:kinsoku w:val="0"/>
              <w:overflowPunct w:val="0"/>
              <w:autoSpaceDE/>
              <w:autoSpaceDN/>
              <w:rPr>
                <w:rFonts w:hint="eastAsia" w:ascii="宋体" w:hAnsi="宋体" w:eastAsia="宋体" w:cs="宋体"/>
                <w:spacing w:val="2"/>
                <w:sz w:val="21"/>
                <w:szCs w:val="21"/>
              </w:rPr>
            </w:pPr>
            <w:r>
              <w:rPr>
                <w:rFonts w:hint="eastAsia" w:ascii="宋体" w:hAnsi="宋体" w:eastAsia="宋体" w:cs="宋体"/>
                <w:spacing w:val="2"/>
                <w:sz w:val="21"/>
                <w:szCs w:val="21"/>
              </w:rPr>
              <w:t>支持对历史评估表进行作废处理，但需备注作废理由。</w:t>
            </w:r>
          </w:p>
        </w:tc>
      </w:tr>
      <w:tr w14:paraId="1C89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continue"/>
            <w:vAlign w:val="center"/>
          </w:tcPr>
          <w:p w14:paraId="2B76F24C">
            <w:pPr>
              <w:pStyle w:val="145"/>
              <w:kinsoku w:val="0"/>
              <w:overflowPunct w:val="0"/>
              <w:autoSpaceDE/>
              <w:autoSpaceDN/>
              <w:jc w:val="center"/>
              <w:rPr>
                <w:rFonts w:hint="eastAsia" w:ascii="宋体" w:hAnsi="宋体" w:eastAsia="宋体" w:cs="宋体"/>
                <w:sz w:val="21"/>
                <w:szCs w:val="21"/>
              </w:rPr>
            </w:pPr>
          </w:p>
        </w:tc>
        <w:tc>
          <w:tcPr>
            <w:tcW w:w="1088" w:type="dxa"/>
            <w:vAlign w:val="center"/>
          </w:tcPr>
          <w:p w14:paraId="23FF4451">
            <w:pPr>
              <w:pStyle w:val="145"/>
              <w:kinsoku w:val="0"/>
              <w:overflowPunct w:val="0"/>
              <w:autoSpaceDE/>
              <w:autoSpaceDN/>
              <w:jc w:val="center"/>
              <w:rPr>
                <w:rFonts w:hint="eastAsia" w:ascii="宋体" w:hAnsi="宋体" w:eastAsia="宋体" w:cs="宋体"/>
                <w:spacing w:val="2"/>
                <w:kern w:val="2"/>
                <w:sz w:val="21"/>
                <w:szCs w:val="21"/>
              </w:rPr>
            </w:pPr>
            <w:r>
              <w:rPr>
                <w:rFonts w:hint="eastAsia" w:ascii="宋体" w:hAnsi="宋体" w:eastAsia="宋体" w:cs="宋体"/>
                <w:spacing w:val="2"/>
                <w:sz w:val="21"/>
                <w:szCs w:val="21"/>
                <w:lang w:eastAsia="zh-Hans"/>
              </w:rPr>
              <w:t>用户反馈</w:t>
            </w:r>
          </w:p>
        </w:tc>
        <w:tc>
          <w:tcPr>
            <w:tcW w:w="7235" w:type="dxa"/>
          </w:tcPr>
          <w:p w14:paraId="2F106110">
            <w:pPr>
              <w:pStyle w:val="145"/>
              <w:kinsoku w:val="0"/>
              <w:overflowPunct w:val="0"/>
              <w:autoSpaceDE/>
              <w:autoSpaceDN/>
              <w:rPr>
                <w:rFonts w:hint="eastAsia" w:ascii="宋体" w:hAnsi="宋体" w:eastAsia="宋体" w:cs="宋体"/>
                <w:spacing w:val="2"/>
                <w:kern w:val="2"/>
                <w:sz w:val="21"/>
                <w:szCs w:val="21"/>
              </w:rPr>
            </w:pPr>
            <w:r>
              <w:rPr>
                <w:rFonts w:hint="eastAsia" w:ascii="宋体" w:hAnsi="宋体" w:eastAsia="宋体" w:cs="宋体"/>
                <w:sz w:val="21"/>
                <w:szCs w:val="21"/>
              </w:rPr>
              <w:t>★</w:t>
            </w:r>
            <w:r>
              <w:rPr>
                <w:rFonts w:hint="eastAsia" w:ascii="宋体" w:hAnsi="宋体" w:eastAsia="宋体" w:cs="宋体"/>
                <w:sz w:val="21"/>
                <w:szCs w:val="21"/>
                <w:lang w:eastAsia="zh-Hans"/>
              </w:rPr>
              <w:t>支持在医生工作站进行用户反馈，医生可按照提建议、提缺陷、我想要等不同情况提交用户反馈。支持文字描述和图片上传，支持默认自动截图当前提醒框并上传。</w:t>
            </w:r>
          </w:p>
        </w:tc>
      </w:tr>
      <w:tr w14:paraId="4311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restart"/>
            <w:vAlign w:val="center"/>
          </w:tcPr>
          <w:p w14:paraId="280F65BA">
            <w:pPr>
              <w:pStyle w:val="145"/>
              <w:kinsoku w:val="0"/>
              <w:overflowPunct w:val="0"/>
              <w:autoSpaceDE/>
              <w:autoSpaceDN/>
              <w:jc w:val="center"/>
              <w:rPr>
                <w:rFonts w:hint="eastAsia" w:ascii="宋体" w:hAnsi="宋体" w:eastAsia="宋体" w:cs="宋体"/>
                <w:sz w:val="21"/>
                <w:szCs w:val="21"/>
              </w:rPr>
            </w:pPr>
            <w:r>
              <w:rPr>
                <w:rFonts w:hint="eastAsia" w:ascii="宋体" w:hAnsi="宋体" w:eastAsia="宋体" w:cs="宋体"/>
                <w:sz w:val="21"/>
                <w:szCs w:val="21"/>
              </w:rPr>
              <w:t>智能关联</w:t>
            </w:r>
          </w:p>
          <w:p w14:paraId="5DAC59C7">
            <w:pPr>
              <w:pStyle w:val="145"/>
              <w:kinsoku w:val="0"/>
              <w:overflowPunct w:val="0"/>
              <w:autoSpaceDE/>
              <w:autoSpaceDN/>
              <w:jc w:val="center"/>
              <w:rPr>
                <w:rFonts w:hint="eastAsia" w:ascii="宋体" w:hAnsi="宋体" w:eastAsia="宋体" w:cs="宋体"/>
                <w:sz w:val="21"/>
                <w:szCs w:val="21"/>
              </w:rPr>
            </w:pPr>
          </w:p>
          <w:p w14:paraId="01063382">
            <w:pPr>
              <w:pStyle w:val="145"/>
              <w:kinsoku w:val="0"/>
              <w:overflowPunct w:val="0"/>
              <w:autoSpaceDE/>
              <w:autoSpaceDN/>
              <w:jc w:val="center"/>
              <w:rPr>
                <w:rFonts w:hint="eastAsia" w:ascii="宋体" w:hAnsi="宋体" w:eastAsia="宋体" w:cs="宋体"/>
                <w:sz w:val="21"/>
                <w:szCs w:val="21"/>
              </w:rPr>
            </w:pPr>
          </w:p>
        </w:tc>
        <w:tc>
          <w:tcPr>
            <w:tcW w:w="1088" w:type="dxa"/>
            <w:vAlign w:val="center"/>
          </w:tcPr>
          <w:p w14:paraId="030439F7">
            <w:pPr>
              <w:widowControl/>
              <w:jc w:val="left"/>
              <w:textAlignment w:val="center"/>
              <w:rPr>
                <w:rFonts w:hint="eastAsia" w:ascii="宋体" w:hAnsi="宋体" w:eastAsia="宋体" w:cs="宋体"/>
                <w:color w:val="000000"/>
                <w:sz w:val="21"/>
                <w:szCs w:val="21"/>
                <w:lang w:eastAsia="zh-Hans"/>
              </w:rPr>
            </w:pPr>
            <w:r>
              <w:rPr>
                <w:rFonts w:hint="eastAsia" w:ascii="宋体" w:hAnsi="宋体" w:eastAsia="宋体" w:cs="宋体"/>
                <w:color w:val="000000"/>
                <w:kern w:val="0"/>
                <w:sz w:val="21"/>
                <w:szCs w:val="21"/>
                <w:lang w:bidi="ar"/>
              </w:rPr>
              <w:t>诊断详情展示</w:t>
            </w:r>
          </w:p>
        </w:tc>
        <w:tc>
          <w:tcPr>
            <w:tcW w:w="7235" w:type="dxa"/>
            <w:vAlign w:val="center"/>
          </w:tcPr>
          <w:p w14:paraId="4EB5050F">
            <w:pPr>
              <w:widowControl/>
              <w:numPr>
                <w:ilvl w:val="0"/>
                <w:numId w:val="5"/>
              </w:numPr>
              <w:ind w:left="0" w:firstLine="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支持His系统通过接口调用知识库内容，展示诊断详情内容。</w:t>
            </w:r>
          </w:p>
        </w:tc>
      </w:tr>
      <w:tr w14:paraId="77862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33" w:type="dxa"/>
            <w:vMerge w:val="continue"/>
            <w:vAlign w:val="center"/>
          </w:tcPr>
          <w:p w14:paraId="2881E67F">
            <w:pPr>
              <w:pStyle w:val="145"/>
              <w:kinsoku w:val="0"/>
              <w:overflowPunct w:val="0"/>
              <w:autoSpaceDE/>
              <w:autoSpaceDN/>
              <w:jc w:val="center"/>
              <w:rPr>
                <w:rFonts w:hint="eastAsia" w:ascii="宋体" w:hAnsi="宋体" w:eastAsia="宋体" w:cs="宋体"/>
                <w:sz w:val="21"/>
                <w:szCs w:val="21"/>
              </w:rPr>
            </w:pPr>
          </w:p>
        </w:tc>
        <w:tc>
          <w:tcPr>
            <w:tcW w:w="1088" w:type="dxa"/>
            <w:vAlign w:val="center"/>
          </w:tcPr>
          <w:p w14:paraId="30BFEAB1">
            <w:pPr>
              <w:widowControl/>
              <w:jc w:val="left"/>
              <w:textAlignment w:val="center"/>
              <w:rPr>
                <w:rFonts w:hint="eastAsia" w:ascii="宋体" w:hAnsi="宋体" w:eastAsia="宋体" w:cs="宋体"/>
                <w:color w:val="000000"/>
                <w:sz w:val="21"/>
                <w:szCs w:val="21"/>
                <w:lang w:eastAsia="zh-Hans"/>
              </w:rPr>
            </w:pPr>
            <w:r>
              <w:rPr>
                <w:rFonts w:hint="eastAsia" w:ascii="宋体" w:hAnsi="宋体" w:eastAsia="宋体" w:cs="宋体"/>
                <w:color w:val="000000"/>
                <w:kern w:val="0"/>
                <w:sz w:val="21"/>
                <w:szCs w:val="21"/>
                <w:lang w:bidi="ar"/>
              </w:rPr>
              <w:t>检查项目</w:t>
            </w:r>
          </w:p>
        </w:tc>
        <w:tc>
          <w:tcPr>
            <w:tcW w:w="7235" w:type="dxa"/>
            <w:vAlign w:val="center"/>
          </w:tcPr>
          <w:p w14:paraId="46314688">
            <w:pPr>
              <w:widowControl/>
              <w:numPr>
                <w:ilvl w:val="0"/>
                <w:numId w:val="5"/>
              </w:numPr>
              <w:ind w:left="0" w:firstLine="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与院内检查项目关联，支持His系统通过接口调用知识库内容进行展示。</w:t>
            </w:r>
          </w:p>
        </w:tc>
      </w:tr>
      <w:tr w14:paraId="7B6C3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continue"/>
            <w:vAlign w:val="center"/>
          </w:tcPr>
          <w:p w14:paraId="494170E0">
            <w:pPr>
              <w:pStyle w:val="145"/>
              <w:kinsoku w:val="0"/>
              <w:overflowPunct w:val="0"/>
              <w:autoSpaceDE/>
              <w:autoSpaceDN/>
              <w:jc w:val="center"/>
              <w:rPr>
                <w:rFonts w:hint="eastAsia" w:ascii="宋体" w:hAnsi="宋体" w:eastAsia="宋体" w:cs="宋体"/>
                <w:sz w:val="21"/>
                <w:szCs w:val="21"/>
              </w:rPr>
            </w:pPr>
          </w:p>
        </w:tc>
        <w:tc>
          <w:tcPr>
            <w:tcW w:w="1088" w:type="dxa"/>
            <w:vAlign w:val="center"/>
          </w:tcPr>
          <w:p w14:paraId="0B3BAB4E">
            <w:pPr>
              <w:widowControl/>
              <w:jc w:val="left"/>
              <w:textAlignment w:val="center"/>
              <w:rPr>
                <w:rFonts w:hint="eastAsia" w:ascii="宋体" w:hAnsi="宋体" w:eastAsia="宋体" w:cs="宋体"/>
                <w:color w:val="000000"/>
                <w:sz w:val="21"/>
                <w:szCs w:val="21"/>
                <w:lang w:eastAsia="zh-Hans"/>
              </w:rPr>
            </w:pPr>
            <w:r>
              <w:rPr>
                <w:rFonts w:hint="eastAsia" w:ascii="宋体" w:hAnsi="宋体" w:eastAsia="宋体" w:cs="宋体"/>
                <w:color w:val="000000"/>
                <w:kern w:val="0"/>
                <w:sz w:val="21"/>
                <w:szCs w:val="21"/>
                <w:lang w:bidi="ar"/>
              </w:rPr>
              <w:t>检验项目</w:t>
            </w:r>
          </w:p>
        </w:tc>
        <w:tc>
          <w:tcPr>
            <w:tcW w:w="7235" w:type="dxa"/>
            <w:vAlign w:val="center"/>
          </w:tcPr>
          <w:p w14:paraId="4F820BC9">
            <w:pPr>
              <w:widowControl/>
              <w:numPr>
                <w:ilvl w:val="0"/>
                <w:numId w:val="5"/>
              </w:numPr>
              <w:ind w:left="0" w:firstLine="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与检验项目关联，支持His系统通过接口调用知识库内容进行展示。</w:t>
            </w:r>
          </w:p>
        </w:tc>
      </w:tr>
      <w:tr w14:paraId="3B14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continue"/>
            <w:vAlign w:val="center"/>
          </w:tcPr>
          <w:p w14:paraId="2FFFD9CE">
            <w:pPr>
              <w:pStyle w:val="145"/>
              <w:kinsoku w:val="0"/>
              <w:overflowPunct w:val="0"/>
              <w:autoSpaceDE/>
              <w:autoSpaceDN/>
              <w:jc w:val="center"/>
              <w:rPr>
                <w:rFonts w:hint="eastAsia" w:ascii="宋体" w:hAnsi="宋体" w:eastAsia="宋体" w:cs="宋体"/>
                <w:sz w:val="21"/>
                <w:szCs w:val="21"/>
              </w:rPr>
            </w:pPr>
          </w:p>
        </w:tc>
        <w:tc>
          <w:tcPr>
            <w:tcW w:w="1088" w:type="dxa"/>
            <w:vAlign w:val="center"/>
          </w:tcPr>
          <w:p w14:paraId="44638417">
            <w:pPr>
              <w:widowControl/>
              <w:jc w:val="left"/>
              <w:textAlignment w:val="center"/>
              <w:rPr>
                <w:rFonts w:hint="eastAsia" w:ascii="宋体" w:hAnsi="宋体" w:eastAsia="宋体" w:cs="宋体"/>
                <w:color w:val="000000"/>
                <w:sz w:val="21"/>
                <w:szCs w:val="21"/>
                <w:lang w:eastAsia="zh-Hans"/>
              </w:rPr>
            </w:pPr>
            <w:r>
              <w:rPr>
                <w:rFonts w:hint="eastAsia" w:ascii="宋体" w:hAnsi="宋体" w:eastAsia="宋体" w:cs="宋体"/>
                <w:color w:val="000000"/>
                <w:kern w:val="0"/>
                <w:sz w:val="21"/>
                <w:szCs w:val="21"/>
                <w:lang w:bidi="ar"/>
              </w:rPr>
              <w:t>药品信息</w:t>
            </w:r>
          </w:p>
        </w:tc>
        <w:tc>
          <w:tcPr>
            <w:tcW w:w="7235" w:type="dxa"/>
            <w:vAlign w:val="center"/>
          </w:tcPr>
          <w:p w14:paraId="2BD4A734">
            <w:pPr>
              <w:widowControl/>
              <w:numPr>
                <w:ilvl w:val="0"/>
                <w:numId w:val="5"/>
              </w:numPr>
              <w:ind w:left="0" w:firstLine="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与院内药品名称关联，支持His系统通过接口调用知识库内容进行展示</w:t>
            </w:r>
          </w:p>
        </w:tc>
      </w:tr>
      <w:tr w14:paraId="058C7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933" w:type="dxa"/>
            <w:vMerge w:val="restart"/>
            <w:vAlign w:val="center"/>
          </w:tcPr>
          <w:p w14:paraId="5FB07FC9">
            <w:pPr>
              <w:pStyle w:val="145"/>
              <w:kinsoku w:val="0"/>
              <w:overflowPunct w:val="0"/>
              <w:autoSpaceDE/>
              <w:autoSpaceDN/>
              <w:jc w:val="center"/>
              <w:rPr>
                <w:rFonts w:hint="eastAsia" w:ascii="宋体" w:hAnsi="宋体" w:eastAsia="宋体" w:cs="宋体"/>
                <w:sz w:val="21"/>
                <w:szCs w:val="21"/>
                <w:lang w:eastAsia="zh-Hans"/>
              </w:rPr>
            </w:pPr>
            <w:r>
              <w:rPr>
                <w:rFonts w:hint="eastAsia" w:ascii="宋体" w:hAnsi="宋体" w:eastAsia="宋体" w:cs="宋体"/>
                <w:sz w:val="21"/>
                <w:szCs w:val="21"/>
              </w:rPr>
              <w:t>院级</w:t>
            </w:r>
            <w:r>
              <w:rPr>
                <w:rFonts w:hint="eastAsia" w:ascii="宋体" w:hAnsi="宋体" w:eastAsia="宋体" w:cs="宋体"/>
                <w:sz w:val="21"/>
                <w:szCs w:val="21"/>
                <w:lang w:eastAsia="zh-Hans"/>
              </w:rPr>
              <w:t>CDSS统计平台</w:t>
            </w:r>
          </w:p>
        </w:tc>
        <w:tc>
          <w:tcPr>
            <w:tcW w:w="1088" w:type="dxa"/>
            <w:vMerge w:val="restart"/>
            <w:vAlign w:val="center"/>
          </w:tcPr>
          <w:p w14:paraId="6ABC3648">
            <w:pPr>
              <w:pStyle w:val="145"/>
              <w:kinsoku w:val="0"/>
              <w:overflowPunct w:val="0"/>
              <w:autoSpaceDE/>
              <w:autoSpaceDN/>
              <w:jc w:val="center"/>
              <w:rPr>
                <w:rFonts w:hint="eastAsia" w:ascii="宋体" w:hAnsi="宋体" w:eastAsia="宋体" w:cs="宋体"/>
                <w:sz w:val="21"/>
                <w:szCs w:val="21"/>
              </w:rPr>
            </w:pPr>
            <w:r>
              <w:rPr>
                <w:rFonts w:hint="eastAsia" w:ascii="宋体" w:hAnsi="宋体" w:eastAsia="宋体" w:cs="宋体"/>
                <w:sz w:val="21"/>
                <w:szCs w:val="21"/>
              </w:rPr>
              <w:t>知识</w:t>
            </w:r>
            <w:r>
              <w:rPr>
                <w:rFonts w:hint="eastAsia" w:ascii="宋体" w:hAnsi="宋体" w:eastAsia="宋体" w:cs="宋体"/>
                <w:sz w:val="21"/>
                <w:szCs w:val="21"/>
                <w:lang w:eastAsia="zh-Hans"/>
              </w:rPr>
              <w:t>推荐</w:t>
            </w:r>
            <w:r>
              <w:rPr>
                <w:rFonts w:hint="eastAsia" w:ascii="宋体" w:hAnsi="宋体" w:eastAsia="宋体" w:cs="宋体"/>
                <w:sz w:val="21"/>
                <w:szCs w:val="21"/>
              </w:rPr>
              <w:t>统计</w:t>
            </w:r>
          </w:p>
        </w:tc>
        <w:tc>
          <w:tcPr>
            <w:tcW w:w="7235" w:type="dxa"/>
          </w:tcPr>
          <w:p w14:paraId="499C72A2">
            <w:pPr>
              <w:pStyle w:val="145"/>
              <w:kinsoku w:val="0"/>
              <w:overflowPunct w:val="0"/>
              <w:autoSpaceDE/>
              <w:autoSpaceDN/>
              <w:rPr>
                <w:rFonts w:hint="eastAsia" w:ascii="宋体" w:hAnsi="宋体" w:eastAsia="宋体" w:cs="宋体"/>
                <w:spacing w:val="2"/>
                <w:kern w:val="2"/>
                <w:sz w:val="21"/>
                <w:szCs w:val="21"/>
              </w:rPr>
            </w:pPr>
            <w:r>
              <w:rPr>
                <w:rFonts w:hint="eastAsia" w:ascii="宋体" w:hAnsi="宋体" w:eastAsia="宋体" w:cs="宋体"/>
                <w:spacing w:val="2"/>
                <w:sz w:val="21"/>
                <w:szCs w:val="21"/>
                <w:lang w:eastAsia="zh-Hans"/>
              </w:rPr>
              <w:t>支持对系统各模块推荐情况进行统计</w:t>
            </w:r>
            <w:r>
              <w:rPr>
                <w:rFonts w:hint="eastAsia" w:ascii="宋体" w:hAnsi="宋体" w:eastAsia="宋体" w:cs="宋体"/>
                <w:spacing w:val="2"/>
                <w:sz w:val="21"/>
                <w:szCs w:val="21"/>
              </w:rPr>
              <w:t>及</w:t>
            </w:r>
            <w:r>
              <w:rPr>
                <w:rFonts w:hint="eastAsia" w:ascii="宋体" w:hAnsi="宋体" w:eastAsia="宋体" w:cs="宋体"/>
                <w:spacing w:val="2"/>
                <w:sz w:val="21"/>
                <w:szCs w:val="21"/>
                <w:lang w:eastAsia="zh-Hans"/>
              </w:rPr>
              <w:t>环比分析。统计指标包</w:t>
            </w:r>
            <w:r>
              <w:rPr>
                <w:rFonts w:hint="eastAsia" w:ascii="宋体" w:hAnsi="宋体" w:eastAsia="宋体" w:cs="宋体"/>
                <w:sz w:val="21"/>
                <w:szCs w:val="21"/>
                <w:lang w:eastAsia="zh-Hans"/>
              </w:rPr>
              <w:t>检查检验推荐数、治疗方案推荐数、评估表推荐数、文献推荐数、护理处置推荐数、出院指导推荐数、护理评估表推荐数、推荐用药等</w:t>
            </w:r>
            <w:r>
              <w:rPr>
                <w:rFonts w:hint="eastAsia" w:ascii="宋体" w:hAnsi="宋体" w:eastAsia="宋体" w:cs="宋体"/>
                <w:sz w:val="21"/>
                <w:szCs w:val="21"/>
              </w:rPr>
              <w:t>。</w:t>
            </w:r>
            <w:r>
              <w:rPr>
                <w:rFonts w:hint="eastAsia" w:ascii="宋体" w:hAnsi="宋体" w:eastAsia="宋体" w:cs="宋体"/>
                <w:sz w:val="21"/>
                <w:szCs w:val="21"/>
                <w:lang w:eastAsia="zh-Hans"/>
              </w:rPr>
              <w:t>支持智能推荐指标数据下钻和患者明细下载</w:t>
            </w:r>
            <w:r>
              <w:rPr>
                <w:rFonts w:hint="eastAsia" w:ascii="宋体" w:hAnsi="宋体" w:eastAsia="宋体" w:cs="宋体"/>
                <w:sz w:val="21"/>
                <w:szCs w:val="21"/>
              </w:rPr>
              <w:t>。</w:t>
            </w:r>
          </w:p>
        </w:tc>
      </w:tr>
      <w:tr w14:paraId="7C04E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continue"/>
            <w:vAlign w:val="center"/>
          </w:tcPr>
          <w:p w14:paraId="2C66BA04">
            <w:pPr>
              <w:pStyle w:val="145"/>
              <w:kinsoku w:val="0"/>
              <w:overflowPunct w:val="0"/>
              <w:autoSpaceDE/>
              <w:autoSpaceDN/>
              <w:jc w:val="center"/>
              <w:rPr>
                <w:rFonts w:hint="eastAsia" w:ascii="宋体" w:hAnsi="宋体" w:eastAsia="宋体" w:cs="宋体"/>
                <w:sz w:val="21"/>
                <w:szCs w:val="21"/>
                <w:lang w:eastAsia="zh-Hans"/>
              </w:rPr>
            </w:pPr>
          </w:p>
        </w:tc>
        <w:tc>
          <w:tcPr>
            <w:tcW w:w="1088" w:type="dxa"/>
            <w:vMerge w:val="continue"/>
            <w:vAlign w:val="center"/>
          </w:tcPr>
          <w:p w14:paraId="1917B2F9">
            <w:pPr>
              <w:pStyle w:val="145"/>
              <w:kinsoku w:val="0"/>
              <w:overflowPunct w:val="0"/>
              <w:autoSpaceDE/>
              <w:autoSpaceDN/>
              <w:jc w:val="center"/>
              <w:rPr>
                <w:rFonts w:hint="eastAsia" w:ascii="宋体" w:hAnsi="宋体" w:eastAsia="宋体" w:cs="宋体"/>
                <w:sz w:val="21"/>
                <w:szCs w:val="21"/>
                <w:lang w:eastAsia="zh-Hans"/>
              </w:rPr>
            </w:pPr>
          </w:p>
        </w:tc>
        <w:tc>
          <w:tcPr>
            <w:tcW w:w="7235" w:type="dxa"/>
          </w:tcPr>
          <w:p w14:paraId="37A14A41">
            <w:pPr>
              <w:pStyle w:val="145"/>
              <w:kinsoku w:val="0"/>
              <w:overflowPunct w:val="0"/>
              <w:autoSpaceDE/>
              <w:autoSpaceDN/>
              <w:rPr>
                <w:rFonts w:hint="eastAsia" w:ascii="宋体" w:hAnsi="宋体" w:eastAsia="宋体" w:cs="宋体"/>
                <w:spacing w:val="2"/>
                <w:kern w:val="2"/>
                <w:sz w:val="21"/>
                <w:szCs w:val="21"/>
                <w:lang w:eastAsia="zh-Hans"/>
              </w:rPr>
            </w:pPr>
            <w:r>
              <w:rPr>
                <w:rFonts w:hint="eastAsia" w:ascii="宋体" w:hAnsi="宋体" w:eastAsia="宋体" w:cs="宋体"/>
                <w:sz w:val="21"/>
                <w:szCs w:val="21"/>
                <w:lang w:eastAsia="zh-Hans"/>
              </w:rPr>
              <w:t>支持对一定时间段内不同推荐项目的变化趋势进行统计分析，以天、周、月进行展示，支持用户根据需求勾选推荐项目调整显示的趋势图</w:t>
            </w:r>
          </w:p>
        </w:tc>
      </w:tr>
      <w:tr w14:paraId="5990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continue"/>
            <w:vAlign w:val="center"/>
          </w:tcPr>
          <w:p w14:paraId="32DB7A1E">
            <w:pPr>
              <w:pStyle w:val="145"/>
              <w:kinsoku w:val="0"/>
              <w:overflowPunct w:val="0"/>
              <w:autoSpaceDE/>
              <w:autoSpaceDN/>
              <w:jc w:val="center"/>
              <w:rPr>
                <w:rFonts w:hint="eastAsia" w:ascii="宋体" w:hAnsi="宋体" w:eastAsia="宋体" w:cs="宋体"/>
                <w:sz w:val="21"/>
                <w:szCs w:val="21"/>
                <w:lang w:eastAsia="zh-Hans"/>
              </w:rPr>
            </w:pPr>
          </w:p>
        </w:tc>
        <w:tc>
          <w:tcPr>
            <w:tcW w:w="1088" w:type="dxa"/>
            <w:vMerge w:val="continue"/>
            <w:vAlign w:val="center"/>
          </w:tcPr>
          <w:p w14:paraId="23DD6C73">
            <w:pPr>
              <w:pStyle w:val="145"/>
              <w:kinsoku w:val="0"/>
              <w:overflowPunct w:val="0"/>
              <w:autoSpaceDE/>
              <w:autoSpaceDN/>
              <w:jc w:val="center"/>
              <w:rPr>
                <w:rFonts w:hint="eastAsia" w:ascii="宋体" w:hAnsi="宋体" w:eastAsia="宋体" w:cs="宋体"/>
                <w:sz w:val="21"/>
                <w:szCs w:val="21"/>
                <w:lang w:eastAsia="zh-Hans"/>
              </w:rPr>
            </w:pPr>
          </w:p>
        </w:tc>
        <w:tc>
          <w:tcPr>
            <w:tcW w:w="7235" w:type="dxa"/>
          </w:tcPr>
          <w:p w14:paraId="44A84871">
            <w:pPr>
              <w:pStyle w:val="145"/>
              <w:kinsoku w:val="0"/>
              <w:overflowPunct w:val="0"/>
              <w:autoSpaceDE/>
              <w:autoSpaceDN/>
              <w:rPr>
                <w:rFonts w:hint="eastAsia" w:ascii="宋体" w:hAnsi="宋体" w:eastAsia="宋体" w:cs="宋体"/>
                <w:kern w:val="2"/>
                <w:sz w:val="21"/>
                <w:szCs w:val="21"/>
                <w:lang w:eastAsia="zh-Hans"/>
              </w:rPr>
            </w:pPr>
            <w:r>
              <w:rPr>
                <w:rFonts w:hint="eastAsia" w:ascii="宋体" w:hAnsi="宋体" w:eastAsia="宋体" w:cs="宋体"/>
                <w:sz w:val="21"/>
                <w:szCs w:val="21"/>
                <w:lang w:eastAsia="zh-Hans"/>
              </w:rPr>
              <w:t>支持推荐项目排名，展示推荐内容top10。</w:t>
            </w:r>
          </w:p>
        </w:tc>
      </w:tr>
      <w:tr w14:paraId="0E9BF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continue"/>
            <w:vAlign w:val="center"/>
          </w:tcPr>
          <w:p w14:paraId="0B08AE05">
            <w:pPr>
              <w:pStyle w:val="145"/>
              <w:kinsoku w:val="0"/>
              <w:overflowPunct w:val="0"/>
              <w:autoSpaceDE/>
              <w:autoSpaceDN/>
              <w:jc w:val="center"/>
              <w:rPr>
                <w:rFonts w:hint="eastAsia" w:ascii="宋体" w:hAnsi="宋体" w:eastAsia="宋体" w:cs="宋体"/>
                <w:sz w:val="21"/>
                <w:szCs w:val="21"/>
                <w:lang w:eastAsia="zh-Hans"/>
              </w:rPr>
            </w:pPr>
          </w:p>
        </w:tc>
        <w:tc>
          <w:tcPr>
            <w:tcW w:w="1088" w:type="dxa"/>
            <w:vMerge w:val="restart"/>
            <w:vAlign w:val="center"/>
          </w:tcPr>
          <w:p w14:paraId="32949EA3">
            <w:pPr>
              <w:pStyle w:val="145"/>
              <w:kinsoku w:val="0"/>
              <w:overflowPunct w:val="0"/>
              <w:autoSpaceDE/>
              <w:autoSpaceDN/>
              <w:jc w:val="center"/>
              <w:rPr>
                <w:rFonts w:hint="eastAsia" w:ascii="宋体" w:hAnsi="宋体" w:eastAsia="宋体" w:cs="宋体"/>
                <w:sz w:val="21"/>
                <w:szCs w:val="21"/>
                <w:lang w:eastAsia="zh-Hans"/>
              </w:rPr>
            </w:pPr>
            <w:r>
              <w:rPr>
                <w:rFonts w:hint="eastAsia" w:ascii="宋体" w:hAnsi="宋体" w:eastAsia="宋体" w:cs="宋体"/>
                <w:sz w:val="21"/>
                <w:szCs w:val="21"/>
                <w:lang w:eastAsia="zh-Hans"/>
              </w:rPr>
              <w:t>用户点击数据</w:t>
            </w:r>
          </w:p>
        </w:tc>
        <w:tc>
          <w:tcPr>
            <w:tcW w:w="7235" w:type="dxa"/>
          </w:tcPr>
          <w:p w14:paraId="2BF89F70">
            <w:pPr>
              <w:pStyle w:val="145"/>
              <w:kinsoku w:val="0"/>
              <w:overflowPunct w:val="0"/>
              <w:autoSpaceDE/>
              <w:autoSpaceDN/>
              <w:rPr>
                <w:rFonts w:hint="eastAsia" w:ascii="宋体" w:hAnsi="宋体" w:eastAsia="宋体" w:cs="宋体"/>
                <w:spacing w:val="2"/>
                <w:sz w:val="21"/>
                <w:szCs w:val="21"/>
                <w:lang w:eastAsia="zh-Hans"/>
              </w:rPr>
            </w:pPr>
            <w:r>
              <w:rPr>
                <w:rFonts w:hint="eastAsia" w:ascii="宋体" w:hAnsi="宋体" w:eastAsia="宋体" w:cs="宋体"/>
                <w:spacing w:val="2"/>
                <w:sz w:val="21"/>
                <w:szCs w:val="21"/>
                <w:lang w:eastAsia="zh-Hans"/>
              </w:rPr>
              <w:t>支持对整体点击量、覆盖患者数、覆盖医生数、智能推荐数进行统计分析；</w:t>
            </w:r>
          </w:p>
        </w:tc>
      </w:tr>
      <w:tr w14:paraId="6300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continue"/>
            <w:vAlign w:val="center"/>
          </w:tcPr>
          <w:p w14:paraId="10727FEB">
            <w:pPr>
              <w:pStyle w:val="145"/>
              <w:kinsoku w:val="0"/>
              <w:overflowPunct w:val="0"/>
              <w:autoSpaceDE/>
              <w:autoSpaceDN/>
              <w:jc w:val="center"/>
              <w:rPr>
                <w:rFonts w:hint="eastAsia" w:ascii="宋体" w:hAnsi="宋体" w:eastAsia="宋体" w:cs="宋体"/>
                <w:sz w:val="21"/>
                <w:szCs w:val="21"/>
                <w:lang w:eastAsia="zh-Hans"/>
              </w:rPr>
            </w:pPr>
          </w:p>
        </w:tc>
        <w:tc>
          <w:tcPr>
            <w:tcW w:w="1088" w:type="dxa"/>
            <w:vMerge w:val="continue"/>
            <w:vAlign w:val="center"/>
          </w:tcPr>
          <w:p w14:paraId="7575E974">
            <w:pPr>
              <w:pStyle w:val="145"/>
              <w:kinsoku w:val="0"/>
              <w:overflowPunct w:val="0"/>
              <w:autoSpaceDE/>
              <w:autoSpaceDN/>
              <w:jc w:val="center"/>
              <w:rPr>
                <w:rFonts w:hint="eastAsia" w:ascii="宋体" w:hAnsi="宋体" w:eastAsia="宋体" w:cs="宋体"/>
                <w:sz w:val="21"/>
                <w:szCs w:val="21"/>
                <w:lang w:eastAsia="zh-Hans"/>
              </w:rPr>
            </w:pPr>
          </w:p>
        </w:tc>
        <w:tc>
          <w:tcPr>
            <w:tcW w:w="7235" w:type="dxa"/>
          </w:tcPr>
          <w:p w14:paraId="2559F303">
            <w:pPr>
              <w:pStyle w:val="145"/>
              <w:kinsoku w:val="0"/>
              <w:overflowPunct w:val="0"/>
              <w:autoSpaceDE/>
              <w:autoSpaceDN/>
              <w:rPr>
                <w:rFonts w:hint="eastAsia" w:ascii="宋体" w:hAnsi="宋体" w:eastAsia="宋体" w:cs="宋体"/>
                <w:spacing w:val="2"/>
                <w:sz w:val="21"/>
                <w:szCs w:val="21"/>
                <w:lang w:eastAsia="zh-Hans"/>
              </w:rPr>
            </w:pPr>
            <w:r>
              <w:rPr>
                <w:rFonts w:hint="eastAsia" w:ascii="宋体" w:hAnsi="宋体" w:eastAsia="宋体" w:cs="宋体"/>
                <w:spacing w:val="2"/>
                <w:sz w:val="21"/>
                <w:szCs w:val="21"/>
                <w:lang w:eastAsia="zh-Hans"/>
              </w:rPr>
              <w:t>支持对CDSS点击数和覆盖患者数的时间趋势进行统计分析，按天、周、月进行可视化图表展示；</w:t>
            </w:r>
          </w:p>
        </w:tc>
      </w:tr>
      <w:tr w14:paraId="08A5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continue"/>
            <w:vAlign w:val="center"/>
          </w:tcPr>
          <w:p w14:paraId="0CBDC3EE">
            <w:pPr>
              <w:pStyle w:val="145"/>
              <w:kinsoku w:val="0"/>
              <w:overflowPunct w:val="0"/>
              <w:autoSpaceDE/>
              <w:autoSpaceDN/>
              <w:jc w:val="center"/>
              <w:rPr>
                <w:rFonts w:hint="eastAsia" w:ascii="宋体" w:hAnsi="宋体" w:eastAsia="宋体" w:cs="宋体"/>
                <w:sz w:val="21"/>
                <w:szCs w:val="21"/>
                <w:lang w:eastAsia="zh-Hans"/>
              </w:rPr>
            </w:pPr>
          </w:p>
        </w:tc>
        <w:tc>
          <w:tcPr>
            <w:tcW w:w="1088" w:type="dxa"/>
            <w:vMerge w:val="continue"/>
            <w:vAlign w:val="center"/>
          </w:tcPr>
          <w:p w14:paraId="5B6ABA66">
            <w:pPr>
              <w:pStyle w:val="145"/>
              <w:kinsoku w:val="0"/>
              <w:overflowPunct w:val="0"/>
              <w:autoSpaceDE/>
              <w:autoSpaceDN/>
              <w:jc w:val="center"/>
              <w:rPr>
                <w:rFonts w:hint="eastAsia" w:ascii="宋体" w:hAnsi="宋体" w:eastAsia="宋体" w:cs="宋体"/>
                <w:sz w:val="21"/>
                <w:szCs w:val="21"/>
                <w:lang w:eastAsia="zh-Hans"/>
              </w:rPr>
            </w:pPr>
          </w:p>
        </w:tc>
        <w:tc>
          <w:tcPr>
            <w:tcW w:w="7235" w:type="dxa"/>
          </w:tcPr>
          <w:p w14:paraId="4DD41B68">
            <w:pPr>
              <w:pStyle w:val="145"/>
              <w:kinsoku w:val="0"/>
              <w:overflowPunct w:val="0"/>
              <w:autoSpaceDE/>
              <w:autoSpaceDN/>
              <w:rPr>
                <w:rFonts w:hint="eastAsia" w:ascii="宋体" w:hAnsi="宋体" w:eastAsia="宋体" w:cs="宋体"/>
                <w:spacing w:val="2"/>
                <w:sz w:val="21"/>
                <w:szCs w:val="21"/>
                <w:lang w:eastAsia="zh-Hans"/>
              </w:rPr>
            </w:pPr>
            <w:r>
              <w:rPr>
                <w:rFonts w:hint="eastAsia" w:ascii="宋体" w:hAnsi="宋体" w:eastAsia="宋体" w:cs="宋体"/>
                <w:spacing w:val="2"/>
                <w:sz w:val="21"/>
                <w:szCs w:val="21"/>
                <w:lang w:eastAsia="zh-Hans"/>
              </w:rPr>
              <w:t>支持对不同科室点击量进行统计并排名，可视化展示科室点击量top15；</w:t>
            </w:r>
          </w:p>
        </w:tc>
      </w:tr>
      <w:tr w14:paraId="76E4B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continue"/>
            <w:vAlign w:val="center"/>
          </w:tcPr>
          <w:p w14:paraId="36FEB6A1">
            <w:pPr>
              <w:pStyle w:val="145"/>
              <w:kinsoku w:val="0"/>
              <w:overflowPunct w:val="0"/>
              <w:autoSpaceDE/>
              <w:autoSpaceDN/>
              <w:jc w:val="center"/>
              <w:rPr>
                <w:rFonts w:hint="eastAsia" w:ascii="宋体" w:hAnsi="宋体" w:eastAsia="宋体" w:cs="宋体"/>
                <w:sz w:val="21"/>
                <w:szCs w:val="21"/>
                <w:lang w:eastAsia="zh-Hans"/>
              </w:rPr>
            </w:pPr>
          </w:p>
        </w:tc>
        <w:tc>
          <w:tcPr>
            <w:tcW w:w="1088" w:type="dxa"/>
            <w:vMerge w:val="continue"/>
            <w:vAlign w:val="center"/>
          </w:tcPr>
          <w:p w14:paraId="3D502E63">
            <w:pPr>
              <w:pStyle w:val="145"/>
              <w:kinsoku w:val="0"/>
              <w:overflowPunct w:val="0"/>
              <w:autoSpaceDE/>
              <w:autoSpaceDN/>
              <w:jc w:val="center"/>
              <w:rPr>
                <w:rFonts w:hint="eastAsia" w:ascii="宋体" w:hAnsi="宋体" w:eastAsia="宋体" w:cs="宋体"/>
                <w:sz w:val="21"/>
                <w:szCs w:val="21"/>
                <w:lang w:eastAsia="zh-Hans"/>
              </w:rPr>
            </w:pPr>
          </w:p>
        </w:tc>
        <w:tc>
          <w:tcPr>
            <w:tcW w:w="7235" w:type="dxa"/>
          </w:tcPr>
          <w:p w14:paraId="4F390864">
            <w:pPr>
              <w:pStyle w:val="145"/>
              <w:kinsoku w:val="0"/>
              <w:overflowPunct w:val="0"/>
              <w:autoSpaceDE/>
              <w:autoSpaceDN/>
              <w:rPr>
                <w:rFonts w:hint="eastAsia" w:ascii="宋体" w:hAnsi="宋体" w:eastAsia="宋体" w:cs="宋体"/>
                <w:spacing w:val="2"/>
                <w:sz w:val="21"/>
                <w:szCs w:val="21"/>
                <w:lang w:eastAsia="zh-Hans"/>
              </w:rPr>
            </w:pPr>
            <w:r>
              <w:rPr>
                <w:rFonts w:hint="eastAsia" w:ascii="宋体" w:hAnsi="宋体" w:eastAsia="宋体" w:cs="宋体"/>
                <w:spacing w:val="2"/>
                <w:sz w:val="21"/>
                <w:szCs w:val="21"/>
                <w:lang w:eastAsia="zh-Hans"/>
              </w:rPr>
              <w:t>支持对不同医生点击量进行统计并排名，可视化展示医生点击量top15；</w:t>
            </w:r>
          </w:p>
        </w:tc>
      </w:tr>
      <w:tr w14:paraId="3486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continue"/>
            <w:vAlign w:val="center"/>
          </w:tcPr>
          <w:p w14:paraId="72F65279">
            <w:pPr>
              <w:pStyle w:val="145"/>
              <w:kinsoku w:val="0"/>
              <w:overflowPunct w:val="0"/>
              <w:autoSpaceDE/>
              <w:autoSpaceDN/>
              <w:jc w:val="center"/>
              <w:rPr>
                <w:rFonts w:hint="eastAsia" w:ascii="宋体" w:hAnsi="宋体" w:eastAsia="宋体" w:cs="宋体"/>
                <w:sz w:val="21"/>
                <w:szCs w:val="21"/>
                <w:lang w:eastAsia="zh-Hans"/>
              </w:rPr>
            </w:pPr>
          </w:p>
        </w:tc>
        <w:tc>
          <w:tcPr>
            <w:tcW w:w="1088" w:type="dxa"/>
            <w:vMerge w:val="restart"/>
            <w:vAlign w:val="center"/>
          </w:tcPr>
          <w:p w14:paraId="38742604">
            <w:pPr>
              <w:pStyle w:val="145"/>
              <w:kinsoku w:val="0"/>
              <w:overflowPunct w:val="0"/>
              <w:autoSpaceDE/>
              <w:autoSpaceDN/>
              <w:jc w:val="center"/>
              <w:rPr>
                <w:rFonts w:hint="eastAsia" w:ascii="宋体" w:hAnsi="宋体" w:eastAsia="宋体" w:cs="宋体"/>
                <w:sz w:val="21"/>
                <w:szCs w:val="21"/>
                <w:lang w:eastAsia="zh-Hans"/>
              </w:rPr>
            </w:pPr>
            <w:r>
              <w:rPr>
                <w:rFonts w:hint="eastAsia" w:ascii="宋体" w:hAnsi="宋体" w:eastAsia="宋体" w:cs="宋体"/>
                <w:sz w:val="21"/>
                <w:szCs w:val="21"/>
                <w:lang w:eastAsia="zh-Hans"/>
              </w:rPr>
              <w:t>热点功能</w:t>
            </w:r>
          </w:p>
        </w:tc>
        <w:tc>
          <w:tcPr>
            <w:tcW w:w="7235" w:type="dxa"/>
          </w:tcPr>
          <w:p w14:paraId="61197115">
            <w:pPr>
              <w:pStyle w:val="145"/>
              <w:kinsoku w:val="0"/>
              <w:overflowPunct w:val="0"/>
              <w:autoSpaceDE/>
              <w:autoSpaceDN/>
              <w:rPr>
                <w:rFonts w:hint="eastAsia" w:ascii="宋体" w:hAnsi="宋体" w:eastAsia="宋体" w:cs="宋体"/>
                <w:spacing w:val="2"/>
                <w:sz w:val="21"/>
                <w:szCs w:val="21"/>
                <w:lang w:eastAsia="zh-Hans"/>
              </w:rPr>
            </w:pPr>
            <w:r>
              <w:rPr>
                <w:rFonts w:hint="eastAsia" w:ascii="宋体" w:hAnsi="宋体" w:eastAsia="宋体" w:cs="宋体"/>
                <w:spacing w:val="2"/>
                <w:sz w:val="21"/>
                <w:szCs w:val="21"/>
                <w:lang w:eastAsia="zh-Hans"/>
              </w:rPr>
              <w:t>支持对检验检查、治疗方案、文献、鉴别诊断等不同模块模块使用点击量进行统计分析；点击可下钻使用该功能模块最多的科室排行榜，列表可下载；</w:t>
            </w:r>
          </w:p>
        </w:tc>
      </w:tr>
      <w:tr w14:paraId="6BF0D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continue"/>
            <w:vAlign w:val="center"/>
          </w:tcPr>
          <w:p w14:paraId="70607861">
            <w:pPr>
              <w:pStyle w:val="145"/>
              <w:kinsoku w:val="0"/>
              <w:overflowPunct w:val="0"/>
              <w:autoSpaceDE/>
              <w:autoSpaceDN/>
              <w:jc w:val="center"/>
              <w:rPr>
                <w:rFonts w:hint="eastAsia" w:ascii="宋体" w:hAnsi="宋体" w:eastAsia="宋体" w:cs="宋体"/>
                <w:sz w:val="21"/>
                <w:szCs w:val="21"/>
                <w:lang w:eastAsia="zh-Hans"/>
              </w:rPr>
            </w:pPr>
          </w:p>
        </w:tc>
        <w:tc>
          <w:tcPr>
            <w:tcW w:w="1088" w:type="dxa"/>
            <w:vMerge w:val="continue"/>
            <w:vAlign w:val="center"/>
          </w:tcPr>
          <w:p w14:paraId="1AF6E938">
            <w:pPr>
              <w:pStyle w:val="145"/>
              <w:kinsoku w:val="0"/>
              <w:overflowPunct w:val="0"/>
              <w:autoSpaceDE/>
              <w:autoSpaceDN/>
              <w:jc w:val="center"/>
              <w:rPr>
                <w:rFonts w:hint="eastAsia" w:ascii="宋体" w:hAnsi="宋体" w:eastAsia="宋体" w:cs="宋体"/>
                <w:sz w:val="21"/>
                <w:szCs w:val="21"/>
                <w:lang w:eastAsia="zh-Hans"/>
              </w:rPr>
            </w:pPr>
          </w:p>
        </w:tc>
        <w:tc>
          <w:tcPr>
            <w:tcW w:w="7235" w:type="dxa"/>
          </w:tcPr>
          <w:p w14:paraId="0B51AA0D">
            <w:pPr>
              <w:pStyle w:val="145"/>
              <w:kinsoku w:val="0"/>
              <w:overflowPunct w:val="0"/>
              <w:autoSpaceDE/>
              <w:autoSpaceDN/>
              <w:rPr>
                <w:rFonts w:hint="eastAsia" w:ascii="宋体" w:hAnsi="宋体" w:eastAsia="宋体" w:cs="宋体"/>
                <w:spacing w:val="2"/>
                <w:sz w:val="21"/>
                <w:szCs w:val="21"/>
                <w:lang w:eastAsia="zh-Hans"/>
              </w:rPr>
            </w:pPr>
            <w:r>
              <w:rPr>
                <w:rFonts w:hint="eastAsia" w:ascii="宋体" w:hAnsi="宋体" w:eastAsia="宋体" w:cs="宋体"/>
                <w:spacing w:val="2"/>
                <w:sz w:val="21"/>
                <w:szCs w:val="21"/>
                <w:lang w:eastAsia="zh-Hans"/>
              </w:rPr>
              <w:t>支持对用户搜索知识库情况进行统计分析，可视化展示热点知识库搜索排行榜；点击可下钻搜索列表，列表可下载；</w:t>
            </w:r>
          </w:p>
        </w:tc>
      </w:tr>
      <w:tr w14:paraId="7FB93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continue"/>
            <w:vAlign w:val="center"/>
          </w:tcPr>
          <w:p w14:paraId="11B5CA1A">
            <w:pPr>
              <w:pStyle w:val="145"/>
              <w:kinsoku w:val="0"/>
              <w:overflowPunct w:val="0"/>
              <w:autoSpaceDE/>
              <w:autoSpaceDN/>
              <w:jc w:val="center"/>
              <w:rPr>
                <w:rFonts w:hint="eastAsia" w:ascii="宋体" w:hAnsi="宋体" w:eastAsia="宋体" w:cs="宋体"/>
                <w:sz w:val="21"/>
                <w:szCs w:val="21"/>
                <w:lang w:eastAsia="zh-Hans"/>
              </w:rPr>
            </w:pPr>
          </w:p>
        </w:tc>
        <w:tc>
          <w:tcPr>
            <w:tcW w:w="1088" w:type="dxa"/>
            <w:vMerge w:val="continue"/>
            <w:vAlign w:val="center"/>
          </w:tcPr>
          <w:p w14:paraId="40CCB478">
            <w:pPr>
              <w:pStyle w:val="145"/>
              <w:kinsoku w:val="0"/>
              <w:overflowPunct w:val="0"/>
              <w:autoSpaceDE/>
              <w:autoSpaceDN/>
              <w:jc w:val="center"/>
              <w:rPr>
                <w:rFonts w:hint="eastAsia" w:ascii="宋体" w:hAnsi="宋体" w:eastAsia="宋体" w:cs="宋体"/>
                <w:sz w:val="21"/>
                <w:szCs w:val="21"/>
                <w:lang w:eastAsia="zh-Hans"/>
              </w:rPr>
            </w:pPr>
          </w:p>
        </w:tc>
        <w:tc>
          <w:tcPr>
            <w:tcW w:w="7235" w:type="dxa"/>
          </w:tcPr>
          <w:p w14:paraId="653237DC">
            <w:pPr>
              <w:pStyle w:val="145"/>
              <w:kinsoku w:val="0"/>
              <w:overflowPunct w:val="0"/>
              <w:autoSpaceDE/>
              <w:autoSpaceDN/>
              <w:rPr>
                <w:rFonts w:hint="eastAsia" w:ascii="宋体" w:hAnsi="宋体" w:eastAsia="宋体" w:cs="宋体"/>
                <w:spacing w:val="2"/>
                <w:sz w:val="21"/>
                <w:szCs w:val="21"/>
                <w:lang w:eastAsia="zh-Hans"/>
              </w:rPr>
            </w:pPr>
            <w:r>
              <w:rPr>
                <w:rFonts w:hint="eastAsia" w:ascii="宋体" w:hAnsi="宋体" w:eastAsia="宋体" w:cs="宋体"/>
                <w:spacing w:val="2"/>
                <w:sz w:val="21"/>
                <w:szCs w:val="21"/>
                <w:lang w:eastAsia="zh-Hans"/>
              </w:rPr>
              <w:t>支持对不同科室文献使用情况进行统计分析。</w:t>
            </w:r>
          </w:p>
        </w:tc>
      </w:tr>
      <w:tr w14:paraId="1FF9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continue"/>
            <w:vAlign w:val="center"/>
          </w:tcPr>
          <w:p w14:paraId="7F88DA7D">
            <w:pPr>
              <w:pStyle w:val="145"/>
              <w:kinsoku w:val="0"/>
              <w:overflowPunct w:val="0"/>
              <w:autoSpaceDE/>
              <w:autoSpaceDN/>
              <w:jc w:val="center"/>
              <w:rPr>
                <w:rFonts w:hint="eastAsia" w:ascii="宋体" w:hAnsi="宋体" w:eastAsia="宋体" w:cs="宋体"/>
                <w:sz w:val="21"/>
                <w:szCs w:val="21"/>
                <w:lang w:eastAsia="zh-Hans"/>
              </w:rPr>
            </w:pPr>
          </w:p>
        </w:tc>
        <w:tc>
          <w:tcPr>
            <w:tcW w:w="1088" w:type="dxa"/>
            <w:vAlign w:val="center"/>
          </w:tcPr>
          <w:p w14:paraId="392662D5">
            <w:pPr>
              <w:pStyle w:val="145"/>
              <w:kinsoku w:val="0"/>
              <w:overflowPunct w:val="0"/>
              <w:autoSpaceDE/>
              <w:autoSpaceDN/>
              <w:jc w:val="center"/>
              <w:rPr>
                <w:rFonts w:hint="eastAsia" w:ascii="宋体" w:hAnsi="宋体" w:eastAsia="宋体" w:cs="宋体"/>
                <w:sz w:val="21"/>
                <w:szCs w:val="21"/>
                <w:lang w:eastAsia="zh-Hans"/>
              </w:rPr>
            </w:pPr>
            <w:r>
              <w:rPr>
                <w:rFonts w:hint="eastAsia" w:ascii="宋体" w:hAnsi="宋体" w:eastAsia="宋体" w:cs="宋体"/>
                <w:sz w:val="21"/>
                <w:szCs w:val="21"/>
                <w:lang w:eastAsia="zh-Hans"/>
              </w:rPr>
              <w:t>反馈管理</w:t>
            </w:r>
          </w:p>
        </w:tc>
        <w:tc>
          <w:tcPr>
            <w:tcW w:w="7235" w:type="dxa"/>
          </w:tcPr>
          <w:p w14:paraId="021452F2">
            <w:pPr>
              <w:pStyle w:val="145"/>
              <w:kinsoku w:val="0"/>
              <w:overflowPunct w:val="0"/>
              <w:autoSpaceDE/>
              <w:autoSpaceDN/>
              <w:rPr>
                <w:rFonts w:hint="eastAsia" w:ascii="宋体" w:hAnsi="宋体" w:eastAsia="宋体" w:cs="宋体"/>
                <w:spacing w:val="2"/>
                <w:kern w:val="2"/>
                <w:sz w:val="21"/>
                <w:szCs w:val="21"/>
                <w:lang w:eastAsia="zh-Hans"/>
              </w:rPr>
            </w:pPr>
            <w:r>
              <w:rPr>
                <w:rFonts w:hint="eastAsia" w:ascii="宋体" w:hAnsi="宋体" w:eastAsia="宋体" w:cs="宋体"/>
                <w:spacing w:val="2"/>
                <w:sz w:val="21"/>
                <w:szCs w:val="21"/>
                <w:lang w:eastAsia="zh-Hans"/>
              </w:rPr>
              <w:t>支持反馈情况统计分析，统计指标包含</w:t>
            </w:r>
            <w:r>
              <w:rPr>
                <w:rFonts w:hint="eastAsia" w:ascii="宋体" w:hAnsi="宋体" w:eastAsia="宋体" w:cs="宋体"/>
                <w:sz w:val="21"/>
                <w:szCs w:val="21"/>
                <w:lang w:eastAsia="zh-Hans"/>
              </w:rPr>
              <w:t>反馈总数、回复总数、提缺陷、提建议等指标；</w:t>
            </w:r>
          </w:p>
        </w:tc>
      </w:tr>
      <w:tr w14:paraId="2D1E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restart"/>
            <w:vAlign w:val="center"/>
          </w:tcPr>
          <w:p w14:paraId="4775CC35">
            <w:pPr>
              <w:pStyle w:val="145"/>
              <w:kinsoku w:val="0"/>
              <w:overflowPunct w:val="0"/>
              <w:autoSpaceDE/>
              <w:autoSpaceDN/>
              <w:rPr>
                <w:rFonts w:hint="eastAsia" w:ascii="宋体" w:hAnsi="宋体" w:eastAsia="宋体" w:cs="宋体"/>
                <w:kern w:val="2"/>
                <w:sz w:val="21"/>
                <w:szCs w:val="21"/>
                <w:lang w:eastAsia="zh-Hans"/>
              </w:rPr>
            </w:pPr>
            <w:r>
              <w:rPr>
                <w:rFonts w:hint="eastAsia" w:ascii="宋体" w:hAnsi="宋体" w:eastAsia="宋体" w:cs="宋体"/>
                <w:sz w:val="21"/>
                <w:szCs w:val="21"/>
              </w:rPr>
              <w:t>系统维护</w:t>
            </w:r>
          </w:p>
        </w:tc>
        <w:tc>
          <w:tcPr>
            <w:tcW w:w="1088" w:type="dxa"/>
            <w:vAlign w:val="center"/>
          </w:tcPr>
          <w:p w14:paraId="1845CB23">
            <w:pPr>
              <w:pStyle w:val="145"/>
              <w:kinsoku w:val="0"/>
              <w:overflowPunct w:val="0"/>
              <w:autoSpaceDE/>
              <w:autoSpaceDN/>
              <w:jc w:val="center"/>
              <w:rPr>
                <w:rFonts w:hint="eastAsia" w:ascii="宋体" w:hAnsi="宋体" w:eastAsia="宋体" w:cs="宋体"/>
                <w:kern w:val="2"/>
                <w:sz w:val="21"/>
                <w:szCs w:val="21"/>
                <w:lang w:eastAsia="zh-Hans"/>
              </w:rPr>
            </w:pPr>
            <w:r>
              <w:rPr>
                <w:rFonts w:hint="eastAsia" w:ascii="宋体" w:hAnsi="宋体" w:eastAsia="宋体" w:cs="宋体"/>
                <w:sz w:val="21"/>
                <w:szCs w:val="21"/>
              </w:rPr>
              <w:t>字典对照</w:t>
            </w:r>
          </w:p>
        </w:tc>
        <w:tc>
          <w:tcPr>
            <w:tcW w:w="7235" w:type="dxa"/>
          </w:tcPr>
          <w:p w14:paraId="3F7DE245">
            <w:pPr>
              <w:jc w:val="left"/>
              <w:rPr>
                <w:rFonts w:hint="eastAsia" w:ascii="宋体" w:hAnsi="宋体" w:eastAsia="宋体" w:cs="宋体"/>
                <w:sz w:val="21"/>
                <w:szCs w:val="21"/>
                <w:lang w:eastAsia="zh-Hans"/>
              </w:rPr>
            </w:pPr>
            <w:r>
              <w:rPr>
                <w:rFonts w:hint="eastAsia" w:ascii="宋体" w:hAnsi="宋体" w:eastAsia="宋体" w:cs="宋体"/>
                <w:kern w:val="0"/>
                <w:sz w:val="21"/>
                <w:szCs w:val="21"/>
              </w:rPr>
              <w:t>★</w:t>
            </w:r>
            <w:r>
              <w:rPr>
                <w:rFonts w:hint="eastAsia" w:ascii="宋体" w:hAnsi="宋体" w:eastAsia="宋体" w:cs="宋体"/>
                <w:spacing w:val="-2"/>
                <w:sz w:val="21"/>
                <w:szCs w:val="21"/>
              </w:rPr>
              <w:t>支持系统字典与院内知识库字典进行对应。可进行字典对应、对应关系删除、对应删除历史检索、对应关系覆盖、对应关系查改等操作。覆盖的字典类型包含：药品、检验检查、手术、诊断、药品频率、护理医嘱字典。支持为住院、门诊、急诊等三个来源的字典分别配置应用场景（住院、门诊、急诊）。支持自动匹配、自动关联。</w:t>
            </w:r>
          </w:p>
        </w:tc>
      </w:tr>
      <w:tr w14:paraId="7C385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continue"/>
            <w:vAlign w:val="center"/>
          </w:tcPr>
          <w:p w14:paraId="4A35EC68">
            <w:pPr>
              <w:pStyle w:val="145"/>
              <w:kinsoku w:val="0"/>
              <w:overflowPunct w:val="0"/>
              <w:autoSpaceDE/>
              <w:autoSpaceDN/>
              <w:jc w:val="center"/>
              <w:rPr>
                <w:rFonts w:hint="eastAsia" w:ascii="宋体" w:hAnsi="宋体" w:eastAsia="宋体" w:cs="宋体"/>
                <w:sz w:val="21"/>
                <w:szCs w:val="21"/>
                <w:lang w:eastAsia="zh-Hans"/>
              </w:rPr>
            </w:pPr>
          </w:p>
        </w:tc>
        <w:tc>
          <w:tcPr>
            <w:tcW w:w="1088" w:type="dxa"/>
            <w:vAlign w:val="center"/>
          </w:tcPr>
          <w:p w14:paraId="0E54AC66">
            <w:pPr>
              <w:pStyle w:val="145"/>
              <w:kinsoku w:val="0"/>
              <w:overflowPunct w:val="0"/>
              <w:autoSpaceDE/>
              <w:autoSpaceDN/>
              <w:jc w:val="center"/>
              <w:rPr>
                <w:rFonts w:hint="eastAsia" w:ascii="宋体" w:hAnsi="宋体" w:eastAsia="宋体" w:cs="宋体"/>
                <w:kern w:val="2"/>
                <w:sz w:val="21"/>
                <w:szCs w:val="21"/>
                <w:lang w:eastAsia="zh-Hans"/>
              </w:rPr>
            </w:pPr>
            <w:r>
              <w:rPr>
                <w:rFonts w:hint="eastAsia" w:ascii="宋体" w:hAnsi="宋体" w:eastAsia="宋体" w:cs="宋体"/>
                <w:sz w:val="21"/>
                <w:szCs w:val="21"/>
              </w:rPr>
              <w:t>知识维护平台</w:t>
            </w:r>
          </w:p>
        </w:tc>
        <w:tc>
          <w:tcPr>
            <w:tcW w:w="7235" w:type="dxa"/>
          </w:tcPr>
          <w:p w14:paraId="6E8E60DD">
            <w:pPr>
              <w:jc w:val="left"/>
              <w:rPr>
                <w:rFonts w:hint="eastAsia" w:ascii="宋体" w:hAnsi="宋体" w:eastAsia="宋体" w:cs="宋体"/>
                <w:sz w:val="21"/>
                <w:szCs w:val="21"/>
              </w:rPr>
            </w:pPr>
            <w:r>
              <w:rPr>
                <w:rFonts w:hint="eastAsia" w:ascii="宋体" w:hAnsi="宋体" w:eastAsia="宋体" w:cs="宋体"/>
                <w:sz w:val="21"/>
                <w:szCs w:val="21"/>
              </w:rPr>
              <w:t>支持医院自行知识维护，至少应包含：</w:t>
            </w:r>
          </w:p>
          <w:p w14:paraId="052D76ED">
            <w:pPr>
              <w:jc w:val="left"/>
              <w:rPr>
                <w:rFonts w:hint="eastAsia" w:ascii="宋体" w:hAnsi="宋体" w:eastAsia="宋体" w:cs="宋体"/>
                <w:sz w:val="21"/>
                <w:szCs w:val="21"/>
              </w:rPr>
            </w:pPr>
            <w:r>
              <w:rPr>
                <w:rFonts w:hint="eastAsia" w:ascii="宋体" w:hAnsi="宋体" w:eastAsia="宋体" w:cs="宋体"/>
                <w:sz w:val="21"/>
                <w:szCs w:val="21"/>
              </w:rPr>
              <w:t>1.支持的知识类型：文献、评估表、疾病详情、患者指导、处置建议、用药建议、检查建议、药品说明书、出院指导、检验检查、护理说明、手术说明等内容的自行维护。</w:t>
            </w:r>
          </w:p>
          <w:p w14:paraId="184E9B99">
            <w:pPr>
              <w:jc w:val="left"/>
              <w:rPr>
                <w:rFonts w:hint="eastAsia" w:ascii="宋体" w:hAnsi="宋体" w:eastAsia="宋体" w:cs="宋体"/>
                <w:sz w:val="21"/>
                <w:szCs w:val="21"/>
              </w:rPr>
            </w:pPr>
            <w:r>
              <w:rPr>
                <w:rFonts w:hint="eastAsia" w:ascii="宋体" w:hAnsi="宋体" w:eastAsia="宋体" w:cs="宋体"/>
                <w:sz w:val="21"/>
                <w:szCs w:val="21"/>
              </w:rPr>
              <w:t>2.可查看各类知识的日志，支持</w:t>
            </w:r>
            <w:r>
              <w:rPr>
                <w:rFonts w:hint="eastAsia" w:ascii="宋体" w:hAnsi="宋体" w:eastAsia="宋体" w:cs="宋体"/>
                <w:sz w:val="21"/>
                <w:szCs w:val="21"/>
                <w:lang w:eastAsia="zh-Hans"/>
              </w:rPr>
              <w:t>通</w:t>
            </w:r>
            <w:r>
              <w:rPr>
                <w:rFonts w:hint="eastAsia" w:ascii="宋体" w:hAnsi="宋体" w:eastAsia="宋体" w:cs="宋体"/>
                <w:sz w:val="21"/>
                <w:szCs w:val="21"/>
              </w:rPr>
              <w:t>过操作用户、操作类型、标题、操作时间等参数筛选日志记录。支持知识更新后进行即刻数据同步。</w:t>
            </w:r>
          </w:p>
          <w:p w14:paraId="3806B684">
            <w:pPr>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kern w:val="0"/>
                <w:sz w:val="21"/>
                <w:szCs w:val="21"/>
              </w:rPr>
              <w:t>★</w:t>
            </w:r>
            <w:r>
              <w:rPr>
                <w:rFonts w:hint="eastAsia" w:ascii="宋体" w:hAnsi="宋体" w:eastAsia="宋体" w:cs="宋体"/>
                <w:sz w:val="21"/>
                <w:szCs w:val="21"/>
              </w:rPr>
              <w:t>知识编辑：支持关联多个诊断，可标注关键词、文章摘要。可建立多级目录，对正文内容支持图文混合编辑。支持上传图片、PDF文档。支持备注多个知识来源。支持对新编辑的知识内容进行效果预览。</w:t>
            </w:r>
          </w:p>
          <w:p w14:paraId="503DCE47">
            <w:pPr>
              <w:jc w:val="left"/>
              <w:rPr>
                <w:rFonts w:hint="eastAsia" w:ascii="宋体" w:hAnsi="宋体" w:eastAsia="宋体" w:cs="宋体"/>
                <w:sz w:val="21"/>
                <w:szCs w:val="21"/>
                <w:lang w:eastAsia="zh-Hans"/>
              </w:rPr>
            </w:pPr>
            <w:r>
              <w:rPr>
                <w:rFonts w:hint="eastAsia" w:ascii="宋体" w:hAnsi="宋体" w:eastAsia="宋体" w:cs="宋体"/>
                <w:sz w:val="21"/>
                <w:szCs w:val="21"/>
              </w:rPr>
              <w:t>5.知识管理：支持通过知识标题、关联检索、知识状态、知识来源、创建人、审核人、创建时间、操作时间进行知识检索。</w:t>
            </w:r>
          </w:p>
        </w:tc>
      </w:tr>
    </w:tbl>
    <w:p w14:paraId="7A44BD92">
      <w:pPr>
        <w:rPr>
          <w:rFonts w:hint="eastAsia" w:ascii="宋体" w:hAnsi="宋体" w:eastAsia="宋体" w:cs="宋体"/>
          <w:sz w:val="21"/>
          <w:szCs w:val="21"/>
        </w:rPr>
      </w:pPr>
    </w:p>
    <w:p w14:paraId="3A1778FE">
      <w:pPr>
        <w:rPr>
          <w:rFonts w:hint="eastAsia" w:ascii="宋体" w:hAnsi="宋体" w:eastAsia="宋体" w:cs="宋体"/>
          <w:b/>
          <w:bCs/>
          <w:sz w:val="21"/>
          <w:szCs w:val="21"/>
        </w:rPr>
      </w:pPr>
      <w:r>
        <w:rPr>
          <w:rFonts w:hint="eastAsia" w:ascii="宋体" w:hAnsi="宋体" w:eastAsia="宋体" w:cs="宋体"/>
          <w:b/>
          <w:bCs/>
          <w:sz w:val="21"/>
          <w:szCs w:val="21"/>
        </w:rPr>
        <w:t>备注：本次所采购系统与医院现有HIS系统、电子病历系统、PACS系统、LIS系统、体检系统等对接，接口费由中标单位承担，院方不再支付接口费用。</w:t>
      </w:r>
    </w:p>
    <w:bookmarkEnd w:id="81"/>
    <w:p w14:paraId="4CE40016">
      <w:pPr>
        <w:pStyle w:val="5"/>
        <w:spacing w:before="156" w:after="156"/>
        <w:rPr>
          <w:rFonts w:hint="eastAsia" w:ascii="宋体" w:hAnsi="宋体" w:eastAsia="宋体" w:cs="宋体"/>
          <w:b/>
          <w:bCs w:val="0"/>
          <w:sz w:val="21"/>
          <w:szCs w:val="21"/>
        </w:rPr>
      </w:pPr>
      <w:r>
        <w:rPr>
          <w:rFonts w:hint="eastAsia" w:ascii="宋体" w:hAnsi="宋体" w:eastAsia="宋体" w:cs="宋体"/>
          <w:b/>
          <w:bCs w:val="0"/>
          <w:sz w:val="21"/>
          <w:szCs w:val="21"/>
          <w:lang w:val="en-US" w:eastAsia="zh-CN"/>
        </w:rPr>
        <w:t>四、</w:t>
      </w:r>
      <w:r>
        <w:rPr>
          <w:rFonts w:hint="eastAsia" w:ascii="宋体" w:hAnsi="宋体" w:eastAsia="宋体" w:cs="宋体"/>
          <w:b/>
          <w:bCs w:val="0"/>
          <w:sz w:val="21"/>
          <w:szCs w:val="21"/>
        </w:rPr>
        <w:t>移动护理配套硬件</w:t>
      </w:r>
    </w:p>
    <w:tbl>
      <w:tblPr>
        <w:tblStyle w:val="42"/>
        <w:tblW w:w="9256" w:type="dxa"/>
        <w:tblInd w:w="91" w:type="dxa"/>
        <w:tblLayout w:type="fixed"/>
        <w:tblCellMar>
          <w:top w:w="0" w:type="dxa"/>
          <w:left w:w="108" w:type="dxa"/>
          <w:bottom w:w="0" w:type="dxa"/>
          <w:right w:w="108" w:type="dxa"/>
        </w:tblCellMar>
      </w:tblPr>
      <w:tblGrid>
        <w:gridCol w:w="667"/>
        <w:gridCol w:w="1039"/>
        <w:gridCol w:w="5950"/>
        <w:gridCol w:w="587"/>
        <w:gridCol w:w="1013"/>
      </w:tblGrid>
      <w:tr w14:paraId="4F80AB13">
        <w:tblPrEx>
          <w:tblCellMar>
            <w:top w:w="0" w:type="dxa"/>
            <w:left w:w="108" w:type="dxa"/>
            <w:bottom w:w="0" w:type="dxa"/>
            <w:right w:w="108" w:type="dxa"/>
          </w:tblCellMar>
        </w:tblPrEx>
        <w:trPr>
          <w:trHeight w:val="560" w:hRule="atLeast"/>
        </w:trPr>
        <w:tc>
          <w:tcPr>
            <w:tcW w:w="667" w:type="dxa"/>
            <w:tcBorders>
              <w:top w:val="single" w:color="000000" w:sz="4" w:space="0"/>
              <w:left w:val="single" w:color="000000" w:sz="4" w:space="0"/>
              <w:bottom w:val="single" w:color="000000" w:sz="4" w:space="0"/>
              <w:right w:val="single" w:color="000000" w:sz="4" w:space="0"/>
            </w:tcBorders>
            <w:shd w:val="clear" w:color="auto" w:fill="8497B0"/>
            <w:vAlign w:val="center"/>
          </w:tcPr>
          <w:p w14:paraId="2130152B">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序号</w:t>
            </w:r>
          </w:p>
        </w:tc>
        <w:tc>
          <w:tcPr>
            <w:tcW w:w="1039" w:type="dxa"/>
            <w:tcBorders>
              <w:top w:val="single" w:color="000000" w:sz="4" w:space="0"/>
              <w:left w:val="single" w:color="000000" w:sz="4" w:space="0"/>
              <w:bottom w:val="single" w:color="000000" w:sz="4" w:space="0"/>
              <w:right w:val="single" w:color="000000" w:sz="4" w:space="0"/>
            </w:tcBorders>
            <w:shd w:val="clear" w:color="auto" w:fill="8497B0"/>
            <w:vAlign w:val="center"/>
          </w:tcPr>
          <w:p w14:paraId="686AC3EC">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产品名称</w:t>
            </w:r>
          </w:p>
        </w:tc>
        <w:tc>
          <w:tcPr>
            <w:tcW w:w="5950" w:type="dxa"/>
            <w:tcBorders>
              <w:top w:val="single" w:color="000000" w:sz="4" w:space="0"/>
              <w:left w:val="single" w:color="000000" w:sz="4" w:space="0"/>
              <w:bottom w:val="single" w:color="000000" w:sz="4" w:space="0"/>
              <w:right w:val="single" w:color="000000" w:sz="4" w:space="0"/>
            </w:tcBorders>
            <w:shd w:val="clear" w:color="auto" w:fill="8497B0"/>
            <w:vAlign w:val="center"/>
          </w:tcPr>
          <w:p w14:paraId="4E76FFC0">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招标参数</w:t>
            </w:r>
          </w:p>
        </w:tc>
        <w:tc>
          <w:tcPr>
            <w:tcW w:w="587" w:type="dxa"/>
            <w:tcBorders>
              <w:top w:val="single" w:color="000000" w:sz="4" w:space="0"/>
              <w:left w:val="single" w:color="000000" w:sz="4" w:space="0"/>
              <w:bottom w:val="single" w:color="000000" w:sz="4" w:space="0"/>
              <w:right w:val="single" w:color="000000" w:sz="4" w:space="0"/>
            </w:tcBorders>
            <w:shd w:val="clear" w:color="auto" w:fill="8497B0"/>
            <w:vAlign w:val="center"/>
          </w:tcPr>
          <w:p w14:paraId="46251841">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单位</w:t>
            </w:r>
          </w:p>
        </w:tc>
        <w:tc>
          <w:tcPr>
            <w:tcW w:w="1013" w:type="dxa"/>
            <w:tcBorders>
              <w:top w:val="single" w:color="000000" w:sz="4" w:space="0"/>
              <w:left w:val="single" w:color="000000" w:sz="4" w:space="0"/>
              <w:bottom w:val="single" w:color="000000" w:sz="4" w:space="0"/>
              <w:right w:val="single" w:color="000000" w:sz="4" w:space="0"/>
            </w:tcBorders>
            <w:shd w:val="clear" w:color="auto" w:fill="8497B0"/>
            <w:vAlign w:val="center"/>
          </w:tcPr>
          <w:p w14:paraId="6B827CD0">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数量</w:t>
            </w:r>
          </w:p>
        </w:tc>
      </w:tr>
      <w:tr w14:paraId="6CCBBA03">
        <w:tblPrEx>
          <w:tblCellMar>
            <w:top w:w="0" w:type="dxa"/>
            <w:left w:w="108" w:type="dxa"/>
            <w:bottom w:w="0" w:type="dxa"/>
            <w:right w:w="108" w:type="dxa"/>
          </w:tblCellMar>
        </w:tblPrEx>
        <w:trPr>
          <w:trHeight w:val="58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B3AC">
            <w:pPr>
              <w:widowControl/>
              <w:jc w:val="center"/>
              <w:textAlignment w:val="center"/>
              <w:rPr>
                <w:rFonts w:hint="eastAsia" w:ascii="宋体" w:hAnsi="宋体" w:eastAsia="宋体" w:cs="宋体"/>
                <w:color w:val="000000"/>
                <w:sz w:val="21"/>
                <w:szCs w:val="21"/>
              </w:rPr>
            </w:pPr>
            <w:bookmarkStart w:id="83" w:name="OLE_LINK2" w:colFirst="1" w:colLast="1"/>
            <w:r>
              <w:rPr>
                <w:rFonts w:hint="eastAsia" w:ascii="宋体" w:hAnsi="宋体" w:eastAsia="宋体" w:cs="宋体"/>
                <w:color w:val="000000"/>
                <w:kern w:val="0"/>
                <w:sz w:val="21"/>
                <w:szCs w:val="21"/>
                <w:lang w:bidi="ar"/>
              </w:rPr>
              <w:t>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7FB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数据采集器</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97F3">
            <w:pPr>
              <w:jc w:val="left"/>
              <w:rPr>
                <w:rFonts w:hint="eastAsia" w:ascii="宋体" w:hAnsi="宋体" w:eastAsia="宋体" w:cs="宋体"/>
                <w:spacing w:val="-3"/>
                <w:sz w:val="21"/>
                <w:szCs w:val="21"/>
              </w:rPr>
            </w:pPr>
            <w:r>
              <w:rPr>
                <w:rFonts w:hint="eastAsia" w:ascii="宋体" w:hAnsi="宋体" w:eastAsia="宋体" w:cs="宋体"/>
                <w:spacing w:val="-2"/>
                <w:sz w:val="21"/>
                <w:szCs w:val="21"/>
              </w:rPr>
              <w:t>★</w:t>
            </w:r>
            <w:r>
              <w:rPr>
                <w:rFonts w:hint="eastAsia" w:ascii="宋体" w:hAnsi="宋体" w:eastAsia="宋体" w:cs="宋体"/>
                <w:spacing w:val="-1"/>
                <w:sz w:val="21"/>
                <w:szCs w:val="21"/>
              </w:rPr>
              <w:t>CPU</w:t>
            </w:r>
            <w:r>
              <w:rPr>
                <w:rFonts w:hint="eastAsia" w:ascii="宋体" w:hAnsi="宋体" w:eastAsia="宋体" w:cs="宋体"/>
                <w:spacing w:val="-61"/>
                <w:sz w:val="21"/>
                <w:szCs w:val="21"/>
              </w:rPr>
              <w:t xml:space="preserve"> </w:t>
            </w:r>
            <w:r>
              <w:rPr>
                <w:rFonts w:hint="eastAsia" w:ascii="宋体" w:hAnsi="宋体" w:eastAsia="宋体" w:cs="宋体"/>
                <w:spacing w:val="-2"/>
                <w:sz w:val="21"/>
                <w:szCs w:val="21"/>
              </w:rPr>
              <w:t>处理器：</w:t>
            </w:r>
            <w:r>
              <w:rPr>
                <w:rFonts w:hint="eastAsia" w:ascii="宋体" w:hAnsi="宋体" w:eastAsia="宋体" w:cs="宋体"/>
                <w:spacing w:val="-3"/>
                <w:sz w:val="21"/>
                <w:szCs w:val="21"/>
              </w:rPr>
              <w:t>8核心(64位) ,主频 2.0 GHz 处理器、</w:t>
            </w:r>
            <w:r>
              <w:rPr>
                <w:rFonts w:hint="eastAsia" w:ascii="宋体" w:hAnsi="宋体" w:eastAsia="宋体" w:cs="宋体"/>
                <w:spacing w:val="-4"/>
                <w:sz w:val="21"/>
                <w:szCs w:val="21"/>
              </w:rPr>
              <w:t>运行</w:t>
            </w:r>
            <w:r>
              <w:rPr>
                <w:rFonts w:hint="eastAsia" w:ascii="宋体" w:hAnsi="宋体" w:eastAsia="宋体" w:cs="宋体"/>
                <w:spacing w:val="-2"/>
                <w:sz w:val="21"/>
                <w:szCs w:val="21"/>
              </w:rPr>
              <w:t>内存</w:t>
            </w:r>
            <w:r>
              <w:rPr>
                <w:rFonts w:hint="eastAsia" w:ascii="宋体" w:hAnsi="宋体" w:eastAsia="宋体" w:cs="宋体"/>
                <w:spacing w:val="-3"/>
                <w:sz w:val="21"/>
                <w:szCs w:val="21"/>
              </w:rPr>
              <w:t>≥4GB RAM、</w:t>
            </w:r>
            <w:r>
              <w:rPr>
                <w:rFonts w:hint="eastAsia" w:ascii="宋体" w:hAnsi="宋体" w:eastAsia="宋体" w:cs="宋体"/>
                <w:spacing w:val="-4"/>
                <w:sz w:val="21"/>
                <w:szCs w:val="21"/>
              </w:rPr>
              <w:t>储存</w:t>
            </w:r>
            <w:r>
              <w:rPr>
                <w:rFonts w:hint="eastAsia" w:ascii="宋体" w:hAnsi="宋体" w:eastAsia="宋体" w:cs="宋体"/>
                <w:spacing w:val="-2"/>
                <w:sz w:val="21"/>
                <w:szCs w:val="21"/>
              </w:rPr>
              <w:t>内存</w:t>
            </w:r>
            <w:r>
              <w:rPr>
                <w:rFonts w:hint="eastAsia" w:ascii="宋体" w:hAnsi="宋体" w:eastAsia="宋体" w:cs="宋体"/>
                <w:spacing w:val="-3"/>
                <w:sz w:val="21"/>
                <w:szCs w:val="21"/>
              </w:rPr>
              <w:t>≥64GB ROM、操</w:t>
            </w:r>
            <w:r>
              <w:rPr>
                <w:rFonts w:hint="eastAsia" w:ascii="宋体" w:hAnsi="宋体" w:eastAsia="宋体" w:cs="宋体"/>
                <w:spacing w:val="-2"/>
                <w:sz w:val="21"/>
                <w:szCs w:val="21"/>
              </w:rPr>
              <w:t>作系统</w:t>
            </w:r>
            <w:r>
              <w:rPr>
                <w:rFonts w:hint="eastAsia" w:ascii="宋体" w:hAnsi="宋体" w:eastAsia="宋体" w:cs="宋体"/>
                <w:spacing w:val="-3"/>
                <w:sz w:val="21"/>
                <w:szCs w:val="21"/>
              </w:rPr>
              <w:t>Google 安卓 11 (通过GMS认证)</w:t>
            </w:r>
          </w:p>
          <w:p w14:paraId="570E6918">
            <w:pPr>
              <w:jc w:val="left"/>
              <w:rPr>
                <w:rFonts w:hint="eastAsia" w:ascii="宋体" w:hAnsi="宋体" w:eastAsia="宋体" w:cs="宋体"/>
                <w:b/>
                <w:bCs/>
                <w:spacing w:val="-12"/>
                <w:sz w:val="21"/>
                <w:szCs w:val="21"/>
              </w:rPr>
            </w:pPr>
            <w:r>
              <w:rPr>
                <w:rFonts w:hint="eastAsia" w:ascii="宋体" w:hAnsi="宋体" w:eastAsia="宋体" w:cs="宋体"/>
                <w:b/>
                <w:bCs/>
                <w:spacing w:val="-4"/>
                <w:sz w:val="21"/>
                <w:szCs w:val="21"/>
              </w:rPr>
              <w:t>基础参</w:t>
            </w:r>
            <w:r>
              <w:rPr>
                <w:rFonts w:hint="eastAsia" w:ascii="宋体" w:hAnsi="宋体" w:eastAsia="宋体" w:cs="宋体"/>
                <w:b/>
                <w:bCs/>
                <w:spacing w:val="-12"/>
                <w:sz w:val="21"/>
                <w:szCs w:val="21"/>
              </w:rPr>
              <w:t>数：</w:t>
            </w:r>
          </w:p>
          <w:p w14:paraId="5B28C20D">
            <w:pPr>
              <w:numPr>
                <w:ilvl w:val="0"/>
                <w:numId w:val="6"/>
              </w:numPr>
              <w:jc w:val="left"/>
              <w:rPr>
                <w:rFonts w:hint="eastAsia" w:ascii="宋体" w:hAnsi="宋体" w:eastAsia="宋体" w:cs="宋体"/>
                <w:spacing w:val="-3"/>
                <w:sz w:val="21"/>
                <w:szCs w:val="21"/>
              </w:rPr>
            </w:pPr>
            <w:r>
              <w:rPr>
                <w:rFonts w:hint="eastAsia" w:ascii="宋体" w:hAnsi="宋体" w:eastAsia="宋体" w:cs="宋体"/>
                <w:spacing w:val="-4"/>
                <w:sz w:val="21"/>
                <w:szCs w:val="21"/>
              </w:rPr>
              <w:t>★</w:t>
            </w:r>
            <w:r>
              <w:rPr>
                <w:rFonts w:hint="eastAsia" w:ascii="宋体" w:hAnsi="宋体" w:eastAsia="宋体" w:cs="宋体"/>
                <w:spacing w:val="-3"/>
                <w:sz w:val="21"/>
                <w:szCs w:val="21"/>
              </w:rPr>
              <w:t>续</w:t>
            </w:r>
            <w:r>
              <w:rPr>
                <w:rFonts w:hint="eastAsia" w:ascii="宋体" w:hAnsi="宋体" w:eastAsia="宋体" w:cs="宋体"/>
                <w:spacing w:val="-2"/>
                <w:sz w:val="21"/>
                <w:szCs w:val="21"/>
              </w:rPr>
              <w:t>航能力：</w:t>
            </w:r>
            <w:r>
              <w:rPr>
                <w:rFonts w:hint="eastAsia" w:ascii="宋体" w:hAnsi="宋体" w:eastAsia="宋体" w:cs="宋体"/>
                <w:spacing w:val="-3"/>
                <w:sz w:val="21"/>
                <w:szCs w:val="21"/>
              </w:rPr>
              <w:t>可充电的锂聚合物电池，电池可拆卸。容量≥4100mAh，电压≥3.8V（需提供电池配置部分照片）</w:t>
            </w:r>
          </w:p>
          <w:p w14:paraId="6879842D">
            <w:pPr>
              <w:numPr>
                <w:ilvl w:val="0"/>
                <w:numId w:val="6"/>
              </w:numPr>
              <w:spacing w:before="13"/>
              <w:rPr>
                <w:rFonts w:hint="eastAsia" w:ascii="宋体" w:hAnsi="宋体" w:eastAsia="宋体" w:cs="宋体"/>
                <w:spacing w:val="-3"/>
                <w:sz w:val="21"/>
                <w:szCs w:val="21"/>
              </w:rPr>
            </w:pPr>
            <w:r>
              <w:rPr>
                <w:rFonts w:hint="eastAsia" w:ascii="宋体" w:hAnsi="宋体" w:eastAsia="宋体" w:cs="宋体"/>
                <w:spacing w:val="-4"/>
                <w:sz w:val="21"/>
                <w:szCs w:val="21"/>
              </w:rPr>
              <w:t>屏幕：</w:t>
            </w:r>
            <w:r>
              <w:rPr>
                <w:rFonts w:hint="eastAsia" w:ascii="宋体" w:hAnsi="宋体" w:eastAsia="宋体" w:cs="宋体"/>
                <w:spacing w:val="-3"/>
                <w:sz w:val="21"/>
                <w:szCs w:val="21"/>
              </w:rPr>
              <w:t>≥5"电容式彩色多点触控屏幕采用高强度触摸屏</w:t>
            </w:r>
          </w:p>
          <w:p w14:paraId="14609260">
            <w:pPr>
              <w:numPr>
                <w:ilvl w:val="0"/>
                <w:numId w:val="6"/>
              </w:numPr>
              <w:spacing w:before="13"/>
              <w:rPr>
                <w:rFonts w:hint="eastAsia" w:ascii="宋体" w:hAnsi="宋体" w:eastAsia="宋体" w:cs="宋体"/>
                <w:spacing w:val="-3"/>
                <w:sz w:val="21"/>
                <w:szCs w:val="21"/>
              </w:rPr>
            </w:pPr>
            <w:r>
              <w:rPr>
                <w:rFonts w:hint="eastAsia" w:ascii="宋体" w:hAnsi="宋体" w:eastAsia="宋体" w:cs="宋体"/>
                <w:spacing w:val="-4"/>
                <w:sz w:val="21"/>
                <w:szCs w:val="21"/>
              </w:rPr>
              <w:t>触</w:t>
            </w:r>
            <w:r>
              <w:rPr>
                <w:rFonts w:hint="eastAsia" w:ascii="宋体" w:hAnsi="宋体" w:eastAsia="宋体" w:cs="宋体"/>
                <w:spacing w:val="-2"/>
                <w:sz w:val="21"/>
                <w:szCs w:val="21"/>
              </w:rPr>
              <w:t>摸屏：</w:t>
            </w:r>
            <w:r>
              <w:rPr>
                <w:rFonts w:hint="eastAsia" w:ascii="宋体" w:hAnsi="宋体" w:eastAsia="宋体" w:cs="宋体"/>
                <w:spacing w:val="-3"/>
                <w:sz w:val="21"/>
                <w:szCs w:val="21"/>
              </w:rPr>
              <w:t>支持戴手套与湿手指操作模式</w:t>
            </w:r>
          </w:p>
          <w:p w14:paraId="113BBE99">
            <w:pPr>
              <w:numPr>
                <w:ilvl w:val="0"/>
                <w:numId w:val="6"/>
              </w:numPr>
              <w:spacing w:before="13"/>
              <w:rPr>
                <w:rFonts w:hint="eastAsia" w:ascii="宋体" w:hAnsi="宋体" w:eastAsia="宋体" w:cs="宋体"/>
                <w:spacing w:val="-3"/>
                <w:sz w:val="21"/>
                <w:szCs w:val="21"/>
              </w:rPr>
            </w:pPr>
            <w:r>
              <w:rPr>
                <w:rFonts w:hint="eastAsia" w:ascii="宋体" w:hAnsi="宋体" w:eastAsia="宋体" w:cs="宋体"/>
                <w:spacing w:val="-3"/>
                <w:sz w:val="21"/>
                <w:szCs w:val="21"/>
              </w:rPr>
              <w:t>屏幕</w:t>
            </w:r>
            <w:r>
              <w:rPr>
                <w:rFonts w:hint="eastAsia" w:ascii="宋体" w:hAnsi="宋体" w:eastAsia="宋体" w:cs="宋体"/>
                <w:spacing w:val="-2"/>
                <w:sz w:val="21"/>
                <w:szCs w:val="21"/>
              </w:rPr>
              <w:t>分辨率：</w:t>
            </w:r>
            <w:r>
              <w:rPr>
                <w:rFonts w:hint="eastAsia" w:ascii="宋体" w:hAnsi="宋体" w:eastAsia="宋体" w:cs="宋体"/>
                <w:spacing w:val="-3"/>
                <w:sz w:val="21"/>
                <w:szCs w:val="21"/>
              </w:rPr>
              <w:t>分辨率≥720×1280</w:t>
            </w:r>
          </w:p>
          <w:p w14:paraId="054883A9">
            <w:pPr>
              <w:numPr>
                <w:ilvl w:val="0"/>
                <w:numId w:val="6"/>
              </w:numPr>
              <w:spacing w:before="13"/>
              <w:rPr>
                <w:rFonts w:hint="eastAsia" w:ascii="宋体" w:hAnsi="宋体" w:eastAsia="宋体" w:cs="宋体"/>
                <w:spacing w:val="-3"/>
                <w:sz w:val="21"/>
                <w:szCs w:val="21"/>
              </w:rPr>
            </w:pPr>
            <w:r>
              <w:rPr>
                <w:rFonts w:hint="eastAsia" w:ascii="宋体" w:hAnsi="宋体" w:eastAsia="宋体" w:cs="宋体"/>
                <w:spacing w:val="-4"/>
                <w:sz w:val="21"/>
                <w:szCs w:val="21"/>
              </w:rPr>
              <w:t>摄像头：</w:t>
            </w:r>
            <w:r>
              <w:rPr>
                <w:rFonts w:hint="eastAsia" w:ascii="宋体" w:hAnsi="宋体" w:eastAsia="宋体" w:cs="宋体"/>
                <w:spacing w:val="-3"/>
                <w:sz w:val="21"/>
                <w:szCs w:val="21"/>
              </w:rPr>
              <w:t>≥1300 万像素后镜头（具有自动对焦功能）,≥800 万像素前镜头</w:t>
            </w:r>
          </w:p>
          <w:p w14:paraId="1FCCF597">
            <w:pPr>
              <w:numPr>
                <w:ilvl w:val="0"/>
                <w:numId w:val="6"/>
              </w:numPr>
              <w:spacing w:before="13"/>
              <w:rPr>
                <w:rFonts w:hint="eastAsia" w:ascii="宋体" w:hAnsi="宋体" w:eastAsia="宋体" w:cs="宋体"/>
                <w:spacing w:val="-3"/>
                <w:sz w:val="21"/>
                <w:szCs w:val="21"/>
              </w:rPr>
            </w:pPr>
            <w:r>
              <w:rPr>
                <w:rFonts w:hint="eastAsia" w:ascii="宋体" w:hAnsi="宋体" w:eastAsia="宋体" w:cs="宋体"/>
                <w:spacing w:val="-6"/>
                <w:sz w:val="21"/>
                <w:szCs w:val="21"/>
              </w:rPr>
              <w:t>重量：</w:t>
            </w:r>
            <w:r>
              <w:rPr>
                <w:rFonts w:hint="eastAsia" w:ascii="宋体" w:hAnsi="宋体" w:eastAsia="宋体" w:cs="宋体"/>
                <w:spacing w:val="-3"/>
                <w:sz w:val="21"/>
                <w:szCs w:val="21"/>
              </w:rPr>
              <w:t>≤242g 含标配电池</w:t>
            </w:r>
          </w:p>
          <w:p w14:paraId="154F5035">
            <w:pPr>
              <w:numPr>
                <w:ilvl w:val="0"/>
                <w:numId w:val="6"/>
              </w:numPr>
              <w:spacing w:before="13"/>
              <w:rPr>
                <w:rFonts w:hint="eastAsia" w:ascii="宋体" w:hAnsi="宋体" w:eastAsia="宋体" w:cs="宋体"/>
                <w:spacing w:val="-12"/>
                <w:sz w:val="21"/>
                <w:szCs w:val="21"/>
              </w:rPr>
            </w:pPr>
            <w:r>
              <w:rPr>
                <w:rFonts w:hint="eastAsia" w:ascii="宋体" w:hAnsi="宋体" w:eastAsia="宋体" w:cs="宋体"/>
                <w:spacing w:val="-3"/>
                <w:sz w:val="21"/>
                <w:szCs w:val="21"/>
              </w:rPr>
              <w:t>防</w:t>
            </w:r>
            <w:r>
              <w:rPr>
                <w:rFonts w:hint="eastAsia" w:ascii="宋体" w:hAnsi="宋体" w:eastAsia="宋体" w:cs="宋体"/>
                <w:spacing w:val="-2"/>
                <w:sz w:val="21"/>
                <w:szCs w:val="21"/>
              </w:rPr>
              <w:t>摔抗震:</w:t>
            </w:r>
            <w:r>
              <w:rPr>
                <w:rFonts w:hint="eastAsia" w:ascii="宋体" w:hAnsi="宋体" w:eastAsia="宋体" w:cs="宋体"/>
                <w:spacing w:val="-3"/>
                <w:sz w:val="21"/>
                <w:szCs w:val="21"/>
              </w:rPr>
              <w:t>可承受1.8米(裸机,自由落体，具保护壳)（需提供第三方机构出具跌落测试报告证明材料）</w:t>
            </w:r>
          </w:p>
          <w:p w14:paraId="73BAF3B6">
            <w:pPr>
              <w:numPr>
                <w:ilvl w:val="0"/>
                <w:numId w:val="6"/>
              </w:numPr>
              <w:spacing w:before="13"/>
              <w:rPr>
                <w:rFonts w:hint="eastAsia" w:ascii="宋体" w:hAnsi="宋体" w:eastAsia="宋体" w:cs="宋体"/>
                <w:spacing w:val="-12"/>
                <w:sz w:val="21"/>
                <w:szCs w:val="21"/>
              </w:rPr>
            </w:pPr>
            <w:r>
              <w:rPr>
                <w:rFonts w:hint="eastAsia" w:ascii="宋体" w:hAnsi="宋体" w:eastAsia="宋体" w:cs="宋体"/>
                <w:spacing w:val="-6"/>
                <w:sz w:val="21"/>
                <w:szCs w:val="21"/>
              </w:rPr>
              <w:t>机身材质:</w:t>
            </w:r>
            <w:r>
              <w:rPr>
                <w:rFonts w:hint="eastAsia" w:ascii="宋体" w:hAnsi="宋体" w:eastAsia="宋体" w:cs="宋体"/>
                <w:spacing w:val="-3"/>
                <w:sz w:val="21"/>
                <w:szCs w:val="21"/>
              </w:rPr>
              <w:t>抗菌材质，抗酒精及消毒剂擦拭。</w:t>
            </w:r>
          </w:p>
          <w:p w14:paraId="5D4DD432">
            <w:pPr>
              <w:numPr>
                <w:ilvl w:val="0"/>
                <w:numId w:val="6"/>
              </w:numPr>
              <w:spacing w:before="13"/>
              <w:rPr>
                <w:rFonts w:hint="eastAsia" w:ascii="宋体" w:hAnsi="宋体" w:eastAsia="宋体" w:cs="宋体"/>
                <w:spacing w:val="-12"/>
                <w:sz w:val="21"/>
                <w:szCs w:val="21"/>
              </w:rPr>
            </w:pPr>
            <w:r>
              <w:rPr>
                <w:rFonts w:hint="eastAsia" w:ascii="宋体" w:hAnsi="宋体" w:eastAsia="宋体" w:cs="宋体"/>
                <w:spacing w:val="-4"/>
                <w:sz w:val="21"/>
                <w:szCs w:val="21"/>
              </w:rPr>
              <w:t>传感器:</w:t>
            </w:r>
            <w:r>
              <w:rPr>
                <w:rFonts w:hint="eastAsia" w:ascii="宋体" w:hAnsi="宋体" w:eastAsia="宋体" w:cs="宋体"/>
                <w:spacing w:val="-3"/>
                <w:sz w:val="21"/>
                <w:szCs w:val="21"/>
              </w:rPr>
              <w:t>支持重力加速度传感器，光线传感器，近距离传感器，地磁传感器</w:t>
            </w:r>
          </w:p>
          <w:p w14:paraId="3E0ABA02">
            <w:pPr>
              <w:numPr>
                <w:ilvl w:val="0"/>
                <w:numId w:val="6"/>
              </w:numPr>
              <w:spacing w:before="13"/>
              <w:rPr>
                <w:rFonts w:hint="eastAsia" w:ascii="宋体" w:hAnsi="宋体" w:eastAsia="宋体" w:cs="宋体"/>
                <w:spacing w:val="-12"/>
                <w:sz w:val="21"/>
                <w:szCs w:val="21"/>
              </w:rPr>
            </w:pPr>
            <w:r>
              <w:rPr>
                <w:rFonts w:hint="eastAsia" w:ascii="宋体" w:hAnsi="宋体" w:eastAsia="宋体" w:cs="宋体"/>
                <w:spacing w:val="-4"/>
                <w:sz w:val="21"/>
                <w:szCs w:val="21"/>
              </w:rPr>
              <w:t>通讯</w:t>
            </w:r>
            <w:r>
              <w:rPr>
                <w:rFonts w:hint="eastAsia" w:ascii="宋体" w:hAnsi="宋体" w:eastAsia="宋体" w:cs="宋体"/>
                <w:spacing w:val="-2"/>
                <w:sz w:val="21"/>
                <w:szCs w:val="21"/>
              </w:rPr>
              <w:t>接口:</w:t>
            </w:r>
            <w:r>
              <w:rPr>
                <w:rFonts w:hint="eastAsia" w:ascii="宋体" w:hAnsi="宋体" w:eastAsia="宋体" w:cs="宋体"/>
                <w:spacing w:val="-3"/>
                <w:sz w:val="21"/>
                <w:szCs w:val="21"/>
              </w:rPr>
              <w:t>USB2.0 Type-C 支持 OTG</w:t>
            </w:r>
          </w:p>
          <w:p w14:paraId="54518702">
            <w:pPr>
              <w:numPr>
                <w:ilvl w:val="0"/>
                <w:numId w:val="6"/>
              </w:numPr>
              <w:spacing w:before="13"/>
              <w:rPr>
                <w:rFonts w:hint="eastAsia" w:ascii="宋体" w:hAnsi="宋体" w:eastAsia="宋体" w:cs="宋体"/>
                <w:spacing w:val="-12"/>
                <w:sz w:val="21"/>
                <w:szCs w:val="21"/>
              </w:rPr>
            </w:pPr>
            <w:r>
              <w:rPr>
                <w:rFonts w:hint="eastAsia" w:ascii="宋体" w:hAnsi="宋体" w:eastAsia="宋体" w:cs="宋体"/>
                <w:spacing w:val="-6"/>
                <w:sz w:val="21"/>
                <w:szCs w:val="21"/>
              </w:rPr>
              <w:t>音频:</w:t>
            </w:r>
            <w:r>
              <w:rPr>
                <w:rFonts w:hint="eastAsia" w:ascii="宋体" w:hAnsi="宋体" w:eastAsia="宋体" w:cs="宋体"/>
                <w:spacing w:val="-2"/>
                <w:sz w:val="21"/>
                <w:szCs w:val="21"/>
              </w:rPr>
              <w:t>麦克</w:t>
            </w:r>
            <w:r>
              <w:rPr>
                <w:rFonts w:hint="eastAsia" w:ascii="宋体" w:hAnsi="宋体" w:eastAsia="宋体" w:cs="宋体"/>
                <w:spacing w:val="-1"/>
                <w:sz w:val="21"/>
                <w:szCs w:val="21"/>
              </w:rPr>
              <w:t>风、扬声器、听筒</w:t>
            </w:r>
          </w:p>
          <w:p w14:paraId="03E21017">
            <w:pPr>
              <w:numPr>
                <w:ilvl w:val="0"/>
                <w:numId w:val="6"/>
              </w:numPr>
              <w:spacing w:before="13"/>
              <w:rPr>
                <w:rFonts w:hint="eastAsia" w:ascii="宋体" w:hAnsi="宋体" w:eastAsia="宋体" w:cs="宋体"/>
                <w:spacing w:val="-12"/>
                <w:sz w:val="21"/>
                <w:szCs w:val="21"/>
              </w:rPr>
            </w:pPr>
            <w:r>
              <w:rPr>
                <w:rFonts w:hint="eastAsia" w:ascii="宋体" w:hAnsi="宋体" w:eastAsia="宋体" w:cs="宋体"/>
                <w:spacing w:val="-3"/>
                <w:sz w:val="21"/>
                <w:szCs w:val="21"/>
              </w:rPr>
              <w:t>密</w:t>
            </w:r>
            <w:r>
              <w:rPr>
                <w:rFonts w:hint="eastAsia" w:ascii="宋体" w:hAnsi="宋体" w:eastAsia="宋体" w:cs="宋体"/>
                <w:spacing w:val="-2"/>
                <w:sz w:val="21"/>
                <w:szCs w:val="21"/>
              </w:rPr>
              <w:t>封标准:</w:t>
            </w:r>
            <w:r>
              <w:rPr>
                <w:rFonts w:hint="eastAsia" w:ascii="宋体" w:hAnsi="宋体" w:eastAsia="宋体" w:cs="宋体"/>
                <w:spacing w:val="-1"/>
                <w:sz w:val="21"/>
                <w:szCs w:val="21"/>
              </w:rPr>
              <w:t>≥IP67</w:t>
            </w:r>
            <w:r>
              <w:rPr>
                <w:rFonts w:hint="eastAsia" w:ascii="宋体" w:hAnsi="宋体" w:eastAsia="宋体" w:cs="宋体"/>
                <w:spacing w:val="-2"/>
                <w:sz w:val="21"/>
                <w:szCs w:val="21"/>
              </w:rPr>
              <w:t>（提供证</w:t>
            </w:r>
            <w:r>
              <w:rPr>
                <w:rFonts w:hint="eastAsia" w:ascii="宋体" w:hAnsi="宋体" w:eastAsia="宋体" w:cs="宋体"/>
                <w:sz w:val="21"/>
                <w:szCs w:val="21"/>
              </w:rPr>
              <w:t>明材料）</w:t>
            </w:r>
          </w:p>
          <w:p w14:paraId="60D6AA29">
            <w:pPr>
              <w:spacing w:before="13"/>
              <w:rPr>
                <w:rFonts w:hint="eastAsia" w:ascii="宋体" w:hAnsi="宋体" w:eastAsia="宋体" w:cs="宋体"/>
                <w:b/>
                <w:bCs/>
                <w:spacing w:val="-12"/>
                <w:sz w:val="21"/>
                <w:szCs w:val="21"/>
              </w:rPr>
            </w:pPr>
            <w:r>
              <w:rPr>
                <w:rFonts w:hint="eastAsia" w:ascii="宋体" w:hAnsi="宋体" w:eastAsia="宋体" w:cs="宋体"/>
                <w:b/>
                <w:bCs/>
                <w:spacing w:val="-4"/>
                <w:sz w:val="21"/>
                <w:szCs w:val="21"/>
              </w:rPr>
              <w:t>网络参</w:t>
            </w:r>
            <w:r>
              <w:rPr>
                <w:rFonts w:hint="eastAsia" w:ascii="宋体" w:hAnsi="宋体" w:eastAsia="宋体" w:cs="宋体"/>
                <w:b/>
                <w:bCs/>
                <w:spacing w:val="-12"/>
                <w:sz w:val="21"/>
                <w:szCs w:val="21"/>
              </w:rPr>
              <w:t>数:</w:t>
            </w:r>
          </w:p>
          <w:p w14:paraId="1140DA11">
            <w:pPr>
              <w:numPr>
                <w:ilvl w:val="0"/>
                <w:numId w:val="7"/>
              </w:numPr>
              <w:spacing w:before="13"/>
              <w:rPr>
                <w:rFonts w:hint="eastAsia" w:ascii="宋体" w:hAnsi="宋体" w:eastAsia="宋体" w:cs="宋体"/>
                <w:sz w:val="21"/>
                <w:szCs w:val="21"/>
              </w:rPr>
            </w:pPr>
            <w:r>
              <w:rPr>
                <w:rFonts w:hint="eastAsia" w:ascii="宋体" w:hAnsi="宋体" w:eastAsia="宋体" w:cs="宋体"/>
                <w:spacing w:val="-1"/>
                <w:sz w:val="21"/>
                <w:szCs w:val="21"/>
              </w:rPr>
              <w:t>WIFI</w:t>
            </w:r>
            <w:r>
              <w:rPr>
                <w:rFonts w:hint="eastAsia" w:ascii="宋体" w:hAnsi="宋体" w:eastAsia="宋体" w:cs="宋体"/>
                <w:spacing w:val="-60"/>
                <w:sz w:val="21"/>
                <w:szCs w:val="21"/>
              </w:rPr>
              <w:t xml:space="preserve"> </w:t>
            </w:r>
            <w:r>
              <w:rPr>
                <w:rFonts w:hint="eastAsia" w:ascii="宋体" w:hAnsi="宋体" w:eastAsia="宋体" w:cs="宋体"/>
                <w:spacing w:val="-3"/>
                <w:sz w:val="21"/>
                <w:szCs w:val="21"/>
              </w:rPr>
              <w:t>网络：</w:t>
            </w:r>
            <w:r>
              <w:rPr>
                <w:rFonts w:hint="eastAsia" w:ascii="宋体" w:hAnsi="宋体" w:eastAsia="宋体" w:cs="宋体"/>
                <w:spacing w:val="-9"/>
                <w:sz w:val="21"/>
                <w:szCs w:val="21"/>
              </w:rPr>
              <w:t>支持</w:t>
            </w:r>
            <w:r>
              <w:rPr>
                <w:rFonts w:hint="eastAsia" w:ascii="宋体" w:hAnsi="宋体" w:eastAsia="宋体" w:cs="宋体"/>
                <w:spacing w:val="-4"/>
                <w:sz w:val="21"/>
                <w:szCs w:val="21"/>
              </w:rPr>
              <w:t xml:space="preserve"> </w:t>
            </w:r>
            <w:r>
              <w:rPr>
                <w:rFonts w:hint="eastAsia" w:ascii="宋体" w:hAnsi="宋体" w:eastAsia="宋体" w:cs="宋体"/>
                <w:spacing w:val="-5"/>
                <w:sz w:val="21"/>
                <w:szCs w:val="21"/>
              </w:rPr>
              <w:t>802.11a/b/g/n/ac</w:t>
            </w:r>
            <w:r>
              <w:rPr>
                <w:rFonts w:hint="eastAsia" w:ascii="宋体" w:hAnsi="宋体" w:eastAsia="宋体" w:cs="宋体"/>
                <w:spacing w:val="-9"/>
                <w:sz w:val="21"/>
                <w:szCs w:val="21"/>
              </w:rPr>
              <w:t>协议，支持</w:t>
            </w:r>
            <w:r>
              <w:rPr>
                <w:rFonts w:hint="eastAsia" w:ascii="宋体" w:hAnsi="宋体" w:eastAsia="宋体" w:cs="宋体"/>
                <w:spacing w:val="-5"/>
                <w:sz w:val="21"/>
                <w:szCs w:val="21"/>
              </w:rPr>
              <w:t xml:space="preserve"> 2.4G/5G</w:t>
            </w:r>
            <w:r>
              <w:rPr>
                <w:rFonts w:hint="eastAsia" w:ascii="宋体" w:hAnsi="宋体" w:eastAsia="宋体" w:cs="宋体"/>
                <w:spacing w:val="-6"/>
                <w:sz w:val="21"/>
                <w:szCs w:val="21"/>
              </w:rPr>
              <w:t xml:space="preserve"> </w:t>
            </w:r>
            <w:r>
              <w:rPr>
                <w:rFonts w:hint="eastAsia" w:ascii="宋体" w:hAnsi="宋体" w:eastAsia="宋体" w:cs="宋体"/>
                <w:spacing w:val="-9"/>
                <w:sz w:val="21"/>
                <w:szCs w:val="21"/>
              </w:rPr>
              <w:t>双频，</w:t>
            </w:r>
            <w:r>
              <w:rPr>
                <w:rFonts w:hint="eastAsia" w:ascii="宋体" w:hAnsi="宋体" w:eastAsia="宋体" w:cs="宋体"/>
                <w:sz w:val="21"/>
                <w:szCs w:val="21"/>
              </w:rPr>
              <w:t>支持802.11d/e/h/i/k/r/v, 快速漫游，无线网络安全管理机制 WEP, WPA 与 IEEE 802.11i WPA2</w:t>
            </w:r>
          </w:p>
          <w:p w14:paraId="0C4BC8A9">
            <w:pPr>
              <w:numPr>
                <w:ilvl w:val="0"/>
                <w:numId w:val="7"/>
              </w:numPr>
              <w:spacing w:before="13"/>
              <w:rPr>
                <w:rFonts w:hint="eastAsia" w:ascii="宋体" w:hAnsi="宋体" w:eastAsia="宋体" w:cs="宋体"/>
                <w:spacing w:val="-15"/>
                <w:sz w:val="21"/>
                <w:szCs w:val="21"/>
              </w:rPr>
            </w:pPr>
            <w:r>
              <w:rPr>
                <w:rFonts w:hint="eastAsia" w:ascii="宋体" w:hAnsi="宋体" w:eastAsia="宋体" w:cs="宋体"/>
                <w:sz w:val="21"/>
                <w:szCs w:val="21"/>
              </w:rPr>
              <w:t>WWAN</w:t>
            </w:r>
            <w:r>
              <w:rPr>
                <w:rFonts w:hint="eastAsia" w:ascii="宋体" w:hAnsi="宋体" w:eastAsia="宋体" w:cs="宋体"/>
                <w:spacing w:val="-3"/>
                <w:sz w:val="21"/>
                <w:szCs w:val="21"/>
              </w:rPr>
              <w:t>网络：</w:t>
            </w:r>
            <w:r>
              <w:rPr>
                <w:rFonts w:hint="eastAsia" w:ascii="宋体" w:hAnsi="宋体" w:eastAsia="宋体" w:cs="宋体"/>
                <w:sz w:val="21"/>
                <w:szCs w:val="21"/>
              </w:rPr>
              <w:t>双SIM 设计，支持4G双卡双待</w:t>
            </w:r>
            <w:r>
              <w:rPr>
                <w:rFonts w:hint="eastAsia" w:ascii="宋体" w:hAnsi="宋体" w:eastAsia="宋体" w:cs="宋体"/>
                <w:spacing w:val="-15"/>
                <w:sz w:val="21"/>
                <w:szCs w:val="21"/>
              </w:rPr>
              <w:t>，</w:t>
            </w:r>
          </w:p>
          <w:p w14:paraId="04924498">
            <w:pPr>
              <w:autoSpaceDE w:val="0"/>
              <w:autoSpaceDN w:val="0"/>
              <w:adjustRightInd w:val="0"/>
              <w:rPr>
                <w:rFonts w:hint="eastAsia" w:ascii="宋体" w:hAnsi="宋体" w:eastAsia="宋体" w:cs="宋体"/>
                <w:sz w:val="21"/>
                <w:szCs w:val="21"/>
              </w:rPr>
            </w:pPr>
            <w:r>
              <w:rPr>
                <w:rFonts w:hint="eastAsia" w:ascii="宋体" w:hAnsi="宋体" w:eastAsia="宋体" w:cs="宋体"/>
                <w:sz w:val="21"/>
                <w:szCs w:val="21"/>
              </w:rPr>
              <w:t>GSM： 850,900,1800,1900 MHz</w:t>
            </w:r>
          </w:p>
          <w:p w14:paraId="39A39722">
            <w:pPr>
              <w:autoSpaceDE w:val="0"/>
              <w:autoSpaceDN w:val="0"/>
              <w:adjustRightInd w:val="0"/>
              <w:rPr>
                <w:rFonts w:hint="eastAsia" w:ascii="宋体" w:hAnsi="宋体" w:eastAsia="宋体" w:cs="宋体"/>
                <w:sz w:val="21"/>
                <w:szCs w:val="21"/>
              </w:rPr>
            </w:pPr>
            <w:r>
              <w:rPr>
                <w:rFonts w:hint="eastAsia" w:ascii="宋体" w:hAnsi="宋体" w:eastAsia="宋体" w:cs="宋体"/>
                <w:sz w:val="21"/>
                <w:szCs w:val="21"/>
              </w:rPr>
              <w:t>WCDMA： Band 1, Band 2, Band 5, Band 8</w:t>
            </w:r>
          </w:p>
          <w:p w14:paraId="004D04F3">
            <w:pPr>
              <w:autoSpaceDE w:val="0"/>
              <w:autoSpaceDN w:val="0"/>
              <w:adjustRightInd w:val="0"/>
              <w:rPr>
                <w:rFonts w:hint="eastAsia" w:ascii="宋体" w:hAnsi="宋体" w:eastAsia="宋体" w:cs="宋体"/>
                <w:sz w:val="21"/>
                <w:szCs w:val="21"/>
              </w:rPr>
            </w:pPr>
            <w:r>
              <w:rPr>
                <w:rFonts w:hint="eastAsia" w:ascii="宋体" w:hAnsi="宋体" w:eastAsia="宋体" w:cs="宋体"/>
                <w:sz w:val="21"/>
                <w:szCs w:val="21"/>
              </w:rPr>
              <w:t>LTE : FDD-LTE (B1/B2/B3/B4/B5/B7/B8/B12/</w:t>
            </w:r>
          </w:p>
          <w:p w14:paraId="4C4C5659">
            <w:pPr>
              <w:autoSpaceDE w:val="0"/>
              <w:autoSpaceDN w:val="0"/>
              <w:adjustRightInd w:val="0"/>
              <w:rPr>
                <w:rFonts w:hint="eastAsia" w:ascii="宋体" w:hAnsi="宋体" w:eastAsia="宋体" w:cs="宋体"/>
                <w:sz w:val="21"/>
                <w:szCs w:val="21"/>
              </w:rPr>
            </w:pPr>
            <w:r>
              <w:rPr>
                <w:rFonts w:hint="eastAsia" w:ascii="宋体" w:hAnsi="宋体" w:eastAsia="宋体" w:cs="宋体"/>
                <w:sz w:val="21"/>
                <w:szCs w:val="21"/>
              </w:rPr>
              <w:t>B17/B19/B20/B28)</w:t>
            </w:r>
          </w:p>
          <w:p w14:paraId="5407F540">
            <w:pPr>
              <w:spacing w:before="13"/>
              <w:rPr>
                <w:rFonts w:hint="eastAsia" w:ascii="宋体" w:hAnsi="宋体" w:eastAsia="宋体" w:cs="宋体"/>
                <w:sz w:val="21"/>
                <w:szCs w:val="21"/>
              </w:rPr>
            </w:pPr>
            <w:r>
              <w:rPr>
                <w:rFonts w:hint="eastAsia" w:ascii="宋体" w:hAnsi="宋体" w:eastAsia="宋体" w:cs="宋体"/>
                <w:sz w:val="21"/>
                <w:szCs w:val="21"/>
              </w:rPr>
              <w:t>TDD-LTE (B38/B39/B40/B41)</w:t>
            </w:r>
          </w:p>
          <w:p w14:paraId="1585DF80">
            <w:pPr>
              <w:numPr>
                <w:ilvl w:val="0"/>
                <w:numId w:val="7"/>
              </w:numPr>
              <w:spacing w:before="13"/>
              <w:rPr>
                <w:rFonts w:hint="eastAsia" w:ascii="宋体" w:hAnsi="宋体" w:eastAsia="宋体" w:cs="宋体"/>
                <w:sz w:val="21"/>
                <w:szCs w:val="21"/>
              </w:rPr>
            </w:pPr>
            <w:r>
              <w:rPr>
                <w:rFonts w:hint="eastAsia" w:ascii="宋体" w:hAnsi="宋体" w:eastAsia="宋体" w:cs="宋体"/>
                <w:spacing w:val="-4"/>
                <w:sz w:val="21"/>
                <w:szCs w:val="21"/>
              </w:rPr>
              <w:t>蓝牙</w:t>
            </w:r>
            <w:r>
              <w:rPr>
                <w:rFonts w:hint="eastAsia" w:ascii="宋体" w:hAnsi="宋体" w:eastAsia="宋体" w:cs="宋体"/>
                <w:spacing w:val="-2"/>
                <w:sz w:val="21"/>
                <w:szCs w:val="21"/>
              </w:rPr>
              <w:t>网络：</w:t>
            </w:r>
            <w:r>
              <w:rPr>
                <w:rFonts w:hint="eastAsia" w:ascii="宋体" w:hAnsi="宋体" w:eastAsia="宋体" w:cs="宋体"/>
                <w:spacing w:val="-1"/>
                <w:sz w:val="21"/>
                <w:szCs w:val="21"/>
              </w:rPr>
              <w:t>≥</w:t>
            </w:r>
            <w:r>
              <w:rPr>
                <w:rFonts w:hint="eastAsia" w:ascii="宋体" w:hAnsi="宋体" w:eastAsia="宋体" w:cs="宋体"/>
                <w:sz w:val="21"/>
                <w:szCs w:val="21"/>
              </w:rPr>
              <w:t>Bluetooth® 5</w:t>
            </w:r>
          </w:p>
          <w:p w14:paraId="2B41DDAC">
            <w:pPr>
              <w:spacing w:before="13"/>
              <w:rPr>
                <w:rFonts w:hint="eastAsia" w:ascii="宋体" w:hAnsi="宋体" w:eastAsia="宋体" w:cs="宋体"/>
                <w:b/>
                <w:bCs/>
                <w:spacing w:val="-12"/>
                <w:sz w:val="21"/>
                <w:szCs w:val="21"/>
              </w:rPr>
            </w:pPr>
            <w:r>
              <w:rPr>
                <w:rFonts w:hint="eastAsia" w:ascii="宋体" w:hAnsi="宋体" w:eastAsia="宋体" w:cs="宋体"/>
                <w:b/>
                <w:bCs/>
                <w:spacing w:val="-4"/>
                <w:sz w:val="21"/>
                <w:szCs w:val="21"/>
              </w:rPr>
              <w:t>数据采</w:t>
            </w:r>
            <w:r>
              <w:rPr>
                <w:rFonts w:hint="eastAsia" w:ascii="宋体" w:hAnsi="宋体" w:eastAsia="宋体" w:cs="宋体"/>
                <w:b/>
                <w:bCs/>
                <w:spacing w:val="-12"/>
                <w:sz w:val="21"/>
                <w:szCs w:val="21"/>
              </w:rPr>
              <w:t>集：</w:t>
            </w:r>
          </w:p>
          <w:p w14:paraId="42933A79">
            <w:pPr>
              <w:numPr>
                <w:ilvl w:val="0"/>
                <w:numId w:val="8"/>
              </w:numPr>
              <w:spacing w:before="13"/>
              <w:rPr>
                <w:rFonts w:hint="eastAsia" w:ascii="宋体" w:hAnsi="宋体" w:eastAsia="宋体" w:cs="宋体"/>
                <w:sz w:val="21"/>
                <w:szCs w:val="21"/>
              </w:rPr>
            </w:pPr>
            <w:r>
              <w:rPr>
                <w:rFonts w:hint="eastAsia" w:ascii="宋体" w:hAnsi="宋体" w:eastAsia="宋体" w:cs="宋体"/>
                <w:spacing w:val="-3"/>
                <w:sz w:val="21"/>
                <w:szCs w:val="21"/>
              </w:rPr>
              <w:t>条</w:t>
            </w:r>
            <w:r>
              <w:rPr>
                <w:rFonts w:hint="eastAsia" w:ascii="宋体" w:hAnsi="宋体" w:eastAsia="宋体" w:cs="宋体"/>
                <w:spacing w:val="-2"/>
                <w:sz w:val="21"/>
                <w:szCs w:val="21"/>
              </w:rPr>
              <w:t>码扫描：</w:t>
            </w:r>
            <w:r>
              <w:rPr>
                <w:rFonts w:hint="eastAsia" w:ascii="宋体" w:hAnsi="宋体" w:eastAsia="宋体" w:cs="宋体"/>
                <w:sz w:val="21"/>
                <w:szCs w:val="21"/>
              </w:rPr>
              <w:t>二维影像式，并具扫瞄指示(声响、震动)功能</w:t>
            </w:r>
          </w:p>
          <w:p w14:paraId="58AF4B1E">
            <w:pPr>
              <w:numPr>
                <w:ilvl w:val="0"/>
                <w:numId w:val="8"/>
              </w:numPr>
              <w:spacing w:before="13"/>
              <w:rPr>
                <w:rFonts w:hint="eastAsia" w:ascii="宋体" w:hAnsi="宋体" w:eastAsia="宋体" w:cs="宋体"/>
                <w:sz w:val="21"/>
                <w:szCs w:val="21"/>
              </w:rPr>
            </w:pPr>
            <w:r>
              <w:rPr>
                <w:rFonts w:hint="eastAsia" w:ascii="宋体" w:hAnsi="宋体" w:eastAsia="宋体" w:cs="宋体"/>
                <w:spacing w:val="-1"/>
                <w:sz w:val="21"/>
                <w:szCs w:val="21"/>
              </w:rPr>
              <w:t>RFID</w:t>
            </w:r>
            <w:r>
              <w:rPr>
                <w:rFonts w:hint="eastAsia" w:ascii="宋体" w:hAnsi="宋体" w:eastAsia="宋体" w:cs="宋体"/>
                <w:sz w:val="21"/>
                <w:szCs w:val="21"/>
              </w:rPr>
              <w:t xml:space="preserve"> </w:t>
            </w:r>
            <w:r>
              <w:rPr>
                <w:rFonts w:hint="eastAsia" w:ascii="宋体" w:hAnsi="宋体" w:eastAsia="宋体" w:cs="宋体"/>
                <w:spacing w:val="-3"/>
                <w:sz w:val="21"/>
                <w:szCs w:val="21"/>
              </w:rPr>
              <w:t>数据读</w:t>
            </w:r>
            <w:r>
              <w:rPr>
                <w:rFonts w:hint="eastAsia" w:ascii="宋体" w:hAnsi="宋体" w:eastAsia="宋体" w:cs="宋体"/>
                <w:spacing w:val="-12"/>
                <w:sz w:val="21"/>
                <w:szCs w:val="21"/>
              </w:rPr>
              <w:t>取：</w:t>
            </w:r>
            <w:r>
              <w:rPr>
                <w:rFonts w:hint="eastAsia" w:ascii="宋体" w:hAnsi="宋体" w:eastAsia="宋体" w:cs="宋体"/>
                <w:sz w:val="21"/>
                <w:szCs w:val="21"/>
              </w:rPr>
              <w:t>频率 : 13.56MHz,支援NFC,ISO15693,ISO14443A / B</w:t>
            </w:r>
          </w:p>
          <w:p w14:paraId="3E421EB6">
            <w:pPr>
              <w:autoSpaceDE w:val="0"/>
              <w:autoSpaceDN w:val="0"/>
              <w:spacing w:before="13"/>
              <w:rPr>
                <w:rFonts w:hint="eastAsia" w:ascii="宋体" w:hAnsi="宋体" w:eastAsia="宋体" w:cs="宋体"/>
                <w:spacing w:val="-5"/>
                <w:sz w:val="21"/>
                <w:szCs w:val="21"/>
              </w:rPr>
            </w:pPr>
            <w:r>
              <w:rPr>
                <w:rFonts w:hint="eastAsia" w:ascii="宋体" w:hAnsi="宋体" w:eastAsia="宋体" w:cs="宋体"/>
                <w:spacing w:val="-4"/>
                <w:sz w:val="21"/>
                <w:szCs w:val="21"/>
              </w:rPr>
              <w:t>工作环</w:t>
            </w:r>
            <w:r>
              <w:rPr>
                <w:rFonts w:hint="eastAsia" w:ascii="宋体" w:hAnsi="宋体" w:eastAsia="宋体" w:cs="宋体"/>
                <w:spacing w:val="-12"/>
                <w:sz w:val="21"/>
                <w:szCs w:val="21"/>
              </w:rPr>
              <w:t>境：</w:t>
            </w:r>
            <w:r>
              <w:rPr>
                <w:rFonts w:hint="eastAsia" w:ascii="宋体" w:hAnsi="宋体" w:eastAsia="宋体" w:cs="宋体"/>
                <w:spacing w:val="-4"/>
                <w:sz w:val="21"/>
                <w:szCs w:val="21"/>
              </w:rPr>
              <w:t>工作</w:t>
            </w:r>
            <w:r>
              <w:rPr>
                <w:rFonts w:hint="eastAsia" w:ascii="宋体" w:hAnsi="宋体" w:eastAsia="宋体" w:cs="宋体"/>
                <w:spacing w:val="-2"/>
                <w:sz w:val="21"/>
                <w:szCs w:val="21"/>
              </w:rPr>
              <w:t>温度</w:t>
            </w:r>
            <w:r>
              <w:rPr>
                <w:rFonts w:hint="eastAsia" w:ascii="宋体" w:hAnsi="宋体" w:eastAsia="宋体" w:cs="宋体"/>
                <w:spacing w:val="-1"/>
                <w:sz w:val="21"/>
                <w:szCs w:val="21"/>
              </w:rPr>
              <w:t>至少满足-20℃至</w:t>
            </w:r>
            <w:r>
              <w:rPr>
                <w:rFonts w:hint="eastAsia" w:ascii="宋体" w:hAnsi="宋体" w:eastAsia="宋体" w:cs="宋体"/>
                <w:spacing w:val="-60"/>
                <w:sz w:val="21"/>
                <w:szCs w:val="21"/>
              </w:rPr>
              <w:t xml:space="preserve"> </w:t>
            </w:r>
            <w:r>
              <w:rPr>
                <w:rFonts w:hint="eastAsia" w:ascii="宋体" w:hAnsi="宋体" w:eastAsia="宋体" w:cs="宋体"/>
                <w:spacing w:val="-1"/>
                <w:sz w:val="21"/>
                <w:szCs w:val="21"/>
              </w:rPr>
              <w:t>60℃、</w:t>
            </w:r>
            <w:r>
              <w:rPr>
                <w:rFonts w:hint="eastAsia" w:ascii="宋体" w:hAnsi="宋体" w:eastAsia="宋体" w:cs="宋体"/>
                <w:spacing w:val="-4"/>
                <w:sz w:val="21"/>
                <w:szCs w:val="21"/>
              </w:rPr>
              <w:t>工作</w:t>
            </w:r>
            <w:r>
              <w:rPr>
                <w:rFonts w:hint="eastAsia" w:ascii="宋体" w:hAnsi="宋体" w:eastAsia="宋体" w:cs="宋体"/>
                <w:spacing w:val="-2"/>
                <w:sz w:val="21"/>
                <w:szCs w:val="21"/>
              </w:rPr>
              <w:t>湿度</w:t>
            </w:r>
            <w:r>
              <w:rPr>
                <w:rFonts w:hint="eastAsia" w:ascii="宋体" w:hAnsi="宋体" w:eastAsia="宋体" w:cs="宋体"/>
                <w:spacing w:val="-10"/>
                <w:sz w:val="21"/>
                <w:szCs w:val="21"/>
              </w:rPr>
              <w:t>至少满足</w:t>
            </w:r>
            <w:r>
              <w:rPr>
                <w:rFonts w:hint="eastAsia" w:ascii="宋体" w:hAnsi="宋体" w:eastAsia="宋体" w:cs="宋体"/>
                <w:spacing w:val="-5"/>
                <w:sz w:val="21"/>
                <w:szCs w:val="21"/>
              </w:rPr>
              <w:t xml:space="preserve"> </w:t>
            </w:r>
            <w:r>
              <w:rPr>
                <w:rFonts w:hint="eastAsia" w:ascii="宋体" w:hAnsi="宋体" w:eastAsia="宋体" w:cs="宋体"/>
                <w:spacing w:val="-6"/>
                <w:sz w:val="21"/>
                <w:szCs w:val="21"/>
              </w:rPr>
              <w:t>0%</w:t>
            </w:r>
            <w:r>
              <w:rPr>
                <w:rFonts w:hint="eastAsia" w:ascii="宋体" w:hAnsi="宋体" w:eastAsia="宋体" w:cs="宋体"/>
                <w:spacing w:val="-11"/>
                <w:sz w:val="21"/>
                <w:szCs w:val="21"/>
              </w:rPr>
              <w:t>至</w:t>
            </w:r>
            <w:r>
              <w:rPr>
                <w:rFonts w:hint="eastAsia" w:ascii="宋体" w:hAnsi="宋体" w:eastAsia="宋体" w:cs="宋体"/>
                <w:spacing w:val="-6"/>
                <w:sz w:val="21"/>
                <w:szCs w:val="21"/>
              </w:rPr>
              <w:t xml:space="preserve"> </w:t>
            </w:r>
            <w:r>
              <w:rPr>
                <w:rFonts w:hint="eastAsia" w:ascii="宋体" w:hAnsi="宋体" w:eastAsia="宋体" w:cs="宋体"/>
                <w:spacing w:val="-5"/>
                <w:sz w:val="21"/>
                <w:szCs w:val="21"/>
              </w:rPr>
              <w:t>95%(</w:t>
            </w:r>
            <w:r>
              <w:rPr>
                <w:rFonts w:hint="eastAsia" w:ascii="宋体" w:hAnsi="宋体" w:eastAsia="宋体" w:cs="宋体"/>
                <w:spacing w:val="-11"/>
                <w:sz w:val="21"/>
                <w:szCs w:val="21"/>
              </w:rPr>
              <w:t>无冷凝</w:t>
            </w:r>
            <w:r>
              <w:rPr>
                <w:rFonts w:hint="eastAsia" w:ascii="宋体" w:hAnsi="宋体" w:eastAsia="宋体" w:cs="宋体"/>
                <w:spacing w:val="-5"/>
                <w:sz w:val="21"/>
                <w:szCs w:val="21"/>
              </w:rPr>
              <w:t>)</w:t>
            </w:r>
          </w:p>
          <w:p w14:paraId="2E82A876">
            <w:pPr>
              <w:autoSpaceDE w:val="0"/>
              <w:autoSpaceDN w:val="0"/>
              <w:spacing w:before="13"/>
              <w:rPr>
                <w:rFonts w:hint="eastAsia" w:ascii="宋体" w:hAnsi="宋体" w:eastAsia="宋体" w:cs="宋体"/>
                <w:sz w:val="21"/>
                <w:szCs w:val="21"/>
              </w:rPr>
            </w:pPr>
            <w:r>
              <w:rPr>
                <w:rFonts w:hint="eastAsia" w:ascii="宋体" w:hAnsi="宋体" w:eastAsia="宋体" w:cs="宋体"/>
                <w:sz w:val="21"/>
                <w:szCs w:val="21"/>
              </w:rPr>
              <w:t>质量保证及售后：</w:t>
            </w:r>
            <w:r>
              <w:rPr>
                <w:rFonts w:hint="eastAsia" w:ascii="宋体" w:hAnsi="宋体" w:eastAsia="宋体" w:cs="宋体"/>
                <w:sz w:val="21"/>
                <w:szCs w:val="21"/>
                <w:lang w:bidi="en-US"/>
              </w:rPr>
              <w:t>三年免费保修（电池一年免费保修）（不含火灾地震等自然灾害导致的损坏及丢失及人为丢失）</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AE9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FEB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w:t>
            </w:r>
          </w:p>
        </w:tc>
      </w:tr>
      <w:bookmarkEnd w:id="83"/>
    </w:tbl>
    <w:p w14:paraId="4CFF9D4A">
      <w:pPr>
        <w:rPr>
          <w:rFonts w:hint="eastAsia" w:ascii="宋体" w:hAnsi="宋体" w:eastAsia="宋体" w:cs="宋体"/>
          <w:sz w:val="21"/>
          <w:szCs w:val="21"/>
        </w:rPr>
      </w:pPr>
    </w:p>
    <w:p w14:paraId="6AC9BE67">
      <w:pPr>
        <w:rPr>
          <w:rFonts w:hint="eastAsia" w:ascii="宋体" w:hAnsi="宋体" w:eastAsia="宋体" w:cs="宋体"/>
          <w:b/>
          <w:bCs/>
          <w:sz w:val="21"/>
          <w:szCs w:val="21"/>
        </w:rPr>
      </w:pPr>
      <w:r>
        <w:rPr>
          <w:rFonts w:hint="eastAsia" w:ascii="宋体" w:hAnsi="宋体" w:eastAsia="宋体" w:cs="宋体"/>
          <w:b/>
          <w:bCs/>
          <w:sz w:val="21"/>
          <w:szCs w:val="21"/>
          <w:lang w:val="en-US" w:eastAsia="zh-CN"/>
        </w:rPr>
        <w:t>五、</w:t>
      </w:r>
      <w:r>
        <w:rPr>
          <w:rFonts w:hint="eastAsia" w:ascii="宋体" w:hAnsi="宋体" w:eastAsia="宋体" w:cs="宋体"/>
          <w:b/>
          <w:bCs/>
          <w:sz w:val="21"/>
          <w:szCs w:val="21"/>
        </w:rPr>
        <w:t>无线网络覆盖采购清单</w:t>
      </w:r>
    </w:p>
    <w:tbl>
      <w:tblPr>
        <w:tblStyle w:val="42"/>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049"/>
        <w:gridCol w:w="533"/>
        <w:gridCol w:w="3219"/>
        <w:gridCol w:w="850"/>
        <w:gridCol w:w="1443"/>
        <w:gridCol w:w="800"/>
        <w:gridCol w:w="812"/>
      </w:tblGrid>
      <w:tr w14:paraId="5E9C7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000000" w:fill="FFFFFF"/>
            <w:noWrap/>
            <w:vAlign w:val="center"/>
          </w:tcPr>
          <w:p w14:paraId="7CBE73E4">
            <w:pPr>
              <w:spacing w:line="360" w:lineRule="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1049" w:type="dxa"/>
            <w:shd w:val="clear" w:color="000000" w:fill="FFFFFF"/>
            <w:vAlign w:val="center"/>
          </w:tcPr>
          <w:p w14:paraId="61501FE1">
            <w:pPr>
              <w:spacing w:line="360" w:lineRule="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设备名称</w:t>
            </w:r>
          </w:p>
        </w:tc>
        <w:tc>
          <w:tcPr>
            <w:tcW w:w="6045" w:type="dxa"/>
            <w:gridSpan w:val="4"/>
            <w:shd w:val="clear" w:color="000000" w:fill="FFFFFF"/>
            <w:vAlign w:val="center"/>
          </w:tcPr>
          <w:p w14:paraId="10ED6055">
            <w:pPr>
              <w:spacing w:line="360" w:lineRule="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产品说明</w:t>
            </w:r>
          </w:p>
        </w:tc>
        <w:tc>
          <w:tcPr>
            <w:tcW w:w="800" w:type="dxa"/>
            <w:shd w:val="clear" w:color="000000" w:fill="FFFFFF"/>
            <w:vAlign w:val="center"/>
          </w:tcPr>
          <w:p w14:paraId="040CEFDD">
            <w:pPr>
              <w:spacing w:line="360" w:lineRule="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数量</w:t>
            </w:r>
          </w:p>
        </w:tc>
        <w:tc>
          <w:tcPr>
            <w:tcW w:w="812" w:type="dxa"/>
            <w:shd w:val="clear" w:color="000000" w:fill="FFFFFF"/>
            <w:vAlign w:val="center"/>
          </w:tcPr>
          <w:p w14:paraId="4D767647">
            <w:pPr>
              <w:spacing w:line="360" w:lineRule="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单位</w:t>
            </w:r>
          </w:p>
        </w:tc>
      </w:tr>
      <w:tr w14:paraId="40D23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1C3B8072">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049" w:type="dxa"/>
            <w:vAlign w:val="center"/>
          </w:tcPr>
          <w:p w14:paraId="52E4752B">
            <w:pPr>
              <w:spacing w:line="360" w:lineRule="auto"/>
              <w:rPr>
                <w:rFonts w:hint="eastAsia" w:ascii="宋体" w:hAnsi="宋体" w:eastAsia="宋体" w:cs="宋体"/>
                <w:color w:val="000000" w:themeColor="text1"/>
                <w:sz w:val="21"/>
                <w:szCs w:val="21"/>
                <w14:textFill>
                  <w14:solidFill>
                    <w14:schemeClr w14:val="tx1"/>
                  </w14:solidFill>
                </w14:textFill>
              </w:rPr>
            </w:pPr>
            <w:bookmarkStart w:id="84" w:name="OLE_LINK3"/>
            <w:r>
              <w:rPr>
                <w:rFonts w:hint="eastAsia" w:ascii="宋体" w:hAnsi="宋体" w:eastAsia="宋体" w:cs="宋体"/>
                <w:color w:val="000000" w:themeColor="text1"/>
                <w:sz w:val="21"/>
                <w:szCs w:val="21"/>
                <w14:textFill>
                  <w14:solidFill>
                    <w14:schemeClr w14:val="tx1"/>
                  </w14:solidFill>
                </w14:textFill>
              </w:rPr>
              <w:t>内网控制器</w:t>
            </w:r>
            <w:bookmarkEnd w:id="84"/>
          </w:p>
        </w:tc>
        <w:tc>
          <w:tcPr>
            <w:tcW w:w="6045" w:type="dxa"/>
            <w:gridSpan w:val="4"/>
            <w:vAlign w:val="center"/>
          </w:tcPr>
          <w:p w14:paraId="291EE5C2">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1.千兆以太网口数≥5个</w:t>
            </w:r>
          </w:p>
          <w:p w14:paraId="5BB27842">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2.★最大可管理AP数≥700个，提供官网截图及官网链接证明,并加盖厂商公章</w:t>
            </w:r>
          </w:p>
          <w:p w14:paraId="56F1BFF5">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3.具备不小于100G的硬盘存储能力；</w:t>
            </w:r>
          </w:p>
          <w:p w14:paraId="425A9598">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4.支持Wi-Fi6设备采用本地转发部署模式，避免无线管理设备成为无线速率瓶颈；</w:t>
            </w:r>
          </w:p>
          <w:p w14:paraId="1546B81D">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5.支持无线AP远程管理模式，可通过广域网对本地转发的无线AP进行统一管理运维；</w:t>
            </w:r>
          </w:p>
          <w:p w14:paraId="37F6091A">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6.★支持预配置部署上线，可以通过导入无线AP的MAC地址和SN码，AP联网后无需任何配置即可发现无线控制器，提供功能截图证明，并加盖厂商公章；</w:t>
            </w:r>
          </w:p>
          <w:p w14:paraId="400B5518">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7.支持基于用户数、信号强度、信道利用率的智能负载均衡，自动平衡各AP之间的接入压力；</w:t>
            </w:r>
          </w:p>
          <w:p w14:paraId="5FBF90EF">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8.支持射频引导功能，引导无线终端优先接入干扰小的5G频段；</w:t>
            </w:r>
          </w:p>
          <w:p w14:paraId="5A2959A7">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9.支持查看信号质量差的AP TOPN，分析维度包括AP的信号利用率、噪声值、重传率、误码率趋势；支持查看无线用户的上网时长、终端发送(接收)速率、网络接入、终端类型、信号强度、认证类型等信息。便于日常运维，便于快速响应问题；</w:t>
            </w:r>
          </w:p>
          <w:p w14:paraId="3957AD0A">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10.为保障产品可靠性，要求所投产品第三方权威检测报告。</w:t>
            </w:r>
          </w:p>
        </w:tc>
        <w:tc>
          <w:tcPr>
            <w:tcW w:w="800" w:type="dxa"/>
            <w:vAlign w:val="center"/>
          </w:tcPr>
          <w:p w14:paraId="7A9EDD14">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812" w:type="dxa"/>
            <w:vAlign w:val="center"/>
          </w:tcPr>
          <w:p w14:paraId="3175818D">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台</w:t>
            </w:r>
          </w:p>
        </w:tc>
      </w:tr>
      <w:tr w14:paraId="48C3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3702F76F">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1049" w:type="dxa"/>
            <w:vAlign w:val="center"/>
          </w:tcPr>
          <w:p w14:paraId="1B643920">
            <w:pPr>
              <w:spacing w:line="360" w:lineRule="auto"/>
              <w:rPr>
                <w:rFonts w:hint="eastAsia" w:ascii="宋体" w:hAnsi="宋体" w:eastAsia="宋体" w:cs="宋体"/>
                <w:color w:val="000000" w:themeColor="text1"/>
                <w:sz w:val="21"/>
                <w:szCs w:val="21"/>
                <w14:textFill>
                  <w14:solidFill>
                    <w14:schemeClr w14:val="tx1"/>
                  </w14:solidFill>
                </w14:textFill>
              </w:rPr>
            </w:pPr>
            <w:bookmarkStart w:id="85" w:name="OLE_LINK4"/>
            <w:r>
              <w:rPr>
                <w:rFonts w:hint="eastAsia" w:ascii="宋体" w:hAnsi="宋体" w:eastAsia="宋体" w:cs="宋体"/>
                <w:color w:val="000000" w:themeColor="text1"/>
                <w:sz w:val="21"/>
                <w:szCs w:val="21"/>
                <w14:textFill>
                  <w14:solidFill>
                    <w14:schemeClr w14:val="tx1"/>
                  </w14:solidFill>
                </w14:textFill>
              </w:rPr>
              <w:t>SDN网络管理中心</w:t>
            </w:r>
            <w:bookmarkEnd w:id="85"/>
          </w:p>
        </w:tc>
        <w:tc>
          <w:tcPr>
            <w:tcW w:w="6045" w:type="dxa"/>
            <w:gridSpan w:val="4"/>
            <w:vAlign w:val="center"/>
          </w:tcPr>
          <w:p w14:paraId="231D43BC">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1.★设备为本地化部署，非云化部署方式；</w:t>
            </w:r>
          </w:p>
          <w:p w14:paraId="3496697C">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2.★具备统一web管理页面，可接入无线分支组网、用户认证等组件，实现统一运维管理,提供功能截图证明并加盖厂商公章；</w:t>
            </w:r>
          </w:p>
          <w:p w14:paraId="78362C78">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3.支持对无线设备进行配置、替换、重启、移动、升级等功能操作</w:t>
            </w:r>
          </w:p>
          <w:p w14:paraId="4E98767A">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4.支持图形化IP地址池管理，实现IP地址画像管理，并可查看相关信息，如发生冲突的IP地址、获取IP地址失败的终端、地址池利用率、IP分配次数分布等；</w:t>
            </w:r>
          </w:p>
          <w:p w14:paraId="1C119B01">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5.☆支持东西向流量安全防护，实现对安全端口组和组间访问行为进行可视化呈现和管控，保障单位内安全组间安全访问控制，提供实际功能截图并加盖软件系统原厂公章</w:t>
            </w:r>
          </w:p>
          <w:p w14:paraId="38CC3CFB">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6.支持移动APP运维，支持呈现AP接入点状态、接入点管理、无线网络、安全状态、本地用户、二维码审核、角色授权等，提供实际功能截图并加盖软件系统原厂公章</w:t>
            </w:r>
          </w:p>
          <w:p w14:paraId="33F3E5CE">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7.支持管理员分权分级，不同的管理员拥有不同的管理权限，包括精细的页面修改查看权限和接入点管辖权限以及是否允许登陆数据中心等，方便网络的维护管理，提供功能截图证明并加盖厂商公章</w:t>
            </w:r>
          </w:p>
          <w:p w14:paraId="2DDFBA4E">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8.所投产品需具备软件著作权证书，提供产品软件著作权并加盖厂商公章；</w:t>
            </w:r>
          </w:p>
        </w:tc>
        <w:tc>
          <w:tcPr>
            <w:tcW w:w="800" w:type="dxa"/>
            <w:vAlign w:val="center"/>
          </w:tcPr>
          <w:p w14:paraId="5AE51904">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812" w:type="dxa"/>
            <w:vAlign w:val="center"/>
          </w:tcPr>
          <w:p w14:paraId="6440C09E">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套</w:t>
            </w:r>
          </w:p>
        </w:tc>
      </w:tr>
      <w:tr w14:paraId="49E29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6B5F3120">
            <w:pPr>
              <w:spacing w:line="360" w:lineRule="auto"/>
              <w:rPr>
                <w:rFonts w:hint="eastAsia" w:ascii="宋体" w:hAnsi="宋体" w:eastAsia="宋体" w:cs="宋体"/>
                <w:color w:val="000000" w:themeColor="text1"/>
                <w:sz w:val="21"/>
                <w:szCs w:val="21"/>
                <w14:textFill>
                  <w14:solidFill>
                    <w14:schemeClr w14:val="tx1"/>
                  </w14:solidFill>
                </w14:textFill>
              </w:rPr>
            </w:pPr>
            <w:bookmarkStart w:id="86" w:name="OLE_LINK6" w:colFirst="1" w:colLast="1"/>
            <w:r>
              <w:rPr>
                <w:rFonts w:hint="eastAsia" w:ascii="宋体" w:hAnsi="宋体" w:eastAsia="宋体" w:cs="宋体"/>
                <w:color w:val="000000" w:themeColor="text1"/>
                <w:sz w:val="21"/>
                <w:szCs w:val="21"/>
                <w14:textFill>
                  <w14:solidFill>
                    <w14:schemeClr w14:val="tx1"/>
                  </w14:solidFill>
                </w14:textFill>
              </w:rPr>
              <w:t>3</w:t>
            </w:r>
          </w:p>
        </w:tc>
        <w:tc>
          <w:tcPr>
            <w:tcW w:w="1049" w:type="dxa"/>
            <w:vAlign w:val="center"/>
          </w:tcPr>
          <w:p w14:paraId="6F2FFB66">
            <w:pPr>
              <w:spacing w:line="360" w:lineRule="auto"/>
              <w:rPr>
                <w:rFonts w:hint="eastAsia" w:ascii="宋体" w:hAnsi="宋体" w:eastAsia="宋体" w:cs="宋体"/>
                <w:color w:val="000000" w:themeColor="text1"/>
                <w:sz w:val="21"/>
                <w:szCs w:val="21"/>
                <w14:textFill>
                  <w14:solidFill>
                    <w14:schemeClr w14:val="tx1"/>
                  </w14:solidFill>
                </w14:textFill>
              </w:rPr>
            </w:pPr>
            <w:bookmarkStart w:id="87" w:name="OLE_LINK5"/>
            <w:r>
              <w:rPr>
                <w:rFonts w:hint="eastAsia" w:ascii="宋体" w:hAnsi="宋体" w:eastAsia="宋体" w:cs="宋体"/>
                <w:color w:val="000000" w:themeColor="text1"/>
                <w:sz w:val="21"/>
                <w:szCs w:val="21"/>
                <w14:textFill>
                  <w14:solidFill>
                    <w14:schemeClr w14:val="tx1"/>
                  </w14:solidFill>
                </w14:textFill>
              </w:rPr>
              <w:t>统一认证平台</w:t>
            </w:r>
            <w:bookmarkEnd w:id="87"/>
          </w:p>
        </w:tc>
        <w:tc>
          <w:tcPr>
            <w:tcW w:w="6045" w:type="dxa"/>
            <w:gridSpan w:val="4"/>
            <w:vAlign w:val="center"/>
          </w:tcPr>
          <w:p w14:paraId="545F8D57">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1.★支持802.1x、Portal、MAC地址认证等认证；</w:t>
            </w:r>
          </w:p>
          <w:p w14:paraId="4E6BC34C">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2.二维码审核认证、短信认证、APP认证、临时访客账号等访客认证方式；</w:t>
            </w:r>
          </w:p>
          <w:p w14:paraId="4FE58F56">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3.支持基于全网无线用户的统一认证和管理，跨区域漫游，实现基于用户/用户组进行授权，可实现用户通过无线接入具有相同的认证账号和上网权限；</w:t>
            </w:r>
          </w:p>
          <w:p w14:paraId="74928FCE">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4.支持智能PSK认证功能，不同的PSK终端可使用专属密码，并支持PSK终端的秘钥与MAC绑定，其他终端即使拿到秘钥也无法上网，保证PSK终端安全接入，要求提供实际功能截图并加盖厂商公章</w:t>
            </w:r>
          </w:p>
          <w:p w14:paraId="17B5A7E7">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5.支持Portal认证页面自定义，包括页面展示信息、页面标题、文字描述、免责声明等信息；</w:t>
            </w:r>
          </w:p>
          <w:p w14:paraId="165B07F8">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6支持短信认证的有效期设置和短信验证码的有效期设置，在短信认证有效期内，不用重新认证，在验证码有效期内，不用重新获取验证码；</w:t>
            </w:r>
          </w:p>
          <w:p w14:paraId="2979A8A1">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7.所投产品需具备软件著作权证书，提供产品软件著作权并加盖厂商公章；</w:t>
            </w:r>
          </w:p>
          <w:p w14:paraId="37BCC921">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8.★要求采用本地化部署方式，而非云化部署方式，</w:t>
            </w:r>
          </w:p>
        </w:tc>
        <w:tc>
          <w:tcPr>
            <w:tcW w:w="800" w:type="dxa"/>
            <w:vAlign w:val="center"/>
          </w:tcPr>
          <w:p w14:paraId="64798D6B">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812" w:type="dxa"/>
            <w:vAlign w:val="center"/>
          </w:tcPr>
          <w:p w14:paraId="1AE15FA8">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套</w:t>
            </w:r>
          </w:p>
        </w:tc>
      </w:tr>
      <w:tr w14:paraId="2BB6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12F74801">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1049" w:type="dxa"/>
            <w:vAlign w:val="center"/>
          </w:tcPr>
          <w:p w14:paraId="00AFD748">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无线审计平台</w:t>
            </w:r>
          </w:p>
        </w:tc>
        <w:tc>
          <w:tcPr>
            <w:tcW w:w="6045" w:type="dxa"/>
            <w:gridSpan w:val="4"/>
            <w:vAlign w:val="center"/>
          </w:tcPr>
          <w:p w14:paraId="5E7111C9">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1.★支持应用识别，能识别不低于5000种的网络应用，可识别邮件、游戏、P2P流媒体、WEB流媒体、金融交易、办公OA、移动终端应用等主流应用，提供实际功能截图并加盖厂商公章；</w:t>
            </w:r>
          </w:p>
          <w:p w14:paraId="76AEE0BB">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2.支持基于应用层的互联网流量和内网流量双重访问控制；</w:t>
            </w:r>
          </w:p>
          <w:p w14:paraId="5CC95445">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3.支持无线网络在本地转发部署模式下实现应用识别以及无线网络审计功能；</w:t>
            </w:r>
          </w:p>
          <w:p w14:paraId="78F7EDD8">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4.支持基于多元化应用识别管控，包括用户、接入位置、终端类型、终端MAC地址、时间段；</w:t>
            </w:r>
          </w:p>
          <w:p w14:paraId="3FA324BA">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5.支持上网行为审计，可审计用户访问的URL、网络应用类型、FTP上传和下载的文件名、TELNET执行的命令等，提供实际功能截图并加盖厂商公章；</w:t>
            </w:r>
          </w:p>
          <w:p w14:paraId="72B8D4CB">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6.支持记录用户注册信息、IP、终端MAC、时间、访问的目的IP等信息；</w:t>
            </w:r>
          </w:p>
          <w:p w14:paraId="34C3822B">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7.★所投产品需具备软件著作权证书，提供产品软件著作权并加盖原厂公章；</w:t>
            </w:r>
          </w:p>
          <w:p w14:paraId="3DFD6B0C">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8.★要求采用本地化部署方式，而非云化部署方式</w:t>
            </w:r>
          </w:p>
        </w:tc>
        <w:tc>
          <w:tcPr>
            <w:tcW w:w="800" w:type="dxa"/>
            <w:vAlign w:val="center"/>
          </w:tcPr>
          <w:p w14:paraId="0F56FB0B">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812" w:type="dxa"/>
            <w:vAlign w:val="center"/>
          </w:tcPr>
          <w:p w14:paraId="7AED9ECC">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套</w:t>
            </w:r>
          </w:p>
        </w:tc>
      </w:tr>
      <w:tr w14:paraId="28BC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29962391">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1049" w:type="dxa"/>
            <w:vAlign w:val="center"/>
          </w:tcPr>
          <w:p w14:paraId="197C163C">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终端分析管理组件</w:t>
            </w:r>
          </w:p>
        </w:tc>
        <w:tc>
          <w:tcPr>
            <w:tcW w:w="6045" w:type="dxa"/>
            <w:gridSpan w:val="4"/>
            <w:vAlign w:val="center"/>
          </w:tcPr>
          <w:p w14:paraId="58CA9D29">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1.内置终端识别库，支持终端类型识别。例如：办公设备、打印机或扫描仪、摄像头、电视盒子、移动终端、路由器等，提供功能截图证明并加盖厂商公章；</w:t>
            </w:r>
          </w:p>
          <w:p w14:paraId="43C3F062">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2.支持终端类型准入控制，可对非指定类型终端非法接入，通过短信通知、手机APP通知，并同时将终端加入黑名单冻结；</w:t>
            </w:r>
          </w:p>
          <w:p w14:paraId="2E7FEDA1">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3.支持终端MAC地址与IP地址绑定，实现终端IP地址准入控制；</w:t>
            </w:r>
          </w:p>
          <w:p w14:paraId="1F6179A0">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4.支持实时查看接入终端当前的安全状态，例如：在线终端、风险终端、拦截终端；</w:t>
            </w:r>
          </w:p>
          <w:p w14:paraId="1C9EC743">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5.支持查看内网终端攻击服务类型占比分析、服务访问状态、终端类型分布；</w:t>
            </w:r>
          </w:p>
          <w:p w14:paraId="1FFED751">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6.所投产品需具备软件著作权证书，提供产品软件著作权并加盖厂商公章；</w:t>
            </w:r>
          </w:p>
          <w:p w14:paraId="7D6C77F1">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7.★设备为本地化部署，非云化部署方式</w:t>
            </w:r>
          </w:p>
        </w:tc>
        <w:tc>
          <w:tcPr>
            <w:tcW w:w="800" w:type="dxa"/>
            <w:vAlign w:val="center"/>
          </w:tcPr>
          <w:p w14:paraId="1F7B1B33">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812" w:type="dxa"/>
            <w:vAlign w:val="center"/>
          </w:tcPr>
          <w:p w14:paraId="6D4EA809">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套</w:t>
            </w:r>
          </w:p>
        </w:tc>
      </w:tr>
      <w:tr w14:paraId="6D0E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5DC85415">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1049" w:type="dxa"/>
            <w:vAlign w:val="center"/>
          </w:tcPr>
          <w:p w14:paraId="4940FE76">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吸顶AP</w:t>
            </w:r>
          </w:p>
        </w:tc>
        <w:tc>
          <w:tcPr>
            <w:tcW w:w="6045" w:type="dxa"/>
            <w:gridSpan w:val="4"/>
            <w:vAlign w:val="center"/>
          </w:tcPr>
          <w:p w14:paraId="2C0F969B">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1.★所投产品支持802.11ax 协议，同时兼容802.11a/b/g/n/ac协议，支持2.4G和5G同时工作，提供官网截图及官网链接证明，并加盖厂商公章</w:t>
            </w:r>
          </w:p>
          <w:p w14:paraId="40CC4546">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2.★整机采用三射频设计，整机6条流，整机最大传输速率≥3.8Gbps，提供官网截图及官网链接证明，并加盖厂商公章，</w:t>
            </w:r>
          </w:p>
          <w:p w14:paraId="6B2D0280">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3.为了符合无线AP实际接口应用需要，要求所投产品具有千兆以太网口≥1个</w:t>
            </w:r>
          </w:p>
          <w:p w14:paraId="763FE645">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4.可以自定义网络质量指标阈值进行编辑，包括但不限于网络地址、接入时间、DHCP请求时间、DNS解析平均时延、网关平均时延、网络丢包率等信息，提供第三方权威检测报告</w:t>
            </w:r>
          </w:p>
          <w:p w14:paraId="06C1349D">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5.支持AP零配置，支持二三层发现、DHCP Option43、DNS域名等多种AC自动发现机制</w:t>
            </w:r>
          </w:p>
          <w:p w14:paraId="10EF7236">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6.★包括但不限于无线信道总利用率、Wi-Fi信道利用率、非Wi-Fi信道利用率、同频AP数量等AP信息可被识别，并随射频环境变化而变化，提供第三方权威检测报告</w:t>
            </w:r>
          </w:p>
          <w:p w14:paraId="2CA60320">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7.结合802.1X、Web认证方式接入无线网络功能，以实现多用户认证可靠、安全且高效的认证管理，提供第三方权威检测报告</w:t>
            </w:r>
          </w:p>
        </w:tc>
        <w:tc>
          <w:tcPr>
            <w:tcW w:w="800" w:type="dxa"/>
            <w:vAlign w:val="center"/>
          </w:tcPr>
          <w:p w14:paraId="511DF447">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127</w:t>
            </w:r>
          </w:p>
        </w:tc>
        <w:tc>
          <w:tcPr>
            <w:tcW w:w="812" w:type="dxa"/>
            <w:vAlign w:val="center"/>
          </w:tcPr>
          <w:p w14:paraId="4C0DBD9E">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个</w:t>
            </w:r>
          </w:p>
        </w:tc>
      </w:tr>
      <w:tr w14:paraId="6B64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1CC44BCE">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p>
        </w:tc>
        <w:tc>
          <w:tcPr>
            <w:tcW w:w="1049" w:type="dxa"/>
            <w:vAlign w:val="center"/>
          </w:tcPr>
          <w:p w14:paraId="23593CE8">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面板AP</w:t>
            </w:r>
          </w:p>
        </w:tc>
        <w:tc>
          <w:tcPr>
            <w:tcW w:w="6045" w:type="dxa"/>
            <w:gridSpan w:val="4"/>
            <w:vAlign w:val="center"/>
          </w:tcPr>
          <w:p w14:paraId="279958D7">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1.★为了符合无线AP实际应用需要，要求所投产品支持802.11ax 协议，同时兼容802.11a/b/g/n/ac协议，支持2.4G和5G同时工作，提供官网截图及官网链接证明，并加盖厂商公章</w:t>
            </w:r>
          </w:p>
          <w:p w14:paraId="3D559743">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2.★为了符合无线AP实际应用需要，整机采用三射频设计，整机6条流，整机最大传输速率≥2.6Gbps，提供官网截图及官网链接证明，并加盖厂商公章，</w:t>
            </w:r>
          </w:p>
          <w:p w14:paraId="7BE4C072">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3.为了符合无线AP实际接口应用需要，要求所投产品具有千兆以太网口≥5个，提供官网截图及官网链接证明，并加盖厂商公章</w:t>
            </w:r>
          </w:p>
          <w:p w14:paraId="5B28679E">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4.支持802.3af/at供电标准的PoE供电</w:t>
            </w:r>
          </w:p>
          <w:p w14:paraId="315777E5">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5.为保障无线用网体验，要求所投设备整机支持最大200台无线终端同时接入进行流畅视频点播</w:t>
            </w:r>
          </w:p>
          <w:p w14:paraId="2CFE63FB">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可以自行对无线网络提供的服务进行检测，包括网络接入、DHCP、网关、DNS、网络地址等阶段的时延和质量检测，并以时光轴的方式进行展示具体时间点的检测情况，可以24小时周期性检测并第一时间告警运维人员，可以引导运维人员怎么排查故障到最终解决问题；</w:t>
            </w:r>
          </w:p>
          <w:p w14:paraId="3936989F">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7.★支持对无线网络环境指标进行检测，包括信道总利用率、Wi-Fi信道利用率、非Wi-Fi信道利用率、同频AP数量等，以方便对网络质量进行排查，提供第三方权威机构测试报告</w:t>
            </w:r>
          </w:p>
          <w:p w14:paraId="410BBA96">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8.支持802.1x 认证、MAC 地址认证、PSK 认证、Portal认证等</w:t>
            </w:r>
          </w:p>
        </w:tc>
        <w:tc>
          <w:tcPr>
            <w:tcW w:w="800" w:type="dxa"/>
            <w:vAlign w:val="center"/>
          </w:tcPr>
          <w:p w14:paraId="1CAF1CBC">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53</w:t>
            </w:r>
          </w:p>
        </w:tc>
        <w:tc>
          <w:tcPr>
            <w:tcW w:w="812" w:type="dxa"/>
            <w:vAlign w:val="center"/>
          </w:tcPr>
          <w:p w14:paraId="1AFB7BA3">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台</w:t>
            </w:r>
          </w:p>
        </w:tc>
      </w:tr>
      <w:tr w14:paraId="7DBD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133F681A">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p>
        </w:tc>
        <w:tc>
          <w:tcPr>
            <w:tcW w:w="1049" w:type="dxa"/>
            <w:vAlign w:val="center"/>
          </w:tcPr>
          <w:p w14:paraId="5C386B47">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射频线缆及配件</w:t>
            </w:r>
          </w:p>
        </w:tc>
        <w:tc>
          <w:tcPr>
            <w:tcW w:w="6045" w:type="dxa"/>
            <w:gridSpan w:val="4"/>
            <w:vAlign w:val="center"/>
          </w:tcPr>
          <w:p w14:paraId="5039EE29">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1、通过馈线连接中心单元、分布式射频单元及美化天线</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2、包含多种规格线缆，适应现场安装环境，包括但不限于单双轨、5m、10m、15m等规格线缆</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3、线缆满足所有分布式设备的连接以及未使用端口的保护</w:t>
            </w:r>
          </w:p>
        </w:tc>
        <w:tc>
          <w:tcPr>
            <w:tcW w:w="800" w:type="dxa"/>
            <w:vAlign w:val="center"/>
          </w:tcPr>
          <w:p w14:paraId="17CFA945">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812" w:type="dxa"/>
            <w:vAlign w:val="center"/>
          </w:tcPr>
          <w:p w14:paraId="605FB875">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套</w:t>
            </w:r>
          </w:p>
        </w:tc>
      </w:tr>
      <w:tr w14:paraId="7813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3095FA0A">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w:t>
            </w:r>
          </w:p>
        </w:tc>
        <w:tc>
          <w:tcPr>
            <w:tcW w:w="1049" w:type="dxa"/>
            <w:vAlign w:val="center"/>
          </w:tcPr>
          <w:p w14:paraId="6E918ED9">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美化天线</w:t>
            </w:r>
          </w:p>
        </w:tc>
        <w:tc>
          <w:tcPr>
            <w:tcW w:w="6045" w:type="dxa"/>
            <w:gridSpan w:val="4"/>
            <w:vAlign w:val="center"/>
          </w:tcPr>
          <w:p w14:paraId="0154C553">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1.接口：2个射频接口</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2.内置2个独立天线，同时支持2.4GHz和5.8GHz；</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3.天线增益：2.4GHz：7dBi，5GHz：5dBi</w:t>
            </w:r>
          </w:p>
        </w:tc>
        <w:tc>
          <w:tcPr>
            <w:tcW w:w="800" w:type="dxa"/>
            <w:vAlign w:val="center"/>
          </w:tcPr>
          <w:p w14:paraId="762F1AB1">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790</w:t>
            </w:r>
          </w:p>
        </w:tc>
        <w:tc>
          <w:tcPr>
            <w:tcW w:w="812" w:type="dxa"/>
            <w:vAlign w:val="center"/>
          </w:tcPr>
          <w:p w14:paraId="356FDE87">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个</w:t>
            </w:r>
          </w:p>
        </w:tc>
      </w:tr>
      <w:tr w14:paraId="4373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6FB67864">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c>
          <w:tcPr>
            <w:tcW w:w="1049" w:type="dxa"/>
            <w:vAlign w:val="center"/>
          </w:tcPr>
          <w:p w14:paraId="14D4ADDA">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中心AP</w:t>
            </w:r>
          </w:p>
        </w:tc>
        <w:tc>
          <w:tcPr>
            <w:tcW w:w="6045" w:type="dxa"/>
            <w:gridSpan w:val="4"/>
            <w:vAlign w:val="center"/>
          </w:tcPr>
          <w:p w14:paraId="483C5219">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1、★802.11ax 协议，兼容802.11a/b/g/n/ac协议，支持2.4G和5G同时工作，为保障无线网络体验，要求2.4G和5G射频最高支持802.11ax协议；</w:t>
            </w:r>
          </w:p>
          <w:p w14:paraId="78A2FFB3">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2、★分布式外网单元整机采用双射频设计，2.4G最大传输速率≥500Mbps，5G最大传输速率≥2400Mbps，整机最大传输速率≥2.9Gbps；</w:t>
            </w:r>
          </w:p>
          <w:p w14:paraId="117E7E03">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3、单个覆盖点位均支持2.4G和5G双频并发，单个覆盖点位理论无线速率：2.4G≥280Mbps，5G≥1200Mbps</w:t>
            </w:r>
          </w:p>
          <w:p w14:paraId="03452790">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4、2.5G SFP光口≥1个，并需兼容1G SFP光口；千兆以太网口≥1个，并需提供1个RJ-45 Console管理口；</w:t>
            </w:r>
          </w:p>
          <w:p w14:paraId="296812AA">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5、支持802.3at标准的PoE供电和本地电源适配器供电两种方式；射频单元满负荷工作功耗≤13W；</w:t>
            </w:r>
          </w:p>
          <w:p w14:paraId="1A40D7BF">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6、单射频接入人数最高支持≥128，整机最大接入人数≥240；支持基于SSID的接入用户数限制；</w:t>
            </w:r>
          </w:p>
          <w:p w14:paraId="6B1E14B6">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7、支持虚拟AP技术，单射频SSID数量最高支持≥16，整机≥32；支持SSID隐藏；支持英文SSID、中文SSID或中英文混合SSID；支持SSID与1QVLAN一对一或一对多的映射；</w:t>
            </w:r>
          </w:p>
          <w:p w14:paraId="3A2121DB">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8、支持无线带宽平均分配，让不同协商速率的终端占用相等的无线信道时间，防止低速终端拉低网络整体速；</w:t>
            </w:r>
          </w:p>
        </w:tc>
        <w:tc>
          <w:tcPr>
            <w:tcW w:w="800" w:type="dxa"/>
            <w:vAlign w:val="center"/>
          </w:tcPr>
          <w:p w14:paraId="018FE5E6">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w:t>
            </w:r>
          </w:p>
        </w:tc>
        <w:tc>
          <w:tcPr>
            <w:tcW w:w="812" w:type="dxa"/>
            <w:vAlign w:val="center"/>
          </w:tcPr>
          <w:p w14:paraId="0D8959FA">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台</w:t>
            </w:r>
          </w:p>
        </w:tc>
      </w:tr>
      <w:tr w14:paraId="65813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7867E511">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w:t>
            </w:r>
          </w:p>
        </w:tc>
        <w:tc>
          <w:tcPr>
            <w:tcW w:w="1049" w:type="dxa"/>
            <w:vAlign w:val="center"/>
          </w:tcPr>
          <w:p w14:paraId="540380C8">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室分AP</w:t>
            </w:r>
          </w:p>
        </w:tc>
        <w:tc>
          <w:tcPr>
            <w:tcW w:w="6045" w:type="dxa"/>
            <w:gridSpan w:val="4"/>
            <w:vAlign w:val="center"/>
          </w:tcPr>
          <w:p w14:paraId="18AC6FB8">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1、★可以对中心AP的信号进行功分，实现射频信号1分8部署。；</w:t>
            </w:r>
          </w:p>
          <w:p w14:paraId="208327FC">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2、射频单元满负荷工作功耗≤12W；</w:t>
            </w:r>
          </w:p>
          <w:p w14:paraId="28B0109E">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3、射频单元发射功率≤20dBm（最大不超过100mw），且功率可调节（调节粒度为1dBm，调节范围为1dBm~20dBm）；</w:t>
            </w:r>
          </w:p>
          <w:p w14:paraId="27412FDF">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4、支持自定义配置业务质量指标阈值，包括；时延、抖动、丢包率、服务器繁忙、连接失败率及业务连通性检测成功率,并提供功能截图证明。</w:t>
            </w:r>
          </w:p>
          <w:p w14:paraId="3E276D53">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5、支持将内网终端用于的ARP扫描、IP扫描、端口扫描达到阈值后告警或进入动态黑名单；</w:t>
            </w:r>
          </w:p>
        </w:tc>
        <w:tc>
          <w:tcPr>
            <w:tcW w:w="800" w:type="dxa"/>
            <w:vAlign w:val="center"/>
          </w:tcPr>
          <w:p w14:paraId="388221D5">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58</w:t>
            </w:r>
          </w:p>
        </w:tc>
        <w:tc>
          <w:tcPr>
            <w:tcW w:w="812" w:type="dxa"/>
            <w:vAlign w:val="center"/>
          </w:tcPr>
          <w:p w14:paraId="189DCBCE">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台</w:t>
            </w:r>
          </w:p>
        </w:tc>
      </w:tr>
      <w:tr w14:paraId="2C9C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230F35F0">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w:t>
            </w:r>
          </w:p>
        </w:tc>
        <w:tc>
          <w:tcPr>
            <w:tcW w:w="1049" w:type="dxa"/>
            <w:vAlign w:val="center"/>
          </w:tcPr>
          <w:p w14:paraId="3EF4D143">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24口POE交换机</w:t>
            </w:r>
          </w:p>
        </w:tc>
        <w:tc>
          <w:tcPr>
            <w:tcW w:w="6045" w:type="dxa"/>
            <w:gridSpan w:val="4"/>
            <w:vAlign w:val="center"/>
          </w:tcPr>
          <w:p w14:paraId="762AA9AA">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 ★性能：交换容量≥336Gbps ；包转发速率≥130Mpps</w:t>
            </w:r>
          </w:p>
          <w:p w14:paraId="41E2F850">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 端口：≥24个千兆电口，≥4千兆光口，含4个千兆多模光模块；</w:t>
            </w:r>
          </w:p>
          <w:p w14:paraId="7DC7E03E">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 支持≥9台设备混合堆叠</w:t>
            </w:r>
          </w:p>
          <w:p w14:paraId="7A62A427">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 支持POE+；POE供电功率≥370W</w:t>
            </w:r>
          </w:p>
          <w:p w14:paraId="75316F04">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 防雷功能：≥6KV </w:t>
            </w:r>
          </w:p>
          <w:p w14:paraId="265F86E9">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6. 二层环网功能：支持STP/RSTP/MSTP </w:t>
            </w:r>
          </w:p>
          <w:p w14:paraId="798CAD2A">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 动态链路聚合(802.3ad)/ 静态端口聚合</w:t>
            </w:r>
          </w:p>
          <w:p w14:paraId="557346BB">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8. QoS：支持802.1p、802.1Q </w:t>
            </w:r>
          </w:p>
          <w:p w14:paraId="2B27206B">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 支持DHCP Server、Client</w:t>
            </w:r>
          </w:p>
          <w:p w14:paraId="2FE90514">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 绿色节能：支持端口节能</w:t>
            </w:r>
          </w:p>
          <w:p w14:paraId="45749952">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11.★要求产品制造商通过个人信息安全管理体系 BS 10012:2017和ISO 22320应急管理体系认证，提供证书复印件；</w:t>
            </w:r>
          </w:p>
          <w:p w14:paraId="2FB75D5C">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12.要求产品制作产品通信网络风险评估服务评定证书至少达到2级，提供证书复印件；</w:t>
            </w:r>
          </w:p>
          <w:p w14:paraId="2DD44B66">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13.配置3年质保服务</w:t>
            </w:r>
          </w:p>
        </w:tc>
        <w:tc>
          <w:tcPr>
            <w:tcW w:w="800" w:type="dxa"/>
            <w:vAlign w:val="center"/>
          </w:tcPr>
          <w:p w14:paraId="1C006AB8">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w:t>
            </w:r>
          </w:p>
        </w:tc>
        <w:tc>
          <w:tcPr>
            <w:tcW w:w="812" w:type="dxa"/>
            <w:vAlign w:val="center"/>
          </w:tcPr>
          <w:p w14:paraId="060DC05E">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个</w:t>
            </w:r>
          </w:p>
        </w:tc>
      </w:tr>
      <w:tr w14:paraId="692B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387CD7E4">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w:t>
            </w:r>
          </w:p>
        </w:tc>
        <w:tc>
          <w:tcPr>
            <w:tcW w:w="1049" w:type="dxa"/>
            <w:vAlign w:val="center"/>
          </w:tcPr>
          <w:p w14:paraId="4A7FB9FF">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8口POE交换机</w:t>
            </w:r>
          </w:p>
        </w:tc>
        <w:tc>
          <w:tcPr>
            <w:tcW w:w="6045" w:type="dxa"/>
            <w:gridSpan w:val="4"/>
            <w:vAlign w:val="center"/>
          </w:tcPr>
          <w:p w14:paraId="3CF663ED">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 ★性能：交换容量≥336Gbps；包转发率≥102Mpps</w:t>
            </w:r>
          </w:p>
          <w:p w14:paraId="5150B5CB">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 表项：路由表≥1K，ARP≥1K,ACL≥1K，MAC≥16K，内存≥512M，FLASH≥256M</w:t>
            </w:r>
          </w:p>
          <w:p w14:paraId="357176DF">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 端口：8千兆电口+4千兆SFP（其中2combo电口），含4个千兆多模光模块；</w:t>
            </w:r>
          </w:p>
          <w:p w14:paraId="1DBFED71">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 支持POE+；POE供电功率≥125W；</w:t>
            </w:r>
          </w:p>
          <w:p w14:paraId="7899BFE9">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 支持OPENFLOW 1.3</w:t>
            </w:r>
          </w:p>
          <w:p w14:paraId="0FDDD1E9">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 支持横向虚拟化≥9台，最大堆叠带宽≥16G，支持纵向虚拟化技术；</w:t>
            </w:r>
          </w:p>
          <w:p w14:paraId="1D920D70">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 路由协议 支持IPv4/IPv6静态路由、支持RIP/RIPng，OSPF</w:t>
            </w:r>
          </w:p>
          <w:p w14:paraId="67C4D1F2">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 支持STP/RSTP/MSTP / ERPS/RRPP协议</w:t>
            </w:r>
          </w:p>
          <w:p w14:paraId="099E8196">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 支持基于第二层、第三层和第四层的ACL；</w:t>
            </w:r>
          </w:p>
          <w:p w14:paraId="3A83291B">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 支持DHCP client、DHCP Snooping、DHCP Server</w:t>
            </w:r>
          </w:p>
          <w:p w14:paraId="20300B6D">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 支持端口防雷≥10KV</w:t>
            </w:r>
          </w:p>
          <w:p w14:paraId="4884CA43">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 绿色节能 ：端口定时down功能,支持端口休眠，节省能源,智能风扇调速</w:t>
            </w:r>
          </w:p>
          <w:p w14:paraId="212220E2">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13.要求产品制造商通过个人信息安全管理体系 BS 10012:2017和ISO 22320应急管理体系认证，提供证书复印件；</w:t>
            </w:r>
          </w:p>
          <w:p w14:paraId="29A343E3">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14.要求产品制作产品通信网络风险评估服务评定证书至少达到2级，提供证书复印件；</w:t>
            </w:r>
          </w:p>
          <w:p w14:paraId="34B2E4A1">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15.配置3年质保服务</w:t>
            </w:r>
          </w:p>
        </w:tc>
        <w:tc>
          <w:tcPr>
            <w:tcW w:w="800" w:type="dxa"/>
            <w:vAlign w:val="center"/>
          </w:tcPr>
          <w:p w14:paraId="1820F8B5">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p>
        </w:tc>
        <w:tc>
          <w:tcPr>
            <w:tcW w:w="812" w:type="dxa"/>
            <w:vAlign w:val="center"/>
          </w:tcPr>
          <w:p w14:paraId="1EC92B13">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台</w:t>
            </w:r>
          </w:p>
        </w:tc>
      </w:tr>
      <w:tr w14:paraId="1110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1016FC75">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w:t>
            </w:r>
          </w:p>
        </w:tc>
        <w:tc>
          <w:tcPr>
            <w:tcW w:w="1049" w:type="dxa"/>
            <w:vAlign w:val="center"/>
          </w:tcPr>
          <w:p w14:paraId="4FDE7AEA">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POE汇聚交换机</w:t>
            </w:r>
          </w:p>
        </w:tc>
        <w:tc>
          <w:tcPr>
            <w:tcW w:w="6045" w:type="dxa"/>
            <w:gridSpan w:val="4"/>
            <w:vAlign w:val="center"/>
          </w:tcPr>
          <w:p w14:paraId="74D841F6">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 性能：交换容量≥432Gbps；包转发率≥166Mpps</w:t>
            </w:r>
          </w:p>
          <w:p w14:paraId="63B1FA57">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 表项：路由表≥1K，ARP≥1K,ACL≥1K，MAC≥16K，内存≥512M，FLASH≥256M</w:t>
            </w:r>
          </w:p>
          <w:p w14:paraId="581B41FA">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 端口：48千兆电口+4千兆SFP，含4个千兆多模光模块；</w:t>
            </w:r>
          </w:p>
          <w:p w14:paraId="190047A1">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 支持POE+；POE供电功率≥370W；</w:t>
            </w:r>
          </w:p>
          <w:p w14:paraId="561728E7">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 支持OPENFLOW 1.3</w:t>
            </w:r>
          </w:p>
          <w:p w14:paraId="234E46B6">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 支持横向虚拟化≥9台，最大堆叠带宽≥16G，支持纵向虚拟化技术；</w:t>
            </w:r>
          </w:p>
          <w:p w14:paraId="73C45FAA">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 路由协议 支持IPv4/IPv6静态路由、支持RIP/RIPng，OSPF</w:t>
            </w:r>
          </w:p>
          <w:p w14:paraId="21F01537">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 支持STP/RSTP/MSTP / ERPS/RRPP协议</w:t>
            </w:r>
          </w:p>
          <w:p w14:paraId="64A3DE2A">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 支持基于第二层、第三层和第四层的ACL；</w:t>
            </w:r>
          </w:p>
          <w:p w14:paraId="44DDF3FB">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 支持DHCP client、DHCP Snooping、DHCP Server</w:t>
            </w:r>
          </w:p>
          <w:p w14:paraId="0E6E3328">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 支持端口防雷≥10KV</w:t>
            </w:r>
          </w:p>
          <w:p w14:paraId="340871D0">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 绿色节能 ：端口定时down功能,支持端口休眠，节省能源,智能风扇调速</w:t>
            </w:r>
          </w:p>
          <w:p w14:paraId="0C48D7C9">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13.★要求产品制造商通过个人信息安全管理体系 BS 10012:2017和ISO 22320应急管理体系认证，提供证书复印件；</w:t>
            </w:r>
          </w:p>
          <w:p w14:paraId="20618190">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14.★要求产品制作产品通信网络风险评估服务评定证书至少达到2级，提供证书复印件；</w:t>
            </w:r>
          </w:p>
          <w:p w14:paraId="66598634">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15.配置3年质保服务</w:t>
            </w:r>
          </w:p>
        </w:tc>
        <w:tc>
          <w:tcPr>
            <w:tcW w:w="800" w:type="dxa"/>
            <w:vAlign w:val="center"/>
          </w:tcPr>
          <w:p w14:paraId="611D0816">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812" w:type="dxa"/>
            <w:vAlign w:val="center"/>
          </w:tcPr>
          <w:p w14:paraId="7E72B297">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台</w:t>
            </w:r>
          </w:p>
        </w:tc>
      </w:tr>
      <w:tr w14:paraId="0BD61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14A57B5A">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w:t>
            </w:r>
          </w:p>
        </w:tc>
        <w:tc>
          <w:tcPr>
            <w:tcW w:w="1049" w:type="dxa"/>
            <w:vAlign w:val="center"/>
          </w:tcPr>
          <w:p w14:paraId="6637903E">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外网核心</w:t>
            </w:r>
          </w:p>
        </w:tc>
        <w:tc>
          <w:tcPr>
            <w:tcW w:w="6045" w:type="dxa"/>
            <w:gridSpan w:val="4"/>
            <w:vAlign w:val="center"/>
          </w:tcPr>
          <w:p w14:paraId="632D45EE">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1.性能：交换容量≥2.4Tbps；转发性能≥558Mpps</w:t>
            </w:r>
          </w:p>
          <w:p w14:paraId="6FE0D178">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2.接口类型：≥32千兆光口(其中4千兆combo电口)+4万兆SFP光口，4个10/25GE SFP28光口+1业务扩展槽，1个USB口</w:t>
            </w:r>
          </w:p>
          <w:p w14:paraId="323A640C">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3.支持过流保护、过压保护和过热保护技术</w:t>
            </w:r>
          </w:p>
          <w:p w14:paraId="5C6FD729">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 硬件可靠：支持可热插拔模块电源冗余和可热插拔模块化风扇冗余</w:t>
            </w:r>
          </w:p>
          <w:p w14:paraId="140A8039">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 支持横向虚拟化（≥9台设备）</w:t>
            </w:r>
          </w:p>
          <w:p w14:paraId="77970DB2">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 支持STP/RSTP/MSTP、支持RRPP</w:t>
            </w:r>
          </w:p>
          <w:p w14:paraId="358188FF">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 支持DHCP Server/ DHCP Relay/ DHCP Snooping/ DHCP Client</w:t>
            </w:r>
          </w:p>
          <w:p w14:paraId="1F2984F2">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 支持黑洞MAC地址，支持设置端口MAC地址学习最大个数</w:t>
            </w:r>
          </w:p>
          <w:p w14:paraId="414B201B">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 支持本地端口镜像和远程端口镜像RSPAN</w:t>
            </w:r>
          </w:p>
          <w:p w14:paraId="6E345374">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 支持支持静态路由、RIPv1/v2，RIPng、OSPFv1/v2，OSPFv3、BGP4，BGP4+ for IPv6、等价路由，策略路由</w:t>
            </w:r>
          </w:p>
          <w:p w14:paraId="3ADA6EC2">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 支持802.1X认证/集中式MAC地址认证、支持PORTAL认证、支持动态ARP检测，防止中间人攻击和ARP拒绝服务</w:t>
            </w:r>
          </w:p>
          <w:p w14:paraId="140D981F">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 采用内置防雷技术，支持10KV业务端口防雷能力</w:t>
            </w:r>
          </w:p>
          <w:p w14:paraId="1C685BBE">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 符合IEEE 802.3az（EEE）节能标准、支持端口休眠，关闭没有应用的端口，节省能源</w:t>
            </w:r>
          </w:p>
          <w:p w14:paraId="760F6F84">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14.要求产品制造商通过个人信息安全管理体系 BS 10012:2017和ISO 22320应急管理体系认证，提供证书复印件；</w:t>
            </w:r>
          </w:p>
          <w:p w14:paraId="79F7D12F">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15.要求产品制作产品通信网络风险评估服务评定证书至少达到2级，提供证书复印件；</w:t>
            </w:r>
          </w:p>
          <w:p w14:paraId="60563D70">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16.配置3年质保服务，配置24个多模千兆光模块；</w:t>
            </w:r>
          </w:p>
        </w:tc>
        <w:tc>
          <w:tcPr>
            <w:tcW w:w="800" w:type="dxa"/>
            <w:vAlign w:val="center"/>
          </w:tcPr>
          <w:p w14:paraId="187EB2CC">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812" w:type="dxa"/>
            <w:vAlign w:val="center"/>
          </w:tcPr>
          <w:p w14:paraId="1957BAA7">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台</w:t>
            </w:r>
          </w:p>
        </w:tc>
      </w:tr>
      <w:tr w14:paraId="136AB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3E7556E2">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w:t>
            </w:r>
          </w:p>
        </w:tc>
        <w:tc>
          <w:tcPr>
            <w:tcW w:w="1049" w:type="dxa"/>
            <w:vAlign w:val="center"/>
          </w:tcPr>
          <w:p w14:paraId="075ABAB4">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DMZ区交换机</w:t>
            </w:r>
          </w:p>
        </w:tc>
        <w:tc>
          <w:tcPr>
            <w:tcW w:w="6045" w:type="dxa"/>
            <w:gridSpan w:val="4"/>
            <w:vAlign w:val="center"/>
          </w:tcPr>
          <w:p w14:paraId="517A5D0A">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1.★性能：交换容量≥2.4Tbps；转发性能≥432Mpps</w:t>
            </w:r>
          </w:p>
          <w:p w14:paraId="573042BB">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2.★接口类型：≥48千兆电口(其中4千兆SFP)+4万兆SFP光口+1业务扩展槽，1个USB口</w:t>
            </w:r>
          </w:p>
          <w:p w14:paraId="2AB548B8">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3.支持过流保护、过压保护和过热保护技术</w:t>
            </w:r>
          </w:p>
          <w:p w14:paraId="1AE0A8E9">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 硬件可靠：支持可热插拔模块电源冗余和可热插拔模块化风扇冗余</w:t>
            </w:r>
          </w:p>
          <w:p w14:paraId="15B56103">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 支持横向虚拟化（≥9台设备）</w:t>
            </w:r>
          </w:p>
          <w:p w14:paraId="69401276">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 支持STP/RSTP/MSTP、支持RRPP</w:t>
            </w:r>
          </w:p>
          <w:p w14:paraId="332419FA">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 支持DHCP Server/ DHCP Relay/ DHCP Snooping/ DHCP Client</w:t>
            </w:r>
          </w:p>
          <w:p w14:paraId="6A49375D">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 支持黑洞MAC地址，支持设置端口MAC地址学习最大个数</w:t>
            </w:r>
          </w:p>
          <w:p w14:paraId="30BCF637">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 支持本地端口镜像和远程端口镜像RSPAN</w:t>
            </w:r>
          </w:p>
          <w:p w14:paraId="13227882">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 支持支持静态路由、RIPv1/v2，RIPng、OSPFv1/v2，OSPFv3、BGP4，BGP4+ for IPv6、等价路由，策略路由</w:t>
            </w:r>
          </w:p>
          <w:p w14:paraId="0A3A72E1">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 支持802.1X认证/集中式MAC地址认证、支持PORTAL认证、支持动态ARP检测，防止中间人攻击和ARP拒绝服务</w:t>
            </w:r>
          </w:p>
          <w:p w14:paraId="287BA8AB">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 采用内置防雷技术，支持10KV业务端口防雷能力</w:t>
            </w:r>
          </w:p>
          <w:p w14:paraId="2E0331E2">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 符合IEEE 802.3az（EEE）节能标准、支持端口休眠，关闭没有应用的端口，节省能源</w:t>
            </w:r>
          </w:p>
          <w:p w14:paraId="039E53E0">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14.要求产品制造商通过个人信息安全管理体系 BS 10012:2017和ISO 22320应急管理体系认证，提供证书复印件；</w:t>
            </w:r>
          </w:p>
          <w:p w14:paraId="346BAE14">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15.要求产品制作产品通信网络风险评估服务评定证书至少达到2级，提供证书复印件；</w:t>
            </w:r>
          </w:p>
          <w:p w14:paraId="2088376A">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16.配置3年质保服务</w:t>
            </w:r>
          </w:p>
        </w:tc>
        <w:tc>
          <w:tcPr>
            <w:tcW w:w="800" w:type="dxa"/>
            <w:vAlign w:val="center"/>
          </w:tcPr>
          <w:p w14:paraId="753A3303">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812" w:type="dxa"/>
            <w:vAlign w:val="center"/>
          </w:tcPr>
          <w:p w14:paraId="1926CFFB">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台</w:t>
            </w:r>
          </w:p>
        </w:tc>
      </w:tr>
      <w:tr w14:paraId="015B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2E944628">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w:t>
            </w:r>
          </w:p>
        </w:tc>
        <w:tc>
          <w:tcPr>
            <w:tcW w:w="1049" w:type="dxa"/>
            <w:vAlign w:val="center"/>
          </w:tcPr>
          <w:p w14:paraId="7D2FDF5B">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楼层内网接入交换机</w:t>
            </w:r>
          </w:p>
        </w:tc>
        <w:tc>
          <w:tcPr>
            <w:tcW w:w="6045" w:type="dxa"/>
            <w:gridSpan w:val="4"/>
            <w:vAlign w:val="center"/>
          </w:tcPr>
          <w:p w14:paraId="571D6091">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1.★交换容量≥336Gbps，包转发率≥126Mbps；</w:t>
            </w:r>
          </w:p>
          <w:p w14:paraId="2480BC80">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2.固定接口:≥48个千兆自适应电口，≥4个千兆SFP光口，含4个千兆多模光模块；</w:t>
            </w:r>
          </w:p>
          <w:p w14:paraId="5BD576AB">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3.支持VLAN 4K，MAC地址≥16K；</w:t>
            </w:r>
          </w:p>
          <w:p w14:paraId="335AC508">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4.路由协议 支持IPv4/IPv6静态路由、支持RIP/RIPng，OSPFv1/v2，OSPFv3</w:t>
            </w:r>
          </w:p>
          <w:p w14:paraId="143E8615">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5.支持STP/RSTP/MSTP /RRPP协议</w:t>
            </w:r>
          </w:p>
          <w:p w14:paraId="1F6CC5B4">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6.支持基于第二层、第三层和第四层的ACL；</w:t>
            </w:r>
          </w:p>
          <w:p w14:paraId="07F40F36">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7.支持堆叠技术，支持≥9台设备组成一个整体；</w:t>
            </w:r>
          </w:p>
          <w:p w14:paraId="36CFD73D">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8.★要求产品制造商通过个人信息安全管理体系 BS 10012:2017和ISO 22320应急管理体系认证，提供证书复印件；</w:t>
            </w:r>
          </w:p>
          <w:p w14:paraId="4848CE89">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9.★要求产品制作产品通信网络风险评估服务评定证书至少达到2级，提供证书复印件；</w:t>
            </w:r>
          </w:p>
          <w:p w14:paraId="64436699">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10.配置3年质保服务</w:t>
            </w:r>
          </w:p>
        </w:tc>
        <w:tc>
          <w:tcPr>
            <w:tcW w:w="800" w:type="dxa"/>
            <w:vAlign w:val="center"/>
          </w:tcPr>
          <w:p w14:paraId="1F2409EB">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w:t>
            </w:r>
          </w:p>
        </w:tc>
        <w:tc>
          <w:tcPr>
            <w:tcW w:w="812" w:type="dxa"/>
            <w:vAlign w:val="center"/>
          </w:tcPr>
          <w:p w14:paraId="64FE99DC">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个</w:t>
            </w:r>
          </w:p>
        </w:tc>
      </w:tr>
      <w:tr w14:paraId="3197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653" w:type="dxa"/>
            <w:vMerge w:val="restart"/>
            <w:vAlign w:val="center"/>
          </w:tcPr>
          <w:p w14:paraId="2FC5D70E">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w:t>
            </w:r>
          </w:p>
        </w:tc>
        <w:tc>
          <w:tcPr>
            <w:tcW w:w="1049" w:type="dxa"/>
            <w:vMerge w:val="restart"/>
            <w:vAlign w:val="center"/>
          </w:tcPr>
          <w:p w14:paraId="531085C4">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综合布线</w:t>
            </w:r>
          </w:p>
        </w:tc>
        <w:tc>
          <w:tcPr>
            <w:tcW w:w="6045" w:type="dxa"/>
            <w:gridSpan w:val="4"/>
            <w:vAlign w:val="center"/>
          </w:tcPr>
          <w:p w14:paraId="0D14D6D0">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门诊楼（1-5楼）、医技楼（1-6楼）和住院楼楼（1-12楼）综合布线及涉及材料预估量：</w:t>
            </w:r>
          </w:p>
        </w:tc>
        <w:tc>
          <w:tcPr>
            <w:tcW w:w="800" w:type="dxa"/>
            <w:vMerge w:val="restart"/>
            <w:vAlign w:val="center"/>
          </w:tcPr>
          <w:p w14:paraId="298B4803">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812" w:type="dxa"/>
            <w:vMerge w:val="restart"/>
            <w:vAlign w:val="center"/>
          </w:tcPr>
          <w:p w14:paraId="1C4E6E4A">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w:t>
            </w:r>
          </w:p>
        </w:tc>
      </w:tr>
      <w:tr w14:paraId="3456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653" w:type="dxa"/>
            <w:vMerge w:val="continue"/>
            <w:vAlign w:val="center"/>
          </w:tcPr>
          <w:p w14:paraId="5E260562">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1049" w:type="dxa"/>
            <w:vMerge w:val="continue"/>
            <w:vAlign w:val="center"/>
          </w:tcPr>
          <w:p w14:paraId="7ADAB517">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533" w:type="dxa"/>
          </w:tcPr>
          <w:p w14:paraId="41EF3AC2">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3219" w:type="dxa"/>
          </w:tcPr>
          <w:p w14:paraId="58836E25">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名称</w:t>
            </w:r>
          </w:p>
        </w:tc>
        <w:tc>
          <w:tcPr>
            <w:tcW w:w="850" w:type="dxa"/>
          </w:tcPr>
          <w:p w14:paraId="34E2D653">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w:t>
            </w:r>
          </w:p>
        </w:tc>
        <w:tc>
          <w:tcPr>
            <w:tcW w:w="1443" w:type="dxa"/>
          </w:tcPr>
          <w:p w14:paraId="7E5E91F4">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tc>
        <w:tc>
          <w:tcPr>
            <w:tcW w:w="800" w:type="dxa"/>
            <w:vMerge w:val="continue"/>
            <w:vAlign w:val="center"/>
          </w:tcPr>
          <w:p w14:paraId="2D3321AD">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812" w:type="dxa"/>
            <w:vMerge w:val="continue"/>
            <w:vAlign w:val="center"/>
          </w:tcPr>
          <w:p w14:paraId="79A73364">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5530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653" w:type="dxa"/>
            <w:vMerge w:val="continue"/>
            <w:vAlign w:val="center"/>
          </w:tcPr>
          <w:p w14:paraId="7B6CBCAB">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1049" w:type="dxa"/>
            <w:vMerge w:val="continue"/>
            <w:vAlign w:val="center"/>
          </w:tcPr>
          <w:p w14:paraId="0A7966E1">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533" w:type="dxa"/>
          </w:tcPr>
          <w:p w14:paraId="645C4C3E">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3219" w:type="dxa"/>
          </w:tcPr>
          <w:p w14:paraId="4A30DAD5">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光纤（电信级12芯）</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ab/>
            </w:r>
          </w:p>
        </w:tc>
        <w:tc>
          <w:tcPr>
            <w:tcW w:w="850" w:type="dxa"/>
          </w:tcPr>
          <w:p w14:paraId="4D629C07">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米</w:t>
            </w:r>
          </w:p>
        </w:tc>
        <w:tc>
          <w:tcPr>
            <w:tcW w:w="1443" w:type="dxa"/>
          </w:tcPr>
          <w:p w14:paraId="76D64857">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1000</w:t>
            </w:r>
          </w:p>
        </w:tc>
        <w:tc>
          <w:tcPr>
            <w:tcW w:w="800" w:type="dxa"/>
            <w:vMerge w:val="continue"/>
            <w:vAlign w:val="center"/>
          </w:tcPr>
          <w:p w14:paraId="42F5C9C7">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812" w:type="dxa"/>
            <w:vMerge w:val="continue"/>
            <w:vAlign w:val="center"/>
          </w:tcPr>
          <w:p w14:paraId="1E3ED2B7">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1A0D6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653" w:type="dxa"/>
            <w:vMerge w:val="continue"/>
            <w:vAlign w:val="center"/>
          </w:tcPr>
          <w:p w14:paraId="08073445">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1049" w:type="dxa"/>
            <w:vMerge w:val="continue"/>
            <w:vAlign w:val="center"/>
          </w:tcPr>
          <w:p w14:paraId="34A73A70">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533" w:type="dxa"/>
          </w:tcPr>
          <w:p w14:paraId="45F2EC6C">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3219" w:type="dxa"/>
          </w:tcPr>
          <w:p w14:paraId="6788A0D2">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耦合器</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ab/>
            </w:r>
          </w:p>
        </w:tc>
        <w:tc>
          <w:tcPr>
            <w:tcW w:w="850" w:type="dxa"/>
          </w:tcPr>
          <w:p w14:paraId="1EED212C">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个</w:t>
            </w:r>
          </w:p>
        </w:tc>
        <w:tc>
          <w:tcPr>
            <w:tcW w:w="1443" w:type="dxa"/>
          </w:tcPr>
          <w:p w14:paraId="04C228D7">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624</w:t>
            </w:r>
          </w:p>
        </w:tc>
        <w:tc>
          <w:tcPr>
            <w:tcW w:w="800" w:type="dxa"/>
            <w:vMerge w:val="continue"/>
            <w:vAlign w:val="center"/>
          </w:tcPr>
          <w:p w14:paraId="43DDBEEF">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812" w:type="dxa"/>
            <w:vMerge w:val="continue"/>
            <w:vAlign w:val="center"/>
          </w:tcPr>
          <w:p w14:paraId="22EA277D">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7E8AB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653" w:type="dxa"/>
            <w:vMerge w:val="continue"/>
            <w:vAlign w:val="center"/>
          </w:tcPr>
          <w:p w14:paraId="24970A7B">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1049" w:type="dxa"/>
            <w:vMerge w:val="continue"/>
            <w:vAlign w:val="center"/>
          </w:tcPr>
          <w:p w14:paraId="444FECE0">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533" w:type="dxa"/>
          </w:tcPr>
          <w:p w14:paraId="5047C06E">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3219" w:type="dxa"/>
          </w:tcPr>
          <w:p w14:paraId="040B3F2C">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尾纤</w:t>
            </w:r>
          </w:p>
        </w:tc>
        <w:tc>
          <w:tcPr>
            <w:tcW w:w="850" w:type="dxa"/>
          </w:tcPr>
          <w:p w14:paraId="052A3FBF">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条</w:t>
            </w:r>
          </w:p>
        </w:tc>
        <w:tc>
          <w:tcPr>
            <w:tcW w:w="1443" w:type="dxa"/>
          </w:tcPr>
          <w:p w14:paraId="475E8D34">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w:t>
            </w:r>
          </w:p>
        </w:tc>
        <w:tc>
          <w:tcPr>
            <w:tcW w:w="800" w:type="dxa"/>
            <w:vMerge w:val="continue"/>
            <w:vAlign w:val="center"/>
          </w:tcPr>
          <w:p w14:paraId="1A30C3C0">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812" w:type="dxa"/>
            <w:vMerge w:val="continue"/>
            <w:vAlign w:val="center"/>
          </w:tcPr>
          <w:p w14:paraId="3846EBD3">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4FC1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653" w:type="dxa"/>
            <w:vMerge w:val="continue"/>
            <w:vAlign w:val="center"/>
          </w:tcPr>
          <w:p w14:paraId="224A9117">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1049" w:type="dxa"/>
            <w:vMerge w:val="continue"/>
            <w:vAlign w:val="center"/>
          </w:tcPr>
          <w:p w14:paraId="7B2EA050">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533" w:type="dxa"/>
          </w:tcPr>
          <w:p w14:paraId="51D50E1C">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3219" w:type="dxa"/>
          </w:tcPr>
          <w:p w14:paraId="04CF2587">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跳线</w:t>
            </w:r>
          </w:p>
        </w:tc>
        <w:tc>
          <w:tcPr>
            <w:tcW w:w="850" w:type="dxa"/>
          </w:tcPr>
          <w:p w14:paraId="736278EB">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条</w:t>
            </w:r>
          </w:p>
        </w:tc>
        <w:tc>
          <w:tcPr>
            <w:tcW w:w="1443" w:type="dxa"/>
          </w:tcPr>
          <w:p w14:paraId="7E67C148">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72</w:t>
            </w:r>
          </w:p>
        </w:tc>
        <w:tc>
          <w:tcPr>
            <w:tcW w:w="800" w:type="dxa"/>
            <w:vMerge w:val="continue"/>
            <w:vAlign w:val="center"/>
          </w:tcPr>
          <w:p w14:paraId="1BA2B0F3">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812" w:type="dxa"/>
            <w:vMerge w:val="continue"/>
            <w:vAlign w:val="center"/>
          </w:tcPr>
          <w:p w14:paraId="4D578587">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2F36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653" w:type="dxa"/>
            <w:vMerge w:val="continue"/>
            <w:vAlign w:val="center"/>
          </w:tcPr>
          <w:p w14:paraId="008CB6A8">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1049" w:type="dxa"/>
            <w:vMerge w:val="continue"/>
            <w:vAlign w:val="center"/>
          </w:tcPr>
          <w:p w14:paraId="11A45219">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533" w:type="dxa"/>
          </w:tcPr>
          <w:p w14:paraId="2F2ADFEC">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3219" w:type="dxa"/>
          </w:tcPr>
          <w:p w14:paraId="2BC19353">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ODF架</w:t>
            </w:r>
          </w:p>
        </w:tc>
        <w:tc>
          <w:tcPr>
            <w:tcW w:w="850" w:type="dxa"/>
          </w:tcPr>
          <w:p w14:paraId="7265547F">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套</w:t>
            </w:r>
          </w:p>
        </w:tc>
        <w:tc>
          <w:tcPr>
            <w:tcW w:w="1443" w:type="dxa"/>
          </w:tcPr>
          <w:p w14:paraId="667DE1B2">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800" w:type="dxa"/>
            <w:vMerge w:val="continue"/>
            <w:vAlign w:val="center"/>
          </w:tcPr>
          <w:p w14:paraId="3A51D2F9">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812" w:type="dxa"/>
            <w:vMerge w:val="continue"/>
            <w:vAlign w:val="center"/>
          </w:tcPr>
          <w:p w14:paraId="412D5E9D">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6992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653" w:type="dxa"/>
            <w:vMerge w:val="continue"/>
            <w:vAlign w:val="center"/>
          </w:tcPr>
          <w:p w14:paraId="6A222522">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1049" w:type="dxa"/>
            <w:vMerge w:val="continue"/>
            <w:vAlign w:val="center"/>
          </w:tcPr>
          <w:p w14:paraId="5F83D262">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533" w:type="dxa"/>
          </w:tcPr>
          <w:p w14:paraId="67824662">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3219" w:type="dxa"/>
          </w:tcPr>
          <w:p w14:paraId="5BD564DC">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终端盒12路</w:t>
            </w:r>
          </w:p>
        </w:tc>
        <w:tc>
          <w:tcPr>
            <w:tcW w:w="850" w:type="dxa"/>
          </w:tcPr>
          <w:p w14:paraId="334F6F23">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套</w:t>
            </w:r>
          </w:p>
        </w:tc>
        <w:tc>
          <w:tcPr>
            <w:tcW w:w="1443" w:type="dxa"/>
          </w:tcPr>
          <w:p w14:paraId="11C1D9E0">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w:t>
            </w:r>
          </w:p>
        </w:tc>
        <w:tc>
          <w:tcPr>
            <w:tcW w:w="800" w:type="dxa"/>
            <w:vMerge w:val="continue"/>
            <w:vAlign w:val="center"/>
          </w:tcPr>
          <w:p w14:paraId="58A617F7">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812" w:type="dxa"/>
            <w:vMerge w:val="continue"/>
            <w:vAlign w:val="center"/>
          </w:tcPr>
          <w:p w14:paraId="523A26CA">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27401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653" w:type="dxa"/>
            <w:vMerge w:val="continue"/>
            <w:vAlign w:val="center"/>
          </w:tcPr>
          <w:p w14:paraId="5C2CE2FC">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1049" w:type="dxa"/>
            <w:vMerge w:val="continue"/>
            <w:vAlign w:val="center"/>
          </w:tcPr>
          <w:p w14:paraId="4BF96013">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533" w:type="dxa"/>
          </w:tcPr>
          <w:p w14:paraId="3400ECAB">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p>
        </w:tc>
        <w:tc>
          <w:tcPr>
            <w:tcW w:w="3219" w:type="dxa"/>
          </w:tcPr>
          <w:p w14:paraId="786A3B5C">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网线（超六类网线）</w:t>
            </w:r>
          </w:p>
        </w:tc>
        <w:tc>
          <w:tcPr>
            <w:tcW w:w="850" w:type="dxa"/>
          </w:tcPr>
          <w:p w14:paraId="01F84C43">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箱</w:t>
            </w:r>
          </w:p>
        </w:tc>
        <w:tc>
          <w:tcPr>
            <w:tcW w:w="1443" w:type="dxa"/>
          </w:tcPr>
          <w:p w14:paraId="7F4B351E">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45</w:t>
            </w:r>
          </w:p>
        </w:tc>
        <w:tc>
          <w:tcPr>
            <w:tcW w:w="800" w:type="dxa"/>
            <w:vMerge w:val="continue"/>
            <w:vAlign w:val="center"/>
          </w:tcPr>
          <w:p w14:paraId="5CDDA96B">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812" w:type="dxa"/>
            <w:vMerge w:val="continue"/>
            <w:vAlign w:val="center"/>
          </w:tcPr>
          <w:p w14:paraId="00E6D1C5">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58128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653" w:type="dxa"/>
            <w:vMerge w:val="continue"/>
            <w:vAlign w:val="center"/>
          </w:tcPr>
          <w:p w14:paraId="701A902B">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1049" w:type="dxa"/>
            <w:vMerge w:val="continue"/>
            <w:vAlign w:val="center"/>
          </w:tcPr>
          <w:p w14:paraId="5F12CB42">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533" w:type="dxa"/>
          </w:tcPr>
          <w:p w14:paraId="42A4ACBB">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p>
        </w:tc>
        <w:tc>
          <w:tcPr>
            <w:tcW w:w="3219" w:type="dxa"/>
          </w:tcPr>
          <w:p w14:paraId="7B460894">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水晶头（六类水晶头）</w:t>
            </w:r>
          </w:p>
        </w:tc>
        <w:tc>
          <w:tcPr>
            <w:tcW w:w="850" w:type="dxa"/>
          </w:tcPr>
          <w:p w14:paraId="67013E26">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盒</w:t>
            </w:r>
          </w:p>
        </w:tc>
        <w:tc>
          <w:tcPr>
            <w:tcW w:w="1443" w:type="dxa"/>
          </w:tcPr>
          <w:p w14:paraId="0573B450">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w:t>
            </w:r>
          </w:p>
        </w:tc>
        <w:tc>
          <w:tcPr>
            <w:tcW w:w="800" w:type="dxa"/>
            <w:vMerge w:val="continue"/>
            <w:vAlign w:val="center"/>
          </w:tcPr>
          <w:p w14:paraId="3FD9C964">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812" w:type="dxa"/>
            <w:vMerge w:val="continue"/>
            <w:vAlign w:val="center"/>
          </w:tcPr>
          <w:p w14:paraId="037E104B">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03C7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653" w:type="dxa"/>
            <w:vMerge w:val="continue"/>
            <w:vAlign w:val="center"/>
          </w:tcPr>
          <w:p w14:paraId="634F780F">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1049" w:type="dxa"/>
            <w:vMerge w:val="continue"/>
            <w:vAlign w:val="center"/>
          </w:tcPr>
          <w:p w14:paraId="1AB1AAE3">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533" w:type="dxa"/>
          </w:tcPr>
          <w:p w14:paraId="7D1CCE27">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w:t>
            </w:r>
          </w:p>
        </w:tc>
        <w:tc>
          <w:tcPr>
            <w:tcW w:w="3219" w:type="dxa"/>
          </w:tcPr>
          <w:p w14:paraId="71EE924C">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辅材</w:t>
            </w:r>
          </w:p>
        </w:tc>
        <w:tc>
          <w:tcPr>
            <w:tcW w:w="850" w:type="dxa"/>
          </w:tcPr>
          <w:p w14:paraId="75BC571E">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批</w:t>
            </w:r>
          </w:p>
        </w:tc>
        <w:tc>
          <w:tcPr>
            <w:tcW w:w="1443" w:type="dxa"/>
          </w:tcPr>
          <w:p w14:paraId="31543C06">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800" w:type="dxa"/>
            <w:vMerge w:val="continue"/>
            <w:vAlign w:val="center"/>
          </w:tcPr>
          <w:p w14:paraId="2CE4B269">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812" w:type="dxa"/>
            <w:vMerge w:val="continue"/>
            <w:vAlign w:val="center"/>
          </w:tcPr>
          <w:p w14:paraId="171FA572">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34AA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653" w:type="dxa"/>
            <w:vMerge w:val="continue"/>
            <w:vAlign w:val="center"/>
          </w:tcPr>
          <w:p w14:paraId="55789A81">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1049" w:type="dxa"/>
            <w:vMerge w:val="continue"/>
            <w:vAlign w:val="center"/>
          </w:tcPr>
          <w:p w14:paraId="2F7880B1">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533" w:type="dxa"/>
          </w:tcPr>
          <w:p w14:paraId="121E897A">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c>
          <w:tcPr>
            <w:tcW w:w="3219" w:type="dxa"/>
          </w:tcPr>
          <w:p w14:paraId="15D0802E">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布线水平施工（馈线施工）</w:t>
            </w:r>
            <w:r>
              <w:rPr>
                <w:rFonts w:hint="eastAsia" w:ascii="宋体" w:hAnsi="宋体" w:eastAsia="宋体" w:cs="宋体"/>
                <w:color w:val="000000" w:themeColor="text1"/>
                <w:sz w:val="21"/>
                <w:szCs w:val="21"/>
                <w14:textFill>
                  <w14:solidFill>
                    <w14:schemeClr w14:val="tx1"/>
                  </w14:solidFill>
                </w14:textFill>
              </w:rPr>
              <w:tab/>
            </w:r>
          </w:p>
        </w:tc>
        <w:tc>
          <w:tcPr>
            <w:tcW w:w="850" w:type="dxa"/>
          </w:tcPr>
          <w:p w14:paraId="4D0986E4">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点</w:t>
            </w:r>
          </w:p>
        </w:tc>
        <w:tc>
          <w:tcPr>
            <w:tcW w:w="1443" w:type="dxa"/>
          </w:tcPr>
          <w:p w14:paraId="7791D146">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424</w:t>
            </w:r>
          </w:p>
        </w:tc>
        <w:tc>
          <w:tcPr>
            <w:tcW w:w="800" w:type="dxa"/>
            <w:vMerge w:val="continue"/>
            <w:vAlign w:val="center"/>
          </w:tcPr>
          <w:p w14:paraId="6283D002">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812" w:type="dxa"/>
            <w:vMerge w:val="continue"/>
            <w:vAlign w:val="center"/>
          </w:tcPr>
          <w:p w14:paraId="2485C528">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1ACA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653" w:type="dxa"/>
            <w:vMerge w:val="continue"/>
            <w:vAlign w:val="center"/>
          </w:tcPr>
          <w:p w14:paraId="6A00A0F8">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1049" w:type="dxa"/>
            <w:vMerge w:val="continue"/>
            <w:vAlign w:val="center"/>
          </w:tcPr>
          <w:p w14:paraId="2D8DBC2E">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533" w:type="dxa"/>
          </w:tcPr>
          <w:p w14:paraId="654DF835">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w:t>
            </w:r>
          </w:p>
        </w:tc>
        <w:tc>
          <w:tcPr>
            <w:tcW w:w="3219" w:type="dxa"/>
          </w:tcPr>
          <w:p w14:paraId="325D81B0">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布线水平施工（网线施工）</w:t>
            </w:r>
          </w:p>
        </w:tc>
        <w:tc>
          <w:tcPr>
            <w:tcW w:w="850" w:type="dxa"/>
          </w:tcPr>
          <w:p w14:paraId="76D2CF7A">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米</w:t>
            </w:r>
          </w:p>
        </w:tc>
        <w:tc>
          <w:tcPr>
            <w:tcW w:w="1443" w:type="dxa"/>
          </w:tcPr>
          <w:p w14:paraId="5E0AD652">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13500</w:t>
            </w:r>
          </w:p>
        </w:tc>
        <w:tc>
          <w:tcPr>
            <w:tcW w:w="800" w:type="dxa"/>
            <w:vMerge w:val="continue"/>
            <w:vAlign w:val="center"/>
          </w:tcPr>
          <w:p w14:paraId="024196F6">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812" w:type="dxa"/>
            <w:vMerge w:val="continue"/>
            <w:vAlign w:val="center"/>
          </w:tcPr>
          <w:p w14:paraId="40949394">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1D30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653" w:type="dxa"/>
            <w:vMerge w:val="continue"/>
            <w:vAlign w:val="center"/>
          </w:tcPr>
          <w:p w14:paraId="6086DBEE">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1049" w:type="dxa"/>
            <w:vMerge w:val="continue"/>
            <w:vAlign w:val="center"/>
          </w:tcPr>
          <w:p w14:paraId="4AD7E98F">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533" w:type="dxa"/>
          </w:tcPr>
          <w:p w14:paraId="5009647B">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w:t>
            </w:r>
          </w:p>
        </w:tc>
        <w:tc>
          <w:tcPr>
            <w:tcW w:w="3219" w:type="dxa"/>
          </w:tcPr>
          <w:p w14:paraId="41AA5676">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AP吸顶安装（AP）</w:t>
            </w:r>
          </w:p>
        </w:tc>
        <w:tc>
          <w:tcPr>
            <w:tcW w:w="850" w:type="dxa"/>
          </w:tcPr>
          <w:p w14:paraId="183BE634">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台</w:t>
            </w:r>
          </w:p>
        </w:tc>
        <w:tc>
          <w:tcPr>
            <w:tcW w:w="1443" w:type="dxa"/>
          </w:tcPr>
          <w:p w14:paraId="7E5684B6">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191</w:t>
            </w:r>
          </w:p>
        </w:tc>
        <w:tc>
          <w:tcPr>
            <w:tcW w:w="800" w:type="dxa"/>
            <w:vMerge w:val="continue"/>
            <w:vAlign w:val="center"/>
          </w:tcPr>
          <w:p w14:paraId="69B272B7">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812" w:type="dxa"/>
            <w:vMerge w:val="continue"/>
            <w:vAlign w:val="center"/>
          </w:tcPr>
          <w:p w14:paraId="60FC9983">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61B7A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653" w:type="dxa"/>
            <w:vMerge w:val="continue"/>
            <w:vAlign w:val="center"/>
          </w:tcPr>
          <w:p w14:paraId="292865B1">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1049" w:type="dxa"/>
            <w:vMerge w:val="continue"/>
            <w:vAlign w:val="center"/>
          </w:tcPr>
          <w:p w14:paraId="4BB6F7AC">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533" w:type="dxa"/>
          </w:tcPr>
          <w:p w14:paraId="29C070DD">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w:t>
            </w:r>
          </w:p>
        </w:tc>
        <w:tc>
          <w:tcPr>
            <w:tcW w:w="3219" w:type="dxa"/>
          </w:tcPr>
          <w:p w14:paraId="3F54C6FB">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AP吸顶安装</w:t>
            </w:r>
          </w:p>
        </w:tc>
        <w:tc>
          <w:tcPr>
            <w:tcW w:w="850" w:type="dxa"/>
          </w:tcPr>
          <w:p w14:paraId="5466BA58">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台</w:t>
            </w:r>
          </w:p>
        </w:tc>
        <w:tc>
          <w:tcPr>
            <w:tcW w:w="1443" w:type="dxa"/>
          </w:tcPr>
          <w:p w14:paraId="6C120B72">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58</w:t>
            </w:r>
          </w:p>
        </w:tc>
        <w:tc>
          <w:tcPr>
            <w:tcW w:w="800" w:type="dxa"/>
            <w:vMerge w:val="continue"/>
            <w:vAlign w:val="center"/>
          </w:tcPr>
          <w:p w14:paraId="29CFC25F">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812" w:type="dxa"/>
            <w:vMerge w:val="continue"/>
            <w:vAlign w:val="center"/>
          </w:tcPr>
          <w:p w14:paraId="3E15F826">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59C14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653" w:type="dxa"/>
            <w:vMerge w:val="continue"/>
            <w:vAlign w:val="center"/>
          </w:tcPr>
          <w:p w14:paraId="5C9F5536">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1049" w:type="dxa"/>
            <w:vMerge w:val="continue"/>
            <w:vAlign w:val="center"/>
          </w:tcPr>
          <w:p w14:paraId="228196CC">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533" w:type="dxa"/>
          </w:tcPr>
          <w:p w14:paraId="49BF2791">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w:t>
            </w:r>
          </w:p>
        </w:tc>
        <w:tc>
          <w:tcPr>
            <w:tcW w:w="3219" w:type="dxa"/>
          </w:tcPr>
          <w:p w14:paraId="18A56E21">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天线安装</w:t>
            </w:r>
          </w:p>
        </w:tc>
        <w:tc>
          <w:tcPr>
            <w:tcW w:w="850" w:type="dxa"/>
          </w:tcPr>
          <w:p w14:paraId="65FFDD9B">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个</w:t>
            </w:r>
          </w:p>
        </w:tc>
        <w:tc>
          <w:tcPr>
            <w:tcW w:w="1443" w:type="dxa"/>
          </w:tcPr>
          <w:p w14:paraId="0216F296">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366</w:t>
            </w:r>
          </w:p>
        </w:tc>
        <w:tc>
          <w:tcPr>
            <w:tcW w:w="800" w:type="dxa"/>
            <w:vMerge w:val="continue"/>
            <w:vAlign w:val="center"/>
          </w:tcPr>
          <w:p w14:paraId="47235C5D">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812" w:type="dxa"/>
            <w:vMerge w:val="continue"/>
            <w:vAlign w:val="center"/>
          </w:tcPr>
          <w:p w14:paraId="3D2B26BB">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69E66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653" w:type="dxa"/>
            <w:vMerge w:val="continue"/>
            <w:vAlign w:val="center"/>
          </w:tcPr>
          <w:p w14:paraId="28EACF92">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1049" w:type="dxa"/>
            <w:vMerge w:val="continue"/>
            <w:vAlign w:val="center"/>
          </w:tcPr>
          <w:p w14:paraId="2408FCC9">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533" w:type="dxa"/>
          </w:tcPr>
          <w:p w14:paraId="6E62FB3D">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w:t>
            </w:r>
          </w:p>
        </w:tc>
        <w:tc>
          <w:tcPr>
            <w:tcW w:w="3219" w:type="dxa"/>
          </w:tcPr>
          <w:p w14:paraId="39E3EF76">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室内光纤放线</w:t>
            </w:r>
          </w:p>
        </w:tc>
        <w:tc>
          <w:tcPr>
            <w:tcW w:w="850" w:type="dxa"/>
          </w:tcPr>
          <w:p w14:paraId="116DE1BB">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米</w:t>
            </w:r>
          </w:p>
        </w:tc>
        <w:tc>
          <w:tcPr>
            <w:tcW w:w="1443" w:type="dxa"/>
          </w:tcPr>
          <w:p w14:paraId="6FA76269">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800</w:t>
            </w:r>
          </w:p>
        </w:tc>
        <w:tc>
          <w:tcPr>
            <w:tcW w:w="800" w:type="dxa"/>
            <w:vMerge w:val="continue"/>
            <w:vAlign w:val="center"/>
          </w:tcPr>
          <w:p w14:paraId="7110DA9D">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812" w:type="dxa"/>
            <w:vMerge w:val="continue"/>
            <w:vAlign w:val="center"/>
          </w:tcPr>
          <w:p w14:paraId="74B029B3">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629A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653" w:type="dxa"/>
            <w:vMerge w:val="continue"/>
            <w:vAlign w:val="center"/>
          </w:tcPr>
          <w:p w14:paraId="06F059F8">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1049" w:type="dxa"/>
            <w:vMerge w:val="continue"/>
            <w:vAlign w:val="center"/>
          </w:tcPr>
          <w:p w14:paraId="4BAD6EA7">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533" w:type="dxa"/>
          </w:tcPr>
          <w:p w14:paraId="7A17A921">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w:t>
            </w:r>
          </w:p>
        </w:tc>
        <w:tc>
          <w:tcPr>
            <w:tcW w:w="3219" w:type="dxa"/>
          </w:tcPr>
          <w:p w14:paraId="4AF0B151">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室内光纤熔接</w:t>
            </w:r>
          </w:p>
        </w:tc>
        <w:tc>
          <w:tcPr>
            <w:tcW w:w="850" w:type="dxa"/>
          </w:tcPr>
          <w:p w14:paraId="3C209256">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芯</w:t>
            </w:r>
          </w:p>
        </w:tc>
        <w:tc>
          <w:tcPr>
            <w:tcW w:w="1443" w:type="dxa"/>
          </w:tcPr>
          <w:p w14:paraId="1767DF4B">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624</w:t>
            </w:r>
          </w:p>
        </w:tc>
        <w:tc>
          <w:tcPr>
            <w:tcW w:w="800" w:type="dxa"/>
            <w:vMerge w:val="continue"/>
            <w:vAlign w:val="center"/>
          </w:tcPr>
          <w:p w14:paraId="766CD178">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812" w:type="dxa"/>
            <w:vMerge w:val="continue"/>
            <w:vAlign w:val="center"/>
          </w:tcPr>
          <w:p w14:paraId="37EC04E3">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7F12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653" w:type="dxa"/>
            <w:vMerge w:val="continue"/>
            <w:vAlign w:val="center"/>
          </w:tcPr>
          <w:p w14:paraId="26E760E0">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1049" w:type="dxa"/>
            <w:vMerge w:val="continue"/>
            <w:vAlign w:val="center"/>
          </w:tcPr>
          <w:p w14:paraId="672C4FD6">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533" w:type="dxa"/>
          </w:tcPr>
          <w:p w14:paraId="78E45AF6">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w:t>
            </w:r>
          </w:p>
        </w:tc>
        <w:tc>
          <w:tcPr>
            <w:tcW w:w="3219" w:type="dxa"/>
          </w:tcPr>
          <w:p w14:paraId="20E4FBD5">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端接（数据点）</w:t>
            </w:r>
          </w:p>
        </w:tc>
        <w:tc>
          <w:tcPr>
            <w:tcW w:w="850" w:type="dxa"/>
          </w:tcPr>
          <w:p w14:paraId="5E0F0AC6">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点</w:t>
            </w:r>
          </w:p>
        </w:tc>
        <w:tc>
          <w:tcPr>
            <w:tcW w:w="1443" w:type="dxa"/>
          </w:tcPr>
          <w:p w14:paraId="245C45C9">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250</w:t>
            </w:r>
          </w:p>
        </w:tc>
        <w:tc>
          <w:tcPr>
            <w:tcW w:w="800" w:type="dxa"/>
            <w:vMerge w:val="continue"/>
            <w:vAlign w:val="center"/>
          </w:tcPr>
          <w:p w14:paraId="6977A9C2">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812" w:type="dxa"/>
            <w:vMerge w:val="continue"/>
            <w:vAlign w:val="center"/>
          </w:tcPr>
          <w:p w14:paraId="2EC83D7E">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2622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653" w:type="dxa"/>
            <w:vMerge w:val="continue"/>
            <w:vAlign w:val="center"/>
          </w:tcPr>
          <w:p w14:paraId="5967CD76">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1049" w:type="dxa"/>
            <w:vMerge w:val="continue"/>
            <w:vAlign w:val="center"/>
          </w:tcPr>
          <w:p w14:paraId="67E79F6E">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533" w:type="dxa"/>
          </w:tcPr>
          <w:p w14:paraId="195F1AAE">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w:t>
            </w:r>
          </w:p>
        </w:tc>
        <w:tc>
          <w:tcPr>
            <w:tcW w:w="3219" w:type="dxa"/>
          </w:tcPr>
          <w:p w14:paraId="5495A6F0">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接机柜（数据点）</w:t>
            </w:r>
          </w:p>
        </w:tc>
        <w:tc>
          <w:tcPr>
            <w:tcW w:w="850" w:type="dxa"/>
          </w:tcPr>
          <w:p w14:paraId="4EB335F0">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点</w:t>
            </w:r>
          </w:p>
        </w:tc>
        <w:tc>
          <w:tcPr>
            <w:tcW w:w="1443" w:type="dxa"/>
          </w:tcPr>
          <w:p w14:paraId="20D66759">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250</w:t>
            </w:r>
          </w:p>
        </w:tc>
        <w:tc>
          <w:tcPr>
            <w:tcW w:w="800" w:type="dxa"/>
            <w:vMerge w:val="continue"/>
            <w:vAlign w:val="center"/>
          </w:tcPr>
          <w:p w14:paraId="50DC14E3">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812" w:type="dxa"/>
            <w:vMerge w:val="continue"/>
            <w:vAlign w:val="center"/>
          </w:tcPr>
          <w:p w14:paraId="77B5F455">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2C8CD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653" w:type="dxa"/>
            <w:vMerge w:val="continue"/>
            <w:vAlign w:val="center"/>
          </w:tcPr>
          <w:p w14:paraId="24F7AA20">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1049" w:type="dxa"/>
            <w:vMerge w:val="continue"/>
            <w:vAlign w:val="center"/>
          </w:tcPr>
          <w:p w14:paraId="5656E8C5">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533" w:type="dxa"/>
          </w:tcPr>
          <w:p w14:paraId="4B31E1EF">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19</w:t>
            </w:r>
          </w:p>
        </w:tc>
        <w:tc>
          <w:tcPr>
            <w:tcW w:w="3219" w:type="dxa"/>
          </w:tcPr>
          <w:p w14:paraId="0C9B414A">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测线（数据点）</w:t>
            </w:r>
          </w:p>
        </w:tc>
        <w:tc>
          <w:tcPr>
            <w:tcW w:w="850" w:type="dxa"/>
          </w:tcPr>
          <w:p w14:paraId="2BEB9BDE">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条</w:t>
            </w:r>
          </w:p>
        </w:tc>
        <w:tc>
          <w:tcPr>
            <w:tcW w:w="1443" w:type="dxa"/>
          </w:tcPr>
          <w:p w14:paraId="749F798A">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250</w:t>
            </w:r>
          </w:p>
        </w:tc>
        <w:tc>
          <w:tcPr>
            <w:tcW w:w="800" w:type="dxa"/>
            <w:vMerge w:val="continue"/>
            <w:vAlign w:val="center"/>
          </w:tcPr>
          <w:p w14:paraId="43684D61">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812" w:type="dxa"/>
            <w:vMerge w:val="continue"/>
            <w:vAlign w:val="center"/>
          </w:tcPr>
          <w:p w14:paraId="0B933A87">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2D280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653" w:type="dxa"/>
            <w:vMerge w:val="continue"/>
            <w:vAlign w:val="center"/>
          </w:tcPr>
          <w:p w14:paraId="2E514EA9">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1049" w:type="dxa"/>
            <w:vMerge w:val="continue"/>
            <w:vAlign w:val="center"/>
          </w:tcPr>
          <w:p w14:paraId="65E2ABE7">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533" w:type="dxa"/>
          </w:tcPr>
          <w:p w14:paraId="1AAD5469">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w:t>
            </w:r>
          </w:p>
        </w:tc>
        <w:tc>
          <w:tcPr>
            <w:tcW w:w="3219" w:type="dxa"/>
          </w:tcPr>
          <w:p w14:paraId="003C6672">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光纤测线</w:t>
            </w:r>
            <w:r>
              <w:rPr>
                <w:rFonts w:hint="eastAsia" w:ascii="宋体" w:hAnsi="宋体" w:eastAsia="宋体" w:cs="宋体"/>
                <w:color w:val="000000" w:themeColor="text1"/>
                <w:sz w:val="21"/>
                <w:szCs w:val="21"/>
                <w14:textFill>
                  <w14:solidFill>
                    <w14:schemeClr w14:val="tx1"/>
                  </w14:solidFill>
                </w14:textFill>
              </w:rPr>
              <w:tab/>
            </w:r>
          </w:p>
        </w:tc>
        <w:tc>
          <w:tcPr>
            <w:tcW w:w="850" w:type="dxa"/>
          </w:tcPr>
          <w:p w14:paraId="52DFA784">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芯</w:t>
            </w:r>
          </w:p>
        </w:tc>
        <w:tc>
          <w:tcPr>
            <w:tcW w:w="1443" w:type="dxa"/>
          </w:tcPr>
          <w:p w14:paraId="7F9406DE">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312</w:t>
            </w:r>
          </w:p>
        </w:tc>
        <w:tc>
          <w:tcPr>
            <w:tcW w:w="800" w:type="dxa"/>
            <w:vMerge w:val="continue"/>
            <w:vAlign w:val="center"/>
          </w:tcPr>
          <w:p w14:paraId="2E928092">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812" w:type="dxa"/>
            <w:vMerge w:val="continue"/>
            <w:vAlign w:val="center"/>
          </w:tcPr>
          <w:p w14:paraId="1E40F4BB">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3C483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653" w:type="dxa"/>
            <w:vMerge w:val="continue"/>
            <w:vAlign w:val="center"/>
          </w:tcPr>
          <w:p w14:paraId="5EB9D023">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1049" w:type="dxa"/>
            <w:vMerge w:val="continue"/>
            <w:vAlign w:val="center"/>
          </w:tcPr>
          <w:p w14:paraId="34E7D504">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533" w:type="dxa"/>
          </w:tcPr>
          <w:p w14:paraId="416F43E9">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w:t>
            </w:r>
          </w:p>
        </w:tc>
        <w:tc>
          <w:tcPr>
            <w:tcW w:w="3219" w:type="dxa"/>
          </w:tcPr>
          <w:p w14:paraId="683856FC">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ODF架安装</w:t>
            </w:r>
            <w:r>
              <w:rPr>
                <w:rFonts w:hint="eastAsia" w:ascii="宋体" w:hAnsi="宋体" w:eastAsia="宋体" w:cs="宋体"/>
                <w:color w:val="000000" w:themeColor="text1"/>
                <w:sz w:val="21"/>
                <w:szCs w:val="21"/>
                <w14:textFill>
                  <w14:solidFill>
                    <w14:schemeClr w14:val="tx1"/>
                  </w14:solidFill>
                </w14:textFill>
              </w:rPr>
              <w:tab/>
            </w:r>
          </w:p>
        </w:tc>
        <w:tc>
          <w:tcPr>
            <w:tcW w:w="850" w:type="dxa"/>
          </w:tcPr>
          <w:p w14:paraId="08BE66E7">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台</w:t>
            </w:r>
          </w:p>
        </w:tc>
        <w:tc>
          <w:tcPr>
            <w:tcW w:w="1443" w:type="dxa"/>
          </w:tcPr>
          <w:p w14:paraId="3E97C078">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800" w:type="dxa"/>
            <w:vMerge w:val="continue"/>
            <w:vAlign w:val="center"/>
          </w:tcPr>
          <w:p w14:paraId="188E4C91">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812" w:type="dxa"/>
            <w:vMerge w:val="continue"/>
            <w:vAlign w:val="center"/>
          </w:tcPr>
          <w:p w14:paraId="2E959E00">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31C4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653" w:type="dxa"/>
            <w:vMerge w:val="continue"/>
            <w:vAlign w:val="center"/>
          </w:tcPr>
          <w:p w14:paraId="291C4D31">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1049" w:type="dxa"/>
            <w:vMerge w:val="continue"/>
            <w:vAlign w:val="center"/>
          </w:tcPr>
          <w:p w14:paraId="60B288AC">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533" w:type="dxa"/>
          </w:tcPr>
          <w:p w14:paraId="73E44E70">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w:t>
            </w:r>
          </w:p>
        </w:tc>
        <w:tc>
          <w:tcPr>
            <w:tcW w:w="3219" w:type="dxa"/>
          </w:tcPr>
          <w:p w14:paraId="3254F630">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交换机安装</w:t>
            </w:r>
            <w:r>
              <w:rPr>
                <w:rFonts w:hint="eastAsia" w:ascii="宋体" w:hAnsi="宋体" w:eastAsia="宋体" w:cs="宋体"/>
                <w:color w:val="000000" w:themeColor="text1"/>
                <w:sz w:val="21"/>
                <w:szCs w:val="21"/>
                <w14:textFill>
                  <w14:solidFill>
                    <w14:schemeClr w14:val="tx1"/>
                  </w14:solidFill>
                </w14:textFill>
              </w:rPr>
              <w:tab/>
            </w:r>
          </w:p>
        </w:tc>
        <w:tc>
          <w:tcPr>
            <w:tcW w:w="850" w:type="dxa"/>
          </w:tcPr>
          <w:p w14:paraId="762E8FBE">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台</w:t>
            </w:r>
          </w:p>
        </w:tc>
        <w:tc>
          <w:tcPr>
            <w:tcW w:w="1443" w:type="dxa"/>
          </w:tcPr>
          <w:p w14:paraId="0060B29C">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w:t>
            </w:r>
          </w:p>
        </w:tc>
        <w:tc>
          <w:tcPr>
            <w:tcW w:w="800" w:type="dxa"/>
            <w:vMerge w:val="continue"/>
            <w:vAlign w:val="center"/>
          </w:tcPr>
          <w:p w14:paraId="7F27A762">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812" w:type="dxa"/>
            <w:vMerge w:val="continue"/>
            <w:vAlign w:val="center"/>
          </w:tcPr>
          <w:p w14:paraId="7CFA9A3A">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5066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653" w:type="dxa"/>
            <w:vMerge w:val="continue"/>
            <w:vAlign w:val="center"/>
          </w:tcPr>
          <w:p w14:paraId="6A5EF98E">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1049" w:type="dxa"/>
            <w:vMerge w:val="continue"/>
            <w:vAlign w:val="center"/>
          </w:tcPr>
          <w:p w14:paraId="61DA5C35">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533" w:type="dxa"/>
          </w:tcPr>
          <w:p w14:paraId="30BA0725">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w:t>
            </w:r>
          </w:p>
        </w:tc>
        <w:tc>
          <w:tcPr>
            <w:tcW w:w="3219" w:type="dxa"/>
          </w:tcPr>
          <w:p w14:paraId="46539020">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机柜线缆梳理</w:t>
            </w:r>
          </w:p>
        </w:tc>
        <w:tc>
          <w:tcPr>
            <w:tcW w:w="850" w:type="dxa"/>
          </w:tcPr>
          <w:p w14:paraId="22AD9368">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个</w:t>
            </w:r>
          </w:p>
        </w:tc>
        <w:tc>
          <w:tcPr>
            <w:tcW w:w="1443" w:type="dxa"/>
          </w:tcPr>
          <w:p w14:paraId="0B5BC989">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c>
          <w:tcPr>
            <w:tcW w:w="800" w:type="dxa"/>
            <w:vMerge w:val="continue"/>
            <w:vAlign w:val="center"/>
          </w:tcPr>
          <w:p w14:paraId="7EA225F6">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812" w:type="dxa"/>
            <w:vMerge w:val="continue"/>
            <w:vAlign w:val="center"/>
          </w:tcPr>
          <w:p w14:paraId="6FE0DD4D">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6772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18B3D8A1">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19</w:t>
            </w:r>
          </w:p>
        </w:tc>
        <w:tc>
          <w:tcPr>
            <w:tcW w:w="1049" w:type="dxa"/>
            <w:vAlign w:val="center"/>
          </w:tcPr>
          <w:p w14:paraId="1D033198">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AP设备安装</w:t>
            </w:r>
          </w:p>
        </w:tc>
        <w:tc>
          <w:tcPr>
            <w:tcW w:w="6045" w:type="dxa"/>
            <w:gridSpan w:val="4"/>
            <w:noWrap/>
            <w:vAlign w:val="center"/>
          </w:tcPr>
          <w:p w14:paraId="0938C06D">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中心单元、分布式射频单元、AP安装调试</w:t>
            </w:r>
          </w:p>
        </w:tc>
        <w:tc>
          <w:tcPr>
            <w:tcW w:w="800" w:type="dxa"/>
            <w:noWrap/>
            <w:vAlign w:val="center"/>
          </w:tcPr>
          <w:p w14:paraId="23CF4B60">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249</w:t>
            </w:r>
          </w:p>
        </w:tc>
        <w:tc>
          <w:tcPr>
            <w:tcW w:w="812" w:type="dxa"/>
            <w:vAlign w:val="center"/>
          </w:tcPr>
          <w:p w14:paraId="4D5BDD5B">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台</w:t>
            </w:r>
          </w:p>
        </w:tc>
      </w:tr>
      <w:tr w14:paraId="653E3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78BCE230">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w:t>
            </w:r>
          </w:p>
        </w:tc>
        <w:tc>
          <w:tcPr>
            <w:tcW w:w="1049" w:type="dxa"/>
            <w:vAlign w:val="center"/>
          </w:tcPr>
          <w:p w14:paraId="2E55E095">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馈线安装</w:t>
            </w:r>
          </w:p>
        </w:tc>
        <w:tc>
          <w:tcPr>
            <w:tcW w:w="6045" w:type="dxa"/>
            <w:gridSpan w:val="4"/>
            <w:noWrap/>
            <w:vAlign w:val="center"/>
          </w:tcPr>
          <w:p w14:paraId="442AF3E1">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单、双轨射频线缆安装</w:t>
            </w:r>
          </w:p>
        </w:tc>
        <w:tc>
          <w:tcPr>
            <w:tcW w:w="800" w:type="dxa"/>
            <w:noWrap/>
            <w:vAlign w:val="center"/>
          </w:tcPr>
          <w:p w14:paraId="5E1345C8">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790</w:t>
            </w:r>
          </w:p>
        </w:tc>
        <w:tc>
          <w:tcPr>
            <w:tcW w:w="812" w:type="dxa"/>
            <w:vAlign w:val="center"/>
          </w:tcPr>
          <w:p w14:paraId="251954BB">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条</w:t>
            </w:r>
          </w:p>
        </w:tc>
      </w:tr>
      <w:tr w14:paraId="4192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53" w:type="dxa"/>
            <w:vAlign w:val="center"/>
          </w:tcPr>
          <w:p w14:paraId="4779B490">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w:t>
            </w:r>
          </w:p>
        </w:tc>
        <w:tc>
          <w:tcPr>
            <w:tcW w:w="1049" w:type="dxa"/>
            <w:vAlign w:val="center"/>
          </w:tcPr>
          <w:p w14:paraId="24AE29AB">
            <w:pPr>
              <w:spacing w:line="36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技术服</w:t>
            </w:r>
            <w:r>
              <w:rPr>
                <w:rFonts w:hint="eastAsia" w:ascii="宋体" w:hAnsi="宋体" w:cs="宋体"/>
                <w:color w:val="000000" w:themeColor="text1"/>
                <w:sz w:val="21"/>
                <w:szCs w:val="21"/>
                <w:lang w:val="en-US" w:eastAsia="zh-CN"/>
                <w14:textFill>
                  <w14:solidFill>
                    <w14:schemeClr w14:val="tx1"/>
                  </w14:solidFill>
                </w14:textFill>
              </w:rPr>
              <w:t>务</w:t>
            </w:r>
          </w:p>
        </w:tc>
        <w:tc>
          <w:tcPr>
            <w:tcW w:w="6045" w:type="dxa"/>
            <w:gridSpan w:val="4"/>
            <w:noWrap/>
            <w:vAlign w:val="center"/>
          </w:tcPr>
          <w:p w14:paraId="7993220D">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总体无线调试</w:t>
            </w:r>
          </w:p>
        </w:tc>
        <w:tc>
          <w:tcPr>
            <w:tcW w:w="800" w:type="dxa"/>
            <w:noWrap/>
            <w:vAlign w:val="center"/>
          </w:tcPr>
          <w:p w14:paraId="5321C092">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812" w:type="dxa"/>
            <w:vAlign w:val="center"/>
          </w:tcPr>
          <w:p w14:paraId="748C8F25">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w:t>
            </w:r>
          </w:p>
        </w:tc>
      </w:tr>
      <w:tr w14:paraId="4FF8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36864D6A">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w:t>
            </w:r>
          </w:p>
        </w:tc>
        <w:tc>
          <w:tcPr>
            <w:tcW w:w="1049" w:type="dxa"/>
            <w:vAlign w:val="center"/>
          </w:tcPr>
          <w:p w14:paraId="4F2F7DA4">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利旧服务</w:t>
            </w:r>
          </w:p>
        </w:tc>
        <w:tc>
          <w:tcPr>
            <w:tcW w:w="6045" w:type="dxa"/>
            <w:gridSpan w:val="4"/>
            <w:vAlign w:val="center"/>
          </w:tcPr>
          <w:p w14:paraId="111F254C">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拆除的旧的网络设备（约300个）须用于完善和优化其他楼的无线网络</w:t>
            </w:r>
          </w:p>
        </w:tc>
        <w:tc>
          <w:tcPr>
            <w:tcW w:w="800" w:type="dxa"/>
            <w:vAlign w:val="center"/>
          </w:tcPr>
          <w:p w14:paraId="6C0A75A1">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812" w:type="dxa"/>
            <w:vAlign w:val="center"/>
          </w:tcPr>
          <w:p w14:paraId="5130E519">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w:t>
            </w:r>
          </w:p>
        </w:tc>
      </w:tr>
      <w:bookmarkEnd w:id="86"/>
    </w:tbl>
    <w:p w14:paraId="4AEDC022">
      <w:pPr>
        <w:widowControl/>
        <w:spacing w:line="400" w:lineRule="exact"/>
        <w:ind w:left="3780"/>
        <w:jc w:val="center"/>
        <w:outlineLvl w:val="0"/>
        <w:rPr>
          <w:rFonts w:ascii="仿宋" w:hAnsi="仿宋" w:eastAsia="仿宋" w:cs="仿宋"/>
          <w:b/>
          <w:color w:val="000000" w:themeColor="text1"/>
          <w:sz w:val="24"/>
          <w:szCs w:val="21"/>
          <w14:textFill>
            <w14:solidFill>
              <w14:schemeClr w14:val="tx1"/>
            </w14:solidFill>
          </w14:textFill>
        </w:rPr>
      </w:pPr>
    </w:p>
    <w:p w14:paraId="04F6DD62">
      <w:pPr>
        <w:pStyle w:val="2"/>
        <w:rPr>
          <w:rFonts w:ascii="仿宋" w:hAnsi="仿宋" w:eastAsia="仿宋" w:cs="仿宋"/>
          <w:b/>
          <w:color w:val="000000" w:themeColor="text1"/>
          <w:sz w:val="24"/>
          <w:szCs w:val="21"/>
          <w14:textFill>
            <w14:solidFill>
              <w14:schemeClr w14:val="tx1"/>
            </w14:solidFill>
          </w14:textFill>
        </w:rPr>
      </w:pPr>
    </w:p>
    <w:p w14:paraId="4C1BCF17">
      <w:pPr>
        <w:pStyle w:val="51"/>
        <w:rPr>
          <w:rFonts w:ascii="仿宋" w:hAnsi="仿宋" w:eastAsia="仿宋" w:cs="仿宋"/>
          <w:b/>
          <w:color w:val="000000" w:themeColor="text1"/>
          <w:sz w:val="24"/>
          <w:szCs w:val="21"/>
          <w14:textFill>
            <w14:solidFill>
              <w14:schemeClr w14:val="tx1"/>
            </w14:solidFill>
          </w14:textFill>
        </w:rPr>
      </w:pPr>
    </w:p>
    <w:p w14:paraId="2F17B6F5">
      <w:pPr>
        <w:rPr>
          <w:rFonts w:ascii="仿宋" w:hAnsi="仿宋" w:eastAsia="仿宋" w:cs="仿宋"/>
          <w:b/>
          <w:color w:val="000000" w:themeColor="text1"/>
          <w:sz w:val="24"/>
          <w:szCs w:val="21"/>
          <w14:textFill>
            <w14:solidFill>
              <w14:schemeClr w14:val="tx1"/>
            </w14:solidFill>
          </w14:textFill>
        </w:rPr>
      </w:pPr>
    </w:p>
    <w:p w14:paraId="560767A6">
      <w:pPr>
        <w:pStyle w:val="2"/>
        <w:rPr>
          <w:rFonts w:ascii="仿宋" w:hAnsi="仿宋" w:eastAsia="仿宋" w:cs="仿宋"/>
          <w:b/>
          <w:color w:val="000000" w:themeColor="text1"/>
          <w:sz w:val="24"/>
          <w:szCs w:val="21"/>
          <w14:textFill>
            <w14:solidFill>
              <w14:schemeClr w14:val="tx1"/>
            </w14:solidFill>
          </w14:textFill>
        </w:rPr>
      </w:pPr>
    </w:p>
    <w:p w14:paraId="5BACF8C0">
      <w:pPr>
        <w:pStyle w:val="40"/>
        <w:rPr>
          <w:rFonts w:ascii="仿宋" w:hAnsi="仿宋" w:eastAsia="仿宋" w:cs="仿宋"/>
          <w:b/>
          <w:color w:val="000000" w:themeColor="text1"/>
          <w:sz w:val="24"/>
          <w:szCs w:val="21"/>
          <w14:textFill>
            <w14:solidFill>
              <w14:schemeClr w14:val="tx1"/>
            </w14:solidFill>
          </w14:textFill>
        </w:rPr>
      </w:pPr>
    </w:p>
    <w:p w14:paraId="32AEB498">
      <w:pPr>
        <w:rPr>
          <w:rFonts w:ascii="仿宋" w:hAnsi="仿宋" w:eastAsia="仿宋" w:cs="仿宋"/>
          <w:b/>
          <w:color w:val="000000" w:themeColor="text1"/>
          <w:sz w:val="24"/>
          <w:szCs w:val="21"/>
          <w14:textFill>
            <w14:solidFill>
              <w14:schemeClr w14:val="tx1"/>
            </w14:solidFill>
          </w14:textFill>
        </w:rPr>
      </w:pPr>
    </w:p>
    <w:p w14:paraId="001A5B8F">
      <w:pPr>
        <w:pStyle w:val="2"/>
        <w:rPr>
          <w:rFonts w:ascii="仿宋" w:hAnsi="仿宋" w:eastAsia="仿宋" w:cs="仿宋"/>
          <w:b/>
          <w:color w:val="000000" w:themeColor="text1"/>
          <w:sz w:val="24"/>
          <w:szCs w:val="21"/>
          <w14:textFill>
            <w14:solidFill>
              <w14:schemeClr w14:val="tx1"/>
            </w14:solidFill>
          </w14:textFill>
        </w:rPr>
      </w:pPr>
    </w:p>
    <w:p w14:paraId="20E5E116">
      <w:pPr>
        <w:widowControl/>
        <w:numPr>
          <w:ilvl w:val="0"/>
          <w:numId w:val="2"/>
        </w:numPr>
        <w:spacing w:line="400" w:lineRule="exact"/>
        <w:ind w:left="0"/>
        <w:jc w:val="center"/>
        <w:outlineLvl w:val="0"/>
        <w:rPr>
          <w:rFonts w:hint="eastAsia" w:asciiTheme="majorEastAsia" w:hAnsiTheme="majorEastAsia" w:eastAsiaTheme="majorEastAsia" w:cstheme="majorEastAsia"/>
          <w:b/>
          <w:color w:val="000000" w:themeColor="text1"/>
          <w:sz w:val="24"/>
          <w:szCs w:val="21"/>
          <w14:textFill>
            <w14:solidFill>
              <w14:schemeClr w14:val="tx1"/>
            </w14:solidFill>
          </w14:textFill>
        </w:rPr>
      </w:pPr>
      <w:r>
        <w:rPr>
          <w:rFonts w:hint="eastAsia" w:asciiTheme="majorEastAsia" w:hAnsiTheme="majorEastAsia" w:eastAsiaTheme="majorEastAsia" w:cstheme="majorEastAsia"/>
          <w:b/>
          <w:color w:val="000000" w:themeColor="text1"/>
          <w:sz w:val="24"/>
          <w:szCs w:val="21"/>
          <w14:textFill>
            <w14:solidFill>
              <w14:schemeClr w14:val="tx1"/>
            </w14:solidFill>
          </w14:textFill>
        </w:rPr>
        <w:t>合同条款</w:t>
      </w:r>
      <w:bookmarkEnd w:id="79"/>
    </w:p>
    <w:p w14:paraId="31BDDB2A">
      <w:pPr>
        <w:pStyle w:val="3"/>
        <w:ind w:left="0" w:firstLine="0"/>
        <w:jc w:val="center"/>
        <w:rPr>
          <w:rFonts w:ascii="宋体" w:hAnsi="宋体"/>
          <w:color w:val="000000" w:themeColor="text1"/>
          <w14:textFill>
            <w14:solidFill>
              <w14:schemeClr w14:val="tx1"/>
            </w14:solidFill>
          </w14:textFill>
        </w:rPr>
      </w:pPr>
      <w:bookmarkStart w:id="88" w:name="_Toc25056"/>
    </w:p>
    <w:p w14:paraId="2AC3D18C">
      <w:pPr>
        <w:pStyle w:val="3"/>
        <w:ind w:left="0" w:firstLine="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（具体以实际签订合同为准）</w:t>
      </w:r>
      <w:bookmarkEnd w:id="88"/>
    </w:p>
    <w:p w14:paraId="20586C85">
      <w:pPr>
        <w:autoSpaceDE w:val="0"/>
        <w:autoSpaceDN w:val="0"/>
        <w:adjustRightInd w:val="0"/>
        <w:spacing w:line="400" w:lineRule="exact"/>
        <w:jc w:val="center"/>
        <w:outlineLvl w:val="0"/>
        <w:rPr>
          <w:rFonts w:ascii="仿宋" w:hAnsi="仿宋" w:eastAsia="仿宋" w:cs="仿宋"/>
          <w:b/>
          <w:bCs/>
          <w:color w:val="000000"/>
          <w:sz w:val="36"/>
          <w:szCs w:val="36"/>
        </w:rPr>
      </w:pPr>
    </w:p>
    <w:p w14:paraId="7D69D083">
      <w:pPr>
        <w:widowControl/>
        <w:spacing w:before="135" w:after="135" w:line="440" w:lineRule="exact"/>
        <w:jc w:val="center"/>
        <w:rPr>
          <w:rFonts w:ascii="宋体" w:hAnsi="宋体" w:cs="宋体"/>
          <w:b/>
          <w:bCs/>
          <w:color w:val="000000"/>
          <w:kern w:val="0"/>
          <w:sz w:val="36"/>
          <w:szCs w:val="36"/>
        </w:rPr>
      </w:pPr>
      <w:r>
        <w:rPr>
          <w:rFonts w:hint="eastAsia" w:ascii="宋体" w:hAnsi="宋体" w:cs="宋体"/>
          <w:b/>
          <w:bCs/>
          <w:color w:val="000000"/>
          <w:kern w:val="0"/>
          <w:sz w:val="36"/>
          <w:szCs w:val="36"/>
        </w:rPr>
        <w:t>新疆维吾尔自治区第二济困医院（新疆维吾尔自治区第五人民医院）购买合同</w:t>
      </w:r>
    </w:p>
    <w:p w14:paraId="08573F80">
      <w:pPr>
        <w:widowControl/>
        <w:spacing w:before="135" w:after="135" w:line="360" w:lineRule="exact"/>
        <w:jc w:val="left"/>
        <w:rPr>
          <w:rFonts w:ascii="宋体" w:hAnsi="宋体" w:cs="宋体"/>
          <w:b/>
          <w:bCs/>
          <w:color w:val="000000"/>
          <w:kern w:val="0"/>
        </w:rPr>
      </w:pPr>
      <w:r>
        <w:rPr>
          <w:rFonts w:ascii="宋体" w:hAnsi="宋体" w:cs="宋体"/>
          <w:b/>
          <w:bCs/>
          <w:color w:val="000000"/>
          <w:kern w:val="0"/>
        </w:rPr>
        <w:t>合同编号：</w:t>
      </w:r>
      <w:r>
        <w:rPr>
          <w:rFonts w:hint="eastAsia" w:ascii="宋体" w:hAnsi="宋体" w:cs="宋体"/>
          <w:b/>
          <w:bCs/>
          <w:color w:val="000000"/>
          <w:kern w:val="0"/>
        </w:rPr>
        <w:t>DEJKYY</w:t>
      </w:r>
      <w:r>
        <w:rPr>
          <w:rFonts w:ascii="宋体" w:hAnsi="宋体" w:cs="宋体"/>
          <w:b/>
          <w:bCs/>
          <w:color w:val="000000"/>
          <w:kern w:val="0"/>
        </w:rPr>
        <w:t xml:space="preserve">       </w:t>
      </w:r>
      <w:r>
        <w:rPr>
          <w:rFonts w:hint="eastAsia" w:ascii="宋体" w:hAnsi="宋体" w:cs="宋体"/>
          <w:b/>
          <w:bCs/>
          <w:color w:val="000000"/>
          <w:kern w:val="0"/>
        </w:rPr>
        <w:t xml:space="preserve">                   </w:t>
      </w:r>
    </w:p>
    <w:p w14:paraId="3953A1E4">
      <w:pPr>
        <w:widowControl/>
        <w:spacing w:before="135" w:after="135" w:line="360" w:lineRule="exact"/>
        <w:jc w:val="left"/>
        <w:rPr>
          <w:rFonts w:ascii="宋体" w:hAnsi="宋体" w:cs="宋体"/>
          <w:color w:val="000000"/>
          <w:kern w:val="0"/>
          <w:szCs w:val="21"/>
        </w:rPr>
      </w:pPr>
      <w:r>
        <w:rPr>
          <w:rFonts w:ascii="宋体" w:hAnsi="宋体" w:cs="宋体"/>
          <w:b/>
          <w:bCs/>
          <w:color w:val="000000"/>
          <w:kern w:val="0"/>
        </w:rPr>
        <w:t>签约地：</w:t>
      </w:r>
      <w:r>
        <w:rPr>
          <w:rFonts w:hint="eastAsia" w:ascii="宋体" w:hAnsi="宋体" w:cs="宋体"/>
          <w:b/>
          <w:bCs/>
          <w:color w:val="000000"/>
          <w:kern w:val="0"/>
        </w:rPr>
        <w:t>新疆维吾尔自治区第二济困医院</w:t>
      </w:r>
      <w:r>
        <w:rPr>
          <w:rFonts w:hint="eastAsia" w:ascii="宋体" w:hAnsi="宋体" w:cs="宋体"/>
          <w:b/>
          <w:bCs/>
          <w:color w:val="000000"/>
          <w:kern w:val="0"/>
          <w:szCs w:val="21"/>
        </w:rPr>
        <w:t>（新疆维吾尔自治区第五人民医院）</w:t>
      </w:r>
    </w:p>
    <w:p w14:paraId="695C1E43">
      <w:pPr>
        <w:widowControl/>
        <w:spacing w:before="135" w:after="135" w:line="360" w:lineRule="exact"/>
        <w:jc w:val="left"/>
        <w:rPr>
          <w:rFonts w:ascii="宋体" w:hAnsi="宋体" w:cs="宋体"/>
          <w:b/>
          <w:bCs/>
          <w:color w:val="000000"/>
          <w:kern w:val="0"/>
        </w:rPr>
      </w:pPr>
      <w:r>
        <w:rPr>
          <w:rFonts w:ascii="宋体" w:hAnsi="宋体" w:cs="宋体"/>
          <w:b/>
          <w:bCs/>
          <w:color w:val="000000"/>
          <w:kern w:val="0"/>
        </w:rPr>
        <w:t>甲方（买方）：</w:t>
      </w:r>
      <w:r>
        <w:rPr>
          <w:rFonts w:hint="eastAsia" w:ascii="宋体" w:hAnsi="宋体" w:cs="宋体"/>
          <w:b/>
          <w:bCs/>
          <w:color w:val="000000"/>
          <w:kern w:val="0"/>
        </w:rPr>
        <w:t>新疆维吾尔自治区第二济困医院</w:t>
      </w:r>
      <w:r>
        <w:rPr>
          <w:rFonts w:hint="eastAsia" w:ascii="宋体" w:hAnsi="宋体" w:cs="宋体"/>
          <w:b/>
          <w:bCs/>
          <w:color w:val="000000"/>
          <w:kern w:val="0"/>
          <w:szCs w:val="21"/>
        </w:rPr>
        <w:t>（新疆维吾尔自治区第五人民医院）</w:t>
      </w:r>
      <w:r>
        <w:rPr>
          <w:rFonts w:hint="eastAsia" w:ascii="宋体" w:hAnsi="宋体" w:cs="宋体"/>
          <w:b/>
          <w:bCs/>
          <w:color w:val="000000"/>
          <w:kern w:val="0"/>
        </w:rPr>
        <w:t xml:space="preserve"> </w:t>
      </w:r>
    </w:p>
    <w:tbl>
      <w:tblPr>
        <w:tblStyle w:val="42"/>
        <w:tblpPr w:leftFromText="180" w:rightFromText="180" w:vertAnchor="text" w:horzAnchor="page" w:tblpX="1001" w:tblpY="1665"/>
        <w:tblOverlap w:val="never"/>
        <w:tblW w:w="10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910"/>
        <w:gridCol w:w="1806"/>
        <w:gridCol w:w="2230"/>
        <w:gridCol w:w="696"/>
        <w:gridCol w:w="1477"/>
        <w:gridCol w:w="1429"/>
      </w:tblGrid>
      <w:tr w14:paraId="38132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8" w:type="dxa"/>
            <w:noWrap w:val="0"/>
            <w:vAlign w:val="top"/>
          </w:tcPr>
          <w:p w14:paraId="7A3C270E">
            <w:pPr>
              <w:spacing w:line="480" w:lineRule="auto"/>
              <w:jc w:val="center"/>
              <w:rPr>
                <w:rFonts w:ascii="宋体" w:hAnsi="宋体" w:cs="宋体"/>
                <w:color w:val="000000"/>
                <w:szCs w:val="21"/>
              </w:rPr>
            </w:pPr>
            <w:r>
              <w:rPr>
                <w:rFonts w:hint="eastAsia" w:ascii="宋体" w:hAnsi="宋体" w:cs="宋体"/>
                <w:color w:val="000000"/>
                <w:szCs w:val="21"/>
              </w:rPr>
              <w:t>序号</w:t>
            </w:r>
          </w:p>
        </w:tc>
        <w:tc>
          <w:tcPr>
            <w:tcW w:w="1910" w:type="dxa"/>
            <w:noWrap w:val="0"/>
            <w:vAlign w:val="top"/>
          </w:tcPr>
          <w:p w14:paraId="4F99E1A4">
            <w:pPr>
              <w:spacing w:line="480" w:lineRule="auto"/>
              <w:jc w:val="center"/>
              <w:rPr>
                <w:rFonts w:ascii="宋体" w:hAnsi="宋体" w:cs="宋体"/>
                <w:color w:val="000000"/>
                <w:szCs w:val="21"/>
              </w:rPr>
            </w:pPr>
            <w:r>
              <w:rPr>
                <w:rFonts w:hint="eastAsia" w:ascii="宋体" w:hAnsi="宋体" w:cs="宋体"/>
                <w:color w:val="000000"/>
                <w:szCs w:val="21"/>
              </w:rPr>
              <w:t>设备名称</w:t>
            </w:r>
          </w:p>
        </w:tc>
        <w:tc>
          <w:tcPr>
            <w:tcW w:w="1806" w:type="dxa"/>
            <w:noWrap w:val="0"/>
            <w:vAlign w:val="top"/>
          </w:tcPr>
          <w:p w14:paraId="58F10E71">
            <w:pPr>
              <w:spacing w:line="480" w:lineRule="auto"/>
              <w:jc w:val="center"/>
              <w:rPr>
                <w:rFonts w:ascii="宋体" w:hAnsi="宋体" w:cs="宋体"/>
                <w:color w:val="000000"/>
                <w:szCs w:val="21"/>
              </w:rPr>
            </w:pPr>
            <w:r>
              <w:rPr>
                <w:rFonts w:hint="eastAsia" w:ascii="宋体" w:hAnsi="宋体" w:cs="宋体"/>
                <w:color w:val="000000"/>
                <w:szCs w:val="21"/>
              </w:rPr>
              <w:t>规格/型号</w:t>
            </w:r>
          </w:p>
        </w:tc>
        <w:tc>
          <w:tcPr>
            <w:tcW w:w="2230" w:type="dxa"/>
            <w:noWrap w:val="0"/>
            <w:vAlign w:val="top"/>
          </w:tcPr>
          <w:p w14:paraId="5E175282">
            <w:pPr>
              <w:spacing w:line="480" w:lineRule="auto"/>
              <w:jc w:val="center"/>
              <w:rPr>
                <w:rFonts w:ascii="宋体" w:hAnsi="宋体" w:cs="宋体"/>
                <w:color w:val="000000"/>
                <w:szCs w:val="21"/>
              </w:rPr>
            </w:pPr>
            <w:r>
              <w:rPr>
                <w:rFonts w:hint="eastAsia" w:ascii="宋体" w:hAnsi="宋体" w:cs="宋体"/>
                <w:color w:val="000000"/>
                <w:szCs w:val="21"/>
              </w:rPr>
              <w:t>产地/品牌</w:t>
            </w:r>
          </w:p>
        </w:tc>
        <w:tc>
          <w:tcPr>
            <w:tcW w:w="696" w:type="dxa"/>
            <w:noWrap w:val="0"/>
            <w:vAlign w:val="top"/>
          </w:tcPr>
          <w:p w14:paraId="42183190">
            <w:pPr>
              <w:spacing w:line="480" w:lineRule="auto"/>
              <w:jc w:val="center"/>
              <w:rPr>
                <w:rFonts w:ascii="宋体" w:hAnsi="宋体" w:cs="宋体"/>
                <w:color w:val="000000"/>
                <w:szCs w:val="21"/>
              </w:rPr>
            </w:pPr>
            <w:r>
              <w:rPr>
                <w:rFonts w:hint="eastAsia" w:ascii="宋体" w:hAnsi="宋体" w:cs="宋体"/>
                <w:color w:val="000000"/>
                <w:szCs w:val="21"/>
              </w:rPr>
              <w:t>数量</w:t>
            </w:r>
          </w:p>
        </w:tc>
        <w:tc>
          <w:tcPr>
            <w:tcW w:w="1477" w:type="dxa"/>
            <w:noWrap w:val="0"/>
            <w:vAlign w:val="top"/>
          </w:tcPr>
          <w:p w14:paraId="794538A7">
            <w:pPr>
              <w:spacing w:line="480" w:lineRule="auto"/>
              <w:rPr>
                <w:rFonts w:ascii="宋体" w:hAnsi="宋体" w:cs="宋体"/>
                <w:color w:val="000000"/>
                <w:szCs w:val="21"/>
              </w:rPr>
            </w:pPr>
            <w:r>
              <w:rPr>
                <w:rFonts w:hint="eastAsia" w:ascii="宋体" w:hAnsi="宋体" w:cs="宋体"/>
                <w:color w:val="000000"/>
                <w:szCs w:val="21"/>
              </w:rPr>
              <w:t>含税单价（元）</w:t>
            </w:r>
          </w:p>
        </w:tc>
        <w:tc>
          <w:tcPr>
            <w:tcW w:w="1429" w:type="dxa"/>
            <w:noWrap w:val="0"/>
            <w:vAlign w:val="top"/>
          </w:tcPr>
          <w:p w14:paraId="5EF88DEF">
            <w:pPr>
              <w:spacing w:line="480" w:lineRule="auto"/>
              <w:jc w:val="center"/>
              <w:rPr>
                <w:rFonts w:ascii="宋体" w:hAnsi="宋体" w:cs="宋体"/>
                <w:color w:val="000000"/>
                <w:szCs w:val="21"/>
              </w:rPr>
            </w:pPr>
            <w:r>
              <w:rPr>
                <w:rFonts w:hint="eastAsia" w:ascii="宋体" w:hAnsi="宋体" w:cs="宋体"/>
                <w:color w:val="000000"/>
                <w:szCs w:val="21"/>
              </w:rPr>
              <w:t>含税总价</w:t>
            </w:r>
          </w:p>
        </w:tc>
      </w:tr>
      <w:tr w14:paraId="333BE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8" w:type="dxa"/>
            <w:noWrap w:val="0"/>
            <w:vAlign w:val="top"/>
          </w:tcPr>
          <w:p w14:paraId="166E41DA">
            <w:pPr>
              <w:spacing w:line="480" w:lineRule="auto"/>
              <w:jc w:val="center"/>
              <w:rPr>
                <w:rFonts w:ascii="宋体" w:hAnsi="宋体" w:cs="宋体"/>
                <w:color w:val="000000"/>
                <w:szCs w:val="21"/>
              </w:rPr>
            </w:pPr>
            <w:r>
              <w:rPr>
                <w:rFonts w:hint="eastAsia" w:ascii="宋体" w:hAnsi="宋体" w:cs="宋体"/>
                <w:color w:val="000000"/>
                <w:szCs w:val="21"/>
              </w:rPr>
              <w:t>1</w:t>
            </w:r>
          </w:p>
        </w:tc>
        <w:tc>
          <w:tcPr>
            <w:tcW w:w="1910" w:type="dxa"/>
            <w:noWrap w:val="0"/>
            <w:vAlign w:val="top"/>
          </w:tcPr>
          <w:p w14:paraId="3064E024">
            <w:pPr>
              <w:spacing w:line="480" w:lineRule="auto"/>
              <w:rPr>
                <w:rFonts w:ascii="宋体" w:hAnsi="宋体" w:cs="宋体"/>
                <w:color w:val="000000"/>
                <w:szCs w:val="21"/>
              </w:rPr>
            </w:pPr>
          </w:p>
        </w:tc>
        <w:tc>
          <w:tcPr>
            <w:tcW w:w="1806" w:type="dxa"/>
            <w:noWrap w:val="0"/>
            <w:vAlign w:val="top"/>
          </w:tcPr>
          <w:p w14:paraId="025A8CDF">
            <w:pPr>
              <w:spacing w:line="480" w:lineRule="auto"/>
              <w:rPr>
                <w:rFonts w:ascii="宋体" w:hAnsi="宋体" w:cs="宋体"/>
                <w:color w:val="000000"/>
                <w:szCs w:val="21"/>
              </w:rPr>
            </w:pPr>
          </w:p>
        </w:tc>
        <w:tc>
          <w:tcPr>
            <w:tcW w:w="2230" w:type="dxa"/>
            <w:noWrap w:val="0"/>
            <w:vAlign w:val="top"/>
          </w:tcPr>
          <w:p w14:paraId="5575398F">
            <w:pPr>
              <w:spacing w:line="480" w:lineRule="auto"/>
              <w:rPr>
                <w:rFonts w:ascii="宋体" w:hAnsi="宋体" w:cs="宋体"/>
                <w:color w:val="000000"/>
                <w:szCs w:val="21"/>
              </w:rPr>
            </w:pPr>
          </w:p>
        </w:tc>
        <w:tc>
          <w:tcPr>
            <w:tcW w:w="696" w:type="dxa"/>
            <w:noWrap w:val="0"/>
            <w:vAlign w:val="top"/>
          </w:tcPr>
          <w:p w14:paraId="04752C0F">
            <w:pPr>
              <w:spacing w:line="480" w:lineRule="auto"/>
              <w:rPr>
                <w:rFonts w:ascii="宋体" w:hAnsi="宋体" w:cs="宋体"/>
                <w:color w:val="000000"/>
                <w:szCs w:val="21"/>
              </w:rPr>
            </w:pPr>
          </w:p>
        </w:tc>
        <w:tc>
          <w:tcPr>
            <w:tcW w:w="1477" w:type="dxa"/>
            <w:noWrap w:val="0"/>
            <w:vAlign w:val="top"/>
          </w:tcPr>
          <w:p w14:paraId="5CFDA310">
            <w:pPr>
              <w:spacing w:line="480" w:lineRule="auto"/>
              <w:rPr>
                <w:rFonts w:ascii="宋体" w:hAnsi="宋体" w:cs="宋体"/>
                <w:color w:val="000000"/>
                <w:szCs w:val="21"/>
              </w:rPr>
            </w:pPr>
          </w:p>
        </w:tc>
        <w:tc>
          <w:tcPr>
            <w:tcW w:w="1429" w:type="dxa"/>
            <w:noWrap w:val="0"/>
            <w:vAlign w:val="top"/>
          </w:tcPr>
          <w:p w14:paraId="513B655B">
            <w:pPr>
              <w:spacing w:line="480" w:lineRule="auto"/>
              <w:rPr>
                <w:rFonts w:ascii="宋体" w:hAnsi="宋体" w:cs="宋体"/>
                <w:color w:val="000000"/>
                <w:szCs w:val="21"/>
              </w:rPr>
            </w:pPr>
          </w:p>
        </w:tc>
      </w:tr>
      <w:tr w14:paraId="32095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8" w:type="dxa"/>
            <w:noWrap w:val="0"/>
            <w:vAlign w:val="top"/>
          </w:tcPr>
          <w:p w14:paraId="22187775">
            <w:pPr>
              <w:spacing w:line="480" w:lineRule="auto"/>
              <w:jc w:val="center"/>
              <w:rPr>
                <w:rFonts w:ascii="宋体" w:hAnsi="宋体" w:cs="宋体"/>
                <w:color w:val="000000"/>
                <w:szCs w:val="21"/>
              </w:rPr>
            </w:pPr>
            <w:r>
              <w:rPr>
                <w:rFonts w:hint="eastAsia" w:ascii="宋体" w:hAnsi="宋体" w:cs="宋体"/>
                <w:color w:val="000000"/>
                <w:szCs w:val="21"/>
              </w:rPr>
              <w:t>2</w:t>
            </w:r>
          </w:p>
        </w:tc>
        <w:tc>
          <w:tcPr>
            <w:tcW w:w="1910" w:type="dxa"/>
            <w:noWrap w:val="0"/>
            <w:vAlign w:val="top"/>
          </w:tcPr>
          <w:p w14:paraId="230A7C47">
            <w:pPr>
              <w:spacing w:line="480" w:lineRule="auto"/>
              <w:rPr>
                <w:rFonts w:ascii="宋体" w:hAnsi="宋体" w:cs="宋体"/>
                <w:color w:val="000000"/>
                <w:szCs w:val="21"/>
              </w:rPr>
            </w:pPr>
          </w:p>
        </w:tc>
        <w:tc>
          <w:tcPr>
            <w:tcW w:w="1806" w:type="dxa"/>
            <w:noWrap w:val="0"/>
            <w:vAlign w:val="top"/>
          </w:tcPr>
          <w:p w14:paraId="7AFF286B">
            <w:pPr>
              <w:spacing w:line="480" w:lineRule="auto"/>
              <w:rPr>
                <w:rFonts w:ascii="宋体" w:hAnsi="宋体" w:cs="宋体"/>
                <w:color w:val="000000"/>
                <w:szCs w:val="21"/>
              </w:rPr>
            </w:pPr>
          </w:p>
        </w:tc>
        <w:tc>
          <w:tcPr>
            <w:tcW w:w="2230" w:type="dxa"/>
            <w:noWrap w:val="0"/>
            <w:vAlign w:val="top"/>
          </w:tcPr>
          <w:p w14:paraId="77391BC2">
            <w:pPr>
              <w:spacing w:line="480" w:lineRule="auto"/>
              <w:rPr>
                <w:rFonts w:ascii="宋体" w:hAnsi="宋体" w:cs="宋体"/>
                <w:color w:val="000000"/>
                <w:szCs w:val="21"/>
              </w:rPr>
            </w:pPr>
          </w:p>
        </w:tc>
        <w:tc>
          <w:tcPr>
            <w:tcW w:w="696" w:type="dxa"/>
            <w:noWrap w:val="0"/>
            <w:vAlign w:val="top"/>
          </w:tcPr>
          <w:p w14:paraId="0803B7BB">
            <w:pPr>
              <w:spacing w:line="480" w:lineRule="auto"/>
              <w:rPr>
                <w:rFonts w:ascii="宋体" w:hAnsi="宋体" w:cs="宋体"/>
                <w:color w:val="000000"/>
                <w:szCs w:val="21"/>
              </w:rPr>
            </w:pPr>
          </w:p>
        </w:tc>
        <w:tc>
          <w:tcPr>
            <w:tcW w:w="1477" w:type="dxa"/>
            <w:noWrap w:val="0"/>
            <w:vAlign w:val="top"/>
          </w:tcPr>
          <w:p w14:paraId="47256624">
            <w:pPr>
              <w:spacing w:line="480" w:lineRule="auto"/>
              <w:rPr>
                <w:rFonts w:ascii="宋体" w:hAnsi="宋体" w:cs="宋体"/>
                <w:color w:val="000000"/>
                <w:szCs w:val="21"/>
              </w:rPr>
            </w:pPr>
          </w:p>
        </w:tc>
        <w:tc>
          <w:tcPr>
            <w:tcW w:w="1429" w:type="dxa"/>
            <w:noWrap w:val="0"/>
            <w:vAlign w:val="top"/>
          </w:tcPr>
          <w:p w14:paraId="6A60D5E8">
            <w:pPr>
              <w:spacing w:line="480" w:lineRule="auto"/>
              <w:rPr>
                <w:rFonts w:ascii="宋体" w:hAnsi="宋体" w:cs="宋体"/>
                <w:color w:val="000000"/>
                <w:szCs w:val="21"/>
              </w:rPr>
            </w:pPr>
          </w:p>
        </w:tc>
      </w:tr>
      <w:tr w14:paraId="2B83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8" w:type="dxa"/>
            <w:noWrap w:val="0"/>
            <w:vAlign w:val="top"/>
          </w:tcPr>
          <w:p w14:paraId="4F38E4F1">
            <w:pPr>
              <w:spacing w:line="480" w:lineRule="auto"/>
              <w:jc w:val="center"/>
              <w:rPr>
                <w:rFonts w:ascii="宋体" w:hAnsi="宋体" w:cs="宋体"/>
                <w:color w:val="000000"/>
                <w:szCs w:val="21"/>
              </w:rPr>
            </w:pPr>
            <w:r>
              <w:rPr>
                <w:rFonts w:hint="eastAsia" w:ascii="宋体" w:hAnsi="宋体" w:cs="宋体"/>
                <w:color w:val="000000"/>
                <w:szCs w:val="21"/>
              </w:rPr>
              <w:t>3</w:t>
            </w:r>
          </w:p>
        </w:tc>
        <w:tc>
          <w:tcPr>
            <w:tcW w:w="1910" w:type="dxa"/>
            <w:noWrap w:val="0"/>
            <w:vAlign w:val="top"/>
          </w:tcPr>
          <w:p w14:paraId="4F70674D">
            <w:pPr>
              <w:spacing w:line="480" w:lineRule="auto"/>
              <w:rPr>
                <w:rFonts w:ascii="宋体" w:hAnsi="宋体" w:cs="宋体"/>
                <w:color w:val="000000"/>
                <w:szCs w:val="21"/>
              </w:rPr>
            </w:pPr>
          </w:p>
        </w:tc>
        <w:tc>
          <w:tcPr>
            <w:tcW w:w="1806" w:type="dxa"/>
            <w:noWrap w:val="0"/>
            <w:vAlign w:val="top"/>
          </w:tcPr>
          <w:p w14:paraId="7B87E78A">
            <w:pPr>
              <w:spacing w:line="480" w:lineRule="auto"/>
              <w:rPr>
                <w:rFonts w:ascii="宋体" w:hAnsi="宋体" w:cs="宋体"/>
                <w:color w:val="000000"/>
                <w:szCs w:val="21"/>
              </w:rPr>
            </w:pPr>
          </w:p>
        </w:tc>
        <w:tc>
          <w:tcPr>
            <w:tcW w:w="2230" w:type="dxa"/>
            <w:noWrap w:val="0"/>
            <w:vAlign w:val="top"/>
          </w:tcPr>
          <w:p w14:paraId="6BF2CA79">
            <w:pPr>
              <w:spacing w:line="480" w:lineRule="auto"/>
              <w:rPr>
                <w:rFonts w:ascii="宋体" w:hAnsi="宋体" w:cs="宋体"/>
                <w:color w:val="000000"/>
                <w:szCs w:val="21"/>
              </w:rPr>
            </w:pPr>
          </w:p>
        </w:tc>
        <w:tc>
          <w:tcPr>
            <w:tcW w:w="696" w:type="dxa"/>
            <w:noWrap w:val="0"/>
            <w:vAlign w:val="top"/>
          </w:tcPr>
          <w:p w14:paraId="34A0BCCF">
            <w:pPr>
              <w:spacing w:line="480" w:lineRule="auto"/>
              <w:rPr>
                <w:rFonts w:ascii="宋体" w:hAnsi="宋体" w:cs="宋体"/>
                <w:color w:val="000000"/>
                <w:szCs w:val="21"/>
              </w:rPr>
            </w:pPr>
          </w:p>
        </w:tc>
        <w:tc>
          <w:tcPr>
            <w:tcW w:w="1477" w:type="dxa"/>
            <w:noWrap w:val="0"/>
            <w:vAlign w:val="top"/>
          </w:tcPr>
          <w:p w14:paraId="2F5A45D4">
            <w:pPr>
              <w:spacing w:line="480" w:lineRule="auto"/>
              <w:rPr>
                <w:rFonts w:ascii="宋体" w:hAnsi="宋体" w:cs="宋体"/>
                <w:color w:val="000000"/>
                <w:szCs w:val="21"/>
              </w:rPr>
            </w:pPr>
          </w:p>
        </w:tc>
        <w:tc>
          <w:tcPr>
            <w:tcW w:w="1429" w:type="dxa"/>
            <w:noWrap w:val="0"/>
            <w:vAlign w:val="top"/>
          </w:tcPr>
          <w:p w14:paraId="34C09716">
            <w:pPr>
              <w:spacing w:line="480" w:lineRule="auto"/>
              <w:rPr>
                <w:rFonts w:ascii="宋体" w:hAnsi="宋体" w:cs="宋体"/>
                <w:color w:val="000000"/>
                <w:szCs w:val="21"/>
              </w:rPr>
            </w:pPr>
          </w:p>
        </w:tc>
      </w:tr>
      <w:tr w14:paraId="7518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8" w:type="dxa"/>
            <w:noWrap w:val="0"/>
            <w:vAlign w:val="top"/>
          </w:tcPr>
          <w:p w14:paraId="5676C3FB">
            <w:pPr>
              <w:spacing w:line="480" w:lineRule="auto"/>
              <w:jc w:val="center"/>
              <w:rPr>
                <w:rFonts w:ascii="宋体" w:hAnsi="宋体" w:cs="宋体"/>
                <w:color w:val="000000"/>
                <w:szCs w:val="21"/>
              </w:rPr>
            </w:pPr>
            <w:r>
              <w:rPr>
                <w:rFonts w:hint="eastAsia" w:ascii="宋体" w:hAnsi="宋体" w:cs="宋体"/>
                <w:color w:val="000000"/>
                <w:szCs w:val="21"/>
              </w:rPr>
              <w:t>4</w:t>
            </w:r>
          </w:p>
        </w:tc>
        <w:tc>
          <w:tcPr>
            <w:tcW w:w="1910" w:type="dxa"/>
            <w:noWrap w:val="0"/>
            <w:vAlign w:val="top"/>
          </w:tcPr>
          <w:p w14:paraId="1215C0D5">
            <w:pPr>
              <w:spacing w:line="480" w:lineRule="auto"/>
              <w:rPr>
                <w:rFonts w:ascii="宋体" w:hAnsi="宋体" w:cs="宋体"/>
                <w:color w:val="000000"/>
                <w:szCs w:val="21"/>
              </w:rPr>
            </w:pPr>
          </w:p>
        </w:tc>
        <w:tc>
          <w:tcPr>
            <w:tcW w:w="1806" w:type="dxa"/>
            <w:noWrap w:val="0"/>
            <w:vAlign w:val="top"/>
          </w:tcPr>
          <w:p w14:paraId="3D93687F">
            <w:pPr>
              <w:spacing w:line="480" w:lineRule="auto"/>
              <w:rPr>
                <w:rFonts w:ascii="宋体" w:hAnsi="宋体" w:cs="宋体"/>
                <w:color w:val="000000"/>
                <w:szCs w:val="21"/>
              </w:rPr>
            </w:pPr>
          </w:p>
        </w:tc>
        <w:tc>
          <w:tcPr>
            <w:tcW w:w="2230" w:type="dxa"/>
            <w:noWrap w:val="0"/>
            <w:vAlign w:val="top"/>
          </w:tcPr>
          <w:p w14:paraId="434FB683">
            <w:pPr>
              <w:spacing w:line="480" w:lineRule="auto"/>
              <w:rPr>
                <w:rFonts w:ascii="宋体" w:hAnsi="宋体" w:cs="宋体"/>
                <w:color w:val="000000"/>
                <w:szCs w:val="21"/>
              </w:rPr>
            </w:pPr>
          </w:p>
        </w:tc>
        <w:tc>
          <w:tcPr>
            <w:tcW w:w="696" w:type="dxa"/>
            <w:noWrap w:val="0"/>
            <w:vAlign w:val="top"/>
          </w:tcPr>
          <w:p w14:paraId="12574CD1">
            <w:pPr>
              <w:spacing w:line="480" w:lineRule="auto"/>
              <w:rPr>
                <w:rFonts w:ascii="宋体" w:hAnsi="宋体" w:cs="宋体"/>
                <w:color w:val="000000"/>
                <w:szCs w:val="21"/>
              </w:rPr>
            </w:pPr>
          </w:p>
        </w:tc>
        <w:tc>
          <w:tcPr>
            <w:tcW w:w="1477" w:type="dxa"/>
            <w:noWrap w:val="0"/>
            <w:vAlign w:val="top"/>
          </w:tcPr>
          <w:p w14:paraId="6F797921">
            <w:pPr>
              <w:spacing w:line="480" w:lineRule="auto"/>
              <w:rPr>
                <w:rFonts w:ascii="宋体" w:hAnsi="宋体" w:cs="宋体"/>
                <w:color w:val="000000"/>
                <w:szCs w:val="21"/>
              </w:rPr>
            </w:pPr>
          </w:p>
        </w:tc>
        <w:tc>
          <w:tcPr>
            <w:tcW w:w="1429" w:type="dxa"/>
            <w:noWrap w:val="0"/>
            <w:vAlign w:val="top"/>
          </w:tcPr>
          <w:p w14:paraId="72CE131A">
            <w:pPr>
              <w:spacing w:line="480" w:lineRule="auto"/>
              <w:rPr>
                <w:rFonts w:ascii="宋体" w:hAnsi="宋体" w:cs="宋体"/>
                <w:color w:val="000000"/>
                <w:szCs w:val="21"/>
              </w:rPr>
            </w:pPr>
          </w:p>
        </w:tc>
      </w:tr>
      <w:tr w14:paraId="2C8BE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424" w:type="dxa"/>
            <w:gridSpan w:val="3"/>
            <w:noWrap w:val="0"/>
            <w:vAlign w:val="top"/>
          </w:tcPr>
          <w:p w14:paraId="3C08846F">
            <w:pPr>
              <w:spacing w:line="480" w:lineRule="auto"/>
              <w:rPr>
                <w:rFonts w:ascii="宋体" w:hAnsi="宋体" w:cs="宋体"/>
                <w:color w:val="000000"/>
                <w:szCs w:val="21"/>
              </w:rPr>
            </w:pPr>
            <w:r>
              <w:rPr>
                <w:rFonts w:hint="eastAsia" w:ascii="宋体" w:hAnsi="宋体" w:cs="宋体"/>
                <w:color w:val="000000"/>
                <w:szCs w:val="21"/>
              </w:rPr>
              <w:t>小写含税合计金额（人民币）：元</w:t>
            </w:r>
          </w:p>
        </w:tc>
        <w:tc>
          <w:tcPr>
            <w:tcW w:w="5832" w:type="dxa"/>
            <w:gridSpan w:val="4"/>
            <w:noWrap w:val="0"/>
            <w:vAlign w:val="top"/>
          </w:tcPr>
          <w:p w14:paraId="1A8FF6BC">
            <w:pPr>
              <w:spacing w:line="480" w:lineRule="auto"/>
              <w:rPr>
                <w:rFonts w:ascii="宋体" w:hAnsi="宋体" w:cs="宋体"/>
                <w:color w:val="000000"/>
                <w:szCs w:val="21"/>
              </w:rPr>
            </w:pPr>
            <w:r>
              <w:rPr>
                <w:rFonts w:hint="eastAsia" w:ascii="宋体" w:hAnsi="宋体" w:cs="宋体"/>
                <w:color w:val="000000"/>
                <w:szCs w:val="21"/>
              </w:rPr>
              <w:t>大写含税合计金额（人民币）：</w:t>
            </w:r>
          </w:p>
        </w:tc>
      </w:tr>
    </w:tbl>
    <w:p w14:paraId="52E91ADB">
      <w:pPr>
        <w:widowControl/>
        <w:spacing w:line="360" w:lineRule="auto"/>
        <w:jc w:val="left"/>
        <w:rPr>
          <w:rFonts w:ascii="宋体" w:hAnsi="宋体" w:cs="宋体"/>
          <w:color w:val="000000"/>
          <w:kern w:val="0"/>
          <w:szCs w:val="21"/>
        </w:rPr>
      </w:pPr>
      <w:r>
        <w:rPr>
          <w:rFonts w:ascii="宋体" w:hAnsi="宋体" w:cs="宋体"/>
          <w:b/>
          <w:bCs/>
          <w:color w:val="000000"/>
          <w:kern w:val="0"/>
        </w:rPr>
        <w:t>乙方（卖方）：</w:t>
      </w:r>
      <w:r>
        <w:rPr>
          <w:rFonts w:hint="eastAsia" w:ascii="宋体" w:hAnsi="宋体" w:cs="宋体"/>
          <w:b/>
          <w:bCs/>
          <w:color w:val="000000"/>
          <w:kern w:val="0"/>
        </w:rPr>
        <w:t xml:space="preserve">                                           </w:t>
      </w:r>
      <w:r>
        <w:rPr>
          <w:rFonts w:ascii="宋体" w:hAnsi="宋体" w:cs="宋体"/>
          <w:color w:val="000000"/>
          <w:kern w:val="0"/>
          <w:szCs w:val="21"/>
        </w:rPr>
        <w:br w:type="textWrapping"/>
      </w:r>
      <w:r>
        <w:rPr>
          <w:rFonts w:ascii="宋体" w:hAnsi="宋体" w:cs="宋体"/>
          <w:b/>
          <w:bCs/>
          <w:color w:val="000000"/>
          <w:kern w:val="0"/>
        </w:rPr>
        <w:t>1</w:t>
      </w:r>
      <w:r>
        <w:rPr>
          <w:rFonts w:hint="eastAsia" w:ascii="宋体" w:hAnsi="宋体" w:cs="宋体"/>
          <w:b/>
          <w:bCs/>
          <w:color w:val="000000"/>
          <w:kern w:val="0"/>
        </w:rPr>
        <w:t>.</w:t>
      </w:r>
      <w:r>
        <w:rPr>
          <w:rFonts w:ascii="宋体" w:hAnsi="宋体" w:cs="宋体"/>
          <w:color w:val="000000"/>
          <w:kern w:val="0"/>
          <w:szCs w:val="21"/>
        </w:rPr>
        <w:t>甲乙双方根据《中华人民共和国</w:t>
      </w:r>
      <w:r>
        <w:rPr>
          <w:rFonts w:hint="eastAsia" w:ascii="宋体" w:hAnsi="宋体" w:cs="宋体"/>
          <w:color w:val="000000"/>
          <w:kern w:val="0"/>
          <w:szCs w:val="21"/>
        </w:rPr>
        <w:t>民法典</w:t>
      </w:r>
      <w:r>
        <w:rPr>
          <w:rFonts w:ascii="宋体" w:hAnsi="宋体" w:cs="宋体"/>
          <w:color w:val="000000"/>
          <w:kern w:val="0"/>
          <w:szCs w:val="21"/>
        </w:rPr>
        <w:t>》，在平等互利、协商一致的基础上，</w:t>
      </w:r>
      <w:r>
        <w:rPr>
          <w:rFonts w:hint="eastAsia" w:ascii="宋体" w:hAnsi="宋体" w:cs="宋体"/>
          <w:color w:val="000000"/>
          <w:kern w:val="0"/>
          <w:szCs w:val="21"/>
        </w:rPr>
        <w:t>由招标</w:t>
      </w:r>
      <w:r>
        <w:rPr>
          <w:rFonts w:ascii="宋体" w:hAnsi="宋体" w:cs="宋体"/>
          <w:color w:val="000000"/>
          <w:kern w:val="0"/>
          <w:szCs w:val="21"/>
        </w:rPr>
        <w:t>代理机构</w:t>
      </w:r>
      <w:r>
        <w:rPr>
          <w:rFonts w:hint="eastAsia" w:ascii="宋体" w:hAnsi="宋体" w:cs="宋体"/>
          <w:color w:val="000000"/>
          <w:kern w:val="0"/>
          <w:szCs w:val="21"/>
        </w:rPr>
        <w:t>XXX进行</w:t>
      </w:r>
      <w:r>
        <w:rPr>
          <w:rFonts w:ascii="宋体" w:hAnsi="宋体" w:cs="宋体"/>
          <w:color w:val="000000"/>
          <w:kern w:val="0"/>
          <w:szCs w:val="21"/>
        </w:rPr>
        <w:t>招标，项目编号</w:t>
      </w:r>
      <w:r>
        <w:rPr>
          <w:rFonts w:hint="eastAsia" w:ascii="宋体" w:hAnsi="宋体" w:cs="宋体"/>
          <w:color w:val="000000"/>
          <w:kern w:val="0"/>
          <w:szCs w:val="21"/>
        </w:rPr>
        <w:t>为</w:t>
      </w:r>
      <w:r>
        <w:rPr>
          <w:rFonts w:hint="eastAsia" w:ascii="宋体" w:hAnsi="宋体" w:cs="宋体"/>
          <w:b/>
          <w:bCs/>
          <w:color w:val="000000"/>
          <w:kern w:val="0"/>
          <w:szCs w:val="21"/>
        </w:rPr>
        <w:t>XXXX</w:t>
      </w:r>
      <w:r>
        <w:rPr>
          <w:rFonts w:hint="eastAsia" w:ascii="宋体" w:hAnsi="宋体" w:cs="宋体"/>
          <w:color w:val="000000"/>
          <w:kern w:val="0"/>
          <w:szCs w:val="21"/>
        </w:rPr>
        <w:t>的</w:t>
      </w:r>
      <w:r>
        <w:rPr>
          <w:rFonts w:ascii="宋体" w:hAnsi="宋体" w:cs="宋体"/>
          <w:color w:val="000000"/>
          <w:kern w:val="0"/>
          <w:szCs w:val="21"/>
        </w:rPr>
        <w:t>中标通知书，</w:t>
      </w:r>
      <w:r>
        <w:rPr>
          <w:rFonts w:hint="eastAsia" w:ascii="宋体" w:hAnsi="宋体" w:cs="宋体"/>
          <w:color w:val="000000"/>
          <w:kern w:val="0"/>
          <w:szCs w:val="21"/>
        </w:rPr>
        <w:t>甲</w:t>
      </w:r>
      <w:r>
        <w:rPr>
          <w:rFonts w:ascii="宋体" w:hAnsi="宋体" w:cs="宋体"/>
          <w:color w:val="000000"/>
          <w:kern w:val="0"/>
          <w:szCs w:val="21"/>
        </w:rPr>
        <w:t>方同意向</w:t>
      </w:r>
      <w:r>
        <w:rPr>
          <w:rFonts w:hint="eastAsia" w:ascii="宋体" w:hAnsi="宋体" w:cs="宋体"/>
          <w:color w:val="000000"/>
          <w:kern w:val="0"/>
          <w:szCs w:val="21"/>
        </w:rPr>
        <w:t>乙</w:t>
      </w:r>
      <w:r>
        <w:rPr>
          <w:rFonts w:ascii="宋体" w:hAnsi="宋体" w:cs="宋体"/>
          <w:color w:val="000000"/>
          <w:kern w:val="0"/>
          <w:szCs w:val="21"/>
        </w:rPr>
        <w:t>方购买</w:t>
      </w:r>
      <w:r>
        <w:rPr>
          <w:rFonts w:hint="eastAsia" w:ascii="宋体" w:hAnsi="宋体" w:cs="宋体"/>
          <w:color w:val="000000"/>
          <w:kern w:val="0"/>
          <w:szCs w:val="21"/>
        </w:rPr>
        <w:t>,</w:t>
      </w:r>
      <w:r>
        <w:rPr>
          <w:rFonts w:ascii="宋体" w:hAnsi="宋体" w:cs="宋体"/>
          <w:color w:val="000000"/>
          <w:kern w:val="0"/>
          <w:szCs w:val="21"/>
        </w:rPr>
        <w:t>同时</w:t>
      </w:r>
      <w:r>
        <w:rPr>
          <w:rFonts w:hint="eastAsia" w:ascii="宋体" w:hAnsi="宋体" w:cs="宋体"/>
          <w:color w:val="000000"/>
          <w:kern w:val="0"/>
          <w:szCs w:val="21"/>
        </w:rPr>
        <w:t>,乙</w:t>
      </w:r>
      <w:r>
        <w:rPr>
          <w:rFonts w:ascii="宋体" w:hAnsi="宋体" w:cs="宋体"/>
          <w:color w:val="000000"/>
          <w:kern w:val="0"/>
          <w:szCs w:val="21"/>
        </w:rPr>
        <w:t>方同意授予</w:t>
      </w:r>
      <w:r>
        <w:rPr>
          <w:rFonts w:hint="eastAsia" w:ascii="宋体" w:hAnsi="宋体" w:cs="宋体"/>
          <w:color w:val="000000"/>
          <w:kern w:val="0"/>
          <w:szCs w:val="21"/>
        </w:rPr>
        <w:t>甲方</w:t>
      </w:r>
      <w:r>
        <w:rPr>
          <w:rFonts w:ascii="宋体" w:hAnsi="宋体" w:cs="宋体"/>
          <w:color w:val="000000"/>
          <w:kern w:val="0"/>
          <w:szCs w:val="21"/>
        </w:rPr>
        <w:t>以下</w:t>
      </w:r>
      <w:r>
        <w:rPr>
          <w:rFonts w:hint="eastAsia" w:ascii="宋体" w:hAnsi="宋体" w:cs="宋体"/>
          <w:color w:val="000000"/>
          <w:kern w:val="0"/>
          <w:szCs w:val="21"/>
        </w:rPr>
        <w:t>设备</w:t>
      </w:r>
      <w:r>
        <w:rPr>
          <w:rFonts w:ascii="宋体" w:hAnsi="宋体" w:cs="宋体"/>
          <w:color w:val="000000"/>
          <w:kern w:val="0"/>
          <w:szCs w:val="21"/>
        </w:rPr>
        <w:t>：</w:t>
      </w:r>
    </w:p>
    <w:p w14:paraId="7039C5AD">
      <w:pPr>
        <w:pStyle w:val="3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420" w:firstLineChars="200"/>
        <w:rPr>
          <w:rFonts w:ascii="宋体" w:hAnsi="宋体" w:eastAsia="宋体" w:cs="宋体"/>
          <w:color w:val="000000"/>
          <w:sz w:val="21"/>
          <w:szCs w:val="21"/>
        </w:rPr>
      </w:pPr>
      <w:r>
        <w:rPr>
          <w:rFonts w:ascii="宋体" w:hAnsi="宋体" w:eastAsia="宋体" w:cs="宋体"/>
          <w:color w:val="000000"/>
          <w:sz w:val="21"/>
          <w:szCs w:val="21"/>
        </w:rPr>
        <w:t>设备的易耗配件必须在合同附件中注明，如无明确配件价格的由甲方市场询价后确认乙方的配件供给价格。</w:t>
      </w:r>
    </w:p>
    <w:p w14:paraId="6FF4499E">
      <w:pPr>
        <w:widowControl/>
        <w:spacing w:line="324" w:lineRule="auto"/>
        <w:jc w:val="left"/>
        <w:rPr>
          <w:rFonts w:ascii="宋体" w:hAnsi="宋体" w:cs="宋体"/>
          <w:b/>
          <w:bCs/>
          <w:color w:val="000000"/>
          <w:kern w:val="0"/>
          <w:szCs w:val="21"/>
        </w:rPr>
      </w:pPr>
      <w:r>
        <w:rPr>
          <w:rFonts w:hint="eastAsia" w:ascii="宋体" w:hAnsi="宋体" w:cs="宋体"/>
          <w:b/>
          <w:bCs/>
          <w:color w:val="000000"/>
          <w:kern w:val="0"/>
          <w:szCs w:val="21"/>
        </w:rPr>
        <w:t>2.设备的交付期 </w:t>
      </w:r>
    </w:p>
    <w:p w14:paraId="74B2197D">
      <w:pPr>
        <w:widowControl/>
        <w:spacing w:line="324" w:lineRule="auto"/>
        <w:ind w:firstLine="420" w:firstLineChars="200"/>
        <w:jc w:val="left"/>
        <w:rPr>
          <w:rFonts w:ascii="宋体" w:hAnsi="宋体" w:cs="宋体"/>
          <w:b/>
          <w:bCs/>
          <w:color w:val="000000"/>
          <w:kern w:val="0"/>
          <w:szCs w:val="21"/>
        </w:rPr>
      </w:pPr>
      <w:r>
        <w:rPr>
          <w:rFonts w:hint="eastAsia" w:ascii="宋体" w:hAnsi="宋体" w:cs="宋体"/>
          <w:color w:val="000000"/>
          <w:kern w:val="0"/>
          <w:szCs w:val="21"/>
        </w:rPr>
        <w:t>乙方提供的国产产品在合同生效的</w:t>
      </w:r>
      <w:r>
        <w:rPr>
          <w:rFonts w:hint="eastAsia" w:ascii="宋体" w:hAnsi="宋体" w:cs="宋体"/>
          <w:b/>
          <w:bCs/>
          <w:color w:val="000000"/>
          <w:kern w:val="0"/>
          <w:szCs w:val="21"/>
          <w:u w:val="single"/>
        </w:rPr>
        <w:t>X天</w:t>
      </w:r>
      <w:r>
        <w:rPr>
          <w:rFonts w:hint="eastAsia" w:ascii="宋体" w:hAnsi="宋体" w:cs="宋体"/>
          <w:color w:val="000000"/>
          <w:kern w:val="0"/>
          <w:szCs w:val="21"/>
        </w:rPr>
        <w:t>内向甲方交付上述设备并通过最终验收合格，逾期将按照第</w:t>
      </w:r>
      <w:r>
        <w:rPr>
          <w:rFonts w:hint="eastAsia" w:ascii="宋体" w:hAnsi="宋体" w:cs="宋体"/>
          <w:b/>
          <w:bCs/>
          <w:color w:val="000000"/>
          <w:kern w:val="0"/>
          <w:szCs w:val="21"/>
          <w:u w:val="thick"/>
        </w:rPr>
        <w:t>6.2</w:t>
      </w:r>
      <w:r>
        <w:rPr>
          <w:rFonts w:hint="eastAsia" w:ascii="宋体" w:hAnsi="宋体" w:cs="宋体"/>
          <w:color w:val="000000"/>
          <w:kern w:val="0"/>
          <w:szCs w:val="21"/>
        </w:rPr>
        <w:t>条规定执行。</w:t>
      </w:r>
      <w:r>
        <w:rPr>
          <w:rFonts w:hint="eastAsia" w:ascii="宋体" w:hAnsi="宋体" w:cs="宋体"/>
          <w:b/>
          <w:bCs/>
          <w:color w:val="000000"/>
          <w:kern w:val="0"/>
          <w:szCs w:val="21"/>
        </w:rPr>
        <w:t> </w:t>
      </w:r>
    </w:p>
    <w:p w14:paraId="3747EF57">
      <w:pPr>
        <w:widowControl/>
        <w:spacing w:line="324" w:lineRule="auto"/>
        <w:jc w:val="left"/>
        <w:rPr>
          <w:rFonts w:ascii="宋体" w:hAnsi="宋体" w:cs="宋体"/>
          <w:b/>
          <w:bCs/>
          <w:color w:val="000000"/>
          <w:kern w:val="0"/>
          <w:szCs w:val="21"/>
        </w:rPr>
      </w:pPr>
      <w:r>
        <w:rPr>
          <w:rFonts w:hint="eastAsia" w:ascii="宋体" w:hAnsi="宋体" w:cs="宋体"/>
          <w:b/>
          <w:bCs/>
          <w:color w:val="000000"/>
          <w:kern w:val="0"/>
          <w:szCs w:val="21"/>
        </w:rPr>
        <w:t>3.设备运输、安装、验收和培训</w:t>
      </w:r>
    </w:p>
    <w:p w14:paraId="7AA5D80A">
      <w:pPr>
        <w:widowControl/>
        <w:spacing w:line="324" w:lineRule="auto"/>
        <w:jc w:val="left"/>
        <w:rPr>
          <w:rFonts w:ascii="宋体" w:hAnsi="宋体" w:cs="宋体"/>
          <w:color w:val="000000"/>
          <w:kern w:val="0"/>
          <w:szCs w:val="21"/>
        </w:rPr>
      </w:pPr>
      <w:r>
        <w:rPr>
          <w:rFonts w:hint="eastAsia" w:ascii="宋体" w:hAnsi="宋体" w:cs="宋体"/>
          <w:color w:val="000000"/>
          <w:kern w:val="0"/>
          <w:szCs w:val="21"/>
        </w:rPr>
        <w:t>3.1乙方负责选择适合设备性质的包装和运输方式，确保设备安全无损地运抵甲方指定的现场,设备的运费、保险费、包装费、验收费、装卸费、税费等一切费用，均由</w:t>
      </w:r>
      <w:r>
        <w:rPr>
          <w:rFonts w:hint="eastAsia" w:ascii="宋体" w:hAnsi="宋体" w:cs="宋体"/>
          <w:b/>
          <w:bCs/>
          <w:color w:val="000000"/>
          <w:kern w:val="0"/>
          <w:szCs w:val="21"/>
          <w:u w:val="single"/>
        </w:rPr>
        <w:t>乙方</w:t>
      </w:r>
      <w:r>
        <w:rPr>
          <w:rFonts w:hint="eastAsia" w:ascii="宋体" w:hAnsi="宋体" w:cs="宋体"/>
          <w:color w:val="000000"/>
          <w:kern w:val="0"/>
          <w:szCs w:val="21"/>
        </w:rPr>
        <w:t>承担。确定与合同规定相符后，乙方工程师负责对设备进行安装调试，最终由甲方设备使用科室与设备科签发相关的安装验收合格报告。 </w:t>
      </w:r>
    </w:p>
    <w:p w14:paraId="6BDAD5B5">
      <w:pPr>
        <w:widowControl/>
        <w:spacing w:line="324" w:lineRule="auto"/>
        <w:jc w:val="left"/>
        <w:rPr>
          <w:rFonts w:ascii="宋体" w:hAnsi="宋体" w:cs="宋体"/>
          <w:color w:val="000000"/>
          <w:kern w:val="0"/>
          <w:szCs w:val="21"/>
        </w:rPr>
      </w:pPr>
      <w:r>
        <w:rPr>
          <w:rFonts w:hint="eastAsia" w:ascii="宋体" w:hAnsi="宋体" w:cs="宋体"/>
          <w:color w:val="000000"/>
          <w:kern w:val="0"/>
          <w:szCs w:val="21"/>
        </w:rPr>
        <w:t>3.2甲乙双方对设备进行开箱清点检查，并在包装及外观完好的情况下收货，如果发现数量不足或货物外观破损等问题，乙方应在</w:t>
      </w:r>
      <w:r>
        <w:rPr>
          <w:rFonts w:hint="eastAsia" w:ascii="宋体" w:hAnsi="宋体" w:cs="宋体"/>
          <w:b/>
          <w:bCs/>
          <w:color w:val="000000"/>
          <w:kern w:val="0"/>
          <w:szCs w:val="21"/>
          <w:u w:val="single"/>
        </w:rPr>
        <w:t>2天</w:t>
      </w:r>
      <w:r>
        <w:rPr>
          <w:rFonts w:hint="eastAsia" w:ascii="宋体" w:hAnsi="宋体" w:cs="宋体"/>
          <w:color w:val="000000"/>
          <w:kern w:val="0"/>
          <w:szCs w:val="21"/>
        </w:rPr>
        <w:t>内，按照甲方的要求，采取补足、更换或退货等处理措施，并承担由此发生的一切损失和费用。</w:t>
      </w:r>
    </w:p>
    <w:p w14:paraId="6745893D">
      <w:pPr>
        <w:widowControl/>
        <w:spacing w:line="324" w:lineRule="auto"/>
        <w:jc w:val="left"/>
        <w:rPr>
          <w:rFonts w:ascii="宋体" w:hAnsi="宋体" w:cs="宋体"/>
          <w:color w:val="000000"/>
          <w:kern w:val="0"/>
          <w:szCs w:val="21"/>
        </w:rPr>
      </w:pPr>
      <w:r>
        <w:rPr>
          <w:rFonts w:hint="eastAsia" w:ascii="宋体" w:hAnsi="宋体" w:cs="宋体"/>
          <w:color w:val="000000"/>
          <w:kern w:val="0"/>
          <w:szCs w:val="21"/>
        </w:rPr>
        <w:t>3.3乙方所售设备均应按照国家标准和行业标准进行制造的合格产品，乙方已知悉上述标准，并确认采用该标准的设备能满足甲方的要求。甲、乙双方在符合国家相关技术标准的基础上进行验收。进口设备需由乙方提供入境货物检验检疫证明。</w:t>
      </w:r>
    </w:p>
    <w:p w14:paraId="5217B225">
      <w:pPr>
        <w:widowControl/>
        <w:spacing w:line="324" w:lineRule="auto"/>
        <w:jc w:val="left"/>
        <w:rPr>
          <w:rFonts w:ascii="宋体" w:hAnsi="宋体" w:cs="宋体"/>
          <w:color w:val="000000"/>
          <w:kern w:val="0"/>
          <w:szCs w:val="21"/>
        </w:rPr>
      </w:pPr>
      <w:r>
        <w:rPr>
          <w:rFonts w:hint="eastAsia" w:ascii="宋体" w:hAnsi="宋体" w:cs="宋体"/>
          <w:color w:val="000000"/>
          <w:kern w:val="0"/>
          <w:szCs w:val="21"/>
        </w:rPr>
        <w:t>3.4乙方应在甲方收到货物后的3个工作日内对设备进行安装调试，经甲方确保设备能够正常使用后，符合验收标准的视为验收合格。验收标准：如招投标文件中有约定按照招投标文件中的约定，未予具体约定的，以国家或行业标准进行验收。安装调试完成符合验收条件时，由乙方向甲方提出书面验收要求，甲乙双方对设备、已完成培训的人员进行验收、考核，达到验收标准的，甲乙双方在验收报告签字盖章，验收完成。必要时甲方可引入第三方或者委托专业机构进行验收，甲乙双方对该验收结果予以认可，验收费用由乙方承担。</w:t>
      </w:r>
    </w:p>
    <w:p w14:paraId="3498DAA7">
      <w:pPr>
        <w:widowControl/>
        <w:spacing w:line="324" w:lineRule="auto"/>
        <w:jc w:val="left"/>
        <w:rPr>
          <w:rFonts w:ascii="宋体" w:hAnsi="宋体" w:cs="宋体"/>
          <w:color w:val="000000"/>
          <w:kern w:val="0"/>
          <w:szCs w:val="21"/>
        </w:rPr>
      </w:pPr>
      <w:r>
        <w:rPr>
          <w:rFonts w:hint="eastAsia" w:ascii="宋体" w:hAnsi="宋体" w:cs="宋体"/>
          <w:color w:val="000000"/>
          <w:kern w:val="0"/>
          <w:szCs w:val="21"/>
        </w:rPr>
        <w:t>3.5乙方派工程师至甲方的使用科室对相关人员进行操作培训，直到参加培训人员具备独立操作能力并能排除使用中的一般性障碍，且培训结果至甲方满意为止。</w:t>
      </w:r>
    </w:p>
    <w:p w14:paraId="2046B408">
      <w:pPr>
        <w:widowControl/>
        <w:numPr>
          <w:ilvl w:val="0"/>
          <w:numId w:val="9"/>
        </w:numPr>
        <w:spacing w:line="324" w:lineRule="auto"/>
        <w:jc w:val="left"/>
        <w:rPr>
          <w:rFonts w:hint="eastAsia" w:ascii="宋体" w:hAnsi="宋体" w:cs="宋体"/>
          <w:b/>
          <w:bCs/>
          <w:color w:val="000000"/>
          <w:kern w:val="0"/>
          <w:szCs w:val="21"/>
        </w:rPr>
      </w:pPr>
      <w:r>
        <w:rPr>
          <w:rFonts w:hint="eastAsia" w:ascii="宋体" w:hAnsi="宋体" w:cs="宋体"/>
          <w:b/>
          <w:bCs/>
          <w:color w:val="000000"/>
          <w:kern w:val="0"/>
          <w:szCs w:val="21"/>
        </w:rPr>
        <w:t>付款方式</w:t>
      </w:r>
    </w:p>
    <w:p w14:paraId="3DB28B37">
      <w:pPr>
        <w:spacing w:line="360" w:lineRule="auto"/>
        <w:ind w:firstLine="420" w:firstLineChars="200"/>
        <w:rPr>
          <w:color w:val="000000"/>
          <w:kern w:val="0"/>
          <w:szCs w:val="21"/>
        </w:rPr>
      </w:pPr>
      <w:r>
        <w:rPr>
          <w:color w:val="000000"/>
          <w:kern w:val="0"/>
          <w:szCs w:val="21"/>
          <w:lang w:val="zh-CN"/>
        </w:rPr>
        <w:t>本次项目采用</w:t>
      </w:r>
      <w:r>
        <w:rPr>
          <w:rFonts w:hint="eastAsia"/>
          <w:color w:val="000000"/>
          <w:kern w:val="0"/>
          <w:szCs w:val="21"/>
        </w:rPr>
        <w:t>的</w:t>
      </w:r>
      <w:r>
        <w:rPr>
          <w:color w:val="000000"/>
          <w:kern w:val="0"/>
          <w:szCs w:val="21"/>
          <w:lang w:val="zh-CN"/>
        </w:rPr>
        <w:t>付款方式，具体如下</w:t>
      </w:r>
      <w:r>
        <w:rPr>
          <w:color w:val="000000"/>
          <w:kern w:val="0"/>
          <w:szCs w:val="21"/>
        </w:rPr>
        <w:t>：</w:t>
      </w:r>
    </w:p>
    <w:p w14:paraId="7CDDC1F9">
      <w:pPr>
        <w:spacing w:line="360" w:lineRule="auto"/>
        <w:ind w:left="425"/>
        <w:rPr>
          <w:rFonts w:hint="eastAsia" w:ascii="宋体" w:hAnsi="宋体"/>
          <w:szCs w:val="21"/>
        </w:rPr>
      </w:pPr>
      <w:r>
        <w:rPr>
          <w:rFonts w:hint="eastAsia" w:ascii="宋体" w:hAnsi="宋体"/>
          <w:szCs w:val="21"/>
          <w:lang w:val="en-US" w:eastAsia="zh-CN"/>
        </w:rPr>
        <w:t>4.</w:t>
      </w:r>
      <w:r>
        <w:rPr>
          <w:rFonts w:hint="eastAsia" w:ascii="宋体" w:hAnsi="宋体"/>
          <w:szCs w:val="21"/>
        </w:rPr>
        <w:t>1到期时间：乙方有责任及义务在服务期届满前九十日书面通知甲方。</w:t>
      </w:r>
    </w:p>
    <w:p w14:paraId="025446ED">
      <w:pPr>
        <w:spacing w:line="360" w:lineRule="auto"/>
        <w:ind w:firstLine="420"/>
        <w:rPr>
          <w:rFonts w:hint="eastAsia"/>
        </w:rPr>
      </w:pPr>
      <w:r>
        <w:rPr>
          <w:rFonts w:hint="eastAsia" w:ascii="宋体" w:hAnsi="宋体"/>
          <w:szCs w:val="21"/>
          <w:lang w:val="en-US" w:eastAsia="zh-CN"/>
        </w:rPr>
        <w:t>4.</w:t>
      </w:r>
      <w:r>
        <w:rPr>
          <w:rFonts w:hint="eastAsia" w:ascii="宋体" w:hAnsi="宋体"/>
          <w:szCs w:val="21"/>
        </w:rPr>
        <w:t>2付款时间:</w:t>
      </w:r>
      <w:r>
        <w:t>乙方在</w:t>
      </w:r>
      <w:r>
        <w:rPr>
          <w:rFonts w:hint="eastAsia"/>
        </w:rPr>
        <w:t>合同生效</w:t>
      </w:r>
      <w:r>
        <w:t>后7日内开具增值税发票给甲方，</w:t>
      </w:r>
      <w:r>
        <w:rPr>
          <w:rFonts w:hint="eastAsia"/>
        </w:rPr>
        <w:t>甲方应在合同生效后30日内</w:t>
      </w:r>
      <w:r>
        <w:t>支付乙方服务费</w:t>
      </w:r>
      <w:r>
        <w:rPr>
          <w:rFonts w:hint="eastAsia"/>
        </w:rPr>
        <w:t>。</w:t>
      </w:r>
    </w:p>
    <w:p w14:paraId="26E2B9D3">
      <w:pPr>
        <w:widowControl/>
        <w:numPr>
          <w:ilvl w:val="0"/>
          <w:numId w:val="10"/>
        </w:numPr>
        <w:spacing w:line="324" w:lineRule="auto"/>
        <w:jc w:val="left"/>
        <w:rPr>
          <w:rFonts w:ascii="宋体" w:hAnsi="宋体" w:cs="宋体"/>
          <w:b/>
          <w:bCs/>
          <w:color w:val="000000"/>
          <w:kern w:val="0"/>
          <w:szCs w:val="21"/>
        </w:rPr>
      </w:pPr>
      <w:r>
        <w:rPr>
          <w:rFonts w:hint="eastAsia" w:ascii="宋体" w:hAnsi="宋体" w:cs="宋体"/>
          <w:b/>
          <w:bCs/>
          <w:color w:val="000000"/>
          <w:kern w:val="0"/>
          <w:szCs w:val="21"/>
        </w:rPr>
        <w:t>质量保证及售后服务</w:t>
      </w:r>
    </w:p>
    <w:p w14:paraId="0C8C3DF7">
      <w:pPr>
        <w:widowControl/>
        <w:spacing w:line="324" w:lineRule="auto"/>
        <w:jc w:val="left"/>
        <w:rPr>
          <w:rFonts w:ascii="宋体" w:hAnsi="宋体" w:cs="宋体"/>
          <w:color w:val="000000"/>
          <w:kern w:val="0"/>
          <w:shd w:val="clear" w:color="auto" w:fill="FFFFFF"/>
        </w:rPr>
      </w:pPr>
      <w:r>
        <w:rPr>
          <w:rFonts w:hint="eastAsia" w:ascii="宋体" w:hAnsi="宋体" w:cs="宋体"/>
          <w:bCs/>
          <w:color w:val="000000"/>
          <w:kern w:val="0"/>
          <w:szCs w:val="21"/>
        </w:rPr>
        <w:t>5.1乙方所提供的商品必须是原厂正品。</w:t>
      </w:r>
      <w:r>
        <w:rPr>
          <w:rFonts w:hint="eastAsia" w:ascii="宋体" w:hAnsi="宋体" w:cs="宋体"/>
          <w:b/>
          <w:bCs/>
          <w:color w:val="000000"/>
          <w:kern w:val="0"/>
          <w:shd w:val="clear" w:color="auto" w:fill="FFFFFF"/>
        </w:rPr>
        <w:t>乙方所提供的货物的技术规格应为最新版本设备,</w:t>
      </w:r>
      <w:r>
        <w:rPr>
          <w:rFonts w:hint="eastAsia" w:ascii="宋体" w:hAnsi="宋体" w:cs="宋体"/>
          <w:bCs/>
          <w:color w:val="000000"/>
          <w:kern w:val="0"/>
          <w:szCs w:val="21"/>
        </w:rPr>
        <w:t>若技术性能无特殊说明，则以国家有关部门最新颁布的标准及规范为准。</w:t>
      </w:r>
      <w:r>
        <w:rPr>
          <w:rFonts w:hint="eastAsia" w:ascii="宋体" w:hAnsi="宋体" w:cs="宋体"/>
          <w:bCs/>
          <w:color w:val="000000"/>
          <w:szCs w:val="21"/>
        </w:rPr>
        <w:t>乙方保证所供设备的相关资质证照齐备、有效，并符合《国家医疗器械管理条例》的管理规定；乙方及所供设备的相关资证复印件作为本合同附件。</w:t>
      </w:r>
    </w:p>
    <w:p w14:paraId="2F718FD1">
      <w:pPr>
        <w:widowControl/>
        <w:shd w:val="clear" w:color="auto" w:fill="FFFFFF"/>
        <w:spacing w:line="324" w:lineRule="auto"/>
        <w:jc w:val="left"/>
        <w:rPr>
          <w:rFonts w:ascii="宋体" w:hAnsi="宋体" w:cs="宋体"/>
          <w:bCs/>
          <w:color w:val="000000"/>
          <w:kern w:val="0"/>
          <w:szCs w:val="21"/>
        </w:rPr>
      </w:pPr>
      <w:r>
        <w:rPr>
          <w:rFonts w:hint="eastAsia" w:ascii="宋体" w:hAnsi="宋体" w:cs="宋体"/>
          <w:bCs/>
          <w:color w:val="000000"/>
          <w:kern w:val="0"/>
          <w:szCs w:val="21"/>
        </w:rPr>
        <w:t>5.2乙方对所售</w:t>
      </w:r>
      <w:r>
        <w:rPr>
          <w:rFonts w:hint="eastAsia" w:ascii="宋体" w:hAnsi="宋体" w:cs="宋体"/>
          <w:b/>
          <w:color w:val="000000"/>
          <w:kern w:val="0"/>
          <w:szCs w:val="21"/>
          <w:u w:val="single"/>
        </w:rPr>
        <w:t>设备提供质保期</w:t>
      </w:r>
      <w:r>
        <w:rPr>
          <w:rFonts w:hint="eastAsia" w:ascii="宋体" w:hAnsi="宋体" w:cs="宋体"/>
          <w:b/>
          <w:color w:val="000000"/>
          <w:kern w:val="0"/>
          <w:szCs w:val="21"/>
          <w:u w:val="single"/>
          <w:lang w:val="en-US" w:eastAsia="zh-CN"/>
        </w:rPr>
        <w:t>36</w:t>
      </w:r>
      <w:r>
        <w:rPr>
          <w:rFonts w:hint="eastAsia" w:ascii="宋体" w:hAnsi="宋体" w:cs="宋体"/>
          <w:b/>
          <w:color w:val="000000"/>
          <w:kern w:val="0"/>
          <w:szCs w:val="21"/>
          <w:u w:val="single"/>
        </w:rPr>
        <w:t>个月。</w:t>
      </w:r>
      <w:r>
        <w:rPr>
          <w:rFonts w:hint="eastAsia" w:ascii="宋体" w:hAnsi="宋体" w:cs="宋体"/>
          <w:bCs/>
          <w:color w:val="000000"/>
          <w:kern w:val="0"/>
          <w:szCs w:val="21"/>
        </w:rPr>
        <w:t>质保期的期限应以甲乙双方的验收合格之日起计算，保修期内免费更换零配件及工时费。如达不到此要求，即相应延长保修期，质保期外，免费维修，若涉及更换配件的，只收取成本费。</w:t>
      </w:r>
    </w:p>
    <w:p w14:paraId="6B2E3011">
      <w:pPr>
        <w:widowControl/>
        <w:shd w:val="clear" w:color="auto" w:fill="FFFFFF"/>
        <w:spacing w:line="324" w:lineRule="auto"/>
        <w:jc w:val="left"/>
        <w:rPr>
          <w:rFonts w:ascii="宋体" w:hAnsi="宋体" w:cs="宋体"/>
          <w:color w:val="000000"/>
          <w:szCs w:val="21"/>
        </w:rPr>
      </w:pPr>
      <w:r>
        <w:rPr>
          <w:rFonts w:hint="eastAsia" w:ascii="宋体" w:hAnsi="宋体" w:cs="宋体"/>
          <w:color w:val="000000"/>
          <w:kern w:val="0"/>
          <w:szCs w:val="21"/>
        </w:rPr>
        <w:t>5.3乙方所提供的产品质量或规格如与合同不符，或证实设备是有缺陷的，包括潜在的缺陷或使用不符合要求的材料等，乙方应在接到甲方通知后</w:t>
      </w:r>
      <w:r>
        <w:rPr>
          <w:rFonts w:hint="eastAsia" w:ascii="宋体" w:hAnsi="宋体" w:cs="宋体"/>
          <w:b/>
          <w:bCs/>
          <w:color w:val="000000"/>
          <w:kern w:val="0"/>
          <w:szCs w:val="21"/>
          <w:u w:val="single"/>
        </w:rPr>
        <w:t>3天</w:t>
      </w:r>
      <w:r>
        <w:rPr>
          <w:rFonts w:hint="eastAsia" w:ascii="宋体" w:hAnsi="宋体" w:cs="宋体"/>
          <w:color w:val="000000"/>
          <w:kern w:val="0"/>
          <w:szCs w:val="21"/>
        </w:rPr>
        <w:t>内负责采用符合合同规定的规格、质量和性能要求的新零件、部件或设备来更换有缺陷的部分或修补缺陷部分，其费用由乙方负担。同时，乙方应按本合同规定，相应延长修补或更换件的质量保证期。</w:t>
      </w:r>
      <w:r>
        <w:rPr>
          <w:rFonts w:hint="eastAsia" w:ascii="宋体" w:hAnsi="宋体" w:cs="宋体"/>
          <w:color w:val="000000"/>
          <w:szCs w:val="21"/>
        </w:rPr>
        <w:t>乙方提供设备为全新设备，如甲方在使用期间发现是经过翻新或改造等非全新的设备，造成的直接及间接损失由乙方承担，并承担相应的法律责任。甲方拥有不限时限的追索权。</w:t>
      </w:r>
    </w:p>
    <w:p w14:paraId="05775300">
      <w:pPr>
        <w:widowControl/>
        <w:shd w:val="clear" w:color="auto" w:fill="FFFFFF"/>
        <w:spacing w:line="324" w:lineRule="auto"/>
        <w:jc w:val="left"/>
        <w:rPr>
          <w:rFonts w:ascii="宋体" w:hAnsi="宋体" w:cs="宋体"/>
          <w:color w:val="000000"/>
          <w:kern w:val="0"/>
          <w:szCs w:val="21"/>
        </w:rPr>
      </w:pPr>
      <w:r>
        <w:rPr>
          <w:rFonts w:hint="eastAsia" w:ascii="宋体" w:hAnsi="宋体" w:cs="宋体"/>
          <w:color w:val="000000"/>
          <w:kern w:val="0"/>
          <w:szCs w:val="21"/>
        </w:rPr>
        <w:t>5.4当甲方发现乙方提供的产品有质量问题，或于本合同规格不符等问题，导致甲方无法使用，乙方应在</w:t>
      </w:r>
      <w:r>
        <w:rPr>
          <w:rFonts w:hint="eastAsia" w:ascii="宋体" w:hAnsi="宋体" w:cs="宋体"/>
          <w:b/>
          <w:bCs/>
          <w:color w:val="000000"/>
          <w:kern w:val="0"/>
          <w:szCs w:val="21"/>
          <w:u w:val="single"/>
        </w:rPr>
        <w:t xml:space="preserve"> 24 小时</w:t>
      </w:r>
      <w:r>
        <w:rPr>
          <w:rFonts w:hint="eastAsia" w:ascii="宋体" w:hAnsi="宋体" w:cs="宋体"/>
          <w:color w:val="000000"/>
          <w:kern w:val="0"/>
          <w:szCs w:val="21"/>
        </w:rPr>
        <w:t>内予以解决。 超过</w:t>
      </w:r>
      <w:r>
        <w:rPr>
          <w:rFonts w:hint="eastAsia" w:ascii="宋体" w:hAnsi="宋体" w:cs="宋体"/>
          <w:b/>
          <w:bCs/>
          <w:color w:val="000000"/>
          <w:kern w:val="0"/>
          <w:szCs w:val="21"/>
          <w:u w:val="single"/>
        </w:rPr>
        <w:t>48小时</w:t>
      </w:r>
      <w:r>
        <w:rPr>
          <w:rFonts w:hint="eastAsia" w:ascii="宋体" w:hAnsi="宋体" w:cs="宋体"/>
          <w:color w:val="000000"/>
          <w:kern w:val="0"/>
          <w:szCs w:val="21"/>
        </w:rPr>
        <w:t>未能解决，乙方有义务向甲方说明情况申请延期。如乙方未向甲方说明情况，甲方有权利在向乙方支付的货款中扣除损失费。</w:t>
      </w:r>
    </w:p>
    <w:p w14:paraId="02079EDE">
      <w:pPr>
        <w:pStyle w:val="3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rPr>
          <w:rFonts w:ascii="宋体" w:hAnsi="宋体" w:eastAsia="宋体" w:cs="宋体"/>
          <w:color w:val="000000"/>
          <w:szCs w:val="21"/>
        </w:rPr>
      </w:pPr>
      <w:r>
        <w:rPr>
          <w:rFonts w:hint="eastAsia" w:ascii="宋体" w:hAnsi="宋体" w:eastAsia="宋体" w:cs="宋体"/>
          <w:color w:val="000000"/>
          <w:sz w:val="21"/>
          <w:szCs w:val="21"/>
        </w:rPr>
        <w:t>5.5报修响应时间0.5小时，到场时间24小时（不可抗拒力量下除外）。乙方24小时不能维修到位，则自24小时届满，乙方有义务免费提供备用机供甲方使用。备用机的功能、能耗及使用便利性不得低于本合同项目中的机械设备。乙方逾期维修，甲方可自行组织维修，但相关维修费用由乙方承担，甲方可直接从乙方质保金中扣除，扣除后乙方应在5个日历日内将质保金补足</w:t>
      </w:r>
      <w:r>
        <w:rPr>
          <w:rFonts w:hint="eastAsia" w:ascii="宋体" w:hAnsi="宋体" w:eastAsia="宋体" w:cs="宋体"/>
          <w:color w:val="000000"/>
          <w:szCs w:val="21"/>
        </w:rPr>
        <w:t>。</w:t>
      </w:r>
    </w:p>
    <w:p w14:paraId="5643CFA3">
      <w:pPr>
        <w:widowControl/>
        <w:numPr>
          <w:ilvl w:val="0"/>
          <w:numId w:val="10"/>
        </w:numPr>
        <w:spacing w:line="324" w:lineRule="auto"/>
        <w:jc w:val="left"/>
        <w:rPr>
          <w:rFonts w:ascii="宋体" w:hAnsi="宋体" w:cs="宋体"/>
          <w:b/>
          <w:bCs/>
          <w:color w:val="000000"/>
          <w:kern w:val="0"/>
          <w:szCs w:val="21"/>
        </w:rPr>
      </w:pPr>
      <w:r>
        <w:rPr>
          <w:rFonts w:hint="eastAsia" w:ascii="宋体" w:hAnsi="宋体" w:cs="宋体"/>
          <w:b/>
          <w:bCs/>
          <w:color w:val="000000"/>
          <w:kern w:val="0"/>
          <w:szCs w:val="21"/>
        </w:rPr>
        <w:t>违约条款 </w:t>
      </w:r>
    </w:p>
    <w:p w14:paraId="4034BB20">
      <w:pPr>
        <w:widowControl/>
        <w:spacing w:line="324" w:lineRule="auto"/>
        <w:jc w:val="left"/>
        <w:rPr>
          <w:rFonts w:ascii="宋体" w:hAnsi="宋体" w:cs="宋体"/>
          <w:color w:val="000000"/>
          <w:kern w:val="0"/>
          <w:szCs w:val="21"/>
        </w:rPr>
      </w:pPr>
      <w:r>
        <w:rPr>
          <w:rFonts w:hint="eastAsia" w:ascii="宋体" w:hAnsi="宋体" w:cs="宋体"/>
          <w:color w:val="000000"/>
          <w:kern w:val="0"/>
          <w:szCs w:val="21"/>
        </w:rPr>
        <w:t>6.1 如经相关监督管理机构检验确认货物不符合本合同约定或甲方验收时发现设备数量、规格、品种等不符合规定的，甲方有权选择下列方式之一要求乙方进行补救：</w:t>
      </w:r>
    </w:p>
    <w:p w14:paraId="55EAF4E3">
      <w:pPr>
        <w:widowControl/>
        <w:spacing w:line="324" w:lineRule="auto"/>
        <w:jc w:val="left"/>
        <w:rPr>
          <w:rFonts w:ascii="宋体" w:hAnsi="宋体" w:cs="宋体"/>
          <w:color w:val="000000"/>
          <w:kern w:val="0"/>
          <w:szCs w:val="21"/>
        </w:rPr>
      </w:pPr>
      <w:r>
        <w:rPr>
          <w:rFonts w:hint="eastAsia" w:ascii="宋体" w:hAnsi="宋体" w:cs="宋体"/>
          <w:color w:val="000000"/>
          <w:kern w:val="0"/>
          <w:szCs w:val="21"/>
        </w:rPr>
        <w:t>6.1.1甲方有权选择退货，乙方应将全额货款退还甲方，并负担因解除合同而发生的一切损失和费用。</w:t>
      </w:r>
    </w:p>
    <w:p w14:paraId="3936E108">
      <w:pPr>
        <w:widowControl/>
        <w:spacing w:line="324" w:lineRule="auto"/>
        <w:jc w:val="left"/>
        <w:rPr>
          <w:rFonts w:ascii="宋体" w:hAnsi="宋体" w:cs="宋体"/>
          <w:color w:val="000000"/>
          <w:kern w:val="0"/>
          <w:szCs w:val="21"/>
        </w:rPr>
      </w:pPr>
      <w:r>
        <w:rPr>
          <w:rFonts w:hint="eastAsia" w:ascii="宋体" w:hAnsi="宋体" w:cs="宋体"/>
          <w:color w:val="000000"/>
          <w:kern w:val="0"/>
          <w:szCs w:val="21"/>
        </w:rPr>
        <w:t>6.1.2调换有瑕疵的货物，换货必须全新并符合本合同规定的规格质量和性能，乙方并负责因此而产生的一切费用和甲方的一切损失。</w:t>
      </w:r>
    </w:p>
    <w:p w14:paraId="4A491607">
      <w:pPr>
        <w:widowControl/>
        <w:spacing w:line="324" w:lineRule="auto"/>
        <w:jc w:val="left"/>
        <w:rPr>
          <w:rFonts w:ascii="宋体" w:hAnsi="宋体" w:cs="宋体"/>
          <w:color w:val="000000"/>
          <w:kern w:val="0"/>
          <w:szCs w:val="21"/>
        </w:rPr>
      </w:pPr>
      <w:r>
        <w:rPr>
          <w:rFonts w:hint="eastAsia" w:ascii="宋体" w:hAnsi="宋体" w:cs="宋体"/>
          <w:color w:val="000000"/>
          <w:kern w:val="0"/>
          <w:szCs w:val="21"/>
        </w:rPr>
        <w:t>6.2如果乙方没有按照合同规定的时间交货和提供服务，甲方有权从合同货款中扣除误期赔偿费，延期交货和延期服务的赔偿费均按每延期一日扣除延期交付部分的合同价的百分之零点五（</w:t>
      </w:r>
      <w:r>
        <w:rPr>
          <w:rFonts w:hint="eastAsia" w:ascii="宋体" w:hAnsi="宋体" w:cs="宋体"/>
          <w:b/>
          <w:bCs/>
          <w:color w:val="000000"/>
          <w:kern w:val="0"/>
          <w:szCs w:val="21"/>
        </w:rPr>
        <w:t>0.5％</w:t>
      </w:r>
      <w:r>
        <w:rPr>
          <w:rFonts w:hint="eastAsia" w:ascii="宋体" w:hAnsi="宋体" w:cs="宋体"/>
          <w:color w:val="000000"/>
          <w:kern w:val="0"/>
          <w:szCs w:val="21"/>
        </w:rPr>
        <w:t>）计算，直至交货或提供服务为止；超过</w:t>
      </w:r>
      <w:r>
        <w:rPr>
          <w:rFonts w:hint="eastAsia" w:ascii="宋体" w:hAnsi="宋体" w:cs="宋体"/>
          <w:b/>
          <w:bCs/>
          <w:color w:val="000000"/>
          <w:kern w:val="0"/>
          <w:szCs w:val="21"/>
          <w:u w:val="single"/>
        </w:rPr>
        <w:t>30日</w:t>
      </w:r>
      <w:r>
        <w:rPr>
          <w:rFonts w:hint="eastAsia" w:ascii="宋体" w:hAnsi="宋体" w:cs="宋体"/>
          <w:color w:val="000000"/>
          <w:kern w:val="0"/>
          <w:szCs w:val="21"/>
        </w:rPr>
        <w:t>仍未能交货或提供服务的，甲方有权解除合同，乙方应向甲方支付合同总额30%的违约金。</w:t>
      </w:r>
    </w:p>
    <w:p w14:paraId="6F360102">
      <w:pPr>
        <w:spacing w:line="324" w:lineRule="auto"/>
        <w:rPr>
          <w:rFonts w:ascii="宋体" w:hAnsi="宋体" w:cs="宋体"/>
          <w:color w:val="000000"/>
          <w:kern w:val="0"/>
          <w:szCs w:val="21"/>
        </w:rPr>
      </w:pPr>
      <w:r>
        <w:rPr>
          <w:rFonts w:hint="eastAsia" w:ascii="宋体" w:hAnsi="宋体" w:cs="宋体"/>
          <w:color w:val="000000"/>
          <w:kern w:val="0"/>
          <w:szCs w:val="21"/>
        </w:rPr>
        <w:t>6.3 如乙方或乙方指定的售后维保商（或厂家）未能按照本合同第五条的约定履行质保义务，或不能及时响应按时提供质保服务的，除按照本合同约定从乙方质保金中扣除维保费用后，每发生一次违约，乙方还应向甲方支付1000元的违约金。</w:t>
      </w:r>
    </w:p>
    <w:p w14:paraId="6BA73CA8">
      <w:pPr>
        <w:spacing w:line="324" w:lineRule="auto"/>
        <w:rPr>
          <w:rFonts w:ascii="宋体" w:hAnsi="宋体" w:cs="宋体"/>
          <w:color w:val="000000"/>
          <w:kern w:val="0"/>
          <w:szCs w:val="21"/>
        </w:rPr>
      </w:pPr>
      <w:r>
        <w:rPr>
          <w:rFonts w:hint="eastAsia" w:ascii="宋体" w:hAnsi="宋体" w:cs="宋体"/>
          <w:color w:val="000000"/>
          <w:kern w:val="0"/>
          <w:szCs w:val="21"/>
        </w:rPr>
        <w:t>6.4 乙方在为甲方提供安装、调试、系统对接等服务时，应当确保不会影响甲方其他系统、设备的正常运行，如因此造成甲方其他系统、软件、设备无法运营或发生断电、断网等情形的，乙方应当全额赔偿甲方的损失，该损失包括但不限于：修理、重做、更换、重新调试的相关费用，财产和权益的直接减少，财产权益应当增加而未能增加的部分，数据丢失重新补录的时间和人力损失，为维权而产生的诉讼、仲裁、调查取证费用、差旅费、律师费等。</w:t>
      </w:r>
    </w:p>
    <w:p w14:paraId="761E951D">
      <w:pPr>
        <w:widowControl/>
        <w:spacing w:line="324" w:lineRule="auto"/>
        <w:jc w:val="left"/>
        <w:rPr>
          <w:rFonts w:ascii="宋体" w:hAnsi="宋体" w:cs="宋体"/>
          <w:color w:val="000000"/>
          <w:kern w:val="0"/>
          <w:szCs w:val="21"/>
        </w:rPr>
      </w:pPr>
      <w:r>
        <w:rPr>
          <w:rFonts w:hint="eastAsia" w:ascii="宋体" w:hAnsi="宋体" w:cs="宋体"/>
          <w:color w:val="000000"/>
          <w:kern w:val="0"/>
          <w:szCs w:val="21"/>
        </w:rPr>
        <w:t>6.5如因设备质量问题或乙方维护不及时，给甲方造成损失或导致甲方因此向第三方承担责任的，由甲方自行选择要求乙方对该设备予以免费退货或换货，乙方应承担因此给甲方造成的全部损失包括甲方向第三方承担赔偿的全部金额、甲方处理纠纷的费用等，还应向甲方承担本合同总金额30%的违约金。</w:t>
      </w:r>
    </w:p>
    <w:p w14:paraId="4CC87474">
      <w:pPr>
        <w:widowControl/>
        <w:spacing w:line="324" w:lineRule="auto"/>
        <w:jc w:val="left"/>
        <w:rPr>
          <w:rFonts w:ascii="宋体" w:hAnsi="宋体" w:cs="宋体"/>
          <w:color w:val="000000"/>
          <w:kern w:val="0"/>
          <w:szCs w:val="21"/>
        </w:rPr>
      </w:pPr>
      <w:r>
        <w:rPr>
          <w:rFonts w:hint="eastAsia" w:ascii="宋体" w:hAnsi="宋体" w:cs="宋体"/>
          <w:color w:val="000000"/>
          <w:kern w:val="0"/>
          <w:szCs w:val="21"/>
        </w:rPr>
        <w:t>6.6乙方应保证甲方和使用单位在使用该设备或其任何一部分时免受第三方提出侵犯其专利权、商标权或工业产权的起诉。</w:t>
      </w:r>
    </w:p>
    <w:p w14:paraId="7F2744D4">
      <w:pPr>
        <w:pStyle w:val="3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rPr>
          <w:color w:val="000000"/>
        </w:rPr>
      </w:pPr>
      <w:r>
        <w:rPr>
          <w:rFonts w:hint="eastAsia" w:ascii="宋体" w:hAnsi="宋体" w:eastAsia="宋体" w:cs="宋体"/>
          <w:color w:val="000000"/>
          <w:sz w:val="21"/>
          <w:szCs w:val="21"/>
        </w:rPr>
        <w:t>6.7乙方依据本合同约定应当承担的各项违约金和损失赔偿，甲方均有权从应支付乙方的款项中扣除。</w:t>
      </w:r>
    </w:p>
    <w:p w14:paraId="696A5ECD">
      <w:pPr>
        <w:widowControl/>
        <w:numPr>
          <w:ilvl w:val="0"/>
          <w:numId w:val="10"/>
        </w:numPr>
        <w:spacing w:line="324" w:lineRule="auto"/>
        <w:jc w:val="left"/>
        <w:rPr>
          <w:rFonts w:ascii="宋体" w:hAnsi="宋体" w:cs="宋体"/>
          <w:b/>
          <w:bCs/>
          <w:color w:val="000000"/>
          <w:kern w:val="0"/>
          <w:szCs w:val="21"/>
        </w:rPr>
      </w:pPr>
      <w:r>
        <w:rPr>
          <w:rFonts w:hint="eastAsia" w:ascii="宋体" w:hAnsi="宋体" w:cs="宋体"/>
          <w:b/>
          <w:bCs/>
          <w:color w:val="000000"/>
          <w:kern w:val="0"/>
          <w:szCs w:val="21"/>
        </w:rPr>
        <w:t>争议的解决方式</w:t>
      </w:r>
    </w:p>
    <w:p w14:paraId="61CBBD0E">
      <w:pPr>
        <w:widowControl/>
        <w:spacing w:line="324" w:lineRule="auto"/>
        <w:ind w:firstLine="420" w:firstLineChars="200"/>
        <w:jc w:val="left"/>
        <w:rPr>
          <w:rFonts w:ascii="宋体" w:hAnsi="宋体" w:cs="宋体"/>
          <w:color w:val="000000"/>
          <w:szCs w:val="21"/>
        </w:rPr>
      </w:pPr>
      <w:r>
        <w:rPr>
          <w:rFonts w:hint="eastAsia" w:ascii="宋体" w:hAnsi="宋体" w:cs="宋体"/>
          <w:color w:val="000000"/>
          <w:szCs w:val="21"/>
        </w:rPr>
        <w:t>甲、乙双方发生争议时，应先协商解决。协商不能达成一致，任何一方均可依法向甲方住所地人民法院提起诉讼。</w:t>
      </w:r>
    </w:p>
    <w:p w14:paraId="67066D17">
      <w:pPr>
        <w:widowControl/>
        <w:spacing w:line="324" w:lineRule="auto"/>
        <w:jc w:val="left"/>
        <w:rPr>
          <w:rFonts w:ascii="宋体" w:hAnsi="宋体" w:cs="宋体"/>
          <w:b/>
          <w:bCs/>
          <w:color w:val="000000"/>
          <w:kern w:val="0"/>
          <w:szCs w:val="21"/>
        </w:rPr>
      </w:pPr>
      <w:r>
        <w:rPr>
          <w:rFonts w:hint="eastAsia" w:ascii="宋体" w:hAnsi="宋体" w:cs="宋体"/>
          <w:b/>
          <w:bCs/>
          <w:color w:val="000000"/>
          <w:kern w:val="0"/>
          <w:szCs w:val="21"/>
        </w:rPr>
        <w:t>8.合同生效</w:t>
      </w:r>
    </w:p>
    <w:p w14:paraId="069F94E9">
      <w:pPr>
        <w:widowControl/>
        <w:spacing w:line="324" w:lineRule="auto"/>
        <w:jc w:val="left"/>
        <w:rPr>
          <w:rFonts w:ascii="宋体" w:hAnsi="宋体" w:cs="宋体"/>
          <w:color w:val="000000"/>
          <w:szCs w:val="21"/>
        </w:rPr>
      </w:pPr>
      <w:r>
        <w:rPr>
          <w:rFonts w:hint="eastAsia" w:ascii="宋体" w:hAnsi="宋体" w:cs="宋体"/>
          <w:color w:val="000000"/>
          <w:szCs w:val="21"/>
        </w:rPr>
        <w:t>8.1本合同根据招投标文件、中标通知书及谈判会议上的答疑记录等均作为合同的附件进行审核签订，是本合同不可分割的组成部分，均与本合同具有同等的法律效力。</w:t>
      </w:r>
    </w:p>
    <w:p w14:paraId="025326D3">
      <w:pPr>
        <w:widowControl/>
        <w:spacing w:line="324" w:lineRule="auto"/>
        <w:jc w:val="left"/>
        <w:rPr>
          <w:rFonts w:ascii="宋体" w:hAnsi="宋体" w:cs="宋体"/>
          <w:color w:val="000000"/>
          <w:kern w:val="0"/>
          <w:szCs w:val="21"/>
        </w:rPr>
      </w:pPr>
      <w:r>
        <w:rPr>
          <w:rFonts w:hint="eastAsia" w:ascii="宋体" w:hAnsi="宋体" w:cs="宋体"/>
          <w:color w:val="000000"/>
          <w:kern w:val="0"/>
          <w:szCs w:val="21"/>
        </w:rPr>
        <w:t>8.2本合同在甲、乙双方签字盖章后生效。</w:t>
      </w:r>
    </w:p>
    <w:p w14:paraId="06DE2F73">
      <w:pPr>
        <w:widowControl/>
        <w:spacing w:line="324" w:lineRule="auto"/>
        <w:jc w:val="left"/>
        <w:rPr>
          <w:rFonts w:ascii="宋体" w:hAnsi="宋体" w:cs="宋体"/>
          <w:color w:val="000000"/>
          <w:kern w:val="0"/>
          <w:szCs w:val="21"/>
        </w:rPr>
      </w:pPr>
      <w:r>
        <w:rPr>
          <w:rFonts w:hint="eastAsia" w:ascii="宋体" w:hAnsi="宋体" w:cs="宋体"/>
          <w:color w:val="000000"/>
          <w:kern w:val="0"/>
          <w:szCs w:val="21"/>
        </w:rPr>
        <w:t>8.3本合同一式</w:t>
      </w:r>
      <w:r>
        <w:rPr>
          <w:rFonts w:hint="eastAsia" w:ascii="宋体" w:hAnsi="宋体" w:cs="宋体"/>
          <w:b/>
          <w:bCs/>
          <w:color w:val="000000"/>
          <w:kern w:val="0"/>
          <w:szCs w:val="21"/>
        </w:rPr>
        <w:t>捌</w:t>
      </w:r>
      <w:r>
        <w:rPr>
          <w:rFonts w:hint="eastAsia" w:ascii="宋体" w:hAnsi="宋体" w:cs="宋体"/>
          <w:color w:val="000000"/>
          <w:kern w:val="0"/>
          <w:szCs w:val="21"/>
        </w:rPr>
        <w:t>份，以中文书就，甲方执</w:t>
      </w:r>
      <w:r>
        <w:rPr>
          <w:rFonts w:hint="eastAsia" w:ascii="宋体" w:hAnsi="宋体" w:cs="宋体"/>
          <w:b/>
          <w:bCs/>
          <w:color w:val="000000"/>
          <w:kern w:val="0"/>
          <w:szCs w:val="21"/>
        </w:rPr>
        <w:t>柒</w:t>
      </w:r>
      <w:r>
        <w:rPr>
          <w:rFonts w:hint="eastAsia" w:ascii="宋体" w:hAnsi="宋体" w:cs="宋体"/>
          <w:color w:val="000000"/>
          <w:kern w:val="0"/>
          <w:szCs w:val="21"/>
        </w:rPr>
        <w:t>份、乙方执</w:t>
      </w:r>
      <w:r>
        <w:rPr>
          <w:rFonts w:hint="eastAsia" w:ascii="宋体" w:hAnsi="宋体" w:cs="宋体"/>
          <w:b/>
          <w:bCs/>
          <w:color w:val="000000"/>
          <w:kern w:val="0"/>
          <w:szCs w:val="21"/>
        </w:rPr>
        <w:t>壹</w:t>
      </w:r>
      <w:r>
        <w:rPr>
          <w:rFonts w:hint="eastAsia" w:ascii="宋体" w:hAnsi="宋体" w:cs="宋体"/>
          <w:color w:val="000000"/>
          <w:kern w:val="0"/>
          <w:szCs w:val="21"/>
        </w:rPr>
        <w:t>份，具有相同的法律效应。</w:t>
      </w:r>
    </w:p>
    <w:p w14:paraId="731FF920">
      <w:pPr>
        <w:pStyle w:val="16"/>
        <w:rPr>
          <w:rFonts w:ascii="宋体" w:hAnsi="宋体" w:eastAsia="宋体" w:cs="宋体"/>
          <w:b/>
          <w:bCs/>
          <w:color w:val="000000"/>
          <w:kern w:val="0"/>
          <w:sz w:val="21"/>
        </w:rPr>
      </w:pPr>
      <w:r>
        <w:rPr>
          <w:rFonts w:hint="eastAsia" w:ascii="宋体" w:hAnsi="宋体" w:eastAsia="宋体" w:cs="宋体"/>
          <w:b/>
          <w:bCs/>
          <w:color w:val="000000"/>
          <w:kern w:val="0"/>
          <w:sz w:val="21"/>
        </w:rPr>
        <w:t>9.其他</w:t>
      </w:r>
    </w:p>
    <w:p w14:paraId="09A72235">
      <w:pPr>
        <w:widowControl/>
        <w:spacing w:line="336" w:lineRule="auto"/>
        <w:jc w:val="left"/>
        <w:rPr>
          <w:rFonts w:ascii="宋体" w:hAnsi="宋体" w:cs="宋体"/>
          <w:color w:val="000000"/>
          <w:szCs w:val="21"/>
        </w:rPr>
      </w:pPr>
      <w:r>
        <w:rPr>
          <w:rFonts w:hint="eastAsia" w:ascii="宋体" w:hAnsi="宋体" w:cs="宋体"/>
          <w:color w:val="000000"/>
          <w:szCs w:val="21"/>
        </w:rPr>
        <w:t>9.1招标文件、乙方投标文件、设备配置清单、设备备品备件耗材清单、设备零配件消耗品购买价格清单等均作为本合同的附件，与本合同具有同等法律效力。</w:t>
      </w:r>
    </w:p>
    <w:p w14:paraId="593B7E8D">
      <w:pPr>
        <w:widowControl/>
        <w:spacing w:line="336" w:lineRule="auto"/>
        <w:jc w:val="left"/>
        <w:rPr>
          <w:rFonts w:ascii="宋体" w:hAnsi="宋体" w:cs="宋体"/>
          <w:color w:val="000000"/>
          <w:szCs w:val="21"/>
        </w:rPr>
      </w:pPr>
      <w:r>
        <w:rPr>
          <w:rFonts w:hint="eastAsia" w:ascii="宋体" w:hAnsi="宋体" w:cs="宋体"/>
          <w:color w:val="000000"/>
          <w:szCs w:val="21"/>
        </w:rPr>
        <w:t>9.2.</w:t>
      </w:r>
      <w:bookmarkStart w:id="89" w:name="_Hlk7478227"/>
      <w:r>
        <w:rPr>
          <w:rFonts w:hint="eastAsia" w:ascii="宋体" w:hAnsi="宋体" w:cs="宋体"/>
          <w:color w:val="000000"/>
          <w:szCs w:val="21"/>
        </w:rPr>
        <w:t>本合同所列地址、联系方式是双方确定的作为本合同项下合同履行、争议解决方式条款中所涉仲裁法律文书的送达地址和联系方式。本合同履行过程中送达的文书包括但不限于商业函件、开庭传票、开庭通知书、证据、判决书、裁定书、裁决书、调解书、执行裁定书等。</w:t>
      </w:r>
    </w:p>
    <w:p w14:paraId="7CA5F85F">
      <w:pPr>
        <w:widowControl/>
        <w:spacing w:line="336" w:lineRule="auto"/>
        <w:ind w:firstLine="420" w:firstLineChars="200"/>
        <w:jc w:val="left"/>
        <w:rPr>
          <w:rFonts w:ascii="宋体" w:hAnsi="宋体" w:cs="宋体"/>
          <w:color w:val="000000"/>
          <w:szCs w:val="21"/>
        </w:rPr>
      </w:pPr>
      <w:r>
        <w:rPr>
          <w:rFonts w:hint="eastAsia" w:ascii="宋体" w:hAnsi="宋体" w:cs="宋体"/>
          <w:color w:val="000000"/>
          <w:szCs w:val="21"/>
        </w:rPr>
        <w:t>双方确认：上述送达地址和电子邮箱适用于合同履行完毕或争议经或仲裁、一审、二审、再审、执行阶段，至案件执行程序终结时止。</w:t>
      </w:r>
    </w:p>
    <w:p w14:paraId="137E5718">
      <w:pPr>
        <w:widowControl/>
        <w:spacing w:line="336" w:lineRule="auto"/>
        <w:ind w:firstLine="420" w:firstLineChars="200"/>
        <w:jc w:val="left"/>
        <w:rPr>
          <w:rFonts w:ascii="宋体" w:hAnsi="宋体" w:cs="宋体"/>
          <w:color w:val="000000"/>
          <w:szCs w:val="21"/>
        </w:rPr>
      </w:pPr>
      <w:r>
        <w:rPr>
          <w:rFonts w:hint="eastAsia" w:ascii="宋体" w:hAnsi="宋体" w:cs="宋体"/>
          <w:color w:val="000000"/>
          <w:szCs w:val="21"/>
        </w:rPr>
        <w:t>任何一方发生地址、接收人变动的，应书面向对方送达并获得对方书面确认，否则不发生送达地址、接收人变动的效力；向本合同约定地址送达导致诉讼仲裁文书未能被当事人实际接收，邮寄送达的，以文书退回之日视为送达之日；直接送达的，送达人当场在送达回证上记明情况之日视为送达之日。</w:t>
      </w:r>
      <w:bookmarkEnd w:id="89"/>
    </w:p>
    <w:p w14:paraId="7D01DCF7">
      <w:pPr>
        <w:spacing w:after="120" w:afterLines="50" w:line="360" w:lineRule="auto"/>
        <w:rPr>
          <w:color w:val="000000"/>
          <w:u w:val="single"/>
        </w:rPr>
      </w:pPr>
      <w:r>
        <w:rPr>
          <w:rFonts w:ascii="宋体" w:hAnsi="宋体" w:cs="宋体"/>
          <w:b/>
          <w:bCs/>
          <w:color w:val="000000"/>
          <w:kern w:val="0"/>
          <w:szCs w:val="21"/>
        </w:rPr>
        <w:t>甲方：</w:t>
      </w:r>
      <w:r>
        <w:rPr>
          <w:rFonts w:hint="eastAsia" w:ascii="宋体" w:hAnsi="宋体" w:cs="宋体"/>
          <w:b/>
          <w:bCs/>
          <w:color w:val="000000"/>
          <w:kern w:val="0"/>
          <w:szCs w:val="21"/>
          <w:u w:val="single"/>
        </w:rPr>
        <w:t xml:space="preserve">新疆维吾尔自治区第二济困医院  </w:t>
      </w:r>
      <w:r>
        <w:rPr>
          <w:rFonts w:hint="eastAsia" w:ascii="宋体" w:hAnsi="宋体" w:cs="宋体"/>
          <w:b/>
          <w:bCs/>
          <w:color w:val="000000"/>
          <w:kern w:val="0"/>
          <w:szCs w:val="21"/>
        </w:rPr>
        <w:t xml:space="preserve">         </w:t>
      </w:r>
      <w:r>
        <w:rPr>
          <w:rFonts w:ascii="宋体" w:hAnsi="宋体" w:cs="宋体"/>
          <w:b/>
          <w:bCs/>
          <w:color w:val="000000"/>
          <w:kern w:val="0"/>
          <w:szCs w:val="21"/>
        </w:rPr>
        <w:t>乙方：</w:t>
      </w:r>
    </w:p>
    <w:p w14:paraId="3A7C33F5">
      <w:pPr>
        <w:widowControl/>
        <w:spacing w:before="135" w:after="135" w:line="324" w:lineRule="auto"/>
        <w:ind w:firstLine="422" w:firstLineChars="200"/>
        <w:jc w:val="left"/>
        <w:rPr>
          <w:rFonts w:ascii="宋体" w:hAnsi="宋体" w:cs="宋体"/>
          <w:b/>
          <w:bCs/>
          <w:color w:val="000000"/>
          <w:kern w:val="0"/>
          <w:szCs w:val="21"/>
        </w:rPr>
      </w:pPr>
      <w:r>
        <w:rPr>
          <w:rFonts w:hint="eastAsia" w:ascii="宋体" w:hAnsi="宋体" w:cs="宋体"/>
          <w:b/>
          <w:bCs/>
          <w:color w:val="000000"/>
          <w:kern w:val="0"/>
          <w:szCs w:val="21"/>
          <w:u w:val="single"/>
        </w:rPr>
        <w:t>（新疆维吾尔自治区第五人民医院）</w:t>
      </w:r>
      <w:r>
        <w:rPr>
          <w:rFonts w:ascii="宋体" w:hAnsi="宋体" w:cs="宋体"/>
          <w:b/>
          <w:bCs/>
          <w:color w:val="000000"/>
          <w:kern w:val="0"/>
          <w:szCs w:val="21"/>
        </w:rPr>
        <w:t>（盖章）</w:t>
      </w:r>
      <w:r>
        <w:rPr>
          <w:rFonts w:hint="eastAsia" w:ascii="宋体" w:hAnsi="宋体" w:cs="宋体"/>
          <w:b/>
          <w:bCs/>
          <w:color w:val="000000"/>
          <w:kern w:val="0"/>
          <w:szCs w:val="21"/>
        </w:rPr>
        <w:t xml:space="preserve">             </w:t>
      </w:r>
      <w:r>
        <w:rPr>
          <w:rFonts w:ascii="宋体" w:hAnsi="宋体" w:cs="宋体"/>
          <w:b/>
          <w:bCs/>
          <w:color w:val="000000"/>
          <w:kern w:val="0"/>
          <w:szCs w:val="21"/>
        </w:rPr>
        <w:t>（盖章） </w:t>
      </w:r>
    </w:p>
    <w:p w14:paraId="60CFD025">
      <w:pPr>
        <w:widowControl/>
        <w:spacing w:line="480" w:lineRule="auto"/>
        <w:jc w:val="left"/>
        <w:rPr>
          <w:rFonts w:ascii="宋体" w:hAnsi="宋体" w:cs="宋体"/>
          <w:b/>
          <w:bCs/>
          <w:color w:val="000000"/>
          <w:kern w:val="0"/>
          <w:szCs w:val="21"/>
        </w:rPr>
      </w:pPr>
      <w:r>
        <w:rPr>
          <w:rFonts w:ascii="宋体" w:hAnsi="宋体" w:cs="宋体"/>
          <w:b/>
          <w:bCs/>
          <w:color w:val="000000"/>
          <w:kern w:val="0"/>
          <w:szCs w:val="21"/>
        </w:rPr>
        <w:t>甲方法定代表人</w:t>
      </w:r>
      <w:r>
        <w:rPr>
          <w:rFonts w:hint="eastAsia" w:ascii="宋体" w:hAnsi="宋体" w:cs="宋体"/>
          <w:b/>
          <w:bCs/>
          <w:color w:val="000000"/>
          <w:kern w:val="0"/>
          <w:szCs w:val="21"/>
        </w:rPr>
        <w:t>：</w:t>
      </w:r>
      <w:r>
        <w:rPr>
          <w:rFonts w:ascii="宋体" w:hAnsi="宋体" w:cs="宋体"/>
          <w:b/>
          <w:bCs/>
          <w:color w:val="000000"/>
          <w:kern w:val="0"/>
          <w:szCs w:val="21"/>
        </w:rPr>
        <w:t>________________</w:t>
      </w:r>
      <w:r>
        <w:rPr>
          <w:rFonts w:hint="eastAsia" w:ascii="宋体" w:hAnsi="宋体" w:cs="宋体"/>
          <w:b/>
          <w:bCs/>
          <w:color w:val="000000"/>
          <w:kern w:val="0"/>
          <w:szCs w:val="21"/>
        </w:rPr>
        <w:t xml:space="preserve">         </w:t>
      </w:r>
      <w:r>
        <w:rPr>
          <w:rFonts w:ascii="宋体" w:hAnsi="宋体" w:cs="宋体"/>
          <w:b/>
          <w:bCs/>
          <w:color w:val="000000"/>
          <w:kern w:val="0"/>
          <w:szCs w:val="21"/>
        </w:rPr>
        <w:t>乙方法定代表人</w:t>
      </w:r>
      <w:r>
        <w:rPr>
          <w:rFonts w:hint="eastAsia" w:ascii="宋体" w:hAnsi="宋体" w:cs="宋体"/>
          <w:b/>
          <w:bCs/>
          <w:color w:val="000000"/>
          <w:kern w:val="0"/>
          <w:szCs w:val="21"/>
        </w:rPr>
        <w:t>：</w:t>
      </w:r>
      <w:r>
        <w:rPr>
          <w:rFonts w:ascii="宋体" w:hAnsi="宋体" w:cs="宋体"/>
          <w:b/>
          <w:bCs/>
          <w:color w:val="000000"/>
          <w:kern w:val="0"/>
          <w:szCs w:val="21"/>
        </w:rPr>
        <w:t>________________</w:t>
      </w:r>
      <w:r>
        <w:rPr>
          <w:rFonts w:hint="eastAsia" w:ascii="宋体" w:hAnsi="宋体" w:cs="宋体"/>
          <w:b/>
          <w:bCs/>
          <w:color w:val="000000"/>
          <w:kern w:val="0"/>
          <w:szCs w:val="21"/>
        </w:rPr>
        <w:t xml:space="preserve">  </w:t>
      </w:r>
    </w:p>
    <w:p w14:paraId="45F6A538">
      <w:pPr>
        <w:pStyle w:val="5"/>
        <w:numPr>
          <w:ilvl w:val="0"/>
          <w:numId w:val="0"/>
        </w:numPr>
        <w:spacing w:before="0" w:after="0" w:line="480" w:lineRule="auto"/>
        <w:ind w:left="1080" w:hanging="1080"/>
        <w:jc w:val="both"/>
        <w:rPr>
          <w:color w:val="000000"/>
          <w:u w:val="single"/>
        </w:rPr>
      </w:pPr>
      <w:r>
        <w:rPr>
          <w:rFonts w:hint="eastAsia" w:cs="宋体"/>
          <w:b/>
          <w:bCs/>
          <w:color w:val="000000"/>
          <w:kern w:val="0"/>
          <w:sz w:val="21"/>
          <w:szCs w:val="21"/>
        </w:rPr>
        <w:t>委托代理人：：</w:t>
      </w:r>
      <w:r>
        <w:rPr>
          <w:rFonts w:cs="宋体"/>
          <w:b/>
          <w:bCs/>
          <w:color w:val="000000"/>
          <w:kern w:val="0"/>
          <w:sz w:val="21"/>
          <w:szCs w:val="21"/>
        </w:rPr>
        <w:t>________________</w:t>
      </w:r>
      <w:r>
        <w:rPr>
          <w:rFonts w:hint="eastAsia" w:cs="宋体"/>
          <w:b/>
          <w:bCs/>
          <w:color w:val="000000"/>
          <w:kern w:val="0"/>
          <w:sz w:val="21"/>
          <w:szCs w:val="21"/>
        </w:rPr>
        <w:t xml:space="preserve">           委托代理人：</w:t>
      </w:r>
      <w:r>
        <w:rPr>
          <w:rFonts w:hint="eastAsia" w:cs="宋体"/>
          <w:b/>
          <w:bCs/>
          <w:color w:val="000000"/>
          <w:kern w:val="0"/>
          <w:sz w:val="21"/>
          <w:szCs w:val="21"/>
          <w:u w:val="single"/>
        </w:rPr>
        <w:t xml:space="preserve">                     </w:t>
      </w:r>
    </w:p>
    <w:p w14:paraId="10C323D3">
      <w:pPr>
        <w:widowControl/>
        <w:spacing w:line="480" w:lineRule="auto"/>
        <w:jc w:val="left"/>
        <w:rPr>
          <w:rFonts w:ascii="宋体" w:hAnsi="宋体" w:cs="宋体"/>
          <w:b/>
          <w:color w:val="000000"/>
          <w:kern w:val="0"/>
          <w:sz w:val="24"/>
          <w:szCs w:val="21"/>
          <w:u w:val="single"/>
        </w:rPr>
      </w:pPr>
      <w:r>
        <w:rPr>
          <w:rFonts w:hint="eastAsia" w:ascii="宋体" w:hAnsi="宋体" w:cs="宋体"/>
          <w:b/>
          <w:color w:val="000000"/>
          <w:kern w:val="0"/>
          <w:sz w:val="24"/>
          <w:szCs w:val="21"/>
        </w:rPr>
        <w:t>联系人：</w:t>
      </w:r>
      <w:r>
        <w:rPr>
          <w:rFonts w:hint="eastAsia" w:ascii="宋体" w:hAnsi="宋体" w:cs="宋体"/>
          <w:b/>
          <w:color w:val="000000"/>
          <w:kern w:val="0"/>
          <w:sz w:val="24"/>
          <w:szCs w:val="21"/>
          <w:u w:val="single"/>
        </w:rPr>
        <w:t xml:space="preserve">                   </w:t>
      </w:r>
      <w:r>
        <w:rPr>
          <w:rFonts w:hint="eastAsia" w:ascii="宋体" w:hAnsi="宋体" w:cs="宋体"/>
          <w:b/>
          <w:color w:val="000000"/>
          <w:kern w:val="0"/>
          <w:sz w:val="24"/>
          <w:szCs w:val="21"/>
        </w:rPr>
        <w:t xml:space="preserve">         联系人：</w:t>
      </w:r>
      <w:r>
        <w:rPr>
          <w:rFonts w:hint="eastAsia" w:ascii="宋体" w:hAnsi="宋体" w:cs="宋体"/>
          <w:b/>
          <w:color w:val="000000"/>
          <w:kern w:val="0"/>
          <w:sz w:val="24"/>
          <w:szCs w:val="21"/>
          <w:u w:val="single"/>
        </w:rPr>
        <w:t xml:space="preserve">                    </w:t>
      </w:r>
    </w:p>
    <w:p w14:paraId="3BBC2D3C">
      <w:pPr>
        <w:widowControl/>
        <w:spacing w:line="480" w:lineRule="auto"/>
        <w:jc w:val="left"/>
        <w:rPr>
          <w:rFonts w:ascii="宋体" w:hAnsi="宋体" w:cs="宋体"/>
          <w:b/>
          <w:color w:val="000000"/>
          <w:kern w:val="0"/>
          <w:sz w:val="24"/>
          <w:szCs w:val="21"/>
          <w:u w:val="single"/>
        </w:rPr>
      </w:pPr>
      <w:r>
        <w:rPr>
          <w:rFonts w:hint="eastAsia" w:ascii="宋体" w:hAnsi="宋体" w:cs="宋体"/>
          <w:b/>
          <w:color w:val="000000"/>
          <w:kern w:val="0"/>
          <w:sz w:val="24"/>
          <w:szCs w:val="21"/>
        </w:rPr>
        <w:t>联系电话：</w:t>
      </w:r>
      <w:r>
        <w:rPr>
          <w:rFonts w:hint="eastAsia" w:ascii="宋体" w:hAnsi="宋体" w:cs="宋体"/>
          <w:b/>
          <w:color w:val="000000"/>
          <w:kern w:val="0"/>
          <w:sz w:val="24"/>
          <w:szCs w:val="21"/>
          <w:u w:val="single"/>
        </w:rPr>
        <w:t xml:space="preserve">                 </w:t>
      </w:r>
      <w:r>
        <w:rPr>
          <w:rFonts w:hint="eastAsia" w:ascii="宋体" w:hAnsi="宋体" w:cs="宋体"/>
          <w:b/>
          <w:color w:val="000000"/>
          <w:kern w:val="0"/>
          <w:sz w:val="24"/>
          <w:szCs w:val="21"/>
        </w:rPr>
        <w:t xml:space="preserve">         联系电话：</w:t>
      </w:r>
      <w:r>
        <w:rPr>
          <w:rFonts w:hint="eastAsia" w:ascii="宋体" w:hAnsi="宋体" w:cs="宋体"/>
          <w:b/>
          <w:color w:val="000000"/>
          <w:kern w:val="0"/>
          <w:sz w:val="24"/>
          <w:szCs w:val="21"/>
          <w:u w:val="single"/>
        </w:rPr>
        <w:t xml:space="preserve">                   </w:t>
      </w:r>
    </w:p>
    <w:p w14:paraId="7FCD3032">
      <w:pPr>
        <w:widowControl/>
        <w:spacing w:line="480" w:lineRule="auto"/>
        <w:jc w:val="left"/>
        <w:rPr>
          <w:color w:val="000000"/>
        </w:rPr>
      </w:pPr>
      <w:r>
        <w:rPr>
          <w:rFonts w:hint="eastAsia" w:ascii="宋体" w:hAnsi="宋体" w:cs="宋体"/>
          <w:b/>
          <w:color w:val="000000"/>
          <w:kern w:val="0"/>
          <w:sz w:val="24"/>
          <w:szCs w:val="21"/>
        </w:rPr>
        <w:t>地址：</w:t>
      </w:r>
      <w:r>
        <w:rPr>
          <w:rFonts w:hint="eastAsia" w:ascii="宋体" w:hAnsi="宋体" w:cs="宋体"/>
          <w:b/>
          <w:color w:val="000000"/>
          <w:kern w:val="0"/>
          <w:sz w:val="24"/>
          <w:szCs w:val="21"/>
          <w:u w:val="single"/>
        </w:rPr>
        <w:t xml:space="preserve">                 </w:t>
      </w:r>
      <w:r>
        <w:rPr>
          <w:rFonts w:hint="eastAsia" w:ascii="宋体" w:hAnsi="宋体" w:cs="宋体"/>
          <w:b/>
          <w:color w:val="000000"/>
          <w:kern w:val="0"/>
          <w:sz w:val="24"/>
          <w:szCs w:val="21"/>
        </w:rPr>
        <w:t xml:space="preserve">             地址：</w:t>
      </w:r>
      <w:r>
        <w:rPr>
          <w:rFonts w:hint="eastAsia" w:ascii="宋体" w:hAnsi="宋体" w:cs="宋体"/>
          <w:b/>
          <w:color w:val="000000"/>
          <w:kern w:val="0"/>
          <w:sz w:val="24"/>
          <w:szCs w:val="21"/>
          <w:u w:val="single"/>
        </w:rPr>
        <w:t xml:space="preserve">                   </w:t>
      </w:r>
    </w:p>
    <w:p w14:paraId="37569C90">
      <w:pPr>
        <w:widowControl/>
        <w:spacing w:line="480" w:lineRule="auto"/>
        <w:jc w:val="left"/>
        <w:rPr>
          <w:rFonts w:ascii="宋体" w:hAnsi="宋体" w:cs="宋体"/>
          <w:b/>
          <w:bCs/>
          <w:color w:val="000000"/>
          <w:kern w:val="0"/>
          <w:szCs w:val="21"/>
          <w:u w:val="single"/>
        </w:rPr>
      </w:pPr>
      <w:r>
        <w:rPr>
          <w:rFonts w:ascii="宋体" w:hAnsi="宋体" w:cs="宋体"/>
          <w:b/>
          <w:bCs/>
          <w:color w:val="000000"/>
          <w:kern w:val="0"/>
          <w:szCs w:val="21"/>
        </w:rPr>
        <w:t>日期：____________________ </w:t>
      </w:r>
      <w:r>
        <w:rPr>
          <w:rFonts w:hint="eastAsia" w:ascii="宋体" w:hAnsi="宋体" w:cs="宋体"/>
          <w:b/>
          <w:bCs/>
          <w:color w:val="000000"/>
          <w:kern w:val="0"/>
          <w:szCs w:val="21"/>
        </w:rPr>
        <w:t xml:space="preserve">             </w:t>
      </w:r>
      <w:r>
        <w:rPr>
          <w:rFonts w:ascii="宋体" w:hAnsi="宋体" w:cs="宋体"/>
          <w:b/>
          <w:bCs/>
          <w:color w:val="000000"/>
          <w:kern w:val="0"/>
          <w:szCs w:val="21"/>
        </w:rPr>
        <w:t>日期：</w:t>
      </w:r>
      <w:r>
        <w:rPr>
          <w:rFonts w:hint="eastAsia" w:ascii="宋体" w:hAnsi="宋体" w:cs="宋体"/>
          <w:b/>
          <w:bCs/>
          <w:color w:val="000000"/>
          <w:kern w:val="0"/>
          <w:szCs w:val="21"/>
          <w:u w:val="single"/>
        </w:rPr>
        <w:t xml:space="preserve">                           </w:t>
      </w:r>
    </w:p>
    <w:p w14:paraId="14323DA6">
      <w:pPr>
        <w:pStyle w:val="2"/>
      </w:pPr>
    </w:p>
    <w:p w14:paraId="39ED7068">
      <w:pPr>
        <w:pStyle w:val="51"/>
      </w:pPr>
    </w:p>
    <w:p w14:paraId="5AAB37B6"/>
    <w:p w14:paraId="080691A5">
      <w:pPr>
        <w:pStyle w:val="2"/>
      </w:pPr>
    </w:p>
    <w:p w14:paraId="57EF4A8B">
      <w:pPr>
        <w:pStyle w:val="51"/>
      </w:pPr>
    </w:p>
    <w:p w14:paraId="6771B896"/>
    <w:p w14:paraId="675641CF">
      <w:pPr>
        <w:pStyle w:val="2"/>
      </w:pPr>
    </w:p>
    <w:p w14:paraId="4AE3624C">
      <w:pPr>
        <w:pStyle w:val="51"/>
      </w:pPr>
    </w:p>
    <w:p w14:paraId="184747D8"/>
    <w:p w14:paraId="770EB83D">
      <w:pPr>
        <w:pStyle w:val="2"/>
      </w:pPr>
    </w:p>
    <w:p w14:paraId="6823E309">
      <w:pPr>
        <w:pStyle w:val="51"/>
      </w:pPr>
    </w:p>
    <w:p w14:paraId="2A35352C"/>
    <w:p w14:paraId="0479AFEC">
      <w:pPr>
        <w:pStyle w:val="2"/>
      </w:pPr>
    </w:p>
    <w:p w14:paraId="505821FC">
      <w:pPr>
        <w:pStyle w:val="51"/>
      </w:pPr>
    </w:p>
    <w:p w14:paraId="7F2DD33F"/>
    <w:p w14:paraId="476BD896">
      <w:pPr>
        <w:pStyle w:val="2"/>
      </w:pPr>
    </w:p>
    <w:p w14:paraId="401ABDF3">
      <w:pPr>
        <w:pStyle w:val="51"/>
      </w:pPr>
    </w:p>
    <w:p w14:paraId="05802916"/>
    <w:p w14:paraId="4AFE7CB2">
      <w:pPr>
        <w:pStyle w:val="2"/>
      </w:pPr>
    </w:p>
    <w:p w14:paraId="303B8DE0">
      <w:pPr>
        <w:pStyle w:val="51"/>
      </w:pPr>
    </w:p>
    <w:p w14:paraId="02582720"/>
    <w:p w14:paraId="5749C4C7">
      <w:pPr>
        <w:pStyle w:val="2"/>
      </w:pPr>
    </w:p>
    <w:p w14:paraId="221A60BC">
      <w:pPr>
        <w:widowControl/>
        <w:numPr>
          <w:ilvl w:val="0"/>
          <w:numId w:val="2"/>
        </w:numPr>
        <w:spacing w:line="400" w:lineRule="exact"/>
        <w:ind w:left="0"/>
        <w:jc w:val="center"/>
        <w:outlineLvl w:val="0"/>
        <w:rPr>
          <w:rFonts w:hint="eastAsia" w:asciiTheme="majorEastAsia" w:hAnsiTheme="majorEastAsia" w:eastAsiaTheme="majorEastAsia" w:cstheme="majorEastAsia"/>
          <w:b/>
          <w:bCs/>
          <w:color w:val="000000" w:themeColor="text1"/>
          <w:sz w:val="24"/>
          <w:szCs w:val="24"/>
          <w14:textFill>
            <w14:solidFill>
              <w14:schemeClr w14:val="tx1"/>
            </w14:solidFill>
          </w14:textFill>
        </w:rPr>
      </w:pPr>
      <w:bookmarkStart w:id="90" w:name="_Toc19666"/>
      <w:r>
        <w:rPr>
          <w:rFonts w:hint="eastAsia" w:asciiTheme="majorEastAsia" w:hAnsiTheme="majorEastAsia" w:eastAsiaTheme="majorEastAsia" w:cstheme="majorEastAsia"/>
          <w:b/>
          <w:bCs/>
          <w:color w:val="000000" w:themeColor="text1"/>
          <w:sz w:val="24"/>
          <w:szCs w:val="24"/>
          <w14:textFill>
            <w14:solidFill>
              <w14:schemeClr w14:val="tx1"/>
            </w14:solidFill>
          </w14:textFill>
        </w:rPr>
        <w:t xml:space="preserve">  </w:t>
      </w:r>
      <w:bookmarkStart w:id="91" w:name="_Toc5463"/>
      <w:r>
        <w:rPr>
          <w:rFonts w:hint="eastAsia" w:asciiTheme="majorEastAsia" w:hAnsiTheme="majorEastAsia" w:eastAsiaTheme="majorEastAsia" w:cstheme="majorEastAsia"/>
          <w:b/>
          <w:bCs/>
          <w:color w:val="000000" w:themeColor="text1"/>
          <w:sz w:val="24"/>
          <w:szCs w:val="24"/>
          <w14:textFill>
            <w14:solidFill>
              <w14:schemeClr w14:val="tx1"/>
            </w14:solidFill>
          </w14:textFill>
        </w:rPr>
        <w:t>附件</w:t>
      </w:r>
      <w:bookmarkEnd w:id="80"/>
      <w:bookmarkEnd w:id="90"/>
      <w:bookmarkEnd w:id="91"/>
    </w:p>
    <w:p w14:paraId="6E092278">
      <w:pPr>
        <w:pStyle w:val="41"/>
        <w:rPr>
          <w:rFonts w:hint="eastAsia" w:asciiTheme="majorEastAsia" w:hAnsiTheme="majorEastAsia" w:eastAsiaTheme="majorEastAsia" w:cstheme="majorEastAsia"/>
          <w:color w:val="000000" w:themeColor="text1"/>
          <w14:textFill>
            <w14:solidFill>
              <w14:schemeClr w14:val="tx1"/>
            </w14:solidFill>
          </w14:textFill>
        </w:rPr>
      </w:pPr>
    </w:p>
    <w:p w14:paraId="53302E7C">
      <w:pPr>
        <w:rPr>
          <w:rFonts w:hint="eastAsia" w:asciiTheme="majorEastAsia" w:hAnsiTheme="majorEastAsia" w:eastAsiaTheme="majorEastAsia" w:cstheme="majorEastAsia"/>
          <w:color w:val="000000" w:themeColor="text1"/>
          <w14:textFill>
            <w14:solidFill>
              <w14:schemeClr w14:val="tx1"/>
            </w14:solidFill>
          </w14:textFill>
        </w:rPr>
      </w:pPr>
    </w:p>
    <w:p w14:paraId="75D7B036">
      <w:pPr>
        <w:autoSpaceDE w:val="0"/>
        <w:autoSpaceDN w:val="0"/>
        <w:adjustRightInd w:val="0"/>
        <w:spacing w:line="400" w:lineRule="exact"/>
        <w:jc w:val="right"/>
        <w:rPr>
          <w:rFonts w:hint="eastAsia" w:asciiTheme="majorEastAsia" w:hAnsiTheme="majorEastAsia" w:eastAsiaTheme="majorEastAsia" w:cstheme="majorEastAsia"/>
          <w:b/>
          <w:color w:val="000000" w:themeColor="text1"/>
          <w:spacing w:val="-6"/>
          <w:kern w:val="0"/>
          <w:sz w:val="24"/>
          <w:szCs w:val="24"/>
          <w:bdr w:val="single" w:color="auto" w:sz="4" w:space="0"/>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 xml:space="preserve">         </w:t>
      </w:r>
      <w:r>
        <w:rPr>
          <w:rFonts w:hint="eastAsia" w:asciiTheme="majorEastAsia" w:hAnsiTheme="majorEastAsia" w:eastAsiaTheme="majorEastAsia" w:cstheme="majorEastAsia"/>
          <w:b/>
          <w:color w:val="000000" w:themeColor="text1"/>
          <w:spacing w:val="-6"/>
          <w:kern w:val="0"/>
          <w:sz w:val="24"/>
          <w:szCs w:val="24"/>
          <w:bdr w:val="single" w:color="auto" w:sz="4" w:space="0"/>
          <w14:textFill>
            <w14:solidFill>
              <w14:schemeClr w14:val="tx1"/>
            </w14:solidFill>
          </w14:textFill>
        </w:rPr>
        <w:t>正本(或副本)</w:t>
      </w:r>
    </w:p>
    <w:p w14:paraId="73F0FB72">
      <w:pPr>
        <w:spacing w:line="400" w:lineRule="exact"/>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14:paraId="49809A1C">
      <w:pPr>
        <w:pStyle w:val="2"/>
        <w:rPr>
          <w:rFonts w:ascii="仿宋" w:hAnsi="仿宋" w:eastAsia="仿宋" w:cs="仿宋"/>
          <w:b/>
          <w:color w:val="000000" w:themeColor="text1"/>
          <w:szCs w:val="24"/>
          <w14:textFill>
            <w14:solidFill>
              <w14:schemeClr w14:val="tx1"/>
            </w14:solidFill>
          </w14:textFill>
        </w:rPr>
      </w:pPr>
    </w:p>
    <w:p w14:paraId="38B1535A">
      <w:pPr>
        <w:rPr>
          <w:rFonts w:ascii="仿宋" w:hAnsi="仿宋" w:eastAsia="仿宋" w:cs="仿宋"/>
          <w:b/>
          <w:color w:val="000000" w:themeColor="text1"/>
          <w:sz w:val="24"/>
          <w:szCs w:val="24"/>
          <w14:textFill>
            <w14:solidFill>
              <w14:schemeClr w14:val="tx1"/>
            </w14:solidFill>
          </w14:textFill>
        </w:rPr>
      </w:pPr>
    </w:p>
    <w:p w14:paraId="57DFB21C">
      <w:pPr>
        <w:pStyle w:val="2"/>
        <w:rPr>
          <w:color w:val="000000" w:themeColor="text1"/>
          <w14:textFill>
            <w14:solidFill>
              <w14:schemeClr w14:val="tx1"/>
            </w14:solidFill>
          </w14:textFill>
        </w:rPr>
      </w:pPr>
    </w:p>
    <w:p w14:paraId="6D5ACC90">
      <w:pPr>
        <w:spacing w:line="400" w:lineRule="exact"/>
        <w:rPr>
          <w:rFonts w:ascii="仿宋" w:hAnsi="仿宋" w:eastAsia="仿宋" w:cs="仿宋"/>
          <w:b/>
          <w:color w:val="000000" w:themeColor="text1"/>
          <w:sz w:val="24"/>
          <w:szCs w:val="24"/>
          <w14:textFill>
            <w14:solidFill>
              <w14:schemeClr w14:val="tx1"/>
            </w14:solidFill>
          </w14:textFill>
        </w:rPr>
      </w:pPr>
    </w:p>
    <w:p w14:paraId="736BE723">
      <w:pPr>
        <w:pStyle w:val="13"/>
        <w:spacing w:line="400" w:lineRule="exact"/>
        <w:ind w:firstLine="480"/>
        <w:rPr>
          <w:rFonts w:ascii="仿宋" w:hAnsi="仿宋" w:eastAsia="仿宋" w:cs="仿宋"/>
          <w:color w:val="000000" w:themeColor="text1"/>
          <w:sz w:val="24"/>
          <w14:textFill>
            <w14:solidFill>
              <w14:schemeClr w14:val="tx1"/>
            </w14:solidFill>
          </w14:textFill>
        </w:rPr>
      </w:pPr>
    </w:p>
    <w:p w14:paraId="2CA1ED3D">
      <w:pPr>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（项目名称）</w:t>
      </w:r>
    </w:p>
    <w:p w14:paraId="735875C4">
      <w:pPr>
        <w:spacing w:line="400" w:lineRule="exact"/>
        <w:jc w:val="center"/>
        <w:rPr>
          <w:rFonts w:ascii="仿宋" w:hAnsi="仿宋" w:eastAsia="仿宋" w:cs="仿宋"/>
          <w:color w:val="000000" w:themeColor="text1"/>
          <w:sz w:val="24"/>
          <w:szCs w:val="24"/>
          <w14:textFill>
            <w14:solidFill>
              <w14:schemeClr w14:val="tx1"/>
            </w14:solidFill>
          </w14:textFill>
        </w:rPr>
      </w:pPr>
    </w:p>
    <w:p w14:paraId="66EF418F">
      <w:pPr>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（项目编号）</w:t>
      </w:r>
    </w:p>
    <w:p w14:paraId="752DCF48">
      <w:pPr>
        <w:spacing w:line="400" w:lineRule="exact"/>
        <w:rPr>
          <w:rFonts w:ascii="仿宋" w:hAnsi="仿宋" w:eastAsia="仿宋" w:cs="仿宋"/>
          <w:color w:val="000000" w:themeColor="text1"/>
          <w:sz w:val="24"/>
          <w:szCs w:val="24"/>
          <w14:textFill>
            <w14:solidFill>
              <w14:schemeClr w14:val="tx1"/>
            </w14:solidFill>
          </w14:textFill>
        </w:rPr>
      </w:pPr>
    </w:p>
    <w:p w14:paraId="1597055C">
      <w:pPr>
        <w:spacing w:line="400" w:lineRule="exact"/>
        <w:jc w:val="center"/>
        <w:rPr>
          <w:rFonts w:ascii="仿宋" w:hAnsi="仿宋" w:eastAsia="仿宋" w:cs="仿宋"/>
          <w:color w:val="000000" w:themeColor="text1"/>
          <w:sz w:val="24"/>
          <w:szCs w:val="24"/>
          <w14:textFill>
            <w14:solidFill>
              <w14:schemeClr w14:val="tx1"/>
            </w14:solidFill>
          </w14:textFill>
        </w:rPr>
      </w:pPr>
    </w:p>
    <w:p w14:paraId="22BAE9F7">
      <w:pPr>
        <w:spacing w:line="400" w:lineRule="exact"/>
        <w:jc w:val="center"/>
        <w:rPr>
          <w:rFonts w:ascii="仿宋" w:hAnsi="仿宋" w:eastAsia="仿宋" w:cs="仿宋"/>
          <w:color w:val="000000" w:themeColor="text1"/>
          <w:sz w:val="24"/>
          <w:szCs w:val="24"/>
          <w14:textFill>
            <w14:solidFill>
              <w14:schemeClr w14:val="tx1"/>
            </w14:solidFill>
          </w14:textFill>
        </w:rPr>
      </w:pPr>
    </w:p>
    <w:p w14:paraId="2DDF5DE6">
      <w:pPr>
        <w:spacing w:line="400" w:lineRule="exact"/>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响应文件</w:t>
      </w:r>
    </w:p>
    <w:p w14:paraId="7E773A55">
      <w:pPr>
        <w:spacing w:line="400" w:lineRule="exact"/>
        <w:jc w:val="center"/>
        <w:rPr>
          <w:rFonts w:ascii="仿宋" w:hAnsi="仿宋" w:eastAsia="仿宋" w:cs="仿宋"/>
          <w:color w:val="000000" w:themeColor="text1"/>
          <w:sz w:val="24"/>
          <w:szCs w:val="24"/>
          <w14:textFill>
            <w14:solidFill>
              <w14:schemeClr w14:val="tx1"/>
            </w14:solidFill>
          </w14:textFill>
        </w:rPr>
      </w:pPr>
    </w:p>
    <w:p w14:paraId="50400EDF">
      <w:pPr>
        <w:spacing w:line="400" w:lineRule="exact"/>
        <w:jc w:val="center"/>
        <w:rPr>
          <w:rFonts w:ascii="仿宋" w:hAnsi="仿宋" w:eastAsia="仿宋" w:cs="仿宋"/>
          <w:color w:val="000000" w:themeColor="text1"/>
          <w:sz w:val="24"/>
          <w:szCs w:val="24"/>
          <w14:textFill>
            <w14:solidFill>
              <w14:schemeClr w14:val="tx1"/>
            </w14:solidFill>
          </w14:textFill>
        </w:rPr>
      </w:pPr>
    </w:p>
    <w:p w14:paraId="15AB081C">
      <w:pPr>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14:paraId="030BD59D">
      <w:pPr>
        <w:pStyle w:val="13"/>
        <w:spacing w:line="400" w:lineRule="exact"/>
        <w:ind w:firstLine="1440" w:firstLineChars="60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w:t>
      </w:r>
      <w:r>
        <w:rPr>
          <w:rFonts w:hint="eastAsia" w:ascii="仿宋" w:hAnsi="仿宋" w:eastAsia="仿宋" w:cs="仿宋"/>
          <w:color w:val="000000" w:themeColor="text1"/>
          <w:sz w:val="24"/>
          <w:u w:val="single"/>
          <w14:textFill>
            <w14:solidFill>
              <w14:schemeClr w14:val="tx1"/>
            </w14:solidFill>
          </w14:textFill>
        </w:rPr>
        <w:t xml:space="preserve">                      </w:t>
      </w:r>
    </w:p>
    <w:p w14:paraId="30C96170">
      <w:pPr>
        <w:pStyle w:val="13"/>
        <w:spacing w:line="400" w:lineRule="exact"/>
        <w:ind w:firstLine="1440" w:firstLineChars="6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（盖章）</w:t>
      </w:r>
    </w:p>
    <w:p w14:paraId="6855B91F">
      <w:pPr>
        <w:pStyle w:val="13"/>
        <w:spacing w:line="400" w:lineRule="exact"/>
        <w:ind w:firstLine="1440" w:firstLineChars="60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（签字或盖章）</w:t>
      </w:r>
    </w:p>
    <w:p w14:paraId="02A937D7">
      <w:pPr>
        <w:pStyle w:val="13"/>
        <w:spacing w:line="400" w:lineRule="exact"/>
        <w:ind w:firstLine="1440" w:firstLineChars="6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（签字）</w:t>
      </w:r>
    </w:p>
    <w:p w14:paraId="555DF1BE">
      <w:pPr>
        <w:pStyle w:val="13"/>
        <w:spacing w:line="400" w:lineRule="exact"/>
        <w:ind w:firstLine="1440" w:firstLineChars="6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联系方式：</w:t>
      </w:r>
      <w:r>
        <w:rPr>
          <w:rFonts w:hint="eastAsia" w:ascii="仿宋" w:hAnsi="仿宋" w:eastAsia="仿宋" w:cs="仿宋"/>
          <w:color w:val="000000" w:themeColor="text1"/>
          <w:sz w:val="24"/>
          <w:u w:val="single"/>
          <w14:textFill>
            <w14:solidFill>
              <w14:schemeClr w14:val="tx1"/>
            </w14:solidFill>
          </w14:textFill>
        </w:rPr>
        <w:t xml:space="preserve">                     </w:t>
      </w:r>
    </w:p>
    <w:p w14:paraId="1ED7E2A8">
      <w:pPr>
        <w:pStyle w:val="13"/>
        <w:spacing w:line="400" w:lineRule="exact"/>
        <w:ind w:firstLine="1440" w:firstLineChars="6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联系地址：</w:t>
      </w:r>
      <w:r>
        <w:rPr>
          <w:rFonts w:hint="eastAsia" w:ascii="仿宋" w:hAnsi="仿宋" w:eastAsia="仿宋" w:cs="仿宋"/>
          <w:color w:val="000000" w:themeColor="text1"/>
          <w:sz w:val="24"/>
          <w:u w:val="single"/>
          <w14:textFill>
            <w14:solidFill>
              <w14:schemeClr w14:val="tx1"/>
            </w14:solidFill>
          </w14:textFill>
        </w:rPr>
        <w:t xml:space="preserve">                     </w:t>
      </w:r>
    </w:p>
    <w:p w14:paraId="038EA89F">
      <w:pPr>
        <w:pStyle w:val="13"/>
        <w:spacing w:line="400" w:lineRule="exact"/>
        <w:ind w:firstLine="1440" w:firstLineChars="6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   年    月    日</w:t>
      </w:r>
    </w:p>
    <w:p w14:paraId="06E71D99">
      <w:pPr>
        <w:spacing w:line="400" w:lineRule="exact"/>
        <w:rPr>
          <w:rFonts w:ascii="仿宋" w:hAnsi="仿宋" w:eastAsia="仿宋" w:cs="仿宋"/>
          <w:b/>
          <w:color w:val="000000" w:themeColor="text1"/>
          <w:sz w:val="24"/>
          <w:szCs w:val="24"/>
          <w14:textFill>
            <w14:solidFill>
              <w14:schemeClr w14:val="tx1"/>
            </w14:solidFill>
          </w14:textFill>
        </w:rPr>
      </w:pPr>
    </w:p>
    <w:p w14:paraId="20EF1D83">
      <w:pPr>
        <w:spacing w:line="400" w:lineRule="exact"/>
        <w:rPr>
          <w:rFonts w:ascii="仿宋" w:hAnsi="仿宋" w:eastAsia="仿宋" w:cs="仿宋"/>
          <w:b/>
          <w:color w:val="000000" w:themeColor="text1"/>
          <w:sz w:val="24"/>
          <w:szCs w:val="24"/>
          <w14:textFill>
            <w14:solidFill>
              <w14:schemeClr w14:val="tx1"/>
            </w14:solidFill>
          </w14:textFill>
        </w:rPr>
      </w:pPr>
    </w:p>
    <w:p w14:paraId="0A3ABA20">
      <w:pPr>
        <w:spacing w:line="400" w:lineRule="exact"/>
        <w:rPr>
          <w:rFonts w:ascii="仿宋" w:hAnsi="仿宋" w:eastAsia="仿宋" w:cs="仿宋"/>
          <w:b/>
          <w:color w:val="000000" w:themeColor="text1"/>
          <w:sz w:val="24"/>
          <w:szCs w:val="24"/>
          <w14:textFill>
            <w14:solidFill>
              <w14:schemeClr w14:val="tx1"/>
            </w14:solidFill>
          </w14:textFill>
        </w:rPr>
      </w:pPr>
    </w:p>
    <w:p w14:paraId="74E29026">
      <w:pP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br w:type="page"/>
      </w:r>
    </w:p>
    <w:p w14:paraId="05F0BA8E">
      <w:pPr>
        <w:spacing w:line="400" w:lineRule="exact"/>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目   录</w:t>
      </w:r>
    </w:p>
    <w:p w14:paraId="6BF006B8">
      <w:pPr>
        <w:pStyle w:val="36"/>
        <w:spacing w:line="400" w:lineRule="exact"/>
        <w:rPr>
          <w:rFonts w:ascii="仿宋" w:hAnsi="仿宋" w:eastAsia="仿宋" w:cs="仿宋"/>
          <w:b/>
          <w:color w:val="000000" w:themeColor="text1"/>
          <w:sz w:val="24"/>
          <w:szCs w:val="24"/>
          <w14:textFill>
            <w14:solidFill>
              <w14:schemeClr w14:val="tx1"/>
            </w14:solidFill>
          </w14:textFill>
        </w:rPr>
      </w:pPr>
    </w:p>
    <w:p w14:paraId="1D66BE2F">
      <w:pPr>
        <w:spacing w:line="400" w:lineRule="exact"/>
        <w:ind w:firstLine="480" w:firstLineChars="200"/>
        <w:textAlignment w:val="baselin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一、投标函（附件1）</w:t>
      </w:r>
    </w:p>
    <w:p w14:paraId="270A2E71">
      <w:pPr>
        <w:spacing w:line="400" w:lineRule="exact"/>
        <w:ind w:firstLine="480" w:firstLineChars="200"/>
        <w:textAlignment w:val="baselin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二、法定代表人身份证明（附件2）</w:t>
      </w:r>
    </w:p>
    <w:p w14:paraId="0DBA677B">
      <w:pPr>
        <w:spacing w:line="400" w:lineRule="exact"/>
        <w:ind w:firstLine="480" w:firstLineChars="200"/>
        <w:textAlignment w:val="baselin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三、法定代表人授权委托书（附件3）</w:t>
      </w:r>
    </w:p>
    <w:p w14:paraId="380B5C6C">
      <w:pPr>
        <w:spacing w:line="400" w:lineRule="exact"/>
        <w:ind w:firstLine="480" w:firstLineChars="200"/>
        <w:textAlignment w:val="baselin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四、投标报价表（开标一览表）（附件4）</w:t>
      </w:r>
    </w:p>
    <w:p w14:paraId="3E688722">
      <w:pPr>
        <w:spacing w:line="400" w:lineRule="exact"/>
        <w:ind w:firstLine="480" w:firstLineChars="200"/>
        <w:textAlignment w:val="baselin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五、商务偏离表（附件5）</w:t>
      </w:r>
    </w:p>
    <w:p w14:paraId="3CEBDD33">
      <w:pPr>
        <w:spacing w:line="400" w:lineRule="exact"/>
        <w:ind w:firstLine="480" w:firstLineChars="200"/>
        <w:textAlignment w:val="baselin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六、资格证明文件</w:t>
      </w:r>
    </w:p>
    <w:p w14:paraId="18A1FF9F">
      <w:pPr>
        <w:spacing w:line="400" w:lineRule="exact"/>
        <w:ind w:firstLine="480" w:firstLineChars="200"/>
        <w:textAlignment w:val="baselin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七、类似业绩（附件6）</w:t>
      </w:r>
    </w:p>
    <w:p w14:paraId="395A3F8E">
      <w:pPr>
        <w:spacing w:line="400" w:lineRule="exact"/>
        <w:ind w:firstLine="480" w:firstLineChars="200"/>
        <w:textAlignment w:val="baselin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八、技术偏离表（附件7）</w:t>
      </w:r>
    </w:p>
    <w:p w14:paraId="4C7F26E2">
      <w:pPr>
        <w:spacing w:line="400" w:lineRule="exact"/>
        <w:ind w:firstLine="480" w:firstLineChars="200"/>
        <w:textAlignment w:val="baselin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九、技术部分</w:t>
      </w:r>
    </w:p>
    <w:p w14:paraId="2699F7C0">
      <w:pPr>
        <w:spacing w:line="400" w:lineRule="exact"/>
        <w:ind w:firstLine="480" w:firstLineChars="200"/>
        <w:textAlignment w:val="baselin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十、中小微企业证明文件等（附件11）</w:t>
      </w:r>
    </w:p>
    <w:p w14:paraId="43118A5C">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十一、投标人认为有必要提交的其他相关证明材料</w:t>
      </w:r>
    </w:p>
    <w:p w14:paraId="295E5CE6">
      <w:pPr>
        <w:pStyle w:val="36"/>
        <w:spacing w:line="400" w:lineRule="exact"/>
        <w:rPr>
          <w:rFonts w:ascii="仿宋" w:hAnsi="仿宋" w:eastAsia="仿宋" w:cs="仿宋"/>
          <w:b/>
          <w:color w:val="000000" w:themeColor="text1"/>
          <w:sz w:val="24"/>
          <w:szCs w:val="24"/>
          <w14:textFill>
            <w14:solidFill>
              <w14:schemeClr w14:val="tx1"/>
            </w14:solidFill>
          </w14:textFill>
        </w:rPr>
        <w:sectPr>
          <w:headerReference r:id="rId8" w:type="default"/>
          <w:footerReference r:id="rId9" w:type="default"/>
          <w:pgSz w:w="11906" w:h="16838"/>
          <w:pgMar w:top="1304" w:right="1247" w:bottom="1418" w:left="1247" w:header="851" w:footer="992" w:gutter="0"/>
          <w:pgBorders>
            <w:top w:val="none" w:sz="0" w:space="0"/>
            <w:left w:val="none" w:sz="0" w:space="0"/>
            <w:bottom w:val="none" w:sz="0" w:space="0"/>
            <w:right w:val="none" w:sz="0" w:space="0"/>
          </w:pgBorders>
          <w:pgNumType w:start="1"/>
          <w:cols w:space="720" w:num="1"/>
          <w:docGrid w:linePitch="312" w:charSpace="0"/>
        </w:sectPr>
      </w:pPr>
    </w:p>
    <w:p w14:paraId="73C0F009">
      <w:pPr>
        <w:spacing w:line="400" w:lineRule="exac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附件1：</w:t>
      </w:r>
    </w:p>
    <w:p w14:paraId="4049504F">
      <w:pPr>
        <w:spacing w:line="400" w:lineRule="exact"/>
        <w:jc w:val="center"/>
        <w:outlineLvl w:val="1"/>
        <w:rPr>
          <w:rFonts w:ascii="仿宋" w:hAnsi="仿宋" w:eastAsia="仿宋" w:cs="仿宋"/>
          <w:b/>
          <w:color w:val="000000" w:themeColor="text1"/>
          <w:sz w:val="24"/>
          <w:szCs w:val="24"/>
          <w14:textFill>
            <w14:solidFill>
              <w14:schemeClr w14:val="tx1"/>
            </w14:solidFill>
          </w14:textFill>
        </w:rPr>
      </w:pPr>
      <w:bookmarkStart w:id="92" w:name="_Toc1791"/>
      <w:bookmarkStart w:id="93" w:name="_Toc27578"/>
      <w:r>
        <w:rPr>
          <w:rFonts w:hint="eastAsia" w:ascii="仿宋" w:hAnsi="仿宋" w:eastAsia="仿宋" w:cs="仿宋"/>
          <w:b/>
          <w:color w:val="000000" w:themeColor="text1"/>
          <w:sz w:val="24"/>
          <w:szCs w:val="24"/>
          <w14:textFill>
            <w14:solidFill>
              <w14:schemeClr w14:val="tx1"/>
            </w14:solidFill>
          </w14:textFill>
        </w:rPr>
        <w:t>一、投标函</w:t>
      </w:r>
      <w:bookmarkEnd w:id="92"/>
      <w:bookmarkEnd w:id="93"/>
    </w:p>
    <w:p w14:paraId="5ADD2051">
      <w:pPr>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致：</w:t>
      </w:r>
      <w:r>
        <w:rPr>
          <w:rFonts w:hint="eastAsia" w:ascii="仿宋" w:hAnsi="仿宋" w:eastAsia="仿宋" w:cs="仿宋"/>
          <w:color w:val="000000" w:themeColor="text1"/>
          <w:sz w:val="24"/>
          <w:szCs w:val="24"/>
          <w14:textFill>
            <w14:solidFill>
              <w14:schemeClr w14:val="tx1"/>
            </w14:solidFill>
          </w14:textFill>
        </w:rPr>
        <w:t>新疆华域建设工程项目管理咨询有限公司</w:t>
      </w:r>
    </w:p>
    <w:p w14:paraId="6CF86756">
      <w:pPr>
        <w:spacing w:line="400" w:lineRule="exact"/>
        <w:ind w:firstLine="456"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6"/>
          <w:sz w:val="24"/>
          <w:szCs w:val="24"/>
          <w14:textFill>
            <w14:solidFill>
              <w14:schemeClr w14:val="tx1"/>
            </w14:solidFill>
          </w14:textFill>
        </w:rPr>
        <w:t>根据贵方</w:t>
      </w:r>
      <w:r>
        <w:rPr>
          <w:rFonts w:hint="eastAsia" w:ascii="仿宋" w:hAnsi="仿宋" w:eastAsia="仿宋" w:cs="仿宋"/>
          <w:color w:val="000000" w:themeColor="text1"/>
          <w:spacing w:val="-6"/>
          <w:sz w:val="24"/>
          <w:szCs w:val="24"/>
          <w:u w:val="single"/>
          <w14:textFill>
            <w14:solidFill>
              <w14:schemeClr w14:val="tx1"/>
            </w14:solidFill>
          </w14:textFill>
        </w:rPr>
        <w:t xml:space="preserve">                             </w:t>
      </w:r>
      <w:r>
        <w:rPr>
          <w:rFonts w:hint="eastAsia" w:ascii="仿宋" w:hAnsi="仿宋" w:eastAsia="仿宋" w:cs="仿宋"/>
          <w:color w:val="000000" w:themeColor="text1"/>
          <w:spacing w:val="-6"/>
          <w:sz w:val="24"/>
          <w:szCs w:val="24"/>
          <w14:textFill>
            <w14:solidFill>
              <w14:schemeClr w14:val="tx1"/>
            </w14:solidFill>
          </w14:textFill>
        </w:rPr>
        <w:t>项目</w:t>
      </w:r>
      <w:r>
        <w:rPr>
          <w:rFonts w:hint="eastAsia" w:ascii="仿宋" w:hAnsi="仿宋" w:eastAsia="仿宋" w:cs="仿宋"/>
          <w:color w:val="000000" w:themeColor="text1"/>
          <w:sz w:val="24"/>
          <w:szCs w:val="24"/>
          <w14:textFill>
            <w14:solidFill>
              <w14:schemeClr w14:val="tx1"/>
            </w14:solidFill>
          </w14:textFill>
        </w:rPr>
        <w:t>的</w:t>
      </w:r>
      <w:r>
        <w:rPr>
          <w:rFonts w:hint="eastAsia" w:ascii="仿宋" w:hAnsi="仿宋" w:eastAsia="仿宋" w:cs="仿宋"/>
          <w:color w:val="000000" w:themeColor="text1"/>
          <w:spacing w:val="-6"/>
          <w:sz w:val="24"/>
          <w:szCs w:val="24"/>
          <w14:textFill>
            <w14:solidFill>
              <w14:schemeClr w14:val="tx1"/>
            </w14:solidFill>
          </w14:textFill>
        </w:rPr>
        <w:t>招标采购</w:t>
      </w:r>
      <w:r>
        <w:rPr>
          <w:rFonts w:hint="eastAsia" w:ascii="仿宋" w:hAnsi="仿宋" w:eastAsia="仿宋" w:cs="仿宋"/>
          <w:color w:val="000000" w:themeColor="text1"/>
          <w:sz w:val="24"/>
          <w:szCs w:val="24"/>
          <w14:textFill>
            <w14:solidFill>
              <w14:schemeClr w14:val="tx1"/>
            </w14:solidFill>
          </w14:textFill>
        </w:rPr>
        <w:t>(项目编号:</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)，正式授权的下述签字人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（姓名和职务）代表供应商</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（投标供应商名称），在政采云平台上传下述证明。   </w:t>
      </w:r>
    </w:p>
    <w:p w14:paraId="54F7FEA3">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1.投标函</w:t>
      </w:r>
    </w:p>
    <w:p w14:paraId="018B053C">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2.开标一览表</w:t>
      </w:r>
    </w:p>
    <w:p w14:paraId="651C6A3B">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3.投标报价表</w:t>
      </w:r>
    </w:p>
    <w:p w14:paraId="046022BE">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4.投标保证金</w:t>
      </w:r>
    </w:p>
    <w:p w14:paraId="4595CE89">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5.按投标文件要求供应商提交的全部文件</w:t>
      </w:r>
    </w:p>
    <w:p w14:paraId="7190343A">
      <w:pPr>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据此函，签字人兹宣布同意如下条款：</w:t>
      </w:r>
    </w:p>
    <w:p w14:paraId="73293E06">
      <w:pPr>
        <w:numPr>
          <w:ilvl w:val="0"/>
          <w:numId w:val="11"/>
        </w:numPr>
        <w:spacing w:line="400" w:lineRule="exact"/>
        <w:ind w:left="0" w:firstLine="42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所附投标价格表中规定的应提供和交付的服务投标报价为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（大写）。</w:t>
      </w:r>
    </w:p>
    <w:p w14:paraId="2CCCC089">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⑵ 我们将按投标文件的规定履行合同责任和义务。</w:t>
      </w:r>
    </w:p>
    <w:p w14:paraId="1121A789">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⑶ 我们已详细审查全部投标文件，包括修改意见（如有则附）以及全部参考资料和有关附件。我们完全理解并同意放弃对这方面有不明及误解而要求招标方解释和承担责任的权利。</w:t>
      </w:r>
    </w:p>
    <w:p w14:paraId="52815392">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⑷ 在供应商须知规定的投标有效期内遵循本投标性文件，并在投标须知规定的投标有效期期满之前具有约束力。</w:t>
      </w:r>
    </w:p>
    <w:p w14:paraId="3252A92C">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⑸ 如果在规定的投标有效期内撤回投标，我们的投标保证金可被贵方没收。</w:t>
      </w:r>
    </w:p>
    <w:p w14:paraId="20DFC1CC">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⑹ 同意提供贵方可能要求的与本投标有关的任何证据或资料。</w:t>
      </w:r>
    </w:p>
    <w:p w14:paraId="4862C215">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⑺ 我们同意提供按照招标单位可能出示的与其投标有关的一切数据或资料。</w:t>
      </w:r>
    </w:p>
    <w:p w14:paraId="2072A674">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⑻ 我们理解贵方不一定要接受最低报价的投标或收到的任何投标。</w:t>
      </w:r>
    </w:p>
    <w:p w14:paraId="3BF4AC0E">
      <w:pPr>
        <w:spacing w:line="400" w:lineRule="exact"/>
        <w:ind w:firstLine="480" w:firstLineChars="200"/>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⑼ 与本投标有关的一切正式往来通讯请寄至：</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241D7D69">
      <w:pPr>
        <w:spacing w:line="400" w:lineRule="exact"/>
        <w:ind w:firstLine="480" w:firstLineChars="200"/>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电话：</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78062C64">
      <w:pPr>
        <w:spacing w:line="400" w:lineRule="exact"/>
        <w:ind w:firstLine="480" w:firstLineChars="200"/>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传真：</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088BD8B4">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p>
    <w:p w14:paraId="1E9DB5FA">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p>
    <w:p w14:paraId="0C2CD00A">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p>
    <w:p w14:paraId="5FCFBB20">
      <w:pPr>
        <w:spacing w:line="400" w:lineRule="exact"/>
        <w:ind w:firstLine="480" w:firstLineChars="200"/>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投标供应商名称（公章）：</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565AF582">
      <w:pPr>
        <w:spacing w:line="400" w:lineRule="exact"/>
        <w:ind w:firstLine="480" w:firstLineChars="200"/>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法定代表人或授权代表人（签字）：</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2C342532">
      <w:pPr>
        <w:spacing w:line="400" w:lineRule="exact"/>
        <w:ind w:firstLine="480" w:firstLineChars="200"/>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日期：</w:t>
      </w:r>
      <w:r>
        <w:rPr>
          <w:rFonts w:hint="eastAsia" w:ascii="仿宋" w:hAnsi="仿宋" w:eastAsia="仿宋" w:cs="仿宋"/>
          <w:bCs/>
          <w:color w:val="000000" w:themeColor="text1"/>
          <w:sz w:val="24"/>
          <w:szCs w:val="24"/>
          <w:u w:val="single"/>
          <w14:textFill>
            <w14:solidFill>
              <w14:schemeClr w14:val="tx1"/>
            </w14:solidFill>
          </w14:textFill>
        </w:rPr>
        <w:t xml:space="preserve">      </w:t>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 xml:space="preserve">    </w:t>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 xml:space="preserve">    </w:t>
      </w:r>
      <w:r>
        <w:rPr>
          <w:rFonts w:hint="eastAsia" w:ascii="仿宋" w:hAnsi="仿宋" w:eastAsia="仿宋" w:cs="仿宋"/>
          <w:bCs/>
          <w:color w:val="000000" w:themeColor="text1"/>
          <w:sz w:val="24"/>
          <w:szCs w:val="24"/>
          <w14:textFill>
            <w14:solidFill>
              <w14:schemeClr w14:val="tx1"/>
            </w14:solidFill>
          </w14:textFill>
        </w:rPr>
        <w:t>日</w:t>
      </w:r>
    </w:p>
    <w:p w14:paraId="57A2FB14">
      <w:pPr>
        <w:spacing w:line="400" w:lineRule="exact"/>
        <w:rPr>
          <w:rFonts w:ascii="仿宋" w:hAnsi="仿宋" w:eastAsia="仿宋" w:cs="仿宋"/>
          <w:b/>
          <w:color w:val="000000" w:themeColor="text1"/>
          <w:sz w:val="24"/>
          <w:szCs w:val="24"/>
          <w14:textFill>
            <w14:solidFill>
              <w14:schemeClr w14:val="tx1"/>
            </w14:solidFill>
          </w14:textFill>
        </w:rPr>
      </w:pPr>
    </w:p>
    <w:p w14:paraId="095275BF">
      <w:pPr>
        <w:spacing w:line="400" w:lineRule="exact"/>
        <w:rPr>
          <w:rFonts w:ascii="仿宋" w:hAnsi="仿宋" w:eastAsia="仿宋" w:cs="仿宋"/>
          <w:b/>
          <w:color w:val="000000" w:themeColor="text1"/>
          <w:sz w:val="24"/>
          <w:szCs w:val="24"/>
          <w14:textFill>
            <w14:solidFill>
              <w14:schemeClr w14:val="tx1"/>
            </w14:solidFill>
          </w14:textFill>
        </w:rPr>
      </w:pPr>
    </w:p>
    <w:p w14:paraId="03A0E3CF">
      <w:pPr>
        <w:spacing w:line="400" w:lineRule="exact"/>
        <w:rPr>
          <w:rFonts w:ascii="仿宋" w:hAnsi="仿宋" w:eastAsia="仿宋" w:cs="仿宋"/>
          <w:b/>
          <w:color w:val="000000" w:themeColor="text1"/>
          <w:sz w:val="24"/>
          <w:szCs w:val="24"/>
          <w14:textFill>
            <w14:solidFill>
              <w14:schemeClr w14:val="tx1"/>
            </w14:solidFill>
          </w14:textFill>
        </w:rPr>
      </w:pPr>
    </w:p>
    <w:p w14:paraId="07D51DAF">
      <w:pPr>
        <w:spacing w:line="400" w:lineRule="exac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附件2：</w:t>
      </w:r>
      <w:bookmarkStart w:id="94" w:name="_Toc139965362"/>
    </w:p>
    <w:p w14:paraId="0C9B5E05">
      <w:pPr>
        <w:spacing w:line="400" w:lineRule="exact"/>
        <w:jc w:val="center"/>
        <w:outlineLvl w:val="1"/>
        <w:rPr>
          <w:rFonts w:ascii="仿宋" w:hAnsi="仿宋" w:eastAsia="仿宋" w:cs="仿宋"/>
          <w:b/>
          <w:color w:val="000000" w:themeColor="text1"/>
          <w:sz w:val="24"/>
          <w:szCs w:val="24"/>
          <w14:textFill>
            <w14:solidFill>
              <w14:schemeClr w14:val="tx1"/>
            </w14:solidFill>
          </w14:textFill>
        </w:rPr>
      </w:pPr>
      <w:bookmarkStart w:id="95" w:name="_Toc2534"/>
      <w:bookmarkStart w:id="96" w:name="_Toc20758"/>
      <w:bookmarkStart w:id="97" w:name="_Toc327439494"/>
      <w:r>
        <w:rPr>
          <w:rFonts w:hint="eastAsia" w:ascii="仿宋" w:hAnsi="仿宋" w:eastAsia="仿宋" w:cs="仿宋"/>
          <w:b/>
          <w:color w:val="000000" w:themeColor="text1"/>
          <w:sz w:val="24"/>
          <w:szCs w:val="24"/>
          <w14:textFill>
            <w14:solidFill>
              <w14:schemeClr w14:val="tx1"/>
            </w14:solidFill>
          </w14:textFill>
        </w:rPr>
        <w:t>二、法定代表人身份证明</w:t>
      </w:r>
      <w:bookmarkEnd w:id="95"/>
      <w:bookmarkEnd w:id="96"/>
    </w:p>
    <w:p w14:paraId="5B8865B5">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投标供应商名称：</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14:paraId="1A7EA0B4">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单位性质：</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14:paraId="121FCEA7">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地址：</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2D8F96B2">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成立时间：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日</w:t>
      </w:r>
    </w:p>
    <w:p w14:paraId="6F3C11CC">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经营期限：</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333AA628">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姓名：</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性别：</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年龄：</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职务：</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7A887AFE">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身份证号码：</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1638E4E1">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系</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（投标供应商名称）的法定代表人。</w:t>
      </w:r>
    </w:p>
    <w:p w14:paraId="49634157">
      <w:pPr>
        <w:spacing w:line="400" w:lineRule="exact"/>
        <w:ind w:firstLine="960" w:firstLineChars="4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特此证明。</w:t>
      </w:r>
    </w:p>
    <w:p w14:paraId="2951C682">
      <w:pPr>
        <w:spacing w:line="400" w:lineRule="exact"/>
        <w:jc w:val="center"/>
        <w:rPr>
          <w:rFonts w:ascii="仿宋" w:hAnsi="仿宋" w:eastAsia="仿宋" w:cs="仿宋"/>
          <w:b/>
          <w:color w:val="000000" w:themeColor="text1"/>
          <w:sz w:val="24"/>
          <w:szCs w:val="24"/>
          <w14:textFill>
            <w14:solidFill>
              <w14:schemeClr w14:val="tx1"/>
            </w14:solidFill>
          </w14:textFill>
        </w:rPr>
      </w:pPr>
    </w:p>
    <w:p w14:paraId="2969FDF2">
      <w:pPr>
        <w:spacing w:line="400" w:lineRule="exact"/>
        <w:ind w:firstLine="480" w:firstLineChars="200"/>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投标供应商名称（公章）：</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64007B18">
      <w:pPr>
        <w:spacing w:line="400" w:lineRule="exact"/>
        <w:ind w:firstLine="480" w:firstLineChars="200"/>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法定代表人（签字或盖章）：</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177D87F0">
      <w:pPr>
        <w:spacing w:line="400" w:lineRule="exact"/>
        <w:ind w:firstLine="480" w:firstLineChars="200"/>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日期：</w:t>
      </w:r>
      <w:r>
        <w:rPr>
          <w:rFonts w:hint="eastAsia" w:ascii="仿宋" w:hAnsi="仿宋" w:eastAsia="仿宋" w:cs="仿宋"/>
          <w:bCs/>
          <w:color w:val="000000" w:themeColor="text1"/>
          <w:sz w:val="24"/>
          <w:szCs w:val="24"/>
          <w:u w:val="single"/>
          <w14:textFill>
            <w14:solidFill>
              <w14:schemeClr w14:val="tx1"/>
            </w14:solidFill>
          </w14:textFill>
        </w:rPr>
        <w:t xml:space="preserve">      </w:t>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 xml:space="preserve">    </w:t>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 xml:space="preserve">    </w:t>
      </w:r>
      <w:r>
        <w:rPr>
          <w:rFonts w:hint="eastAsia" w:ascii="仿宋" w:hAnsi="仿宋" w:eastAsia="仿宋" w:cs="仿宋"/>
          <w:bCs/>
          <w:color w:val="000000" w:themeColor="text1"/>
          <w:sz w:val="24"/>
          <w:szCs w:val="24"/>
          <w14:textFill>
            <w14:solidFill>
              <w14:schemeClr w14:val="tx1"/>
            </w14:solidFill>
          </w14:textFill>
        </w:rPr>
        <w:t>日</w:t>
      </w:r>
    </w:p>
    <w:p w14:paraId="1F0A7B55">
      <w:pPr>
        <w:spacing w:line="400" w:lineRule="exact"/>
        <w:jc w:val="center"/>
        <w:rPr>
          <w:rFonts w:ascii="仿宋" w:hAnsi="仿宋" w:eastAsia="仿宋" w:cs="仿宋"/>
          <w:b/>
          <w:color w:val="000000" w:themeColor="text1"/>
          <w:sz w:val="24"/>
          <w:szCs w:val="24"/>
          <w14:textFill>
            <w14:solidFill>
              <w14:schemeClr w14:val="tx1"/>
            </w14:solidFill>
          </w14:textFill>
        </w:rPr>
      </w:pPr>
    </w:p>
    <w:p w14:paraId="2C8751B7">
      <w:pPr>
        <w:spacing w:line="400" w:lineRule="exact"/>
        <w:jc w:val="center"/>
        <w:rPr>
          <w:rFonts w:ascii="仿宋" w:hAnsi="仿宋" w:eastAsia="仿宋" w:cs="仿宋"/>
          <w:b/>
          <w:color w:val="000000" w:themeColor="text1"/>
          <w:sz w:val="24"/>
          <w:szCs w:val="24"/>
          <w14:textFill>
            <w14:solidFill>
              <w14:schemeClr w14:val="tx1"/>
            </w14:solidFill>
          </w14:textFill>
        </w:rPr>
      </w:pPr>
    </w:p>
    <w:tbl>
      <w:tblPr>
        <w:tblStyle w:val="42"/>
        <w:tblW w:w="91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8"/>
        <w:gridCol w:w="4610"/>
      </w:tblGrid>
      <w:tr w14:paraId="1591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498" w:type="dxa"/>
            <w:vAlign w:val="center"/>
          </w:tcPr>
          <w:p w14:paraId="7774458D">
            <w:pPr>
              <w:spacing w:line="400" w:lineRule="exact"/>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法定代表人身份证</w:t>
            </w:r>
          </w:p>
          <w:p w14:paraId="70C629DC">
            <w:pPr>
              <w:spacing w:line="400" w:lineRule="exact"/>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复印件正面</w:t>
            </w:r>
          </w:p>
        </w:tc>
        <w:tc>
          <w:tcPr>
            <w:tcW w:w="4610" w:type="dxa"/>
            <w:vAlign w:val="center"/>
          </w:tcPr>
          <w:p w14:paraId="4FDB7A5C">
            <w:pPr>
              <w:spacing w:line="400" w:lineRule="exact"/>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法定代表人身份证</w:t>
            </w:r>
          </w:p>
          <w:p w14:paraId="34C72130">
            <w:pPr>
              <w:spacing w:line="400" w:lineRule="exact"/>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复印件反面</w:t>
            </w:r>
          </w:p>
        </w:tc>
      </w:tr>
    </w:tbl>
    <w:p w14:paraId="6F75BFC5">
      <w:pPr>
        <w:spacing w:line="400" w:lineRule="exact"/>
        <w:jc w:val="center"/>
        <w:rPr>
          <w:rFonts w:ascii="仿宋" w:hAnsi="仿宋" w:eastAsia="仿宋" w:cs="仿宋"/>
          <w:b/>
          <w:color w:val="000000" w:themeColor="text1"/>
          <w:sz w:val="24"/>
          <w:szCs w:val="24"/>
          <w14:textFill>
            <w14:solidFill>
              <w14:schemeClr w14:val="tx1"/>
            </w14:solidFill>
          </w14:textFill>
        </w:rPr>
      </w:pPr>
    </w:p>
    <w:p w14:paraId="060CF0BF">
      <w:pPr>
        <w:spacing w:line="400" w:lineRule="exact"/>
        <w:jc w:val="center"/>
        <w:rPr>
          <w:rFonts w:ascii="仿宋" w:hAnsi="仿宋" w:eastAsia="仿宋" w:cs="仿宋"/>
          <w:b/>
          <w:color w:val="000000" w:themeColor="text1"/>
          <w:sz w:val="24"/>
          <w:szCs w:val="24"/>
          <w14:textFill>
            <w14:solidFill>
              <w14:schemeClr w14:val="tx1"/>
            </w14:solidFill>
          </w14:textFill>
        </w:rPr>
      </w:pPr>
    </w:p>
    <w:p w14:paraId="306A402C">
      <w:pPr>
        <w:spacing w:line="400" w:lineRule="exact"/>
        <w:jc w:val="center"/>
        <w:rPr>
          <w:rFonts w:ascii="仿宋" w:hAnsi="仿宋" w:eastAsia="仿宋" w:cs="仿宋"/>
          <w:b/>
          <w:color w:val="000000" w:themeColor="text1"/>
          <w:sz w:val="24"/>
          <w:szCs w:val="24"/>
          <w14:textFill>
            <w14:solidFill>
              <w14:schemeClr w14:val="tx1"/>
            </w14:solidFill>
          </w14:textFill>
        </w:rPr>
      </w:pPr>
    </w:p>
    <w:p w14:paraId="560340E7">
      <w:pPr>
        <w:spacing w:line="400" w:lineRule="exact"/>
        <w:rPr>
          <w:rFonts w:ascii="仿宋" w:hAnsi="仿宋" w:eastAsia="仿宋" w:cs="仿宋"/>
          <w:b/>
          <w:color w:val="000000" w:themeColor="text1"/>
          <w:sz w:val="24"/>
          <w:szCs w:val="24"/>
          <w14:textFill>
            <w14:solidFill>
              <w14:schemeClr w14:val="tx1"/>
            </w14:solidFill>
          </w14:textFill>
        </w:rPr>
      </w:pPr>
    </w:p>
    <w:p w14:paraId="57C0A9B8">
      <w:pP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br w:type="page"/>
      </w:r>
    </w:p>
    <w:p w14:paraId="13CBDCAF">
      <w:pPr>
        <w:spacing w:line="400" w:lineRule="exac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附件3：</w:t>
      </w:r>
    </w:p>
    <w:p w14:paraId="021E1121">
      <w:pPr>
        <w:spacing w:line="400" w:lineRule="exact"/>
        <w:jc w:val="center"/>
        <w:outlineLvl w:val="1"/>
        <w:rPr>
          <w:rFonts w:ascii="仿宋" w:hAnsi="仿宋" w:eastAsia="仿宋" w:cs="仿宋"/>
          <w:b/>
          <w:color w:val="000000" w:themeColor="text1"/>
          <w:sz w:val="24"/>
          <w:szCs w:val="24"/>
          <w14:textFill>
            <w14:solidFill>
              <w14:schemeClr w14:val="tx1"/>
            </w14:solidFill>
          </w14:textFill>
        </w:rPr>
      </w:pPr>
      <w:bookmarkStart w:id="98" w:name="_Toc12374"/>
      <w:bookmarkStart w:id="99" w:name="_Toc21389"/>
      <w:r>
        <w:rPr>
          <w:rFonts w:hint="eastAsia" w:ascii="仿宋" w:hAnsi="仿宋" w:eastAsia="仿宋" w:cs="仿宋"/>
          <w:b/>
          <w:color w:val="000000" w:themeColor="text1"/>
          <w:sz w:val="24"/>
          <w:szCs w:val="24"/>
          <w14:textFill>
            <w14:solidFill>
              <w14:schemeClr w14:val="tx1"/>
            </w14:solidFill>
          </w14:textFill>
        </w:rPr>
        <w:t>三、法定代表人授权委托书</w:t>
      </w:r>
      <w:bookmarkEnd w:id="98"/>
      <w:bookmarkEnd w:id="99"/>
    </w:p>
    <w:p w14:paraId="2AA10BE2">
      <w:pPr>
        <w:spacing w:line="400" w:lineRule="exact"/>
        <w:jc w:val="center"/>
        <w:rPr>
          <w:rFonts w:ascii="仿宋" w:hAnsi="仿宋" w:eastAsia="仿宋" w:cs="仿宋"/>
          <w:color w:val="000000" w:themeColor="text1"/>
          <w:sz w:val="24"/>
          <w:szCs w:val="24"/>
          <w14:textFill>
            <w14:solidFill>
              <w14:schemeClr w14:val="tx1"/>
            </w14:solidFill>
          </w14:textFill>
        </w:rPr>
      </w:pPr>
    </w:p>
    <w:p w14:paraId="19872FD9">
      <w:pPr>
        <w:spacing w:line="400" w:lineRule="exact"/>
        <w:ind w:firstLine="480" w:firstLineChars="200"/>
        <w:jc w:val="left"/>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本授权书声明：我单位的</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（法人代表姓名、职务）代表本单位授权</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6B8B0FD4">
      <w:pPr>
        <w:spacing w:line="400" w:lineRule="exact"/>
        <w:jc w:val="left"/>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（被授权人的姓名、职务）为本单位的合法代理人，就</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2E097F95">
      <w:pPr>
        <w:spacing w:line="40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项目的投标及合同的执行、完成，以本单位的名义处理一切与之有关的事务。</w:t>
      </w:r>
    </w:p>
    <w:p w14:paraId="3080C4F8">
      <w:pPr>
        <w:spacing w:line="400" w:lineRule="exact"/>
        <w:ind w:firstLine="538"/>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本授权书于</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日签字生效，特此声明。</w:t>
      </w:r>
    </w:p>
    <w:p w14:paraId="07CD7A50">
      <w:pPr>
        <w:spacing w:line="400" w:lineRule="exact"/>
        <w:ind w:firstLine="538"/>
        <w:jc w:val="left"/>
        <w:rPr>
          <w:rFonts w:ascii="仿宋" w:hAnsi="仿宋" w:eastAsia="仿宋" w:cs="仿宋"/>
          <w:color w:val="000000" w:themeColor="text1"/>
          <w:sz w:val="24"/>
          <w:szCs w:val="24"/>
          <w14:textFill>
            <w14:solidFill>
              <w14:schemeClr w14:val="tx1"/>
            </w14:solidFill>
          </w14:textFill>
        </w:rPr>
      </w:pPr>
    </w:p>
    <w:p w14:paraId="3C39D67F">
      <w:pPr>
        <w:spacing w:line="400" w:lineRule="exact"/>
        <w:ind w:firstLine="538"/>
        <w:jc w:val="left"/>
        <w:rPr>
          <w:rFonts w:ascii="仿宋" w:hAnsi="仿宋" w:eastAsia="仿宋" w:cs="仿宋"/>
          <w:color w:val="000000" w:themeColor="text1"/>
          <w:sz w:val="24"/>
          <w:szCs w:val="24"/>
          <w14:textFill>
            <w14:solidFill>
              <w14:schemeClr w14:val="tx1"/>
            </w14:solidFill>
          </w14:textFill>
        </w:rPr>
      </w:pPr>
    </w:p>
    <w:p w14:paraId="2EFBEC66">
      <w:pPr>
        <w:spacing w:line="400" w:lineRule="exact"/>
        <w:ind w:firstLine="437"/>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投标供应商名称（公章）：</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549FB8CB">
      <w:pPr>
        <w:spacing w:line="400" w:lineRule="exact"/>
        <w:ind w:firstLine="437"/>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法定代表人（签字或盖章）：</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14:paraId="0FEF288C">
      <w:pPr>
        <w:spacing w:line="400" w:lineRule="exact"/>
        <w:ind w:firstLine="437"/>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授权代表人（签字或盖章）：</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70637CF9">
      <w:pPr>
        <w:spacing w:line="400" w:lineRule="exact"/>
        <w:ind w:firstLine="470" w:firstLineChars="196"/>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日   </w:t>
      </w:r>
    </w:p>
    <w:p w14:paraId="690E96AC">
      <w:pPr>
        <w:spacing w:line="400" w:lineRule="exact"/>
        <w:jc w:val="right"/>
        <w:rPr>
          <w:rFonts w:ascii="仿宋" w:hAnsi="仿宋" w:eastAsia="仿宋" w:cs="仿宋"/>
          <w:color w:val="000000" w:themeColor="text1"/>
          <w:sz w:val="24"/>
          <w:szCs w:val="24"/>
          <w14:textFill>
            <w14:solidFill>
              <w14:schemeClr w14:val="tx1"/>
            </w14:solidFill>
          </w14:textFill>
        </w:rPr>
      </w:pPr>
    </w:p>
    <w:tbl>
      <w:tblPr>
        <w:tblStyle w:val="42"/>
        <w:tblpPr w:leftFromText="180" w:rightFromText="180" w:vertAnchor="text" w:horzAnchor="page" w:tblpX="1372" w:tblpY="798"/>
        <w:tblOverlap w:val="never"/>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8"/>
        <w:gridCol w:w="4610"/>
      </w:tblGrid>
      <w:tr w14:paraId="7B2A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498" w:type="dxa"/>
            <w:vAlign w:val="center"/>
          </w:tcPr>
          <w:p w14:paraId="4E1405CF">
            <w:pPr>
              <w:spacing w:line="400" w:lineRule="exact"/>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法定代表人身份证</w:t>
            </w:r>
          </w:p>
          <w:p w14:paraId="15E1835E">
            <w:pPr>
              <w:spacing w:line="400" w:lineRule="exact"/>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复印件（正、反面）</w:t>
            </w:r>
          </w:p>
        </w:tc>
        <w:tc>
          <w:tcPr>
            <w:tcW w:w="4610" w:type="dxa"/>
            <w:vAlign w:val="center"/>
          </w:tcPr>
          <w:p w14:paraId="7E53E318">
            <w:pPr>
              <w:spacing w:line="400" w:lineRule="exact"/>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被授权人身份证</w:t>
            </w:r>
          </w:p>
          <w:p w14:paraId="08DF51B6">
            <w:pPr>
              <w:spacing w:line="400" w:lineRule="exact"/>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复印件（正、反面）</w:t>
            </w:r>
          </w:p>
        </w:tc>
      </w:tr>
    </w:tbl>
    <w:p w14:paraId="520F7454">
      <w:pPr>
        <w:spacing w:line="400" w:lineRule="exact"/>
        <w:rPr>
          <w:rFonts w:ascii="仿宋" w:hAnsi="仿宋" w:eastAsia="仿宋" w:cs="仿宋"/>
          <w:color w:val="000000" w:themeColor="text1"/>
          <w:spacing w:val="10"/>
          <w:sz w:val="24"/>
          <w:szCs w:val="24"/>
          <w14:textFill>
            <w14:solidFill>
              <w14:schemeClr w14:val="tx1"/>
            </w14:solidFill>
          </w14:textFill>
        </w:rPr>
      </w:pPr>
    </w:p>
    <w:p w14:paraId="36B25DA7">
      <w:pPr>
        <w:spacing w:line="400" w:lineRule="exact"/>
        <w:rPr>
          <w:rFonts w:ascii="仿宋" w:hAnsi="仿宋" w:eastAsia="仿宋" w:cs="仿宋"/>
          <w:color w:val="000000" w:themeColor="text1"/>
          <w:sz w:val="24"/>
          <w:szCs w:val="24"/>
          <w14:textFill>
            <w14:solidFill>
              <w14:schemeClr w14:val="tx1"/>
            </w14:solidFill>
          </w14:textFill>
        </w:rPr>
      </w:pPr>
    </w:p>
    <w:p w14:paraId="5EAECFDC">
      <w:pPr>
        <w:spacing w:line="400" w:lineRule="exact"/>
        <w:rPr>
          <w:rFonts w:ascii="仿宋" w:hAnsi="仿宋" w:eastAsia="仿宋" w:cs="仿宋"/>
          <w:color w:val="000000" w:themeColor="text1"/>
          <w:sz w:val="24"/>
          <w:szCs w:val="24"/>
          <w14:textFill>
            <w14:solidFill>
              <w14:schemeClr w14:val="tx1"/>
            </w14:solidFill>
          </w14:textFill>
        </w:rPr>
      </w:pPr>
    </w:p>
    <w:p w14:paraId="633AA667">
      <w:pPr>
        <w:spacing w:line="400" w:lineRule="exact"/>
        <w:rPr>
          <w:rFonts w:ascii="仿宋" w:hAnsi="仿宋" w:eastAsia="仿宋" w:cs="仿宋"/>
          <w:color w:val="000000" w:themeColor="text1"/>
          <w:sz w:val="24"/>
          <w:szCs w:val="24"/>
          <w14:textFill>
            <w14:solidFill>
              <w14:schemeClr w14:val="tx1"/>
            </w14:solidFill>
          </w14:textFill>
        </w:rPr>
      </w:pPr>
    </w:p>
    <w:p w14:paraId="55BFDF97">
      <w:pPr>
        <w:spacing w:line="400" w:lineRule="exact"/>
        <w:rPr>
          <w:rFonts w:ascii="仿宋" w:hAnsi="仿宋" w:eastAsia="仿宋" w:cs="仿宋"/>
          <w:color w:val="000000" w:themeColor="text1"/>
          <w:sz w:val="24"/>
          <w:szCs w:val="24"/>
          <w14:textFill>
            <w14:solidFill>
              <w14:schemeClr w14:val="tx1"/>
            </w14:solidFill>
          </w14:textFill>
        </w:rPr>
      </w:pPr>
    </w:p>
    <w:p w14:paraId="26C235F0">
      <w:pPr>
        <w:rPr>
          <w:color w:val="000000" w:themeColor="text1"/>
          <w14:textFill>
            <w14:solidFill>
              <w14:schemeClr w14:val="tx1"/>
            </w14:solidFill>
          </w14:textFill>
        </w:rPr>
        <w:sectPr>
          <w:pgSz w:w="11906" w:h="16838"/>
          <w:pgMar w:top="1304" w:right="1247" w:bottom="1418" w:left="1247" w:header="851" w:footer="992" w:gutter="0"/>
          <w:pgBorders>
            <w:top w:val="none" w:sz="0" w:space="0"/>
            <w:left w:val="none" w:sz="0" w:space="0"/>
            <w:bottom w:val="none" w:sz="0" w:space="0"/>
            <w:right w:val="none" w:sz="0" w:space="0"/>
          </w:pgBorders>
          <w:cols w:space="720" w:num="1"/>
          <w:docGrid w:linePitch="312" w:charSpace="0"/>
        </w:sectPr>
      </w:pPr>
      <w:r>
        <w:rPr>
          <w:rFonts w:hint="eastAsia" w:ascii="仿宋" w:hAnsi="仿宋" w:eastAsia="仿宋" w:cs="仿宋"/>
          <w:color w:val="000000" w:themeColor="text1"/>
          <w:sz w:val="24"/>
          <w:szCs w:val="24"/>
          <w14:textFill>
            <w14:solidFill>
              <w14:schemeClr w14:val="tx1"/>
            </w14:solidFill>
          </w14:textFill>
        </w:rPr>
        <w:br w:type="page"/>
      </w:r>
    </w:p>
    <w:bookmarkEnd w:id="94"/>
    <w:bookmarkEnd w:id="97"/>
    <w:p w14:paraId="396E8EB8">
      <w:pPr>
        <w:spacing w:line="400" w:lineRule="exact"/>
        <w:jc w:val="lef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附件4：</w:t>
      </w:r>
    </w:p>
    <w:p w14:paraId="0D2B989F">
      <w:pPr>
        <w:spacing w:line="400" w:lineRule="exact"/>
        <w:jc w:val="center"/>
        <w:outlineLvl w:val="1"/>
        <w:rPr>
          <w:rFonts w:ascii="宋体" w:hAnsi="宋体" w:cs="宋体"/>
          <w:b/>
          <w:bCs/>
          <w:color w:val="000000" w:themeColor="text1"/>
          <w:szCs w:val="21"/>
          <w14:textFill>
            <w14:solidFill>
              <w14:schemeClr w14:val="tx1"/>
            </w14:solidFill>
          </w14:textFill>
        </w:rPr>
      </w:pPr>
      <w:bookmarkStart w:id="100" w:name="_Toc19295"/>
      <w:bookmarkStart w:id="101" w:name="_Toc15307"/>
      <w:r>
        <w:rPr>
          <w:rFonts w:hint="eastAsia" w:ascii="宋体" w:hAnsi="宋体" w:cs="宋体"/>
          <w:b/>
          <w:bCs/>
          <w:color w:val="000000" w:themeColor="text1"/>
          <w:szCs w:val="21"/>
          <w14:textFill>
            <w14:solidFill>
              <w14:schemeClr w14:val="tx1"/>
            </w14:solidFill>
          </w14:textFill>
        </w:rPr>
        <w:t>四、开标一览表</w:t>
      </w:r>
      <w:bookmarkEnd w:id="100"/>
      <w:bookmarkEnd w:id="101"/>
    </w:p>
    <w:p w14:paraId="7ECD1AAF">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供应商名称：</w:t>
      </w:r>
      <w:r>
        <w:rPr>
          <w:rFonts w:hint="eastAsia" w:ascii="宋体" w:hAnsi="宋体" w:cs="宋体"/>
          <w:bCs/>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项目编号：       </w:t>
      </w:r>
    </w:p>
    <w:tbl>
      <w:tblPr>
        <w:tblStyle w:val="42"/>
        <w:tblW w:w="89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6801"/>
      </w:tblGrid>
      <w:tr w14:paraId="08AE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055E9A88">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418" w:type="dxa"/>
            <w:vAlign w:val="center"/>
          </w:tcPr>
          <w:p w14:paraId="781ED32F">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w:t>
            </w:r>
          </w:p>
        </w:tc>
        <w:tc>
          <w:tcPr>
            <w:tcW w:w="6801" w:type="dxa"/>
            <w:vAlign w:val="center"/>
          </w:tcPr>
          <w:p w14:paraId="3D189547">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内容</w:t>
            </w:r>
          </w:p>
        </w:tc>
      </w:tr>
      <w:tr w14:paraId="2925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14:paraId="14FF0AE2">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418" w:type="dxa"/>
            <w:vAlign w:val="center"/>
          </w:tcPr>
          <w:p w14:paraId="53D1F3AF">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总价</w:t>
            </w:r>
          </w:p>
        </w:tc>
        <w:tc>
          <w:tcPr>
            <w:tcW w:w="6801" w:type="dxa"/>
            <w:vAlign w:val="center"/>
          </w:tcPr>
          <w:p w14:paraId="23225132">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（小写）</w:t>
            </w:r>
          </w:p>
          <w:p w14:paraId="48A5DFEE">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（大写）</w:t>
            </w:r>
          </w:p>
        </w:tc>
      </w:tr>
      <w:tr w14:paraId="1155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14:paraId="3A93FE93">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418" w:type="dxa"/>
            <w:vAlign w:val="center"/>
          </w:tcPr>
          <w:p w14:paraId="28589393">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交付期</w:t>
            </w:r>
          </w:p>
        </w:tc>
        <w:tc>
          <w:tcPr>
            <w:tcW w:w="6801" w:type="dxa"/>
            <w:vAlign w:val="center"/>
          </w:tcPr>
          <w:p w14:paraId="18FFF730">
            <w:pPr>
              <w:spacing w:line="400" w:lineRule="exact"/>
              <w:rPr>
                <w:rFonts w:ascii="宋体" w:hAnsi="宋体" w:cs="宋体"/>
                <w:color w:val="000000" w:themeColor="text1"/>
                <w:szCs w:val="21"/>
                <w14:textFill>
                  <w14:solidFill>
                    <w14:schemeClr w14:val="tx1"/>
                  </w14:solidFill>
                </w14:textFill>
              </w:rPr>
            </w:pPr>
          </w:p>
        </w:tc>
      </w:tr>
      <w:tr w14:paraId="4209D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14:paraId="7F18E3F2">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418" w:type="dxa"/>
            <w:vAlign w:val="center"/>
          </w:tcPr>
          <w:p w14:paraId="700BA320">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报价说明</w:t>
            </w:r>
          </w:p>
        </w:tc>
        <w:tc>
          <w:tcPr>
            <w:tcW w:w="6801" w:type="dxa"/>
            <w:vAlign w:val="center"/>
          </w:tcPr>
          <w:p w14:paraId="4647C9C6">
            <w:pPr>
              <w:spacing w:line="400" w:lineRule="exact"/>
              <w:rPr>
                <w:rFonts w:ascii="宋体" w:hAnsi="宋体" w:cs="宋体"/>
                <w:color w:val="000000" w:themeColor="text1"/>
                <w:szCs w:val="21"/>
                <w14:textFill>
                  <w14:solidFill>
                    <w14:schemeClr w14:val="tx1"/>
                  </w14:solidFill>
                </w14:textFill>
              </w:rPr>
            </w:pPr>
          </w:p>
        </w:tc>
      </w:tr>
      <w:tr w14:paraId="39EFA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14:paraId="6A1DDBDB">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418" w:type="dxa"/>
            <w:vAlign w:val="center"/>
          </w:tcPr>
          <w:p w14:paraId="6C0E13D5">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tc>
        <w:tc>
          <w:tcPr>
            <w:tcW w:w="6801" w:type="dxa"/>
            <w:vAlign w:val="center"/>
          </w:tcPr>
          <w:p w14:paraId="75543E03">
            <w:pPr>
              <w:spacing w:line="400" w:lineRule="exact"/>
              <w:rPr>
                <w:rFonts w:ascii="宋体" w:hAnsi="宋体" w:cs="宋体"/>
                <w:color w:val="000000" w:themeColor="text1"/>
                <w:szCs w:val="21"/>
                <w14:textFill>
                  <w14:solidFill>
                    <w14:schemeClr w14:val="tx1"/>
                  </w14:solidFill>
                </w14:textFill>
              </w:rPr>
            </w:pPr>
          </w:p>
        </w:tc>
      </w:tr>
    </w:tbl>
    <w:p w14:paraId="21AE5819">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p w14:paraId="43739C14">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1、投标总价应为各分项报价之和。报价须以元为单位，小数点后保留2位。</w:t>
      </w:r>
    </w:p>
    <w:p w14:paraId="7AE7AF78">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2、投标报价包括投标人为实施本项目提供投标产品及供货内容所包括的全部含税价格的体现。</w:t>
      </w:r>
    </w:p>
    <w:p w14:paraId="3D74E7A6">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3、投标人必须自行考虑本项目在实施期间的一切可能产生的费用。在合同执行过程中，招标人将不再另行支付与本项目相关的任何费用（非本项目要求的其它内容除外）。</w:t>
      </w:r>
    </w:p>
    <w:p w14:paraId="3651D930">
      <w:pPr>
        <w:spacing w:line="400" w:lineRule="exact"/>
        <w:rPr>
          <w:rFonts w:ascii="宋体" w:hAnsi="宋体" w:cs="宋体"/>
          <w:b/>
          <w:bCs/>
          <w:szCs w:val="21"/>
        </w:rPr>
      </w:pPr>
      <w:r>
        <w:rPr>
          <w:rFonts w:hint="eastAsia" w:ascii="宋体" w:hAnsi="宋体" w:cs="宋体"/>
          <w:b/>
          <w:bCs/>
          <w:szCs w:val="21"/>
        </w:rPr>
        <w:t>4、本表须按政采云要求，单独上传。</w:t>
      </w:r>
    </w:p>
    <w:p w14:paraId="310B1148">
      <w:pPr>
        <w:spacing w:line="400" w:lineRule="exact"/>
        <w:rPr>
          <w:rFonts w:ascii="宋体" w:hAnsi="宋体" w:cs="宋体"/>
          <w:b/>
          <w:bCs/>
          <w:color w:val="000000" w:themeColor="text1"/>
          <w:szCs w:val="21"/>
          <w14:textFill>
            <w14:solidFill>
              <w14:schemeClr w14:val="tx1"/>
            </w14:solidFill>
          </w14:textFill>
        </w:rPr>
      </w:pPr>
    </w:p>
    <w:p w14:paraId="2523CBA1">
      <w:pPr>
        <w:pStyle w:val="2"/>
        <w:spacing w:line="400" w:lineRule="exact"/>
        <w:rPr>
          <w:rFonts w:ascii="宋体" w:hAnsi="宋体" w:cs="宋体"/>
          <w:b/>
          <w:bCs/>
          <w:color w:val="000000" w:themeColor="text1"/>
          <w:sz w:val="21"/>
          <w:szCs w:val="21"/>
          <w14:textFill>
            <w14:solidFill>
              <w14:schemeClr w14:val="tx1"/>
            </w14:solidFill>
          </w14:textFill>
        </w:rPr>
      </w:pPr>
    </w:p>
    <w:p w14:paraId="15A5F688">
      <w:pPr>
        <w:spacing w:line="400" w:lineRule="exact"/>
        <w:jc w:val="righ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投标供应商名称（公章）：</w:t>
      </w:r>
    </w:p>
    <w:p w14:paraId="182D10D2">
      <w:pPr>
        <w:spacing w:line="400" w:lineRule="exact"/>
        <w:jc w:val="righ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法定代表人或授权代表人（签字）：</w:t>
      </w:r>
    </w:p>
    <w:p w14:paraId="0E63DE34">
      <w:pPr>
        <w:spacing w:line="400" w:lineRule="exact"/>
        <w:rPr>
          <w:rFonts w:ascii="仿宋" w:hAnsi="仿宋" w:eastAsia="仿宋" w:cs="仿宋"/>
          <w:b/>
          <w:color w:val="000000" w:themeColor="text1"/>
          <w:sz w:val="24"/>
          <w:szCs w:val="24"/>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日期：</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年</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月</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br w:type="page"/>
      </w:r>
      <w:r>
        <w:rPr>
          <w:rFonts w:hint="eastAsia" w:ascii="仿宋" w:hAnsi="仿宋" w:eastAsia="仿宋" w:cs="仿宋"/>
          <w:b/>
          <w:color w:val="000000" w:themeColor="text1"/>
          <w:sz w:val="24"/>
          <w:szCs w:val="24"/>
          <w14:textFill>
            <w14:solidFill>
              <w14:schemeClr w14:val="tx1"/>
            </w14:solidFill>
          </w14:textFill>
        </w:rPr>
        <w:t>附件5：</w:t>
      </w:r>
    </w:p>
    <w:p w14:paraId="66FBC43C">
      <w:pPr>
        <w:spacing w:line="400" w:lineRule="exact"/>
        <w:jc w:val="center"/>
        <w:outlineLvl w:val="1"/>
        <w:rPr>
          <w:rFonts w:ascii="仿宋" w:hAnsi="仿宋" w:eastAsia="仿宋" w:cs="仿宋"/>
          <w:b/>
          <w:color w:val="000000" w:themeColor="text1"/>
          <w:sz w:val="24"/>
          <w:szCs w:val="24"/>
          <w14:textFill>
            <w14:solidFill>
              <w14:schemeClr w14:val="tx1"/>
            </w14:solidFill>
          </w14:textFill>
        </w:rPr>
      </w:pPr>
      <w:bookmarkStart w:id="102" w:name="_Toc23466"/>
      <w:bookmarkStart w:id="103" w:name="_Toc21561"/>
      <w:r>
        <w:rPr>
          <w:rFonts w:hint="eastAsia" w:ascii="仿宋" w:hAnsi="仿宋" w:eastAsia="仿宋" w:cs="仿宋"/>
          <w:b/>
          <w:color w:val="000000" w:themeColor="text1"/>
          <w:sz w:val="24"/>
          <w:szCs w:val="24"/>
          <w14:textFill>
            <w14:solidFill>
              <w14:schemeClr w14:val="tx1"/>
            </w14:solidFill>
          </w14:textFill>
        </w:rPr>
        <w:t>五、商务偏离表</w:t>
      </w:r>
      <w:bookmarkEnd w:id="102"/>
      <w:bookmarkEnd w:id="103"/>
    </w:p>
    <w:p w14:paraId="5C85D54D">
      <w:pPr>
        <w:spacing w:line="400" w:lineRule="exact"/>
        <w:jc w:val="center"/>
        <w:rPr>
          <w:rFonts w:ascii="仿宋" w:hAnsi="仿宋" w:eastAsia="仿宋" w:cs="仿宋"/>
          <w:b/>
          <w:color w:val="000000" w:themeColor="text1"/>
          <w:sz w:val="24"/>
          <w:szCs w:val="24"/>
          <w14:textFill>
            <w14:solidFill>
              <w14:schemeClr w14:val="tx1"/>
            </w14:solidFill>
          </w14:textFill>
        </w:rPr>
      </w:pPr>
    </w:p>
    <w:tbl>
      <w:tblPr>
        <w:tblStyle w:val="42"/>
        <w:tblW w:w="94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38"/>
        <w:gridCol w:w="1983"/>
        <w:gridCol w:w="2348"/>
        <w:gridCol w:w="2345"/>
        <w:gridCol w:w="1274"/>
        <w:gridCol w:w="900"/>
      </w:tblGrid>
      <w:tr w14:paraId="2C1ED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0" w:hRule="atLeast"/>
          <w:jc w:val="center"/>
        </w:trPr>
        <w:tc>
          <w:tcPr>
            <w:tcW w:w="638" w:type="dxa"/>
            <w:tcMar>
              <w:top w:w="15" w:type="dxa"/>
              <w:left w:w="15" w:type="dxa"/>
              <w:bottom w:w="0" w:type="dxa"/>
              <w:right w:w="15" w:type="dxa"/>
            </w:tcMar>
            <w:vAlign w:val="center"/>
          </w:tcPr>
          <w:p w14:paraId="5579F98C">
            <w:pPr>
              <w:spacing w:line="4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序号</w:t>
            </w:r>
          </w:p>
        </w:tc>
        <w:tc>
          <w:tcPr>
            <w:tcW w:w="1983" w:type="dxa"/>
            <w:tcMar>
              <w:top w:w="15" w:type="dxa"/>
              <w:left w:w="15" w:type="dxa"/>
              <w:bottom w:w="0" w:type="dxa"/>
              <w:right w:w="15" w:type="dxa"/>
            </w:tcMar>
            <w:vAlign w:val="center"/>
          </w:tcPr>
          <w:p w14:paraId="3F09E24A">
            <w:pPr>
              <w:spacing w:line="4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招标文件条目号</w:t>
            </w:r>
          </w:p>
        </w:tc>
        <w:tc>
          <w:tcPr>
            <w:tcW w:w="2348" w:type="dxa"/>
            <w:tcMar>
              <w:top w:w="15" w:type="dxa"/>
              <w:left w:w="15" w:type="dxa"/>
              <w:bottom w:w="0" w:type="dxa"/>
              <w:right w:w="15" w:type="dxa"/>
            </w:tcMar>
            <w:vAlign w:val="center"/>
          </w:tcPr>
          <w:p w14:paraId="60BA41D6">
            <w:pPr>
              <w:spacing w:line="4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招标文件的商务条款</w:t>
            </w:r>
          </w:p>
        </w:tc>
        <w:tc>
          <w:tcPr>
            <w:tcW w:w="2345" w:type="dxa"/>
            <w:vAlign w:val="center"/>
          </w:tcPr>
          <w:p w14:paraId="4DB50187">
            <w:pPr>
              <w:spacing w:line="4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投标文件的商务条款</w:t>
            </w:r>
          </w:p>
        </w:tc>
        <w:tc>
          <w:tcPr>
            <w:tcW w:w="1274" w:type="dxa"/>
            <w:tcBorders>
              <w:right w:val="single" w:color="auto" w:sz="4" w:space="0"/>
            </w:tcBorders>
            <w:vAlign w:val="center"/>
          </w:tcPr>
          <w:p w14:paraId="4CD69F59">
            <w:pPr>
              <w:spacing w:line="4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偏离情况</w:t>
            </w:r>
          </w:p>
        </w:tc>
        <w:tc>
          <w:tcPr>
            <w:tcW w:w="900" w:type="dxa"/>
            <w:tcBorders>
              <w:left w:val="single" w:color="auto" w:sz="4" w:space="0"/>
            </w:tcBorders>
            <w:vAlign w:val="center"/>
          </w:tcPr>
          <w:p w14:paraId="71C721B3">
            <w:pPr>
              <w:spacing w:line="4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说明</w:t>
            </w:r>
          </w:p>
        </w:tc>
      </w:tr>
      <w:tr w14:paraId="259F4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0" w:hRule="atLeast"/>
          <w:jc w:val="center"/>
        </w:trPr>
        <w:tc>
          <w:tcPr>
            <w:tcW w:w="638" w:type="dxa"/>
            <w:tcMar>
              <w:top w:w="15" w:type="dxa"/>
              <w:left w:w="15" w:type="dxa"/>
              <w:bottom w:w="0" w:type="dxa"/>
              <w:right w:w="15" w:type="dxa"/>
            </w:tcMar>
            <w:vAlign w:val="center"/>
          </w:tcPr>
          <w:p w14:paraId="787B7D45">
            <w:pPr>
              <w:spacing w:line="400" w:lineRule="exact"/>
              <w:jc w:val="center"/>
              <w:rPr>
                <w:rFonts w:ascii="仿宋" w:hAnsi="仿宋" w:eastAsia="仿宋" w:cs="仿宋"/>
                <w:bCs/>
                <w:color w:val="000000" w:themeColor="text1"/>
                <w:sz w:val="24"/>
                <w:szCs w:val="24"/>
                <w14:textFill>
                  <w14:solidFill>
                    <w14:schemeClr w14:val="tx1"/>
                  </w14:solidFill>
                </w14:textFill>
              </w:rPr>
            </w:pPr>
          </w:p>
        </w:tc>
        <w:tc>
          <w:tcPr>
            <w:tcW w:w="1983" w:type="dxa"/>
            <w:tcMar>
              <w:top w:w="15" w:type="dxa"/>
              <w:left w:w="15" w:type="dxa"/>
              <w:bottom w:w="0" w:type="dxa"/>
              <w:right w:w="15" w:type="dxa"/>
            </w:tcMar>
            <w:vAlign w:val="center"/>
          </w:tcPr>
          <w:p w14:paraId="3E1AF22C">
            <w:pPr>
              <w:spacing w:line="400" w:lineRule="exact"/>
              <w:jc w:val="center"/>
              <w:rPr>
                <w:rFonts w:ascii="仿宋" w:hAnsi="仿宋" w:eastAsia="仿宋" w:cs="仿宋"/>
                <w:bCs/>
                <w:color w:val="000000" w:themeColor="text1"/>
                <w:sz w:val="24"/>
                <w:szCs w:val="24"/>
                <w14:textFill>
                  <w14:solidFill>
                    <w14:schemeClr w14:val="tx1"/>
                  </w14:solidFill>
                </w14:textFill>
              </w:rPr>
            </w:pPr>
          </w:p>
        </w:tc>
        <w:tc>
          <w:tcPr>
            <w:tcW w:w="2348" w:type="dxa"/>
            <w:tcMar>
              <w:top w:w="15" w:type="dxa"/>
              <w:left w:w="15" w:type="dxa"/>
              <w:bottom w:w="0" w:type="dxa"/>
              <w:right w:w="15" w:type="dxa"/>
            </w:tcMar>
            <w:vAlign w:val="center"/>
          </w:tcPr>
          <w:p w14:paraId="20C3703E">
            <w:pPr>
              <w:spacing w:line="400" w:lineRule="exact"/>
              <w:jc w:val="center"/>
              <w:rPr>
                <w:rFonts w:ascii="仿宋" w:hAnsi="仿宋" w:eastAsia="仿宋" w:cs="仿宋"/>
                <w:bCs/>
                <w:color w:val="000000" w:themeColor="text1"/>
                <w:sz w:val="24"/>
                <w:szCs w:val="24"/>
                <w14:textFill>
                  <w14:solidFill>
                    <w14:schemeClr w14:val="tx1"/>
                  </w14:solidFill>
                </w14:textFill>
              </w:rPr>
            </w:pPr>
          </w:p>
        </w:tc>
        <w:tc>
          <w:tcPr>
            <w:tcW w:w="2345" w:type="dxa"/>
            <w:vAlign w:val="center"/>
          </w:tcPr>
          <w:p w14:paraId="372AF14E">
            <w:pPr>
              <w:spacing w:line="400" w:lineRule="exact"/>
              <w:jc w:val="center"/>
              <w:rPr>
                <w:rFonts w:ascii="仿宋" w:hAnsi="仿宋" w:eastAsia="仿宋" w:cs="仿宋"/>
                <w:bCs/>
                <w:color w:val="000000" w:themeColor="text1"/>
                <w:sz w:val="24"/>
                <w:szCs w:val="24"/>
                <w14:textFill>
                  <w14:solidFill>
                    <w14:schemeClr w14:val="tx1"/>
                  </w14:solidFill>
                </w14:textFill>
              </w:rPr>
            </w:pPr>
          </w:p>
        </w:tc>
        <w:tc>
          <w:tcPr>
            <w:tcW w:w="1274" w:type="dxa"/>
            <w:tcBorders>
              <w:right w:val="single" w:color="auto" w:sz="4" w:space="0"/>
            </w:tcBorders>
            <w:vAlign w:val="center"/>
          </w:tcPr>
          <w:p w14:paraId="639DFF07">
            <w:pPr>
              <w:spacing w:line="400" w:lineRule="exact"/>
              <w:jc w:val="center"/>
              <w:rPr>
                <w:rFonts w:ascii="仿宋" w:hAnsi="仿宋" w:eastAsia="仿宋" w:cs="仿宋"/>
                <w:bCs/>
                <w:color w:val="000000" w:themeColor="text1"/>
                <w:sz w:val="24"/>
                <w:szCs w:val="24"/>
                <w14:textFill>
                  <w14:solidFill>
                    <w14:schemeClr w14:val="tx1"/>
                  </w14:solidFill>
                </w14:textFill>
              </w:rPr>
            </w:pPr>
          </w:p>
        </w:tc>
        <w:tc>
          <w:tcPr>
            <w:tcW w:w="900" w:type="dxa"/>
            <w:tcBorders>
              <w:left w:val="single" w:color="auto" w:sz="4" w:space="0"/>
            </w:tcBorders>
            <w:vAlign w:val="center"/>
          </w:tcPr>
          <w:p w14:paraId="36432ADA">
            <w:pPr>
              <w:spacing w:line="400" w:lineRule="exact"/>
              <w:jc w:val="center"/>
              <w:rPr>
                <w:rFonts w:ascii="仿宋" w:hAnsi="仿宋" w:eastAsia="仿宋" w:cs="仿宋"/>
                <w:bCs/>
                <w:color w:val="000000" w:themeColor="text1"/>
                <w:sz w:val="24"/>
                <w:szCs w:val="24"/>
                <w14:textFill>
                  <w14:solidFill>
                    <w14:schemeClr w14:val="tx1"/>
                  </w14:solidFill>
                </w14:textFill>
              </w:rPr>
            </w:pPr>
          </w:p>
        </w:tc>
      </w:tr>
      <w:tr w14:paraId="6AFF2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0" w:hRule="atLeast"/>
          <w:jc w:val="center"/>
        </w:trPr>
        <w:tc>
          <w:tcPr>
            <w:tcW w:w="638" w:type="dxa"/>
            <w:tcMar>
              <w:top w:w="15" w:type="dxa"/>
              <w:left w:w="15" w:type="dxa"/>
              <w:bottom w:w="0" w:type="dxa"/>
              <w:right w:w="15" w:type="dxa"/>
            </w:tcMar>
            <w:vAlign w:val="center"/>
          </w:tcPr>
          <w:p w14:paraId="68E4F63A">
            <w:pPr>
              <w:spacing w:line="400" w:lineRule="exact"/>
              <w:jc w:val="center"/>
              <w:rPr>
                <w:rFonts w:ascii="仿宋" w:hAnsi="仿宋" w:eastAsia="仿宋" w:cs="仿宋"/>
                <w:bCs/>
                <w:color w:val="000000" w:themeColor="text1"/>
                <w:sz w:val="24"/>
                <w:szCs w:val="24"/>
                <w14:textFill>
                  <w14:solidFill>
                    <w14:schemeClr w14:val="tx1"/>
                  </w14:solidFill>
                </w14:textFill>
              </w:rPr>
            </w:pPr>
          </w:p>
        </w:tc>
        <w:tc>
          <w:tcPr>
            <w:tcW w:w="1983" w:type="dxa"/>
            <w:tcMar>
              <w:top w:w="15" w:type="dxa"/>
              <w:left w:w="15" w:type="dxa"/>
              <w:bottom w:w="0" w:type="dxa"/>
              <w:right w:w="15" w:type="dxa"/>
            </w:tcMar>
            <w:vAlign w:val="center"/>
          </w:tcPr>
          <w:p w14:paraId="558B7A60">
            <w:pPr>
              <w:spacing w:line="400" w:lineRule="exact"/>
              <w:jc w:val="center"/>
              <w:rPr>
                <w:rFonts w:ascii="仿宋" w:hAnsi="仿宋" w:eastAsia="仿宋" w:cs="仿宋"/>
                <w:bCs/>
                <w:color w:val="000000" w:themeColor="text1"/>
                <w:sz w:val="24"/>
                <w:szCs w:val="24"/>
                <w14:textFill>
                  <w14:solidFill>
                    <w14:schemeClr w14:val="tx1"/>
                  </w14:solidFill>
                </w14:textFill>
              </w:rPr>
            </w:pPr>
          </w:p>
        </w:tc>
        <w:tc>
          <w:tcPr>
            <w:tcW w:w="2348" w:type="dxa"/>
            <w:tcMar>
              <w:top w:w="15" w:type="dxa"/>
              <w:left w:w="15" w:type="dxa"/>
              <w:bottom w:w="0" w:type="dxa"/>
              <w:right w:w="15" w:type="dxa"/>
            </w:tcMar>
            <w:vAlign w:val="center"/>
          </w:tcPr>
          <w:p w14:paraId="6CF9148B">
            <w:pPr>
              <w:spacing w:line="400" w:lineRule="exact"/>
              <w:jc w:val="center"/>
              <w:rPr>
                <w:rFonts w:ascii="仿宋" w:hAnsi="仿宋" w:eastAsia="仿宋" w:cs="仿宋"/>
                <w:bCs/>
                <w:color w:val="000000" w:themeColor="text1"/>
                <w:sz w:val="24"/>
                <w:szCs w:val="24"/>
                <w14:textFill>
                  <w14:solidFill>
                    <w14:schemeClr w14:val="tx1"/>
                  </w14:solidFill>
                </w14:textFill>
              </w:rPr>
            </w:pPr>
          </w:p>
        </w:tc>
        <w:tc>
          <w:tcPr>
            <w:tcW w:w="2345" w:type="dxa"/>
            <w:vAlign w:val="center"/>
          </w:tcPr>
          <w:p w14:paraId="5BDBDD4D">
            <w:pPr>
              <w:spacing w:line="400" w:lineRule="exact"/>
              <w:jc w:val="center"/>
              <w:rPr>
                <w:rFonts w:ascii="仿宋" w:hAnsi="仿宋" w:eastAsia="仿宋" w:cs="仿宋"/>
                <w:bCs/>
                <w:color w:val="000000" w:themeColor="text1"/>
                <w:sz w:val="24"/>
                <w:szCs w:val="24"/>
                <w14:textFill>
                  <w14:solidFill>
                    <w14:schemeClr w14:val="tx1"/>
                  </w14:solidFill>
                </w14:textFill>
              </w:rPr>
            </w:pPr>
          </w:p>
        </w:tc>
        <w:tc>
          <w:tcPr>
            <w:tcW w:w="1274" w:type="dxa"/>
            <w:tcBorders>
              <w:right w:val="single" w:color="auto" w:sz="4" w:space="0"/>
            </w:tcBorders>
            <w:vAlign w:val="center"/>
          </w:tcPr>
          <w:p w14:paraId="564264E1">
            <w:pPr>
              <w:spacing w:line="400" w:lineRule="exact"/>
              <w:jc w:val="center"/>
              <w:rPr>
                <w:rFonts w:ascii="仿宋" w:hAnsi="仿宋" w:eastAsia="仿宋" w:cs="仿宋"/>
                <w:bCs/>
                <w:color w:val="000000" w:themeColor="text1"/>
                <w:sz w:val="24"/>
                <w:szCs w:val="24"/>
                <w14:textFill>
                  <w14:solidFill>
                    <w14:schemeClr w14:val="tx1"/>
                  </w14:solidFill>
                </w14:textFill>
              </w:rPr>
            </w:pPr>
          </w:p>
        </w:tc>
        <w:tc>
          <w:tcPr>
            <w:tcW w:w="900" w:type="dxa"/>
            <w:tcBorders>
              <w:left w:val="single" w:color="auto" w:sz="4" w:space="0"/>
            </w:tcBorders>
            <w:vAlign w:val="center"/>
          </w:tcPr>
          <w:p w14:paraId="577997F4">
            <w:pPr>
              <w:spacing w:line="400" w:lineRule="exact"/>
              <w:jc w:val="center"/>
              <w:rPr>
                <w:rFonts w:ascii="仿宋" w:hAnsi="仿宋" w:eastAsia="仿宋" w:cs="仿宋"/>
                <w:bCs/>
                <w:color w:val="000000" w:themeColor="text1"/>
                <w:sz w:val="24"/>
                <w:szCs w:val="24"/>
                <w14:textFill>
                  <w14:solidFill>
                    <w14:schemeClr w14:val="tx1"/>
                  </w14:solidFill>
                </w14:textFill>
              </w:rPr>
            </w:pPr>
          </w:p>
        </w:tc>
      </w:tr>
      <w:tr w14:paraId="0DF22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0" w:hRule="atLeast"/>
          <w:jc w:val="center"/>
        </w:trPr>
        <w:tc>
          <w:tcPr>
            <w:tcW w:w="638" w:type="dxa"/>
            <w:tcMar>
              <w:top w:w="15" w:type="dxa"/>
              <w:left w:w="15" w:type="dxa"/>
              <w:bottom w:w="0" w:type="dxa"/>
              <w:right w:w="15" w:type="dxa"/>
            </w:tcMar>
            <w:vAlign w:val="center"/>
          </w:tcPr>
          <w:p w14:paraId="0DAD5307">
            <w:pPr>
              <w:spacing w:line="400" w:lineRule="exact"/>
              <w:jc w:val="center"/>
              <w:rPr>
                <w:rFonts w:ascii="仿宋" w:hAnsi="仿宋" w:eastAsia="仿宋" w:cs="仿宋"/>
                <w:bCs/>
                <w:color w:val="000000" w:themeColor="text1"/>
                <w:sz w:val="24"/>
                <w:szCs w:val="24"/>
                <w14:textFill>
                  <w14:solidFill>
                    <w14:schemeClr w14:val="tx1"/>
                  </w14:solidFill>
                </w14:textFill>
              </w:rPr>
            </w:pPr>
          </w:p>
        </w:tc>
        <w:tc>
          <w:tcPr>
            <w:tcW w:w="1983" w:type="dxa"/>
            <w:tcMar>
              <w:top w:w="15" w:type="dxa"/>
              <w:left w:w="15" w:type="dxa"/>
              <w:bottom w:w="0" w:type="dxa"/>
              <w:right w:w="15" w:type="dxa"/>
            </w:tcMar>
            <w:vAlign w:val="center"/>
          </w:tcPr>
          <w:p w14:paraId="3BD3CB4E">
            <w:pPr>
              <w:spacing w:line="400" w:lineRule="exact"/>
              <w:jc w:val="center"/>
              <w:rPr>
                <w:rFonts w:ascii="仿宋" w:hAnsi="仿宋" w:eastAsia="仿宋" w:cs="仿宋"/>
                <w:bCs/>
                <w:color w:val="000000" w:themeColor="text1"/>
                <w:sz w:val="24"/>
                <w:szCs w:val="24"/>
                <w14:textFill>
                  <w14:solidFill>
                    <w14:schemeClr w14:val="tx1"/>
                  </w14:solidFill>
                </w14:textFill>
              </w:rPr>
            </w:pPr>
          </w:p>
        </w:tc>
        <w:tc>
          <w:tcPr>
            <w:tcW w:w="2348" w:type="dxa"/>
            <w:tcMar>
              <w:top w:w="15" w:type="dxa"/>
              <w:left w:w="15" w:type="dxa"/>
              <w:bottom w:w="0" w:type="dxa"/>
              <w:right w:w="15" w:type="dxa"/>
            </w:tcMar>
            <w:vAlign w:val="center"/>
          </w:tcPr>
          <w:p w14:paraId="6B429BD4">
            <w:pPr>
              <w:spacing w:line="400" w:lineRule="exact"/>
              <w:jc w:val="center"/>
              <w:rPr>
                <w:rFonts w:ascii="仿宋" w:hAnsi="仿宋" w:eastAsia="仿宋" w:cs="仿宋"/>
                <w:bCs/>
                <w:color w:val="000000" w:themeColor="text1"/>
                <w:sz w:val="24"/>
                <w:szCs w:val="24"/>
                <w14:textFill>
                  <w14:solidFill>
                    <w14:schemeClr w14:val="tx1"/>
                  </w14:solidFill>
                </w14:textFill>
              </w:rPr>
            </w:pPr>
          </w:p>
        </w:tc>
        <w:tc>
          <w:tcPr>
            <w:tcW w:w="2345" w:type="dxa"/>
            <w:vAlign w:val="center"/>
          </w:tcPr>
          <w:p w14:paraId="3BE6697F">
            <w:pPr>
              <w:spacing w:line="400" w:lineRule="exact"/>
              <w:jc w:val="center"/>
              <w:rPr>
                <w:rFonts w:ascii="仿宋" w:hAnsi="仿宋" w:eastAsia="仿宋" w:cs="仿宋"/>
                <w:bCs/>
                <w:color w:val="000000" w:themeColor="text1"/>
                <w:sz w:val="24"/>
                <w:szCs w:val="24"/>
                <w14:textFill>
                  <w14:solidFill>
                    <w14:schemeClr w14:val="tx1"/>
                  </w14:solidFill>
                </w14:textFill>
              </w:rPr>
            </w:pPr>
          </w:p>
        </w:tc>
        <w:tc>
          <w:tcPr>
            <w:tcW w:w="1274" w:type="dxa"/>
            <w:tcBorders>
              <w:right w:val="single" w:color="auto" w:sz="4" w:space="0"/>
            </w:tcBorders>
            <w:vAlign w:val="center"/>
          </w:tcPr>
          <w:p w14:paraId="03573232">
            <w:pPr>
              <w:spacing w:line="400" w:lineRule="exact"/>
              <w:jc w:val="center"/>
              <w:rPr>
                <w:rFonts w:ascii="仿宋" w:hAnsi="仿宋" w:eastAsia="仿宋" w:cs="仿宋"/>
                <w:bCs/>
                <w:color w:val="000000" w:themeColor="text1"/>
                <w:sz w:val="24"/>
                <w:szCs w:val="24"/>
                <w14:textFill>
                  <w14:solidFill>
                    <w14:schemeClr w14:val="tx1"/>
                  </w14:solidFill>
                </w14:textFill>
              </w:rPr>
            </w:pPr>
          </w:p>
        </w:tc>
        <w:tc>
          <w:tcPr>
            <w:tcW w:w="900" w:type="dxa"/>
            <w:tcBorders>
              <w:left w:val="single" w:color="auto" w:sz="4" w:space="0"/>
            </w:tcBorders>
            <w:vAlign w:val="center"/>
          </w:tcPr>
          <w:p w14:paraId="10757310">
            <w:pPr>
              <w:spacing w:line="400" w:lineRule="exact"/>
              <w:jc w:val="center"/>
              <w:rPr>
                <w:rFonts w:ascii="仿宋" w:hAnsi="仿宋" w:eastAsia="仿宋" w:cs="仿宋"/>
                <w:bCs/>
                <w:color w:val="000000" w:themeColor="text1"/>
                <w:sz w:val="24"/>
                <w:szCs w:val="24"/>
                <w14:textFill>
                  <w14:solidFill>
                    <w14:schemeClr w14:val="tx1"/>
                  </w14:solidFill>
                </w14:textFill>
              </w:rPr>
            </w:pPr>
          </w:p>
        </w:tc>
      </w:tr>
      <w:tr w14:paraId="14CB8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0" w:hRule="atLeast"/>
          <w:jc w:val="center"/>
        </w:trPr>
        <w:tc>
          <w:tcPr>
            <w:tcW w:w="638" w:type="dxa"/>
            <w:tcMar>
              <w:top w:w="15" w:type="dxa"/>
              <w:left w:w="15" w:type="dxa"/>
              <w:bottom w:w="0" w:type="dxa"/>
              <w:right w:w="15" w:type="dxa"/>
            </w:tcMar>
            <w:vAlign w:val="center"/>
          </w:tcPr>
          <w:p w14:paraId="7A17DBF7">
            <w:pPr>
              <w:spacing w:line="400" w:lineRule="exact"/>
              <w:jc w:val="center"/>
              <w:rPr>
                <w:rFonts w:ascii="仿宋" w:hAnsi="仿宋" w:eastAsia="仿宋" w:cs="仿宋"/>
                <w:bCs/>
                <w:color w:val="000000" w:themeColor="text1"/>
                <w:sz w:val="24"/>
                <w:szCs w:val="24"/>
                <w14:textFill>
                  <w14:solidFill>
                    <w14:schemeClr w14:val="tx1"/>
                  </w14:solidFill>
                </w14:textFill>
              </w:rPr>
            </w:pPr>
          </w:p>
        </w:tc>
        <w:tc>
          <w:tcPr>
            <w:tcW w:w="1983" w:type="dxa"/>
            <w:tcMar>
              <w:top w:w="15" w:type="dxa"/>
              <w:left w:w="15" w:type="dxa"/>
              <w:bottom w:w="0" w:type="dxa"/>
              <w:right w:w="15" w:type="dxa"/>
            </w:tcMar>
            <w:vAlign w:val="center"/>
          </w:tcPr>
          <w:p w14:paraId="5A6D64A5">
            <w:pPr>
              <w:spacing w:line="400" w:lineRule="exact"/>
              <w:jc w:val="center"/>
              <w:rPr>
                <w:rFonts w:ascii="仿宋" w:hAnsi="仿宋" w:eastAsia="仿宋" w:cs="仿宋"/>
                <w:bCs/>
                <w:color w:val="000000" w:themeColor="text1"/>
                <w:sz w:val="24"/>
                <w:szCs w:val="24"/>
                <w14:textFill>
                  <w14:solidFill>
                    <w14:schemeClr w14:val="tx1"/>
                  </w14:solidFill>
                </w14:textFill>
              </w:rPr>
            </w:pPr>
          </w:p>
        </w:tc>
        <w:tc>
          <w:tcPr>
            <w:tcW w:w="2348" w:type="dxa"/>
            <w:tcMar>
              <w:top w:w="15" w:type="dxa"/>
              <w:left w:w="15" w:type="dxa"/>
              <w:bottom w:w="0" w:type="dxa"/>
              <w:right w:w="15" w:type="dxa"/>
            </w:tcMar>
            <w:vAlign w:val="center"/>
          </w:tcPr>
          <w:p w14:paraId="47400373">
            <w:pPr>
              <w:spacing w:line="400" w:lineRule="exact"/>
              <w:jc w:val="center"/>
              <w:rPr>
                <w:rFonts w:ascii="仿宋" w:hAnsi="仿宋" w:eastAsia="仿宋" w:cs="仿宋"/>
                <w:bCs/>
                <w:color w:val="000000" w:themeColor="text1"/>
                <w:sz w:val="24"/>
                <w:szCs w:val="24"/>
                <w14:textFill>
                  <w14:solidFill>
                    <w14:schemeClr w14:val="tx1"/>
                  </w14:solidFill>
                </w14:textFill>
              </w:rPr>
            </w:pPr>
          </w:p>
        </w:tc>
        <w:tc>
          <w:tcPr>
            <w:tcW w:w="2345" w:type="dxa"/>
            <w:vAlign w:val="center"/>
          </w:tcPr>
          <w:p w14:paraId="747E3133">
            <w:pPr>
              <w:spacing w:line="400" w:lineRule="exact"/>
              <w:jc w:val="center"/>
              <w:rPr>
                <w:rFonts w:ascii="仿宋" w:hAnsi="仿宋" w:eastAsia="仿宋" w:cs="仿宋"/>
                <w:bCs/>
                <w:color w:val="000000" w:themeColor="text1"/>
                <w:sz w:val="24"/>
                <w:szCs w:val="24"/>
                <w14:textFill>
                  <w14:solidFill>
                    <w14:schemeClr w14:val="tx1"/>
                  </w14:solidFill>
                </w14:textFill>
              </w:rPr>
            </w:pPr>
          </w:p>
        </w:tc>
        <w:tc>
          <w:tcPr>
            <w:tcW w:w="1274" w:type="dxa"/>
            <w:tcBorders>
              <w:right w:val="single" w:color="auto" w:sz="4" w:space="0"/>
            </w:tcBorders>
            <w:vAlign w:val="center"/>
          </w:tcPr>
          <w:p w14:paraId="45426D2B">
            <w:pPr>
              <w:spacing w:line="400" w:lineRule="exact"/>
              <w:jc w:val="center"/>
              <w:rPr>
                <w:rFonts w:ascii="仿宋" w:hAnsi="仿宋" w:eastAsia="仿宋" w:cs="仿宋"/>
                <w:bCs/>
                <w:color w:val="000000" w:themeColor="text1"/>
                <w:sz w:val="24"/>
                <w:szCs w:val="24"/>
                <w14:textFill>
                  <w14:solidFill>
                    <w14:schemeClr w14:val="tx1"/>
                  </w14:solidFill>
                </w14:textFill>
              </w:rPr>
            </w:pPr>
          </w:p>
        </w:tc>
        <w:tc>
          <w:tcPr>
            <w:tcW w:w="900" w:type="dxa"/>
            <w:tcBorders>
              <w:left w:val="single" w:color="auto" w:sz="4" w:space="0"/>
            </w:tcBorders>
            <w:vAlign w:val="center"/>
          </w:tcPr>
          <w:p w14:paraId="24592922">
            <w:pPr>
              <w:spacing w:line="400" w:lineRule="exact"/>
              <w:jc w:val="center"/>
              <w:rPr>
                <w:rFonts w:ascii="仿宋" w:hAnsi="仿宋" w:eastAsia="仿宋" w:cs="仿宋"/>
                <w:bCs/>
                <w:color w:val="000000" w:themeColor="text1"/>
                <w:sz w:val="24"/>
                <w:szCs w:val="24"/>
                <w14:textFill>
                  <w14:solidFill>
                    <w14:schemeClr w14:val="tx1"/>
                  </w14:solidFill>
                </w14:textFill>
              </w:rPr>
            </w:pPr>
          </w:p>
        </w:tc>
      </w:tr>
      <w:tr w14:paraId="01A81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0" w:hRule="atLeast"/>
          <w:jc w:val="center"/>
        </w:trPr>
        <w:tc>
          <w:tcPr>
            <w:tcW w:w="638" w:type="dxa"/>
            <w:tcMar>
              <w:top w:w="15" w:type="dxa"/>
              <w:left w:w="15" w:type="dxa"/>
              <w:bottom w:w="0" w:type="dxa"/>
              <w:right w:w="15" w:type="dxa"/>
            </w:tcMar>
            <w:vAlign w:val="center"/>
          </w:tcPr>
          <w:p w14:paraId="164A24B0">
            <w:pPr>
              <w:spacing w:line="400" w:lineRule="exact"/>
              <w:jc w:val="center"/>
              <w:rPr>
                <w:rFonts w:ascii="仿宋" w:hAnsi="仿宋" w:eastAsia="仿宋" w:cs="仿宋"/>
                <w:bCs/>
                <w:color w:val="000000" w:themeColor="text1"/>
                <w:sz w:val="24"/>
                <w:szCs w:val="24"/>
                <w14:textFill>
                  <w14:solidFill>
                    <w14:schemeClr w14:val="tx1"/>
                  </w14:solidFill>
                </w14:textFill>
              </w:rPr>
            </w:pPr>
          </w:p>
        </w:tc>
        <w:tc>
          <w:tcPr>
            <w:tcW w:w="1983" w:type="dxa"/>
            <w:tcMar>
              <w:top w:w="15" w:type="dxa"/>
              <w:left w:w="15" w:type="dxa"/>
              <w:bottom w:w="0" w:type="dxa"/>
              <w:right w:w="15" w:type="dxa"/>
            </w:tcMar>
            <w:vAlign w:val="center"/>
          </w:tcPr>
          <w:p w14:paraId="0A0EB773">
            <w:pPr>
              <w:spacing w:line="400" w:lineRule="exact"/>
              <w:jc w:val="center"/>
              <w:rPr>
                <w:rFonts w:ascii="仿宋" w:hAnsi="仿宋" w:eastAsia="仿宋" w:cs="仿宋"/>
                <w:bCs/>
                <w:color w:val="000000" w:themeColor="text1"/>
                <w:sz w:val="24"/>
                <w:szCs w:val="24"/>
                <w14:textFill>
                  <w14:solidFill>
                    <w14:schemeClr w14:val="tx1"/>
                  </w14:solidFill>
                </w14:textFill>
              </w:rPr>
            </w:pPr>
          </w:p>
        </w:tc>
        <w:tc>
          <w:tcPr>
            <w:tcW w:w="2348" w:type="dxa"/>
            <w:tcMar>
              <w:top w:w="15" w:type="dxa"/>
              <w:left w:w="15" w:type="dxa"/>
              <w:bottom w:w="0" w:type="dxa"/>
              <w:right w:w="15" w:type="dxa"/>
            </w:tcMar>
            <w:vAlign w:val="center"/>
          </w:tcPr>
          <w:p w14:paraId="2805F481">
            <w:pPr>
              <w:spacing w:line="400" w:lineRule="exact"/>
              <w:jc w:val="center"/>
              <w:rPr>
                <w:rFonts w:ascii="仿宋" w:hAnsi="仿宋" w:eastAsia="仿宋" w:cs="仿宋"/>
                <w:bCs/>
                <w:color w:val="000000" w:themeColor="text1"/>
                <w:sz w:val="24"/>
                <w:szCs w:val="24"/>
                <w14:textFill>
                  <w14:solidFill>
                    <w14:schemeClr w14:val="tx1"/>
                  </w14:solidFill>
                </w14:textFill>
              </w:rPr>
            </w:pPr>
          </w:p>
        </w:tc>
        <w:tc>
          <w:tcPr>
            <w:tcW w:w="2345" w:type="dxa"/>
            <w:vAlign w:val="center"/>
          </w:tcPr>
          <w:p w14:paraId="0566BB42">
            <w:pPr>
              <w:spacing w:line="400" w:lineRule="exact"/>
              <w:jc w:val="center"/>
              <w:rPr>
                <w:rFonts w:ascii="仿宋" w:hAnsi="仿宋" w:eastAsia="仿宋" w:cs="仿宋"/>
                <w:bCs/>
                <w:color w:val="000000" w:themeColor="text1"/>
                <w:sz w:val="24"/>
                <w:szCs w:val="24"/>
                <w14:textFill>
                  <w14:solidFill>
                    <w14:schemeClr w14:val="tx1"/>
                  </w14:solidFill>
                </w14:textFill>
              </w:rPr>
            </w:pPr>
          </w:p>
        </w:tc>
        <w:tc>
          <w:tcPr>
            <w:tcW w:w="1274" w:type="dxa"/>
            <w:tcBorders>
              <w:right w:val="single" w:color="auto" w:sz="4" w:space="0"/>
            </w:tcBorders>
            <w:vAlign w:val="center"/>
          </w:tcPr>
          <w:p w14:paraId="6D9A4DBA">
            <w:pPr>
              <w:spacing w:line="400" w:lineRule="exact"/>
              <w:jc w:val="center"/>
              <w:rPr>
                <w:rFonts w:ascii="仿宋" w:hAnsi="仿宋" w:eastAsia="仿宋" w:cs="仿宋"/>
                <w:bCs/>
                <w:color w:val="000000" w:themeColor="text1"/>
                <w:sz w:val="24"/>
                <w:szCs w:val="24"/>
                <w14:textFill>
                  <w14:solidFill>
                    <w14:schemeClr w14:val="tx1"/>
                  </w14:solidFill>
                </w14:textFill>
              </w:rPr>
            </w:pPr>
          </w:p>
        </w:tc>
        <w:tc>
          <w:tcPr>
            <w:tcW w:w="900" w:type="dxa"/>
            <w:tcBorders>
              <w:left w:val="single" w:color="auto" w:sz="4" w:space="0"/>
            </w:tcBorders>
            <w:vAlign w:val="center"/>
          </w:tcPr>
          <w:p w14:paraId="15C3DE2F">
            <w:pPr>
              <w:spacing w:line="400" w:lineRule="exact"/>
              <w:jc w:val="center"/>
              <w:rPr>
                <w:rFonts w:ascii="仿宋" w:hAnsi="仿宋" w:eastAsia="仿宋" w:cs="仿宋"/>
                <w:bCs/>
                <w:color w:val="000000" w:themeColor="text1"/>
                <w:sz w:val="24"/>
                <w:szCs w:val="24"/>
                <w14:textFill>
                  <w14:solidFill>
                    <w14:schemeClr w14:val="tx1"/>
                  </w14:solidFill>
                </w14:textFill>
              </w:rPr>
            </w:pPr>
          </w:p>
        </w:tc>
      </w:tr>
      <w:tr w14:paraId="5ABFE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0" w:hRule="atLeast"/>
          <w:jc w:val="center"/>
        </w:trPr>
        <w:tc>
          <w:tcPr>
            <w:tcW w:w="638" w:type="dxa"/>
            <w:tcMar>
              <w:top w:w="15" w:type="dxa"/>
              <w:left w:w="15" w:type="dxa"/>
              <w:bottom w:w="0" w:type="dxa"/>
              <w:right w:w="15" w:type="dxa"/>
            </w:tcMar>
            <w:vAlign w:val="center"/>
          </w:tcPr>
          <w:p w14:paraId="7704A4CA">
            <w:pPr>
              <w:spacing w:line="400" w:lineRule="exact"/>
              <w:jc w:val="center"/>
              <w:rPr>
                <w:rFonts w:ascii="仿宋" w:hAnsi="仿宋" w:eastAsia="仿宋" w:cs="仿宋"/>
                <w:bCs/>
                <w:color w:val="000000" w:themeColor="text1"/>
                <w:sz w:val="24"/>
                <w:szCs w:val="24"/>
                <w14:textFill>
                  <w14:solidFill>
                    <w14:schemeClr w14:val="tx1"/>
                  </w14:solidFill>
                </w14:textFill>
              </w:rPr>
            </w:pPr>
          </w:p>
        </w:tc>
        <w:tc>
          <w:tcPr>
            <w:tcW w:w="1983" w:type="dxa"/>
            <w:tcMar>
              <w:top w:w="15" w:type="dxa"/>
              <w:left w:w="15" w:type="dxa"/>
              <w:bottom w:w="0" w:type="dxa"/>
              <w:right w:w="15" w:type="dxa"/>
            </w:tcMar>
            <w:vAlign w:val="center"/>
          </w:tcPr>
          <w:p w14:paraId="7454881B">
            <w:pPr>
              <w:spacing w:line="400" w:lineRule="exact"/>
              <w:jc w:val="center"/>
              <w:rPr>
                <w:rFonts w:ascii="仿宋" w:hAnsi="仿宋" w:eastAsia="仿宋" w:cs="仿宋"/>
                <w:bCs/>
                <w:color w:val="000000" w:themeColor="text1"/>
                <w:sz w:val="24"/>
                <w:szCs w:val="24"/>
                <w14:textFill>
                  <w14:solidFill>
                    <w14:schemeClr w14:val="tx1"/>
                  </w14:solidFill>
                </w14:textFill>
              </w:rPr>
            </w:pPr>
          </w:p>
        </w:tc>
        <w:tc>
          <w:tcPr>
            <w:tcW w:w="2348" w:type="dxa"/>
            <w:tcMar>
              <w:top w:w="15" w:type="dxa"/>
              <w:left w:w="15" w:type="dxa"/>
              <w:bottom w:w="0" w:type="dxa"/>
              <w:right w:w="15" w:type="dxa"/>
            </w:tcMar>
            <w:vAlign w:val="center"/>
          </w:tcPr>
          <w:p w14:paraId="533C8937">
            <w:pPr>
              <w:spacing w:line="400" w:lineRule="exact"/>
              <w:jc w:val="center"/>
              <w:rPr>
                <w:rFonts w:ascii="仿宋" w:hAnsi="仿宋" w:eastAsia="仿宋" w:cs="仿宋"/>
                <w:bCs/>
                <w:color w:val="000000" w:themeColor="text1"/>
                <w:sz w:val="24"/>
                <w:szCs w:val="24"/>
                <w14:textFill>
                  <w14:solidFill>
                    <w14:schemeClr w14:val="tx1"/>
                  </w14:solidFill>
                </w14:textFill>
              </w:rPr>
            </w:pPr>
          </w:p>
        </w:tc>
        <w:tc>
          <w:tcPr>
            <w:tcW w:w="2345" w:type="dxa"/>
            <w:vAlign w:val="center"/>
          </w:tcPr>
          <w:p w14:paraId="1E5F34E8">
            <w:pPr>
              <w:spacing w:line="400" w:lineRule="exact"/>
              <w:jc w:val="center"/>
              <w:rPr>
                <w:rFonts w:ascii="仿宋" w:hAnsi="仿宋" w:eastAsia="仿宋" w:cs="仿宋"/>
                <w:bCs/>
                <w:color w:val="000000" w:themeColor="text1"/>
                <w:sz w:val="24"/>
                <w:szCs w:val="24"/>
                <w14:textFill>
                  <w14:solidFill>
                    <w14:schemeClr w14:val="tx1"/>
                  </w14:solidFill>
                </w14:textFill>
              </w:rPr>
            </w:pPr>
          </w:p>
        </w:tc>
        <w:tc>
          <w:tcPr>
            <w:tcW w:w="1274" w:type="dxa"/>
            <w:tcBorders>
              <w:right w:val="single" w:color="auto" w:sz="4" w:space="0"/>
            </w:tcBorders>
            <w:vAlign w:val="center"/>
          </w:tcPr>
          <w:p w14:paraId="6F84DB1E">
            <w:pPr>
              <w:spacing w:line="400" w:lineRule="exact"/>
              <w:jc w:val="center"/>
              <w:rPr>
                <w:rFonts w:ascii="仿宋" w:hAnsi="仿宋" w:eastAsia="仿宋" w:cs="仿宋"/>
                <w:bCs/>
                <w:color w:val="000000" w:themeColor="text1"/>
                <w:sz w:val="24"/>
                <w:szCs w:val="24"/>
                <w14:textFill>
                  <w14:solidFill>
                    <w14:schemeClr w14:val="tx1"/>
                  </w14:solidFill>
                </w14:textFill>
              </w:rPr>
            </w:pPr>
          </w:p>
        </w:tc>
        <w:tc>
          <w:tcPr>
            <w:tcW w:w="900" w:type="dxa"/>
            <w:tcBorders>
              <w:left w:val="single" w:color="auto" w:sz="4" w:space="0"/>
            </w:tcBorders>
            <w:vAlign w:val="center"/>
          </w:tcPr>
          <w:p w14:paraId="4E4668F6">
            <w:pPr>
              <w:spacing w:line="400" w:lineRule="exact"/>
              <w:jc w:val="center"/>
              <w:rPr>
                <w:rFonts w:ascii="仿宋" w:hAnsi="仿宋" w:eastAsia="仿宋" w:cs="仿宋"/>
                <w:bCs/>
                <w:color w:val="000000" w:themeColor="text1"/>
                <w:sz w:val="24"/>
                <w:szCs w:val="24"/>
                <w14:textFill>
                  <w14:solidFill>
                    <w14:schemeClr w14:val="tx1"/>
                  </w14:solidFill>
                </w14:textFill>
              </w:rPr>
            </w:pPr>
          </w:p>
        </w:tc>
      </w:tr>
      <w:tr w14:paraId="462B2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0" w:hRule="atLeast"/>
          <w:jc w:val="center"/>
        </w:trPr>
        <w:tc>
          <w:tcPr>
            <w:tcW w:w="638" w:type="dxa"/>
            <w:tcMar>
              <w:top w:w="15" w:type="dxa"/>
              <w:left w:w="15" w:type="dxa"/>
              <w:bottom w:w="0" w:type="dxa"/>
              <w:right w:w="15" w:type="dxa"/>
            </w:tcMar>
            <w:vAlign w:val="center"/>
          </w:tcPr>
          <w:p w14:paraId="2AC76A19">
            <w:pPr>
              <w:spacing w:line="400" w:lineRule="exact"/>
              <w:jc w:val="center"/>
              <w:rPr>
                <w:rFonts w:ascii="仿宋" w:hAnsi="仿宋" w:eastAsia="仿宋" w:cs="仿宋"/>
                <w:bCs/>
                <w:color w:val="000000" w:themeColor="text1"/>
                <w:sz w:val="24"/>
                <w:szCs w:val="24"/>
                <w14:textFill>
                  <w14:solidFill>
                    <w14:schemeClr w14:val="tx1"/>
                  </w14:solidFill>
                </w14:textFill>
              </w:rPr>
            </w:pPr>
          </w:p>
        </w:tc>
        <w:tc>
          <w:tcPr>
            <w:tcW w:w="1983" w:type="dxa"/>
            <w:tcMar>
              <w:top w:w="15" w:type="dxa"/>
              <w:left w:w="15" w:type="dxa"/>
              <w:bottom w:w="0" w:type="dxa"/>
              <w:right w:w="15" w:type="dxa"/>
            </w:tcMar>
            <w:vAlign w:val="center"/>
          </w:tcPr>
          <w:p w14:paraId="49489574">
            <w:pPr>
              <w:spacing w:line="400" w:lineRule="exact"/>
              <w:jc w:val="center"/>
              <w:rPr>
                <w:rFonts w:ascii="仿宋" w:hAnsi="仿宋" w:eastAsia="仿宋" w:cs="仿宋"/>
                <w:bCs/>
                <w:color w:val="000000" w:themeColor="text1"/>
                <w:sz w:val="24"/>
                <w:szCs w:val="24"/>
                <w14:textFill>
                  <w14:solidFill>
                    <w14:schemeClr w14:val="tx1"/>
                  </w14:solidFill>
                </w14:textFill>
              </w:rPr>
            </w:pPr>
          </w:p>
        </w:tc>
        <w:tc>
          <w:tcPr>
            <w:tcW w:w="2348" w:type="dxa"/>
            <w:tcMar>
              <w:top w:w="15" w:type="dxa"/>
              <w:left w:w="15" w:type="dxa"/>
              <w:bottom w:w="0" w:type="dxa"/>
              <w:right w:w="15" w:type="dxa"/>
            </w:tcMar>
            <w:vAlign w:val="center"/>
          </w:tcPr>
          <w:p w14:paraId="3963C8E7">
            <w:pPr>
              <w:spacing w:line="400" w:lineRule="exact"/>
              <w:jc w:val="center"/>
              <w:rPr>
                <w:rFonts w:ascii="仿宋" w:hAnsi="仿宋" w:eastAsia="仿宋" w:cs="仿宋"/>
                <w:bCs/>
                <w:color w:val="000000" w:themeColor="text1"/>
                <w:sz w:val="24"/>
                <w:szCs w:val="24"/>
                <w14:textFill>
                  <w14:solidFill>
                    <w14:schemeClr w14:val="tx1"/>
                  </w14:solidFill>
                </w14:textFill>
              </w:rPr>
            </w:pPr>
          </w:p>
        </w:tc>
        <w:tc>
          <w:tcPr>
            <w:tcW w:w="2345" w:type="dxa"/>
            <w:vAlign w:val="center"/>
          </w:tcPr>
          <w:p w14:paraId="5F3A6735">
            <w:pPr>
              <w:spacing w:line="400" w:lineRule="exact"/>
              <w:jc w:val="center"/>
              <w:rPr>
                <w:rFonts w:ascii="仿宋" w:hAnsi="仿宋" w:eastAsia="仿宋" w:cs="仿宋"/>
                <w:bCs/>
                <w:color w:val="000000" w:themeColor="text1"/>
                <w:sz w:val="24"/>
                <w:szCs w:val="24"/>
                <w14:textFill>
                  <w14:solidFill>
                    <w14:schemeClr w14:val="tx1"/>
                  </w14:solidFill>
                </w14:textFill>
              </w:rPr>
            </w:pPr>
          </w:p>
        </w:tc>
        <w:tc>
          <w:tcPr>
            <w:tcW w:w="1274" w:type="dxa"/>
            <w:tcBorders>
              <w:right w:val="single" w:color="auto" w:sz="4" w:space="0"/>
            </w:tcBorders>
            <w:vAlign w:val="center"/>
          </w:tcPr>
          <w:p w14:paraId="2F0383EF">
            <w:pPr>
              <w:spacing w:line="400" w:lineRule="exact"/>
              <w:jc w:val="center"/>
              <w:rPr>
                <w:rFonts w:ascii="仿宋" w:hAnsi="仿宋" w:eastAsia="仿宋" w:cs="仿宋"/>
                <w:bCs/>
                <w:color w:val="000000" w:themeColor="text1"/>
                <w:sz w:val="24"/>
                <w:szCs w:val="24"/>
                <w14:textFill>
                  <w14:solidFill>
                    <w14:schemeClr w14:val="tx1"/>
                  </w14:solidFill>
                </w14:textFill>
              </w:rPr>
            </w:pPr>
          </w:p>
        </w:tc>
        <w:tc>
          <w:tcPr>
            <w:tcW w:w="900" w:type="dxa"/>
            <w:tcBorders>
              <w:left w:val="single" w:color="auto" w:sz="4" w:space="0"/>
            </w:tcBorders>
            <w:vAlign w:val="center"/>
          </w:tcPr>
          <w:p w14:paraId="4BB9AA29">
            <w:pPr>
              <w:spacing w:line="400" w:lineRule="exact"/>
              <w:jc w:val="center"/>
              <w:rPr>
                <w:rFonts w:ascii="仿宋" w:hAnsi="仿宋" w:eastAsia="仿宋" w:cs="仿宋"/>
                <w:bCs/>
                <w:color w:val="000000" w:themeColor="text1"/>
                <w:sz w:val="24"/>
                <w:szCs w:val="24"/>
                <w14:textFill>
                  <w14:solidFill>
                    <w14:schemeClr w14:val="tx1"/>
                  </w14:solidFill>
                </w14:textFill>
              </w:rPr>
            </w:pPr>
          </w:p>
        </w:tc>
      </w:tr>
    </w:tbl>
    <w:p w14:paraId="6B3AB6FD">
      <w:pPr>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注：除本商务偏离表中所列的偏离内容外，其他所有商务条款均应完全响应“投标文件”中的要求。</w:t>
      </w:r>
    </w:p>
    <w:p w14:paraId="4188C704">
      <w:pPr>
        <w:spacing w:line="400" w:lineRule="exact"/>
        <w:rPr>
          <w:rFonts w:ascii="仿宋" w:hAnsi="仿宋" w:eastAsia="仿宋" w:cs="仿宋"/>
          <w:color w:val="000000" w:themeColor="text1"/>
          <w:sz w:val="24"/>
          <w:szCs w:val="24"/>
          <w14:textFill>
            <w14:solidFill>
              <w14:schemeClr w14:val="tx1"/>
            </w14:solidFill>
          </w14:textFill>
        </w:rPr>
      </w:pPr>
    </w:p>
    <w:p w14:paraId="308A7B88">
      <w:pPr>
        <w:spacing w:line="400" w:lineRule="exact"/>
        <w:rPr>
          <w:rFonts w:ascii="仿宋" w:hAnsi="仿宋" w:eastAsia="仿宋" w:cs="仿宋"/>
          <w:color w:val="000000" w:themeColor="text1"/>
          <w:sz w:val="24"/>
          <w:szCs w:val="24"/>
          <w14:textFill>
            <w14:solidFill>
              <w14:schemeClr w14:val="tx1"/>
            </w14:solidFill>
          </w14:textFill>
        </w:rPr>
      </w:pPr>
    </w:p>
    <w:p w14:paraId="015DDF78">
      <w:pPr>
        <w:spacing w:line="400" w:lineRule="exact"/>
        <w:rPr>
          <w:rFonts w:ascii="仿宋" w:hAnsi="仿宋" w:eastAsia="仿宋" w:cs="仿宋"/>
          <w:color w:val="000000" w:themeColor="text1"/>
          <w:sz w:val="24"/>
          <w:szCs w:val="24"/>
          <w:u w:val="single"/>
          <w14:textFill>
            <w14:solidFill>
              <w14:schemeClr w14:val="tx1"/>
            </w14:solidFill>
          </w14:textFill>
        </w:rPr>
      </w:pPr>
      <w:bookmarkStart w:id="104" w:name="_Toc327439493"/>
      <w:r>
        <w:rPr>
          <w:rFonts w:hint="eastAsia" w:ascii="仿宋" w:hAnsi="仿宋" w:eastAsia="仿宋" w:cs="仿宋"/>
          <w:color w:val="000000" w:themeColor="text1"/>
          <w:sz w:val="24"/>
          <w:szCs w:val="24"/>
          <w14:textFill>
            <w14:solidFill>
              <w14:schemeClr w14:val="tx1"/>
            </w14:solidFill>
          </w14:textFill>
        </w:rPr>
        <w:t>投标供应商名称（公章）：</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3EC308F5">
      <w:pPr>
        <w:spacing w:line="400" w:lineRule="exact"/>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法定代表人或授权代表人（签字）：</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0BD39DBD">
      <w:pPr>
        <w:spacing w:line="400" w:lineRule="exact"/>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日期：</w:t>
      </w:r>
      <w:r>
        <w:rPr>
          <w:rFonts w:hint="eastAsia" w:ascii="仿宋" w:hAnsi="仿宋" w:eastAsia="仿宋" w:cs="仿宋"/>
          <w:bCs/>
          <w:color w:val="000000" w:themeColor="text1"/>
          <w:sz w:val="24"/>
          <w:szCs w:val="24"/>
          <w:u w:val="single"/>
          <w14:textFill>
            <w14:solidFill>
              <w14:schemeClr w14:val="tx1"/>
            </w14:solidFill>
          </w14:textFill>
        </w:rPr>
        <w:t xml:space="preserve">      </w:t>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 xml:space="preserve">    </w:t>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 xml:space="preserve">    </w:t>
      </w:r>
      <w:r>
        <w:rPr>
          <w:rFonts w:hint="eastAsia" w:ascii="仿宋" w:hAnsi="仿宋" w:eastAsia="仿宋" w:cs="仿宋"/>
          <w:bCs/>
          <w:color w:val="000000" w:themeColor="text1"/>
          <w:sz w:val="24"/>
          <w:szCs w:val="24"/>
          <w14:textFill>
            <w14:solidFill>
              <w14:schemeClr w14:val="tx1"/>
            </w14:solidFill>
          </w14:textFill>
        </w:rPr>
        <w:t>日</w:t>
      </w:r>
    </w:p>
    <w:p w14:paraId="21835CA4">
      <w:pPr>
        <w:snapToGrid w:val="0"/>
        <w:spacing w:line="400" w:lineRule="exact"/>
        <w:ind w:firstLine="5880" w:firstLineChars="2450"/>
        <w:rPr>
          <w:rFonts w:ascii="仿宋" w:hAnsi="仿宋" w:eastAsia="仿宋" w:cs="仿宋"/>
          <w:bCs/>
          <w:color w:val="000000" w:themeColor="text1"/>
          <w:sz w:val="24"/>
          <w:szCs w:val="24"/>
          <w:u w:val="single"/>
          <w14:textFill>
            <w14:solidFill>
              <w14:schemeClr w14:val="tx1"/>
            </w14:solidFill>
          </w14:textFill>
        </w:rPr>
      </w:pPr>
    </w:p>
    <w:p w14:paraId="35A4B93A">
      <w:pPr>
        <w:snapToGrid w:val="0"/>
        <w:spacing w:line="400" w:lineRule="exact"/>
        <w:ind w:firstLine="5880" w:firstLineChars="2450"/>
        <w:rPr>
          <w:rFonts w:ascii="仿宋" w:hAnsi="仿宋" w:eastAsia="仿宋" w:cs="仿宋"/>
          <w:bCs/>
          <w:color w:val="000000" w:themeColor="text1"/>
          <w:sz w:val="24"/>
          <w:szCs w:val="24"/>
          <w:u w:val="single"/>
          <w14:textFill>
            <w14:solidFill>
              <w14:schemeClr w14:val="tx1"/>
            </w14:solidFill>
          </w14:textFill>
        </w:rPr>
      </w:pPr>
    </w:p>
    <w:p w14:paraId="69EC920B">
      <w:pPr>
        <w:snapToGrid w:val="0"/>
        <w:spacing w:line="400" w:lineRule="exact"/>
        <w:ind w:firstLine="5880" w:firstLineChars="2450"/>
        <w:rPr>
          <w:rFonts w:ascii="仿宋" w:hAnsi="仿宋" w:eastAsia="仿宋" w:cs="仿宋"/>
          <w:bCs/>
          <w:color w:val="000000" w:themeColor="text1"/>
          <w:sz w:val="24"/>
          <w:szCs w:val="24"/>
          <w:u w:val="single"/>
          <w14:textFill>
            <w14:solidFill>
              <w14:schemeClr w14:val="tx1"/>
            </w14:solidFill>
          </w14:textFill>
        </w:rPr>
      </w:pPr>
    </w:p>
    <w:p w14:paraId="6D59C0C9">
      <w:pPr>
        <w:snapToGrid w:val="0"/>
        <w:spacing w:line="400" w:lineRule="exact"/>
        <w:ind w:firstLine="5880" w:firstLineChars="2450"/>
        <w:rPr>
          <w:rFonts w:ascii="仿宋" w:hAnsi="仿宋" w:eastAsia="仿宋" w:cs="仿宋"/>
          <w:bCs/>
          <w:color w:val="000000" w:themeColor="text1"/>
          <w:sz w:val="24"/>
          <w:szCs w:val="24"/>
          <w:u w:val="single"/>
          <w14:textFill>
            <w14:solidFill>
              <w14:schemeClr w14:val="tx1"/>
            </w14:solidFill>
          </w14:textFill>
        </w:rPr>
      </w:pPr>
    </w:p>
    <w:p w14:paraId="65A20D46">
      <w:pPr>
        <w:snapToGrid w:val="0"/>
        <w:spacing w:line="400" w:lineRule="exact"/>
        <w:ind w:firstLine="5880" w:firstLineChars="2450"/>
        <w:rPr>
          <w:rFonts w:ascii="仿宋" w:hAnsi="仿宋" w:eastAsia="仿宋" w:cs="仿宋"/>
          <w:bCs/>
          <w:color w:val="000000" w:themeColor="text1"/>
          <w:sz w:val="24"/>
          <w:szCs w:val="24"/>
          <w:u w:val="single"/>
          <w14:textFill>
            <w14:solidFill>
              <w14:schemeClr w14:val="tx1"/>
            </w14:solidFill>
          </w14:textFill>
        </w:rPr>
      </w:pPr>
    </w:p>
    <w:p w14:paraId="148FABD3">
      <w:pPr>
        <w:snapToGrid w:val="0"/>
        <w:spacing w:line="400" w:lineRule="exact"/>
        <w:ind w:firstLine="5880" w:firstLineChars="2450"/>
        <w:rPr>
          <w:rFonts w:ascii="仿宋" w:hAnsi="仿宋" w:eastAsia="仿宋" w:cs="仿宋"/>
          <w:bCs/>
          <w:color w:val="000000" w:themeColor="text1"/>
          <w:sz w:val="24"/>
          <w:szCs w:val="24"/>
          <w:u w:val="single"/>
          <w14:textFill>
            <w14:solidFill>
              <w14:schemeClr w14:val="tx1"/>
            </w14:solidFill>
          </w14:textFill>
        </w:rPr>
      </w:pPr>
    </w:p>
    <w:p w14:paraId="63E8983E">
      <w:pPr>
        <w:snapToGrid w:val="0"/>
        <w:spacing w:line="400" w:lineRule="exact"/>
        <w:rPr>
          <w:rFonts w:ascii="仿宋" w:hAnsi="仿宋" w:eastAsia="仿宋" w:cs="仿宋"/>
          <w:bCs/>
          <w:color w:val="000000" w:themeColor="text1"/>
          <w:sz w:val="24"/>
          <w:szCs w:val="24"/>
          <w:u w:val="single"/>
          <w14:textFill>
            <w14:solidFill>
              <w14:schemeClr w14:val="tx1"/>
            </w14:solidFill>
          </w14:textFill>
        </w:rPr>
      </w:pPr>
    </w:p>
    <w:p w14:paraId="2CEC567D">
      <w:pPr>
        <w:spacing w:line="400" w:lineRule="exact"/>
        <w:rPr>
          <w:rFonts w:ascii="仿宋" w:hAnsi="仿宋" w:eastAsia="仿宋" w:cs="仿宋"/>
          <w:b/>
          <w:color w:val="000000" w:themeColor="text1"/>
          <w:sz w:val="24"/>
          <w:szCs w:val="24"/>
          <w14:textFill>
            <w14:solidFill>
              <w14:schemeClr w14:val="tx1"/>
            </w14:solidFill>
          </w14:textFill>
        </w:rPr>
      </w:pPr>
    </w:p>
    <w:p w14:paraId="029DC2F1">
      <w:pPr>
        <w:spacing w:line="400" w:lineRule="exact"/>
        <w:rPr>
          <w:rFonts w:ascii="仿宋" w:hAnsi="仿宋" w:eastAsia="仿宋" w:cs="仿宋"/>
          <w:b/>
          <w:color w:val="000000" w:themeColor="text1"/>
          <w:sz w:val="24"/>
          <w:szCs w:val="24"/>
          <w14:textFill>
            <w14:solidFill>
              <w14:schemeClr w14:val="tx1"/>
            </w14:solidFill>
          </w14:textFill>
        </w:rPr>
      </w:pPr>
    </w:p>
    <w:p w14:paraId="5D344209">
      <w:pPr>
        <w:spacing w:line="400" w:lineRule="exact"/>
        <w:rPr>
          <w:rFonts w:ascii="仿宋" w:hAnsi="仿宋" w:eastAsia="仿宋" w:cs="仿宋"/>
          <w:b/>
          <w:color w:val="000000" w:themeColor="text1"/>
          <w:sz w:val="24"/>
          <w:szCs w:val="24"/>
          <w14:textFill>
            <w14:solidFill>
              <w14:schemeClr w14:val="tx1"/>
            </w14:solidFill>
          </w14:textFill>
        </w:rPr>
      </w:pPr>
    </w:p>
    <w:p w14:paraId="23969947">
      <w:pP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br w:type="page"/>
      </w:r>
    </w:p>
    <w:p w14:paraId="141D0195">
      <w:pPr>
        <w:spacing w:line="400" w:lineRule="exact"/>
        <w:jc w:val="center"/>
        <w:outlineLvl w:val="1"/>
        <w:rPr>
          <w:rFonts w:ascii="仿宋" w:hAnsi="仿宋" w:eastAsia="仿宋" w:cs="仿宋"/>
          <w:b/>
          <w:color w:val="000000" w:themeColor="text1"/>
          <w:sz w:val="24"/>
          <w:szCs w:val="24"/>
          <w14:textFill>
            <w14:solidFill>
              <w14:schemeClr w14:val="tx1"/>
            </w14:solidFill>
          </w14:textFill>
        </w:rPr>
      </w:pPr>
      <w:bookmarkStart w:id="105" w:name="_Toc8517"/>
      <w:bookmarkStart w:id="106" w:name="_Toc14794"/>
      <w:r>
        <w:rPr>
          <w:rFonts w:hint="eastAsia" w:ascii="仿宋" w:hAnsi="仿宋" w:eastAsia="仿宋" w:cs="仿宋"/>
          <w:b/>
          <w:color w:val="000000" w:themeColor="text1"/>
          <w:sz w:val="24"/>
          <w:szCs w:val="24"/>
          <w14:textFill>
            <w14:solidFill>
              <w14:schemeClr w14:val="tx1"/>
            </w14:solidFill>
          </w14:textFill>
        </w:rPr>
        <w:t>六、资格证明文件</w:t>
      </w:r>
      <w:bookmarkEnd w:id="105"/>
      <w:bookmarkEnd w:id="106"/>
    </w:p>
    <w:p w14:paraId="0A4C431B">
      <w:pPr>
        <w:pStyle w:val="36"/>
        <w:spacing w:line="400" w:lineRule="exact"/>
        <w:rPr>
          <w:rFonts w:ascii="仿宋" w:hAnsi="仿宋" w:eastAsia="仿宋" w:cs="仿宋"/>
          <w:b/>
          <w:color w:val="000000" w:themeColor="text1"/>
          <w:sz w:val="24"/>
          <w:szCs w:val="24"/>
          <w14:textFill>
            <w14:solidFill>
              <w14:schemeClr w14:val="tx1"/>
            </w14:solidFill>
          </w14:textFill>
        </w:rPr>
      </w:pPr>
    </w:p>
    <w:p w14:paraId="09F0E586">
      <w:pPr>
        <w:pStyle w:val="37"/>
        <w:spacing w:before="0" w:beforeAutospacing="0" w:after="0" w:afterAutospacing="0" w:line="400" w:lineRule="exact"/>
        <w:jc w:val="both"/>
        <w:outlineLvl w:val="2"/>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1.满足《中华人民共和国政府采购法》第二十二条规定；</w:t>
      </w:r>
    </w:p>
    <w:p w14:paraId="4F084F7A">
      <w:pPr>
        <w:pStyle w:val="37"/>
        <w:spacing w:before="0" w:beforeAutospacing="0" w:after="0" w:afterAutospacing="0" w:line="400" w:lineRule="exact"/>
        <w:ind w:firstLine="480" w:firstLineChars="200"/>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1）具有独立承担民事责任的能力，有效的营业执照和相应的经营范围、良好的信誉，能够独立承担民事责任，承认并履行招标文件的各项规定；</w:t>
      </w:r>
    </w:p>
    <w:p w14:paraId="20C3EFC6">
      <w:pPr>
        <w:pStyle w:val="37"/>
        <w:spacing w:before="0" w:beforeAutospacing="0" w:after="0" w:afterAutospacing="0" w:line="400" w:lineRule="exact"/>
        <w:ind w:firstLine="480" w:firstLineChars="200"/>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2）符合中华人民共和国境内注册且具有独立的法人资格，具有有效的营业执照和相应的经营范围、良好的信誉，能够独立承担民事责任，承认并履行招标文件的各项规定；</w:t>
      </w:r>
    </w:p>
    <w:p w14:paraId="4DDC01B2">
      <w:pPr>
        <w:pStyle w:val="37"/>
        <w:spacing w:before="0" w:beforeAutospacing="0" w:after="0" w:afterAutospacing="0" w:line="400" w:lineRule="exact"/>
        <w:ind w:firstLine="480" w:firstLineChars="200"/>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3）提供上年度经第三方权威机构出具的完整的财务审计报告（当上一年度审计报告未出来时，</w:t>
      </w:r>
      <w:r>
        <w:rPr>
          <w:rFonts w:ascii="仿宋" w:hAnsi="仿宋" w:eastAsia="仿宋" w:cs="仿宋"/>
          <w:color w:val="000000" w:themeColor="text1"/>
          <w:kern w:val="2"/>
          <w14:textFill>
            <w14:solidFill>
              <w14:schemeClr w14:val="tx1"/>
            </w14:solidFill>
          </w14:textFill>
        </w:rPr>
        <w:t>可提供</w:t>
      </w:r>
      <w:r>
        <w:rPr>
          <w:rFonts w:hint="eastAsia" w:ascii="仿宋" w:hAnsi="仿宋" w:eastAsia="仿宋" w:cs="仿宋"/>
          <w:color w:val="000000" w:themeColor="text1"/>
          <w:kern w:val="2"/>
          <w14:textFill>
            <w14:solidFill>
              <w14:schemeClr w14:val="tx1"/>
            </w14:solidFill>
          </w14:textFill>
        </w:rPr>
        <w:t>前一年度审计报告</w:t>
      </w:r>
      <w:r>
        <w:rPr>
          <w:rFonts w:ascii="仿宋" w:hAnsi="仿宋" w:eastAsia="仿宋" w:cs="仿宋"/>
          <w:color w:val="000000" w:themeColor="text1"/>
          <w:kern w:val="2"/>
          <w14:textFill>
            <w14:solidFill>
              <w14:schemeClr w14:val="tx1"/>
            </w14:solidFill>
          </w14:textFill>
        </w:rPr>
        <w:t>）</w:t>
      </w:r>
      <w:r>
        <w:rPr>
          <w:rFonts w:hint="eastAsia" w:ascii="仿宋" w:hAnsi="仿宋" w:eastAsia="仿宋" w:cs="仿宋"/>
          <w:color w:val="000000" w:themeColor="text1"/>
          <w:kern w:val="2"/>
          <w14:textFill>
            <w14:solidFill>
              <w14:schemeClr w14:val="tx1"/>
            </w14:solidFill>
          </w14:textFill>
        </w:rPr>
        <w:t>或自发布公告之日起基本开户银行出具的资信证明；</w:t>
      </w:r>
    </w:p>
    <w:p w14:paraId="3F704D96">
      <w:pPr>
        <w:pStyle w:val="37"/>
        <w:spacing w:before="0" w:beforeAutospacing="0" w:after="0" w:afterAutospacing="0" w:line="400" w:lineRule="exact"/>
        <w:ind w:firstLine="480" w:firstLineChars="200"/>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4）在以往经营活动中无任何不良记录；</w:t>
      </w:r>
    </w:p>
    <w:p w14:paraId="7A783F10">
      <w:pPr>
        <w:pStyle w:val="37"/>
        <w:spacing w:before="0" w:beforeAutospacing="0" w:after="0" w:afterAutospacing="0" w:line="400" w:lineRule="exact"/>
        <w:ind w:firstLine="480" w:firstLineChars="200"/>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5）能开具符合税法规定的发票，税款由供应商承担；</w:t>
      </w:r>
    </w:p>
    <w:p w14:paraId="067DC7B8">
      <w:pPr>
        <w:pStyle w:val="37"/>
        <w:spacing w:before="0" w:beforeAutospacing="0" w:after="0" w:afterAutospacing="0" w:line="400" w:lineRule="exact"/>
        <w:ind w:firstLine="480" w:firstLineChars="200"/>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6）具有良好的商业信誉和财务状况，制度健全，依法纳税，合法经营，在以往经营活动中没有违规或违约行为；</w:t>
      </w:r>
    </w:p>
    <w:p w14:paraId="2433280D">
      <w:pPr>
        <w:pStyle w:val="37"/>
        <w:spacing w:before="0" w:beforeAutospacing="0" w:after="0" w:afterAutospacing="0" w:line="400" w:lineRule="exact"/>
        <w:ind w:firstLine="480" w:firstLineChars="200"/>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7）提供的资格、资质文件和业绩情况均真实有效，否则由报价单位承担由此引起的一切后果及损失；</w:t>
      </w:r>
    </w:p>
    <w:p w14:paraId="2A57F91A">
      <w:pPr>
        <w:pStyle w:val="37"/>
        <w:spacing w:before="0" w:beforeAutospacing="0" w:after="0" w:afterAutospacing="0" w:line="400" w:lineRule="exact"/>
        <w:ind w:firstLine="480" w:firstLineChars="200"/>
        <w:jc w:val="both"/>
        <w:outlineLvl w:val="3"/>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8）符合国家法律、法规规定的其他条件</w:t>
      </w:r>
    </w:p>
    <w:p w14:paraId="12CA22D0">
      <w:pPr>
        <w:pStyle w:val="37"/>
        <w:spacing w:before="0" w:beforeAutospacing="0" w:after="0" w:afterAutospacing="0" w:line="400" w:lineRule="exact"/>
        <w:ind w:firstLine="480" w:firstLineChars="200"/>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9）在“信用中国”网站被列入失信被执行人、重大税收违法失信主体，在中国裁判文书网有行贿犯罪记录的（尚在处罚期内的），在中国政府采购网被列入政府采购严重违法失信行为记录名单的（尚在处罚期内的），将拒绝本次政府采购活动,须提供网站查询结果截图。</w:t>
      </w:r>
    </w:p>
    <w:p w14:paraId="21220170">
      <w:pPr>
        <w:pStyle w:val="37"/>
        <w:spacing w:before="0" w:beforeAutospacing="0" w:after="0" w:afterAutospacing="0" w:line="400" w:lineRule="exact"/>
        <w:ind w:firstLine="480" w:firstLineChars="200"/>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10）参加招投标活动前三年内，在经营活动中没重大违法记录（受行政主管部门处罚的不能参加投标，提供声明书）。</w:t>
      </w:r>
    </w:p>
    <w:p w14:paraId="6DCB68BE">
      <w:pPr>
        <w:pStyle w:val="37"/>
        <w:spacing w:before="0" w:beforeAutospacing="0" w:after="0" w:afterAutospacing="0" w:line="400" w:lineRule="exact"/>
        <w:ind w:firstLine="480" w:firstLineChars="200"/>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11）单位负责人为同一人或者存在直接控股、管理关系的不同供应商，不得参加同一合同项下的政府采购活动；与采购人存在利害关系可能影响采购公正性的法人、其他组织或个人不得参与投标，违反规定的相关投标均无效。 </w:t>
      </w:r>
    </w:p>
    <w:p w14:paraId="340F9D97">
      <w:pPr>
        <w:pStyle w:val="2"/>
        <w:spacing w:line="40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12）供应商反商业贿赂承诺书（附件10）</w:t>
      </w:r>
    </w:p>
    <w:p w14:paraId="6E22B543">
      <w:pPr>
        <w:pStyle w:val="2"/>
        <w:spacing w:line="40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13）投标保证金提交证明</w:t>
      </w:r>
    </w:p>
    <w:p w14:paraId="10DCCA15">
      <w:pPr>
        <w:pStyle w:val="36"/>
        <w:spacing w:line="400" w:lineRule="exact"/>
        <w:rPr>
          <w:rFonts w:ascii="仿宋" w:hAnsi="仿宋" w:eastAsia="仿宋" w:cs="仿宋"/>
          <w:b/>
          <w:color w:val="000000" w:themeColor="text1"/>
          <w:sz w:val="24"/>
          <w:szCs w:val="24"/>
          <w14:textFill>
            <w14:solidFill>
              <w14:schemeClr w14:val="tx1"/>
            </w14:solidFill>
          </w14:textFill>
        </w:rPr>
      </w:pPr>
    </w:p>
    <w:p w14:paraId="71478E8A">
      <w:pPr>
        <w:pStyle w:val="37"/>
        <w:spacing w:before="0" w:beforeAutospacing="0" w:after="0" w:afterAutospacing="0" w:line="400" w:lineRule="exact"/>
        <w:jc w:val="both"/>
        <w:outlineLvl w:val="2"/>
        <w:rPr>
          <w:rFonts w:ascii="仿宋" w:hAnsi="仿宋" w:eastAsia="仿宋" w:cs="仿宋"/>
          <w:color w:val="000000" w:themeColor="text1"/>
          <w:kern w:val="2"/>
          <w14:textFill>
            <w14:solidFill>
              <w14:schemeClr w14:val="tx1"/>
            </w14:solidFill>
          </w14:textFill>
        </w:rPr>
      </w:pPr>
    </w:p>
    <w:p w14:paraId="331A1E1A">
      <w:pPr>
        <w:pStyle w:val="37"/>
        <w:spacing w:before="0" w:beforeAutospacing="0" w:after="0" w:afterAutospacing="0" w:line="400" w:lineRule="exact"/>
        <w:ind w:firstLine="240" w:firstLineChars="100"/>
        <w:jc w:val="both"/>
        <w:outlineLvl w:val="2"/>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2、本项目不接受联合体投标。</w:t>
      </w:r>
    </w:p>
    <w:p w14:paraId="05786F84">
      <w:pPr>
        <w:pStyle w:val="36"/>
        <w:spacing w:line="400" w:lineRule="exact"/>
        <w:rPr>
          <w:rFonts w:ascii="仿宋" w:hAnsi="仿宋" w:eastAsia="仿宋" w:cs="仿宋"/>
          <w:b/>
          <w:color w:val="000000" w:themeColor="text1"/>
          <w:sz w:val="24"/>
          <w:szCs w:val="24"/>
          <w14:textFill>
            <w14:solidFill>
              <w14:schemeClr w14:val="tx1"/>
            </w14:solidFill>
          </w14:textFill>
        </w:rPr>
      </w:pPr>
    </w:p>
    <w:p w14:paraId="04C86A88">
      <w:pPr>
        <w:spacing w:line="400" w:lineRule="exact"/>
        <w:rPr>
          <w:rFonts w:ascii="仿宋" w:hAnsi="仿宋" w:eastAsia="仿宋" w:cs="仿宋"/>
          <w:b/>
          <w:color w:val="000000" w:themeColor="text1"/>
          <w:sz w:val="24"/>
          <w:szCs w:val="24"/>
          <w14:textFill>
            <w14:solidFill>
              <w14:schemeClr w14:val="tx1"/>
            </w14:solidFill>
          </w14:textFill>
        </w:rPr>
      </w:pPr>
    </w:p>
    <w:p w14:paraId="0E6540F3">
      <w:pPr>
        <w:spacing w:line="400" w:lineRule="exact"/>
        <w:rPr>
          <w:rFonts w:ascii="仿宋" w:hAnsi="仿宋" w:eastAsia="仿宋" w:cs="仿宋"/>
          <w:b/>
          <w:color w:val="000000" w:themeColor="text1"/>
          <w:sz w:val="24"/>
          <w:szCs w:val="24"/>
          <w14:textFill>
            <w14:solidFill>
              <w14:schemeClr w14:val="tx1"/>
            </w14:solidFill>
          </w14:textFill>
        </w:rPr>
        <w:sectPr>
          <w:headerReference r:id="rId10" w:type="default"/>
          <w:pgSz w:w="11906" w:h="16838"/>
          <w:pgMar w:top="1304" w:right="1247" w:bottom="1418" w:left="1247" w:header="851" w:footer="992" w:gutter="0"/>
          <w:pgBorders>
            <w:top w:val="none" w:sz="0" w:space="0"/>
            <w:left w:val="none" w:sz="0" w:space="0"/>
            <w:bottom w:val="none" w:sz="0" w:space="0"/>
            <w:right w:val="none" w:sz="0" w:space="0"/>
          </w:pgBorders>
          <w:cols w:space="720" w:num="1"/>
          <w:docGrid w:linePitch="312" w:charSpace="0"/>
        </w:sectPr>
      </w:pPr>
    </w:p>
    <w:p w14:paraId="5D133802">
      <w:pPr>
        <w:spacing w:line="400" w:lineRule="exac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附件6：</w:t>
      </w:r>
    </w:p>
    <w:p w14:paraId="5CA4502C">
      <w:pPr>
        <w:spacing w:line="400" w:lineRule="exact"/>
        <w:jc w:val="center"/>
        <w:outlineLvl w:val="1"/>
        <w:rPr>
          <w:rFonts w:ascii="仿宋" w:hAnsi="仿宋" w:eastAsia="仿宋" w:cs="仿宋"/>
          <w:b/>
          <w:color w:val="000000" w:themeColor="text1"/>
          <w:sz w:val="24"/>
          <w:szCs w:val="24"/>
          <w14:textFill>
            <w14:solidFill>
              <w14:schemeClr w14:val="tx1"/>
            </w14:solidFill>
          </w14:textFill>
        </w:rPr>
      </w:pPr>
      <w:bookmarkStart w:id="107" w:name="_Toc23793"/>
      <w:bookmarkStart w:id="108" w:name="_Toc11704"/>
      <w:r>
        <w:rPr>
          <w:rFonts w:hint="eastAsia" w:ascii="仿宋" w:hAnsi="仿宋" w:eastAsia="仿宋" w:cs="仿宋"/>
          <w:b/>
          <w:color w:val="000000" w:themeColor="text1"/>
          <w:sz w:val="24"/>
          <w:szCs w:val="24"/>
          <w14:textFill>
            <w14:solidFill>
              <w14:schemeClr w14:val="tx1"/>
            </w14:solidFill>
          </w14:textFill>
        </w:rPr>
        <w:t>七、类似业绩</w:t>
      </w:r>
      <w:bookmarkEnd w:id="107"/>
      <w:bookmarkEnd w:id="108"/>
    </w:p>
    <w:p w14:paraId="3E8252B6">
      <w:pPr>
        <w:spacing w:line="400" w:lineRule="exact"/>
        <w:jc w:val="center"/>
        <w:rPr>
          <w:rFonts w:ascii="仿宋" w:hAnsi="仿宋" w:eastAsia="仿宋" w:cs="仿宋"/>
          <w:color w:val="000000" w:themeColor="text1"/>
          <w:sz w:val="24"/>
          <w:szCs w:val="24"/>
          <w14:textFill>
            <w14:solidFill>
              <w14:schemeClr w14:val="tx1"/>
            </w14:solidFill>
          </w14:textFill>
        </w:rPr>
      </w:pPr>
    </w:p>
    <w:tbl>
      <w:tblPr>
        <w:tblStyle w:val="42"/>
        <w:tblW w:w="9224" w:type="dxa"/>
        <w:jc w:val="center"/>
        <w:tblLayout w:type="fixed"/>
        <w:tblCellMar>
          <w:top w:w="0" w:type="dxa"/>
          <w:left w:w="108" w:type="dxa"/>
          <w:bottom w:w="0" w:type="dxa"/>
          <w:right w:w="108" w:type="dxa"/>
        </w:tblCellMar>
      </w:tblPr>
      <w:tblGrid>
        <w:gridCol w:w="727"/>
        <w:gridCol w:w="2445"/>
        <w:gridCol w:w="1704"/>
        <w:gridCol w:w="1543"/>
        <w:gridCol w:w="1440"/>
        <w:gridCol w:w="1365"/>
      </w:tblGrid>
      <w:tr w14:paraId="1F13F1B2">
        <w:tblPrEx>
          <w:tblCellMar>
            <w:top w:w="0" w:type="dxa"/>
            <w:left w:w="108" w:type="dxa"/>
            <w:bottom w:w="0" w:type="dxa"/>
            <w:right w:w="108" w:type="dxa"/>
          </w:tblCellMar>
        </w:tblPrEx>
        <w:trPr>
          <w:trHeight w:val="1020"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65F67C82">
            <w:pPr>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2445" w:type="dxa"/>
            <w:tcBorders>
              <w:top w:val="single" w:color="auto" w:sz="4" w:space="0"/>
              <w:left w:val="single" w:color="auto" w:sz="4" w:space="0"/>
              <w:bottom w:val="single" w:color="auto" w:sz="4" w:space="0"/>
              <w:right w:val="single" w:color="auto" w:sz="4" w:space="0"/>
            </w:tcBorders>
            <w:vAlign w:val="center"/>
          </w:tcPr>
          <w:p w14:paraId="2AB8B8AB">
            <w:pPr>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项目名称</w:t>
            </w:r>
          </w:p>
        </w:tc>
        <w:tc>
          <w:tcPr>
            <w:tcW w:w="1704" w:type="dxa"/>
            <w:tcBorders>
              <w:top w:val="single" w:color="auto" w:sz="4" w:space="0"/>
              <w:left w:val="single" w:color="auto" w:sz="4" w:space="0"/>
              <w:bottom w:val="single" w:color="auto" w:sz="4" w:space="0"/>
              <w:right w:val="single" w:color="auto" w:sz="4" w:space="0"/>
            </w:tcBorders>
            <w:vAlign w:val="center"/>
          </w:tcPr>
          <w:p w14:paraId="7DF742DB">
            <w:pPr>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采购单位名称</w:t>
            </w:r>
          </w:p>
        </w:tc>
        <w:tc>
          <w:tcPr>
            <w:tcW w:w="1543" w:type="dxa"/>
            <w:tcBorders>
              <w:top w:val="single" w:color="auto" w:sz="4" w:space="0"/>
              <w:left w:val="single" w:color="auto" w:sz="4" w:space="0"/>
              <w:bottom w:val="single" w:color="auto" w:sz="4" w:space="0"/>
              <w:right w:val="single" w:color="auto" w:sz="4" w:space="0"/>
            </w:tcBorders>
            <w:vAlign w:val="center"/>
          </w:tcPr>
          <w:p w14:paraId="0BF23AD6">
            <w:pPr>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采购单位联系人及电话</w:t>
            </w:r>
          </w:p>
        </w:tc>
        <w:tc>
          <w:tcPr>
            <w:tcW w:w="1440" w:type="dxa"/>
            <w:tcBorders>
              <w:top w:val="single" w:color="auto" w:sz="4" w:space="0"/>
              <w:left w:val="single" w:color="auto" w:sz="4" w:space="0"/>
              <w:bottom w:val="single" w:color="auto" w:sz="4" w:space="0"/>
              <w:right w:val="single" w:color="auto" w:sz="4" w:space="0"/>
            </w:tcBorders>
            <w:vAlign w:val="center"/>
          </w:tcPr>
          <w:p w14:paraId="64177EAD">
            <w:pPr>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合同金额</w:t>
            </w:r>
          </w:p>
        </w:tc>
        <w:tc>
          <w:tcPr>
            <w:tcW w:w="1365" w:type="dxa"/>
            <w:tcBorders>
              <w:top w:val="single" w:color="auto" w:sz="4" w:space="0"/>
              <w:left w:val="single" w:color="auto" w:sz="4" w:space="0"/>
              <w:bottom w:val="single" w:color="auto" w:sz="4" w:space="0"/>
              <w:right w:val="single" w:color="auto" w:sz="4" w:space="0"/>
            </w:tcBorders>
            <w:vAlign w:val="center"/>
          </w:tcPr>
          <w:p w14:paraId="770027C3">
            <w:pPr>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签订日期</w:t>
            </w:r>
          </w:p>
        </w:tc>
      </w:tr>
      <w:tr w14:paraId="73C27B28">
        <w:tblPrEx>
          <w:tblCellMar>
            <w:top w:w="0" w:type="dxa"/>
            <w:left w:w="108" w:type="dxa"/>
            <w:bottom w:w="0" w:type="dxa"/>
            <w:right w:w="108" w:type="dxa"/>
          </w:tblCellMar>
        </w:tblPrEx>
        <w:trPr>
          <w:trHeight w:val="751" w:hRule="atLeast"/>
          <w:jc w:val="center"/>
        </w:trPr>
        <w:tc>
          <w:tcPr>
            <w:tcW w:w="727" w:type="dxa"/>
            <w:tcBorders>
              <w:top w:val="single" w:color="auto" w:sz="4" w:space="0"/>
              <w:left w:val="single" w:color="auto" w:sz="4" w:space="0"/>
              <w:bottom w:val="single" w:color="auto" w:sz="4" w:space="0"/>
              <w:right w:val="single" w:color="auto" w:sz="4" w:space="0"/>
            </w:tcBorders>
          </w:tcPr>
          <w:p w14:paraId="200BA075">
            <w:pPr>
              <w:spacing w:line="400" w:lineRule="exact"/>
              <w:rPr>
                <w:rFonts w:ascii="仿宋" w:hAnsi="仿宋" w:eastAsia="仿宋" w:cs="仿宋"/>
                <w:color w:val="000000" w:themeColor="text1"/>
                <w:sz w:val="24"/>
                <w:szCs w:val="24"/>
                <w14:textFill>
                  <w14:solidFill>
                    <w14:schemeClr w14:val="tx1"/>
                  </w14:solidFill>
                </w14:textFill>
              </w:rPr>
            </w:pPr>
          </w:p>
        </w:tc>
        <w:tc>
          <w:tcPr>
            <w:tcW w:w="2445" w:type="dxa"/>
            <w:tcBorders>
              <w:top w:val="single" w:color="auto" w:sz="4" w:space="0"/>
              <w:left w:val="single" w:color="auto" w:sz="4" w:space="0"/>
              <w:bottom w:val="single" w:color="auto" w:sz="4" w:space="0"/>
              <w:right w:val="single" w:color="auto" w:sz="4" w:space="0"/>
            </w:tcBorders>
          </w:tcPr>
          <w:p w14:paraId="298B0922">
            <w:pPr>
              <w:spacing w:line="400" w:lineRule="exact"/>
              <w:rPr>
                <w:rFonts w:ascii="仿宋" w:hAnsi="仿宋" w:eastAsia="仿宋" w:cs="仿宋"/>
                <w:color w:val="000000" w:themeColor="text1"/>
                <w:sz w:val="24"/>
                <w:szCs w:val="24"/>
                <w14:textFill>
                  <w14:solidFill>
                    <w14:schemeClr w14:val="tx1"/>
                  </w14:solidFill>
                </w14:textFill>
              </w:rPr>
            </w:pPr>
          </w:p>
        </w:tc>
        <w:tc>
          <w:tcPr>
            <w:tcW w:w="1704" w:type="dxa"/>
            <w:tcBorders>
              <w:top w:val="single" w:color="auto" w:sz="4" w:space="0"/>
              <w:left w:val="single" w:color="auto" w:sz="4" w:space="0"/>
              <w:bottom w:val="single" w:color="auto" w:sz="4" w:space="0"/>
              <w:right w:val="single" w:color="auto" w:sz="4" w:space="0"/>
            </w:tcBorders>
          </w:tcPr>
          <w:p w14:paraId="2DE5A1A2">
            <w:pPr>
              <w:spacing w:line="400" w:lineRule="exact"/>
              <w:rPr>
                <w:rFonts w:ascii="仿宋" w:hAnsi="仿宋" w:eastAsia="仿宋" w:cs="仿宋"/>
                <w:color w:val="000000" w:themeColor="text1"/>
                <w:sz w:val="24"/>
                <w:szCs w:val="24"/>
                <w14:textFill>
                  <w14:solidFill>
                    <w14:schemeClr w14:val="tx1"/>
                  </w14:solidFill>
                </w14:textFill>
              </w:rPr>
            </w:pPr>
          </w:p>
        </w:tc>
        <w:tc>
          <w:tcPr>
            <w:tcW w:w="1543" w:type="dxa"/>
            <w:tcBorders>
              <w:top w:val="single" w:color="auto" w:sz="4" w:space="0"/>
              <w:left w:val="single" w:color="auto" w:sz="4" w:space="0"/>
              <w:bottom w:val="single" w:color="auto" w:sz="4" w:space="0"/>
              <w:right w:val="single" w:color="auto" w:sz="4" w:space="0"/>
            </w:tcBorders>
          </w:tcPr>
          <w:p w14:paraId="42B8F330">
            <w:pPr>
              <w:spacing w:line="400" w:lineRule="exact"/>
              <w:rPr>
                <w:rFonts w:ascii="仿宋" w:hAnsi="仿宋" w:eastAsia="仿宋" w:cs="仿宋"/>
                <w:color w:val="000000" w:themeColor="text1"/>
                <w:sz w:val="24"/>
                <w:szCs w:val="24"/>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11BF911">
            <w:pPr>
              <w:spacing w:line="400" w:lineRule="exact"/>
              <w:rPr>
                <w:rFonts w:ascii="仿宋" w:hAnsi="仿宋" w:eastAsia="仿宋" w:cs="仿宋"/>
                <w:color w:val="000000" w:themeColor="text1"/>
                <w:sz w:val="24"/>
                <w:szCs w:val="24"/>
                <w14:textFill>
                  <w14:solidFill>
                    <w14:schemeClr w14:val="tx1"/>
                  </w14:solidFill>
                </w14:textFill>
              </w:rPr>
            </w:pPr>
          </w:p>
        </w:tc>
        <w:tc>
          <w:tcPr>
            <w:tcW w:w="1365" w:type="dxa"/>
            <w:tcBorders>
              <w:top w:val="single" w:color="auto" w:sz="4" w:space="0"/>
              <w:left w:val="single" w:color="auto" w:sz="4" w:space="0"/>
              <w:bottom w:val="single" w:color="auto" w:sz="4" w:space="0"/>
              <w:right w:val="single" w:color="auto" w:sz="4" w:space="0"/>
            </w:tcBorders>
          </w:tcPr>
          <w:p w14:paraId="1C8EB45B">
            <w:pPr>
              <w:spacing w:line="400" w:lineRule="exact"/>
              <w:rPr>
                <w:rFonts w:ascii="仿宋" w:hAnsi="仿宋" w:eastAsia="仿宋" w:cs="仿宋"/>
                <w:color w:val="000000" w:themeColor="text1"/>
                <w:sz w:val="24"/>
                <w:szCs w:val="24"/>
                <w14:textFill>
                  <w14:solidFill>
                    <w14:schemeClr w14:val="tx1"/>
                  </w14:solidFill>
                </w14:textFill>
              </w:rPr>
            </w:pPr>
          </w:p>
        </w:tc>
      </w:tr>
      <w:tr w14:paraId="3FAD99B2">
        <w:tblPrEx>
          <w:tblCellMar>
            <w:top w:w="0" w:type="dxa"/>
            <w:left w:w="108" w:type="dxa"/>
            <w:bottom w:w="0" w:type="dxa"/>
            <w:right w:w="108" w:type="dxa"/>
          </w:tblCellMar>
        </w:tblPrEx>
        <w:trPr>
          <w:trHeight w:val="715" w:hRule="atLeast"/>
          <w:jc w:val="center"/>
        </w:trPr>
        <w:tc>
          <w:tcPr>
            <w:tcW w:w="727" w:type="dxa"/>
            <w:tcBorders>
              <w:top w:val="single" w:color="auto" w:sz="4" w:space="0"/>
              <w:left w:val="single" w:color="auto" w:sz="4" w:space="0"/>
              <w:bottom w:val="single" w:color="auto" w:sz="4" w:space="0"/>
              <w:right w:val="single" w:color="auto" w:sz="4" w:space="0"/>
            </w:tcBorders>
          </w:tcPr>
          <w:p w14:paraId="7FF3C04C">
            <w:pPr>
              <w:spacing w:line="400" w:lineRule="exact"/>
              <w:rPr>
                <w:rFonts w:ascii="仿宋" w:hAnsi="仿宋" w:eastAsia="仿宋" w:cs="仿宋"/>
                <w:color w:val="000000" w:themeColor="text1"/>
                <w:sz w:val="24"/>
                <w:szCs w:val="24"/>
                <w14:textFill>
                  <w14:solidFill>
                    <w14:schemeClr w14:val="tx1"/>
                  </w14:solidFill>
                </w14:textFill>
              </w:rPr>
            </w:pPr>
          </w:p>
        </w:tc>
        <w:tc>
          <w:tcPr>
            <w:tcW w:w="2445" w:type="dxa"/>
            <w:tcBorders>
              <w:top w:val="single" w:color="auto" w:sz="4" w:space="0"/>
              <w:left w:val="single" w:color="auto" w:sz="4" w:space="0"/>
              <w:bottom w:val="single" w:color="auto" w:sz="4" w:space="0"/>
              <w:right w:val="single" w:color="auto" w:sz="4" w:space="0"/>
            </w:tcBorders>
          </w:tcPr>
          <w:p w14:paraId="43822427">
            <w:pPr>
              <w:spacing w:line="400" w:lineRule="exact"/>
              <w:rPr>
                <w:rFonts w:ascii="仿宋" w:hAnsi="仿宋" w:eastAsia="仿宋" w:cs="仿宋"/>
                <w:color w:val="000000" w:themeColor="text1"/>
                <w:sz w:val="24"/>
                <w:szCs w:val="24"/>
                <w14:textFill>
                  <w14:solidFill>
                    <w14:schemeClr w14:val="tx1"/>
                  </w14:solidFill>
                </w14:textFill>
              </w:rPr>
            </w:pPr>
          </w:p>
        </w:tc>
        <w:tc>
          <w:tcPr>
            <w:tcW w:w="1704" w:type="dxa"/>
            <w:tcBorders>
              <w:top w:val="single" w:color="auto" w:sz="4" w:space="0"/>
              <w:left w:val="single" w:color="auto" w:sz="4" w:space="0"/>
              <w:bottom w:val="single" w:color="auto" w:sz="4" w:space="0"/>
              <w:right w:val="single" w:color="auto" w:sz="4" w:space="0"/>
            </w:tcBorders>
          </w:tcPr>
          <w:p w14:paraId="6F3FF575">
            <w:pPr>
              <w:spacing w:line="400" w:lineRule="exact"/>
              <w:rPr>
                <w:rFonts w:ascii="仿宋" w:hAnsi="仿宋" w:eastAsia="仿宋" w:cs="仿宋"/>
                <w:color w:val="000000" w:themeColor="text1"/>
                <w:sz w:val="24"/>
                <w:szCs w:val="24"/>
                <w14:textFill>
                  <w14:solidFill>
                    <w14:schemeClr w14:val="tx1"/>
                  </w14:solidFill>
                </w14:textFill>
              </w:rPr>
            </w:pPr>
          </w:p>
        </w:tc>
        <w:tc>
          <w:tcPr>
            <w:tcW w:w="1543" w:type="dxa"/>
            <w:tcBorders>
              <w:top w:val="single" w:color="auto" w:sz="4" w:space="0"/>
              <w:left w:val="single" w:color="auto" w:sz="4" w:space="0"/>
              <w:bottom w:val="single" w:color="auto" w:sz="4" w:space="0"/>
              <w:right w:val="single" w:color="auto" w:sz="4" w:space="0"/>
            </w:tcBorders>
          </w:tcPr>
          <w:p w14:paraId="5DCD3182">
            <w:pPr>
              <w:spacing w:line="400" w:lineRule="exact"/>
              <w:rPr>
                <w:rFonts w:ascii="仿宋" w:hAnsi="仿宋" w:eastAsia="仿宋" w:cs="仿宋"/>
                <w:color w:val="000000" w:themeColor="text1"/>
                <w:sz w:val="24"/>
                <w:szCs w:val="24"/>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C4C4918">
            <w:pPr>
              <w:spacing w:line="400" w:lineRule="exact"/>
              <w:rPr>
                <w:rFonts w:ascii="仿宋" w:hAnsi="仿宋" w:eastAsia="仿宋" w:cs="仿宋"/>
                <w:color w:val="000000" w:themeColor="text1"/>
                <w:sz w:val="24"/>
                <w:szCs w:val="24"/>
                <w14:textFill>
                  <w14:solidFill>
                    <w14:schemeClr w14:val="tx1"/>
                  </w14:solidFill>
                </w14:textFill>
              </w:rPr>
            </w:pPr>
          </w:p>
        </w:tc>
        <w:tc>
          <w:tcPr>
            <w:tcW w:w="1365" w:type="dxa"/>
            <w:tcBorders>
              <w:top w:val="single" w:color="auto" w:sz="4" w:space="0"/>
              <w:left w:val="single" w:color="auto" w:sz="4" w:space="0"/>
              <w:bottom w:val="single" w:color="auto" w:sz="4" w:space="0"/>
              <w:right w:val="single" w:color="auto" w:sz="4" w:space="0"/>
            </w:tcBorders>
          </w:tcPr>
          <w:p w14:paraId="613E87B8">
            <w:pPr>
              <w:spacing w:line="400" w:lineRule="exact"/>
              <w:rPr>
                <w:rFonts w:ascii="仿宋" w:hAnsi="仿宋" w:eastAsia="仿宋" w:cs="仿宋"/>
                <w:color w:val="000000" w:themeColor="text1"/>
                <w:sz w:val="24"/>
                <w:szCs w:val="24"/>
                <w14:textFill>
                  <w14:solidFill>
                    <w14:schemeClr w14:val="tx1"/>
                  </w14:solidFill>
                </w14:textFill>
              </w:rPr>
            </w:pPr>
          </w:p>
        </w:tc>
      </w:tr>
      <w:tr w14:paraId="6D020016">
        <w:tblPrEx>
          <w:tblCellMar>
            <w:top w:w="0" w:type="dxa"/>
            <w:left w:w="108" w:type="dxa"/>
            <w:bottom w:w="0" w:type="dxa"/>
            <w:right w:w="108" w:type="dxa"/>
          </w:tblCellMar>
        </w:tblPrEx>
        <w:trPr>
          <w:trHeight w:val="715" w:hRule="atLeast"/>
          <w:jc w:val="center"/>
        </w:trPr>
        <w:tc>
          <w:tcPr>
            <w:tcW w:w="727" w:type="dxa"/>
            <w:tcBorders>
              <w:top w:val="single" w:color="auto" w:sz="4" w:space="0"/>
              <w:left w:val="single" w:color="auto" w:sz="4" w:space="0"/>
              <w:bottom w:val="single" w:color="auto" w:sz="4" w:space="0"/>
              <w:right w:val="single" w:color="auto" w:sz="4" w:space="0"/>
            </w:tcBorders>
          </w:tcPr>
          <w:p w14:paraId="27D5FA2E">
            <w:pPr>
              <w:spacing w:line="400" w:lineRule="exact"/>
              <w:rPr>
                <w:rFonts w:ascii="仿宋" w:hAnsi="仿宋" w:eastAsia="仿宋" w:cs="仿宋"/>
                <w:color w:val="000000" w:themeColor="text1"/>
                <w:sz w:val="24"/>
                <w:szCs w:val="24"/>
                <w14:textFill>
                  <w14:solidFill>
                    <w14:schemeClr w14:val="tx1"/>
                  </w14:solidFill>
                </w14:textFill>
              </w:rPr>
            </w:pPr>
          </w:p>
        </w:tc>
        <w:tc>
          <w:tcPr>
            <w:tcW w:w="2445" w:type="dxa"/>
            <w:tcBorders>
              <w:top w:val="single" w:color="auto" w:sz="4" w:space="0"/>
              <w:left w:val="single" w:color="auto" w:sz="4" w:space="0"/>
              <w:bottom w:val="single" w:color="auto" w:sz="4" w:space="0"/>
              <w:right w:val="single" w:color="auto" w:sz="4" w:space="0"/>
            </w:tcBorders>
          </w:tcPr>
          <w:p w14:paraId="72EB1108">
            <w:pPr>
              <w:spacing w:line="400" w:lineRule="exact"/>
              <w:rPr>
                <w:rFonts w:ascii="仿宋" w:hAnsi="仿宋" w:eastAsia="仿宋" w:cs="仿宋"/>
                <w:color w:val="000000" w:themeColor="text1"/>
                <w:sz w:val="24"/>
                <w:szCs w:val="24"/>
                <w14:textFill>
                  <w14:solidFill>
                    <w14:schemeClr w14:val="tx1"/>
                  </w14:solidFill>
                </w14:textFill>
              </w:rPr>
            </w:pPr>
          </w:p>
        </w:tc>
        <w:tc>
          <w:tcPr>
            <w:tcW w:w="1704" w:type="dxa"/>
            <w:tcBorders>
              <w:top w:val="single" w:color="auto" w:sz="4" w:space="0"/>
              <w:left w:val="single" w:color="auto" w:sz="4" w:space="0"/>
              <w:bottom w:val="single" w:color="auto" w:sz="4" w:space="0"/>
              <w:right w:val="single" w:color="auto" w:sz="4" w:space="0"/>
            </w:tcBorders>
          </w:tcPr>
          <w:p w14:paraId="6970BDC4">
            <w:pPr>
              <w:spacing w:line="400" w:lineRule="exact"/>
              <w:rPr>
                <w:rFonts w:ascii="仿宋" w:hAnsi="仿宋" w:eastAsia="仿宋" w:cs="仿宋"/>
                <w:color w:val="000000" w:themeColor="text1"/>
                <w:sz w:val="24"/>
                <w:szCs w:val="24"/>
                <w14:textFill>
                  <w14:solidFill>
                    <w14:schemeClr w14:val="tx1"/>
                  </w14:solidFill>
                </w14:textFill>
              </w:rPr>
            </w:pPr>
          </w:p>
        </w:tc>
        <w:tc>
          <w:tcPr>
            <w:tcW w:w="1543" w:type="dxa"/>
            <w:tcBorders>
              <w:top w:val="single" w:color="auto" w:sz="4" w:space="0"/>
              <w:left w:val="single" w:color="auto" w:sz="4" w:space="0"/>
              <w:bottom w:val="single" w:color="auto" w:sz="4" w:space="0"/>
              <w:right w:val="single" w:color="auto" w:sz="4" w:space="0"/>
            </w:tcBorders>
          </w:tcPr>
          <w:p w14:paraId="181C175A">
            <w:pPr>
              <w:spacing w:line="400" w:lineRule="exact"/>
              <w:rPr>
                <w:rFonts w:ascii="仿宋" w:hAnsi="仿宋" w:eastAsia="仿宋" w:cs="仿宋"/>
                <w:color w:val="000000" w:themeColor="text1"/>
                <w:sz w:val="24"/>
                <w:szCs w:val="24"/>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74207DA">
            <w:pPr>
              <w:spacing w:line="400" w:lineRule="exact"/>
              <w:rPr>
                <w:rFonts w:ascii="仿宋" w:hAnsi="仿宋" w:eastAsia="仿宋" w:cs="仿宋"/>
                <w:color w:val="000000" w:themeColor="text1"/>
                <w:sz w:val="24"/>
                <w:szCs w:val="24"/>
                <w14:textFill>
                  <w14:solidFill>
                    <w14:schemeClr w14:val="tx1"/>
                  </w14:solidFill>
                </w14:textFill>
              </w:rPr>
            </w:pPr>
          </w:p>
        </w:tc>
        <w:tc>
          <w:tcPr>
            <w:tcW w:w="1365" w:type="dxa"/>
            <w:tcBorders>
              <w:top w:val="single" w:color="auto" w:sz="4" w:space="0"/>
              <w:left w:val="single" w:color="auto" w:sz="4" w:space="0"/>
              <w:bottom w:val="single" w:color="auto" w:sz="4" w:space="0"/>
              <w:right w:val="single" w:color="auto" w:sz="4" w:space="0"/>
            </w:tcBorders>
          </w:tcPr>
          <w:p w14:paraId="420A9E44">
            <w:pPr>
              <w:spacing w:line="400" w:lineRule="exact"/>
              <w:rPr>
                <w:rFonts w:ascii="仿宋" w:hAnsi="仿宋" w:eastAsia="仿宋" w:cs="仿宋"/>
                <w:color w:val="000000" w:themeColor="text1"/>
                <w:sz w:val="24"/>
                <w:szCs w:val="24"/>
                <w14:textFill>
                  <w14:solidFill>
                    <w14:schemeClr w14:val="tx1"/>
                  </w14:solidFill>
                </w14:textFill>
              </w:rPr>
            </w:pPr>
          </w:p>
        </w:tc>
      </w:tr>
      <w:tr w14:paraId="5B186228">
        <w:tblPrEx>
          <w:tblCellMar>
            <w:top w:w="0" w:type="dxa"/>
            <w:left w:w="108" w:type="dxa"/>
            <w:bottom w:w="0" w:type="dxa"/>
            <w:right w:w="108" w:type="dxa"/>
          </w:tblCellMar>
        </w:tblPrEx>
        <w:trPr>
          <w:trHeight w:val="751" w:hRule="atLeast"/>
          <w:jc w:val="center"/>
        </w:trPr>
        <w:tc>
          <w:tcPr>
            <w:tcW w:w="727" w:type="dxa"/>
            <w:tcBorders>
              <w:top w:val="single" w:color="auto" w:sz="4" w:space="0"/>
              <w:left w:val="single" w:color="auto" w:sz="4" w:space="0"/>
              <w:bottom w:val="single" w:color="auto" w:sz="4" w:space="0"/>
              <w:right w:val="single" w:color="auto" w:sz="4" w:space="0"/>
            </w:tcBorders>
          </w:tcPr>
          <w:p w14:paraId="48B33539">
            <w:pPr>
              <w:spacing w:line="400" w:lineRule="exact"/>
              <w:rPr>
                <w:rFonts w:ascii="仿宋" w:hAnsi="仿宋" w:eastAsia="仿宋" w:cs="仿宋"/>
                <w:color w:val="000000" w:themeColor="text1"/>
                <w:sz w:val="24"/>
                <w:szCs w:val="24"/>
                <w14:textFill>
                  <w14:solidFill>
                    <w14:schemeClr w14:val="tx1"/>
                  </w14:solidFill>
                </w14:textFill>
              </w:rPr>
            </w:pPr>
          </w:p>
        </w:tc>
        <w:tc>
          <w:tcPr>
            <w:tcW w:w="2445" w:type="dxa"/>
            <w:tcBorders>
              <w:top w:val="single" w:color="auto" w:sz="4" w:space="0"/>
              <w:left w:val="single" w:color="auto" w:sz="4" w:space="0"/>
              <w:bottom w:val="single" w:color="auto" w:sz="4" w:space="0"/>
              <w:right w:val="single" w:color="auto" w:sz="4" w:space="0"/>
            </w:tcBorders>
          </w:tcPr>
          <w:p w14:paraId="7C804C97">
            <w:pPr>
              <w:spacing w:line="400" w:lineRule="exact"/>
              <w:rPr>
                <w:rFonts w:ascii="仿宋" w:hAnsi="仿宋" w:eastAsia="仿宋" w:cs="仿宋"/>
                <w:color w:val="000000" w:themeColor="text1"/>
                <w:sz w:val="24"/>
                <w:szCs w:val="24"/>
                <w14:textFill>
                  <w14:solidFill>
                    <w14:schemeClr w14:val="tx1"/>
                  </w14:solidFill>
                </w14:textFill>
              </w:rPr>
            </w:pPr>
          </w:p>
        </w:tc>
        <w:tc>
          <w:tcPr>
            <w:tcW w:w="1704" w:type="dxa"/>
            <w:tcBorders>
              <w:top w:val="single" w:color="auto" w:sz="4" w:space="0"/>
              <w:left w:val="single" w:color="auto" w:sz="4" w:space="0"/>
              <w:bottom w:val="single" w:color="auto" w:sz="4" w:space="0"/>
              <w:right w:val="single" w:color="auto" w:sz="4" w:space="0"/>
            </w:tcBorders>
          </w:tcPr>
          <w:p w14:paraId="29B2B789">
            <w:pPr>
              <w:spacing w:line="400" w:lineRule="exact"/>
              <w:rPr>
                <w:rFonts w:ascii="仿宋" w:hAnsi="仿宋" w:eastAsia="仿宋" w:cs="仿宋"/>
                <w:color w:val="000000" w:themeColor="text1"/>
                <w:sz w:val="24"/>
                <w:szCs w:val="24"/>
                <w14:textFill>
                  <w14:solidFill>
                    <w14:schemeClr w14:val="tx1"/>
                  </w14:solidFill>
                </w14:textFill>
              </w:rPr>
            </w:pPr>
          </w:p>
        </w:tc>
        <w:tc>
          <w:tcPr>
            <w:tcW w:w="1543" w:type="dxa"/>
            <w:tcBorders>
              <w:top w:val="single" w:color="auto" w:sz="4" w:space="0"/>
              <w:left w:val="single" w:color="auto" w:sz="4" w:space="0"/>
              <w:bottom w:val="single" w:color="auto" w:sz="4" w:space="0"/>
              <w:right w:val="single" w:color="auto" w:sz="4" w:space="0"/>
            </w:tcBorders>
          </w:tcPr>
          <w:p w14:paraId="76B54332">
            <w:pPr>
              <w:spacing w:line="400" w:lineRule="exact"/>
              <w:rPr>
                <w:rFonts w:ascii="仿宋" w:hAnsi="仿宋" w:eastAsia="仿宋" w:cs="仿宋"/>
                <w:color w:val="000000" w:themeColor="text1"/>
                <w:sz w:val="24"/>
                <w:szCs w:val="24"/>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22CA955">
            <w:pPr>
              <w:spacing w:line="400" w:lineRule="exact"/>
              <w:rPr>
                <w:rFonts w:ascii="仿宋" w:hAnsi="仿宋" w:eastAsia="仿宋" w:cs="仿宋"/>
                <w:color w:val="000000" w:themeColor="text1"/>
                <w:sz w:val="24"/>
                <w:szCs w:val="24"/>
                <w14:textFill>
                  <w14:solidFill>
                    <w14:schemeClr w14:val="tx1"/>
                  </w14:solidFill>
                </w14:textFill>
              </w:rPr>
            </w:pPr>
          </w:p>
        </w:tc>
        <w:tc>
          <w:tcPr>
            <w:tcW w:w="1365" w:type="dxa"/>
            <w:tcBorders>
              <w:top w:val="single" w:color="auto" w:sz="4" w:space="0"/>
              <w:left w:val="single" w:color="auto" w:sz="4" w:space="0"/>
              <w:bottom w:val="single" w:color="auto" w:sz="4" w:space="0"/>
              <w:right w:val="single" w:color="auto" w:sz="4" w:space="0"/>
            </w:tcBorders>
          </w:tcPr>
          <w:p w14:paraId="5DF3A89B">
            <w:pPr>
              <w:spacing w:line="400" w:lineRule="exact"/>
              <w:rPr>
                <w:rFonts w:ascii="仿宋" w:hAnsi="仿宋" w:eastAsia="仿宋" w:cs="仿宋"/>
                <w:color w:val="000000" w:themeColor="text1"/>
                <w:sz w:val="24"/>
                <w:szCs w:val="24"/>
                <w14:textFill>
                  <w14:solidFill>
                    <w14:schemeClr w14:val="tx1"/>
                  </w14:solidFill>
                </w14:textFill>
              </w:rPr>
            </w:pPr>
          </w:p>
        </w:tc>
      </w:tr>
      <w:tr w14:paraId="27A34CB9">
        <w:tblPrEx>
          <w:tblCellMar>
            <w:top w:w="0" w:type="dxa"/>
            <w:left w:w="108" w:type="dxa"/>
            <w:bottom w:w="0" w:type="dxa"/>
            <w:right w:w="108" w:type="dxa"/>
          </w:tblCellMar>
        </w:tblPrEx>
        <w:trPr>
          <w:trHeight w:val="715" w:hRule="atLeast"/>
          <w:jc w:val="center"/>
        </w:trPr>
        <w:tc>
          <w:tcPr>
            <w:tcW w:w="727" w:type="dxa"/>
            <w:tcBorders>
              <w:top w:val="single" w:color="auto" w:sz="4" w:space="0"/>
              <w:left w:val="single" w:color="auto" w:sz="4" w:space="0"/>
              <w:bottom w:val="single" w:color="auto" w:sz="4" w:space="0"/>
              <w:right w:val="single" w:color="auto" w:sz="4" w:space="0"/>
            </w:tcBorders>
          </w:tcPr>
          <w:p w14:paraId="408DA18F">
            <w:pPr>
              <w:spacing w:line="400" w:lineRule="exact"/>
              <w:rPr>
                <w:rFonts w:ascii="仿宋" w:hAnsi="仿宋" w:eastAsia="仿宋" w:cs="仿宋"/>
                <w:color w:val="000000" w:themeColor="text1"/>
                <w:sz w:val="24"/>
                <w:szCs w:val="24"/>
                <w14:textFill>
                  <w14:solidFill>
                    <w14:schemeClr w14:val="tx1"/>
                  </w14:solidFill>
                </w14:textFill>
              </w:rPr>
            </w:pPr>
          </w:p>
        </w:tc>
        <w:tc>
          <w:tcPr>
            <w:tcW w:w="2445" w:type="dxa"/>
            <w:tcBorders>
              <w:top w:val="single" w:color="auto" w:sz="4" w:space="0"/>
              <w:left w:val="single" w:color="auto" w:sz="4" w:space="0"/>
              <w:bottom w:val="single" w:color="auto" w:sz="4" w:space="0"/>
              <w:right w:val="single" w:color="auto" w:sz="4" w:space="0"/>
            </w:tcBorders>
          </w:tcPr>
          <w:p w14:paraId="168EE0C0">
            <w:pPr>
              <w:spacing w:line="400" w:lineRule="exact"/>
              <w:rPr>
                <w:rFonts w:ascii="仿宋" w:hAnsi="仿宋" w:eastAsia="仿宋" w:cs="仿宋"/>
                <w:color w:val="000000" w:themeColor="text1"/>
                <w:sz w:val="24"/>
                <w:szCs w:val="24"/>
                <w14:textFill>
                  <w14:solidFill>
                    <w14:schemeClr w14:val="tx1"/>
                  </w14:solidFill>
                </w14:textFill>
              </w:rPr>
            </w:pPr>
          </w:p>
        </w:tc>
        <w:tc>
          <w:tcPr>
            <w:tcW w:w="1704" w:type="dxa"/>
            <w:tcBorders>
              <w:top w:val="single" w:color="auto" w:sz="4" w:space="0"/>
              <w:left w:val="single" w:color="auto" w:sz="4" w:space="0"/>
              <w:bottom w:val="single" w:color="auto" w:sz="4" w:space="0"/>
              <w:right w:val="single" w:color="auto" w:sz="4" w:space="0"/>
            </w:tcBorders>
          </w:tcPr>
          <w:p w14:paraId="3528A591">
            <w:pPr>
              <w:spacing w:line="400" w:lineRule="exact"/>
              <w:rPr>
                <w:rFonts w:ascii="仿宋" w:hAnsi="仿宋" w:eastAsia="仿宋" w:cs="仿宋"/>
                <w:color w:val="000000" w:themeColor="text1"/>
                <w:sz w:val="24"/>
                <w:szCs w:val="24"/>
                <w14:textFill>
                  <w14:solidFill>
                    <w14:schemeClr w14:val="tx1"/>
                  </w14:solidFill>
                </w14:textFill>
              </w:rPr>
            </w:pPr>
          </w:p>
        </w:tc>
        <w:tc>
          <w:tcPr>
            <w:tcW w:w="1543" w:type="dxa"/>
            <w:tcBorders>
              <w:top w:val="single" w:color="auto" w:sz="4" w:space="0"/>
              <w:left w:val="single" w:color="auto" w:sz="4" w:space="0"/>
              <w:bottom w:val="single" w:color="auto" w:sz="4" w:space="0"/>
              <w:right w:val="single" w:color="auto" w:sz="4" w:space="0"/>
            </w:tcBorders>
          </w:tcPr>
          <w:p w14:paraId="1A6DF533">
            <w:pPr>
              <w:spacing w:line="400" w:lineRule="exact"/>
              <w:rPr>
                <w:rFonts w:ascii="仿宋" w:hAnsi="仿宋" w:eastAsia="仿宋" w:cs="仿宋"/>
                <w:color w:val="000000" w:themeColor="text1"/>
                <w:sz w:val="24"/>
                <w:szCs w:val="24"/>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636779A">
            <w:pPr>
              <w:spacing w:line="400" w:lineRule="exact"/>
              <w:rPr>
                <w:rFonts w:ascii="仿宋" w:hAnsi="仿宋" w:eastAsia="仿宋" w:cs="仿宋"/>
                <w:color w:val="000000" w:themeColor="text1"/>
                <w:sz w:val="24"/>
                <w:szCs w:val="24"/>
                <w14:textFill>
                  <w14:solidFill>
                    <w14:schemeClr w14:val="tx1"/>
                  </w14:solidFill>
                </w14:textFill>
              </w:rPr>
            </w:pPr>
          </w:p>
        </w:tc>
        <w:tc>
          <w:tcPr>
            <w:tcW w:w="1365" w:type="dxa"/>
            <w:tcBorders>
              <w:top w:val="single" w:color="auto" w:sz="4" w:space="0"/>
              <w:left w:val="single" w:color="auto" w:sz="4" w:space="0"/>
              <w:bottom w:val="single" w:color="auto" w:sz="4" w:space="0"/>
              <w:right w:val="single" w:color="auto" w:sz="4" w:space="0"/>
            </w:tcBorders>
          </w:tcPr>
          <w:p w14:paraId="5B662279">
            <w:pPr>
              <w:spacing w:line="400" w:lineRule="exact"/>
              <w:rPr>
                <w:rFonts w:ascii="仿宋" w:hAnsi="仿宋" w:eastAsia="仿宋" w:cs="仿宋"/>
                <w:color w:val="000000" w:themeColor="text1"/>
                <w:sz w:val="24"/>
                <w:szCs w:val="24"/>
                <w14:textFill>
                  <w14:solidFill>
                    <w14:schemeClr w14:val="tx1"/>
                  </w14:solidFill>
                </w14:textFill>
              </w:rPr>
            </w:pPr>
          </w:p>
        </w:tc>
      </w:tr>
      <w:tr w14:paraId="36A5722D">
        <w:tblPrEx>
          <w:tblCellMar>
            <w:top w:w="0" w:type="dxa"/>
            <w:left w:w="108" w:type="dxa"/>
            <w:bottom w:w="0" w:type="dxa"/>
            <w:right w:w="108" w:type="dxa"/>
          </w:tblCellMar>
        </w:tblPrEx>
        <w:trPr>
          <w:trHeight w:val="751" w:hRule="atLeast"/>
          <w:jc w:val="center"/>
        </w:trPr>
        <w:tc>
          <w:tcPr>
            <w:tcW w:w="727" w:type="dxa"/>
            <w:tcBorders>
              <w:top w:val="single" w:color="auto" w:sz="4" w:space="0"/>
              <w:left w:val="single" w:color="auto" w:sz="4" w:space="0"/>
              <w:bottom w:val="single" w:color="auto" w:sz="4" w:space="0"/>
              <w:right w:val="single" w:color="auto" w:sz="4" w:space="0"/>
            </w:tcBorders>
          </w:tcPr>
          <w:p w14:paraId="16B70BEF">
            <w:pPr>
              <w:spacing w:line="400" w:lineRule="exact"/>
              <w:rPr>
                <w:rFonts w:ascii="仿宋" w:hAnsi="仿宋" w:eastAsia="仿宋" w:cs="仿宋"/>
                <w:color w:val="000000" w:themeColor="text1"/>
                <w:sz w:val="24"/>
                <w:szCs w:val="24"/>
                <w14:textFill>
                  <w14:solidFill>
                    <w14:schemeClr w14:val="tx1"/>
                  </w14:solidFill>
                </w14:textFill>
              </w:rPr>
            </w:pPr>
          </w:p>
        </w:tc>
        <w:tc>
          <w:tcPr>
            <w:tcW w:w="2445" w:type="dxa"/>
            <w:tcBorders>
              <w:top w:val="single" w:color="auto" w:sz="4" w:space="0"/>
              <w:left w:val="single" w:color="auto" w:sz="4" w:space="0"/>
              <w:bottom w:val="single" w:color="auto" w:sz="4" w:space="0"/>
              <w:right w:val="single" w:color="auto" w:sz="4" w:space="0"/>
            </w:tcBorders>
          </w:tcPr>
          <w:p w14:paraId="1027E410">
            <w:pPr>
              <w:spacing w:line="400" w:lineRule="exact"/>
              <w:rPr>
                <w:rFonts w:ascii="仿宋" w:hAnsi="仿宋" w:eastAsia="仿宋" w:cs="仿宋"/>
                <w:color w:val="000000" w:themeColor="text1"/>
                <w:sz w:val="24"/>
                <w:szCs w:val="24"/>
                <w14:textFill>
                  <w14:solidFill>
                    <w14:schemeClr w14:val="tx1"/>
                  </w14:solidFill>
                </w14:textFill>
              </w:rPr>
            </w:pPr>
          </w:p>
        </w:tc>
        <w:tc>
          <w:tcPr>
            <w:tcW w:w="1704" w:type="dxa"/>
            <w:tcBorders>
              <w:top w:val="single" w:color="auto" w:sz="4" w:space="0"/>
              <w:left w:val="single" w:color="auto" w:sz="4" w:space="0"/>
              <w:bottom w:val="single" w:color="auto" w:sz="4" w:space="0"/>
              <w:right w:val="single" w:color="auto" w:sz="4" w:space="0"/>
            </w:tcBorders>
          </w:tcPr>
          <w:p w14:paraId="2A3977BF">
            <w:pPr>
              <w:spacing w:line="400" w:lineRule="exact"/>
              <w:rPr>
                <w:rFonts w:ascii="仿宋" w:hAnsi="仿宋" w:eastAsia="仿宋" w:cs="仿宋"/>
                <w:color w:val="000000" w:themeColor="text1"/>
                <w:sz w:val="24"/>
                <w:szCs w:val="24"/>
                <w14:textFill>
                  <w14:solidFill>
                    <w14:schemeClr w14:val="tx1"/>
                  </w14:solidFill>
                </w14:textFill>
              </w:rPr>
            </w:pPr>
          </w:p>
        </w:tc>
        <w:tc>
          <w:tcPr>
            <w:tcW w:w="1543" w:type="dxa"/>
            <w:tcBorders>
              <w:top w:val="single" w:color="auto" w:sz="4" w:space="0"/>
              <w:left w:val="single" w:color="auto" w:sz="4" w:space="0"/>
              <w:bottom w:val="single" w:color="auto" w:sz="4" w:space="0"/>
              <w:right w:val="single" w:color="auto" w:sz="4" w:space="0"/>
            </w:tcBorders>
          </w:tcPr>
          <w:p w14:paraId="28B7FE37">
            <w:pPr>
              <w:spacing w:line="400" w:lineRule="exact"/>
              <w:rPr>
                <w:rFonts w:ascii="仿宋" w:hAnsi="仿宋" w:eastAsia="仿宋" w:cs="仿宋"/>
                <w:color w:val="000000" w:themeColor="text1"/>
                <w:sz w:val="24"/>
                <w:szCs w:val="24"/>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93EC5D0">
            <w:pPr>
              <w:spacing w:line="400" w:lineRule="exact"/>
              <w:rPr>
                <w:rFonts w:ascii="仿宋" w:hAnsi="仿宋" w:eastAsia="仿宋" w:cs="仿宋"/>
                <w:color w:val="000000" w:themeColor="text1"/>
                <w:sz w:val="24"/>
                <w:szCs w:val="24"/>
                <w14:textFill>
                  <w14:solidFill>
                    <w14:schemeClr w14:val="tx1"/>
                  </w14:solidFill>
                </w14:textFill>
              </w:rPr>
            </w:pPr>
          </w:p>
        </w:tc>
        <w:tc>
          <w:tcPr>
            <w:tcW w:w="1365" w:type="dxa"/>
            <w:tcBorders>
              <w:top w:val="single" w:color="auto" w:sz="4" w:space="0"/>
              <w:left w:val="single" w:color="auto" w:sz="4" w:space="0"/>
              <w:bottom w:val="single" w:color="auto" w:sz="4" w:space="0"/>
              <w:right w:val="single" w:color="auto" w:sz="4" w:space="0"/>
            </w:tcBorders>
          </w:tcPr>
          <w:p w14:paraId="7445D707">
            <w:pPr>
              <w:spacing w:line="400" w:lineRule="exact"/>
              <w:rPr>
                <w:rFonts w:ascii="仿宋" w:hAnsi="仿宋" w:eastAsia="仿宋" w:cs="仿宋"/>
                <w:color w:val="000000" w:themeColor="text1"/>
                <w:sz w:val="24"/>
                <w:szCs w:val="24"/>
                <w14:textFill>
                  <w14:solidFill>
                    <w14:schemeClr w14:val="tx1"/>
                  </w14:solidFill>
                </w14:textFill>
              </w:rPr>
            </w:pPr>
          </w:p>
        </w:tc>
      </w:tr>
      <w:tr w14:paraId="0659A8AC">
        <w:tblPrEx>
          <w:tblCellMar>
            <w:top w:w="0" w:type="dxa"/>
            <w:left w:w="108" w:type="dxa"/>
            <w:bottom w:w="0" w:type="dxa"/>
            <w:right w:w="108" w:type="dxa"/>
          </w:tblCellMar>
        </w:tblPrEx>
        <w:trPr>
          <w:trHeight w:val="715" w:hRule="atLeast"/>
          <w:jc w:val="center"/>
        </w:trPr>
        <w:tc>
          <w:tcPr>
            <w:tcW w:w="727" w:type="dxa"/>
            <w:tcBorders>
              <w:top w:val="single" w:color="auto" w:sz="4" w:space="0"/>
              <w:left w:val="single" w:color="auto" w:sz="4" w:space="0"/>
              <w:bottom w:val="single" w:color="auto" w:sz="4" w:space="0"/>
              <w:right w:val="single" w:color="auto" w:sz="4" w:space="0"/>
            </w:tcBorders>
          </w:tcPr>
          <w:p w14:paraId="729C4568">
            <w:pPr>
              <w:spacing w:line="400" w:lineRule="exact"/>
              <w:rPr>
                <w:rFonts w:ascii="仿宋" w:hAnsi="仿宋" w:eastAsia="仿宋" w:cs="仿宋"/>
                <w:color w:val="000000" w:themeColor="text1"/>
                <w:sz w:val="24"/>
                <w:szCs w:val="24"/>
                <w14:textFill>
                  <w14:solidFill>
                    <w14:schemeClr w14:val="tx1"/>
                  </w14:solidFill>
                </w14:textFill>
              </w:rPr>
            </w:pPr>
          </w:p>
        </w:tc>
        <w:tc>
          <w:tcPr>
            <w:tcW w:w="2445" w:type="dxa"/>
            <w:tcBorders>
              <w:top w:val="single" w:color="auto" w:sz="4" w:space="0"/>
              <w:left w:val="single" w:color="auto" w:sz="4" w:space="0"/>
              <w:bottom w:val="single" w:color="auto" w:sz="4" w:space="0"/>
              <w:right w:val="single" w:color="auto" w:sz="4" w:space="0"/>
            </w:tcBorders>
          </w:tcPr>
          <w:p w14:paraId="22AD66CF">
            <w:pPr>
              <w:spacing w:line="400" w:lineRule="exact"/>
              <w:rPr>
                <w:rFonts w:ascii="仿宋" w:hAnsi="仿宋" w:eastAsia="仿宋" w:cs="仿宋"/>
                <w:color w:val="000000" w:themeColor="text1"/>
                <w:sz w:val="24"/>
                <w:szCs w:val="24"/>
                <w14:textFill>
                  <w14:solidFill>
                    <w14:schemeClr w14:val="tx1"/>
                  </w14:solidFill>
                </w14:textFill>
              </w:rPr>
            </w:pPr>
          </w:p>
        </w:tc>
        <w:tc>
          <w:tcPr>
            <w:tcW w:w="1704" w:type="dxa"/>
            <w:tcBorders>
              <w:top w:val="single" w:color="auto" w:sz="4" w:space="0"/>
              <w:left w:val="single" w:color="auto" w:sz="4" w:space="0"/>
              <w:bottom w:val="single" w:color="auto" w:sz="4" w:space="0"/>
              <w:right w:val="single" w:color="auto" w:sz="4" w:space="0"/>
            </w:tcBorders>
          </w:tcPr>
          <w:p w14:paraId="0FA1932E">
            <w:pPr>
              <w:spacing w:line="400" w:lineRule="exact"/>
              <w:rPr>
                <w:rFonts w:ascii="仿宋" w:hAnsi="仿宋" w:eastAsia="仿宋" w:cs="仿宋"/>
                <w:color w:val="000000" w:themeColor="text1"/>
                <w:sz w:val="24"/>
                <w:szCs w:val="24"/>
                <w14:textFill>
                  <w14:solidFill>
                    <w14:schemeClr w14:val="tx1"/>
                  </w14:solidFill>
                </w14:textFill>
              </w:rPr>
            </w:pPr>
          </w:p>
        </w:tc>
        <w:tc>
          <w:tcPr>
            <w:tcW w:w="1543" w:type="dxa"/>
            <w:tcBorders>
              <w:top w:val="single" w:color="auto" w:sz="4" w:space="0"/>
              <w:left w:val="single" w:color="auto" w:sz="4" w:space="0"/>
              <w:bottom w:val="single" w:color="auto" w:sz="4" w:space="0"/>
              <w:right w:val="single" w:color="auto" w:sz="4" w:space="0"/>
            </w:tcBorders>
          </w:tcPr>
          <w:p w14:paraId="57C5DC19">
            <w:pPr>
              <w:spacing w:line="400" w:lineRule="exact"/>
              <w:rPr>
                <w:rFonts w:ascii="仿宋" w:hAnsi="仿宋" w:eastAsia="仿宋" w:cs="仿宋"/>
                <w:color w:val="000000" w:themeColor="text1"/>
                <w:sz w:val="24"/>
                <w:szCs w:val="24"/>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A259C2C">
            <w:pPr>
              <w:spacing w:line="400" w:lineRule="exact"/>
              <w:rPr>
                <w:rFonts w:ascii="仿宋" w:hAnsi="仿宋" w:eastAsia="仿宋" w:cs="仿宋"/>
                <w:color w:val="000000" w:themeColor="text1"/>
                <w:sz w:val="24"/>
                <w:szCs w:val="24"/>
                <w14:textFill>
                  <w14:solidFill>
                    <w14:schemeClr w14:val="tx1"/>
                  </w14:solidFill>
                </w14:textFill>
              </w:rPr>
            </w:pPr>
          </w:p>
        </w:tc>
        <w:tc>
          <w:tcPr>
            <w:tcW w:w="1365" w:type="dxa"/>
            <w:tcBorders>
              <w:top w:val="single" w:color="auto" w:sz="4" w:space="0"/>
              <w:left w:val="single" w:color="auto" w:sz="4" w:space="0"/>
              <w:bottom w:val="single" w:color="auto" w:sz="4" w:space="0"/>
              <w:right w:val="single" w:color="auto" w:sz="4" w:space="0"/>
            </w:tcBorders>
          </w:tcPr>
          <w:p w14:paraId="30D56AC2">
            <w:pPr>
              <w:spacing w:line="400" w:lineRule="exact"/>
              <w:rPr>
                <w:rFonts w:ascii="仿宋" w:hAnsi="仿宋" w:eastAsia="仿宋" w:cs="仿宋"/>
                <w:color w:val="000000" w:themeColor="text1"/>
                <w:sz w:val="24"/>
                <w:szCs w:val="24"/>
                <w14:textFill>
                  <w14:solidFill>
                    <w14:schemeClr w14:val="tx1"/>
                  </w14:solidFill>
                </w14:textFill>
              </w:rPr>
            </w:pPr>
          </w:p>
        </w:tc>
      </w:tr>
      <w:tr w14:paraId="1F90AA82">
        <w:tblPrEx>
          <w:tblCellMar>
            <w:top w:w="0" w:type="dxa"/>
            <w:left w:w="108" w:type="dxa"/>
            <w:bottom w:w="0" w:type="dxa"/>
            <w:right w:w="108" w:type="dxa"/>
          </w:tblCellMar>
        </w:tblPrEx>
        <w:trPr>
          <w:trHeight w:val="751" w:hRule="atLeast"/>
          <w:jc w:val="center"/>
        </w:trPr>
        <w:tc>
          <w:tcPr>
            <w:tcW w:w="727" w:type="dxa"/>
            <w:tcBorders>
              <w:top w:val="single" w:color="auto" w:sz="4" w:space="0"/>
              <w:left w:val="single" w:color="auto" w:sz="4" w:space="0"/>
              <w:bottom w:val="single" w:color="auto" w:sz="4" w:space="0"/>
              <w:right w:val="single" w:color="auto" w:sz="4" w:space="0"/>
            </w:tcBorders>
          </w:tcPr>
          <w:p w14:paraId="54C32D6C">
            <w:pPr>
              <w:spacing w:line="400" w:lineRule="exact"/>
              <w:rPr>
                <w:rFonts w:ascii="仿宋" w:hAnsi="仿宋" w:eastAsia="仿宋" w:cs="仿宋"/>
                <w:color w:val="000000" w:themeColor="text1"/>
                <w:sz w:val="24"/>
                <w:szCs w:val="24"/>
                <w14:textFill>
                  <w14:solidFill>
                    <w14:schemeClr w14:val="tx1"/>
                  </w14:solidFill>
                </w14:textFill>
              </w:rPr>
            </w:pPr>
          </w:p>
        </w:tc>
        <w:tc>
          <w:tcPr>
            <w:tcW w:w="2445" w:type="dxa"/>
            <w:tcBorders>
              <w:top w:val="single" w:color="auto" w:sz="4" w:space="0"/>
              <w:left w:val="single" w:color="auto" w:sz="4" w:space="0"/>
              <w:bottom w:val="single" w:color="auto" w:sz="4" w:space="0"/>
              <w:right w:val="single" w:color="auto" w:sz="4" w:space="0"/>
            </w:tcBorders>
          </w:tcPr>
          <w:p w14:paraId="030ABCA3">
            <w:pPr>
              <w:spacing w:line="400" w:lineRule="exact"/>
              <w:rPr>
                <w:rFonts w:ascii="仿宋" w:hAnsi="仿宋" w:eastAsia="仿宋" w:cs="仿宋"/>
                <w:color w:val="000000" w:themeColor="text1"/>
                <w:sz w:val="24"/>
                <w:szCs w:val="24"/>
                <w14:textFill>
                  <w14:solidFill>
                    <w14:schemeClr w14:val="tx1"/>
                  </w14:solidFill>
                </w14:textFill>
              </w:rPr>
            </w:pPr>
          </w:p>
        </w:tc>
        <w:tc>
          <w:tcPr>
            <w:tcW w:w="1704" w:type="dxa"/>
            <w:tcBorders>
              <w:top w:val="single" w:color="auto" w:sz="4" w:space="0"/>
              <w:left w:val="single" w:color="auto" w:sz="4" w:space="0"/>
              <w:bottom w:val="single" w:color="auto" w:sz="4" w:space="0"/>
              <w:right w:val="single" w:color="auto" w:sz="4" w:space="0"/>
            </w:tcBorders>
          </w:tcPr>
          <w:p w14:paraId="1CE3B1B9">
            <w:pPr>
              <w:spacing w:line="400" w:lineRule="exact"/>
              <w:rPr>
                <w:rFonts w:ascii="仿宋" w:hAnsi="仿宋" w:eastAsia="仿宋" w:cs="仿宋"/>
                <w:color w:val="000000" w:themeColor="text1"/>
                <w:sz w:val="24"/>
                <w:szCs w:val="24"/>
                <w14:textFill>
                  <w14:solidFill>
                    <w14:schemeClr w14:val="tx1"/>
                  </w14:solidFill>
                </w14:textFill>
              </w:rPr>
            </w:pPr>
          </w:p>
        </w:tc>
        <w:tc>
          <w:tcPr>
            <w:tcW w:w="1543" w:type="dxa"/>
            <w:tcBorders>
              <w:top w:val="single" w:color="auto" w:sz="4" w:space="0"/>
              <w:left w:val="single" w:color="auto" w:sz="4" w:space="0"/>
              <w:bottom w:val="single" w:color="auto" w:sz="4" w:space="0"/>
              <w:right w:val="single" w:color="auto" w:sz="4" w:space="0"/>
            </w:tcBorders>
          </w:tcPr>
          <w:p w14:paraId="33198F36">
            <w:pPr>
              <w:spacing w:line="400" w:lineRule="exact"/>
              <w:rPr>
                <w:rFonts w:ascii="仿宋" w:hAnsi="仿宋" w:eastAsia="仿宋" w:cs="仿宋"/>
                <w:color w:val="000000" w:themeColor="text1"/>
                <w:sz w:val="24"/>
                <w:szCs w:val="24"/>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2E58199">
            <w:pPr>
              <w:spacing w:line="400" w:lineRule="exact"/>
              <w:rPr>
                <w:rFonts w:ascii="仿宋" w:hAnsi="仿宋" w:eastAsia="仿宋" w:cs="仿宋"/>
                <w:color w:val="000000" w:themeColor="text1"/>
                <w:sz w:val="24"/>
                <w:szCs w:val="24"/>
                <w14:textFill>
                  <w14:solidFill>
                    <w14:schemeClr w14:val="tx1"/>
                  </w14:solidFill>
                </w14:textFill>
              </w:rPr>
            </w:pPr>
          </w:p>
        </w:tc>
        <w:tc>
          <w:tcPr>
            <w:tcW w:w="1365" w:type="dxa"/>
            <w:tcBorders>
              <w:top w:val="single" w:color="auto" w:sz="4" w:space="0"/>
              <w:left w:val="single" w:color="auto" w:sz="4" w:space="0"/>
              <w:bottom w:val="single" w:color="auto" w:sz="4" w:space="0"/>
              <w:right w:val="single" w:color="auto" w:sz="4" w:space="0"/>
            </w:tcBorders>
          </w:tcPr>
          <w:p w14:paraId="39E8CD71">
            <w:pPr>
              <w:spacing w:line="400" w:lineRule="exact"/>
              <w:rPr>
                <w:rFonts w:ascii="仿宋" w:hAnsi="仿宋" w:eastAsia="仿宋" w:cs="仿宋"/>
                <w:color w:val="000000" w:themeColor="text1"/>
                <w:sz w:val="24"/>
                <w:szCs w:val="24"/>
                <w14:textFill>
                  <w14:solidFill>
                    <w14:schemeClr w14:val="tx1"/>
                  </w14:solidFill>
                </w14:textFill>
              </w:rPr>
            </w:pPr>
          </w:p>
        </w:tc>
      </w:tr>
    </w:tbl>
    <w:p w14:paraId="4E175373">
      <w:pPr>
        <w:spacing w:line="400" w:lineRule="exact"/>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注：后附相关证明材料（按照评标办法要求提供相应证明材料）</w:t>
      </w:r>
    </w:p>
    <w:p w14:paraId="5EF41235">
      <w:pPr>
        <w:spacing w:line="400" w:lineRule="exact"/>
        <w:rPr>
          <w:rFonts w:ascii="仿宋" w:hAnsi="仿宋" w:eastAsia="仿宋" w:cs="仿宋"/>
          <w:b/>
          <w:color w:val="000000" w:themeColor="text1"/>
          <w:sz w:val="24"/>
          <w:szCs w:val="24"/>
          <w14:textFill>
            <w14:solidFill>
              <w14:schemeClr w14:val="tx1"/>
            </w14:solidFill>
          </w14:textFill>
        </w:rPr>
      </w:pPr>
    </w:p>
    <w:p w14:paraId="47EC3EF3">
      <w:pPr>
        <w:spacing w:line="400" w:lineRule="exact"/>
        <w:rPr>
          <w:rFonts w:ascii="仿宋" w:hAnsi="仿宋" w:eastAsia="仿宋" w:cs="仿宋"/>
          <w:b/>
          <w:color w:val="000000" w:themeColor="text1"/>
          <w:sz w:val="24"/>
          <w:szCs w:val="24"/>
          <w14:textFill>
            <w14:solidFill>
              <w14:schemeClr w14:val="tx1"/>
            </w14:solidFill>
          </w14:textFill>
        </w:rPr>
      </w:pPr>
    </w:p>
    <w:p w14:paraId="4E7D050F">
      <w:pPr>
        <w:spacing w:line="400" w:lineRule="exact"/>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投标供应商名称（公章）：</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10599236">
      <w:pPr>
        <w:spacing w:line="400" w:lineRule="exact"/>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法定代表人或授权代表人（签字）：</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2459F6E2">
      <w:pPr>
        <w:spacing w:line="400" w:lineRule="exact"/>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日期：</w:t>
      </w:r>
      <w:r>
        <w:rPr>
          <w:rFonts w:hint="eastAsia" w:ascii="仿宋" w:hAnsi="仿宋" w:eastAsia="仿宋" w:cs="仿宋"/>
          <w:bCs/>
          <w:color w:val="000000" w:themeColor="text1"/>
          <w:sz w:val="24"/>
          <w:szCs w:val="24"/>
          <w:u w:val="single"/>
          <w14:textFill>
            <w14:solidFill>
              <w14:schemeClr w14:val="tx1"/>
            </w14:solidFill>
          </w14:textFill>
        </w:rPr>
        <w:t xml:space="preserve">      </w:t>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 xml:space="preserve">    </w:t>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 xml:space="preserve">    </w:t>
      </w:r>
      <w:r>
        <w:rPr>
          <w:rFonts w:hint="eastAsia" w:ascii="仿宋" w:hAnsi="仿宋" w:eastAsia="仿宋" w:cs="仿宋"/>
          <w:bCs/>
          <w:color w:val="000000" w:themeColor="text1"/>
          <w:sz w:val="24"/>
          <w:szCs w:val="24"/>
          <w14:textFill>
            <w14:solidFill>
              <w14:schemeClr w14:val="tx1"/>
            </w14:solidFill>
          </w14:textFill>
        </w:rPr>
        <w:t>日</w:t>
      </w:r>
    </w:p>
    <w:p w14:paraId="5C789DBF">
      <w:pPr>
        <w:spacing w:line="400" w:lineRule="exact"/>
        <w:rPr>
          <w:rFonts w:ascii="仿宋" w:hAnsi="仿宋" w:eastAsia="仿宋" w:cs="仿宋"/>
          <w:b/>
          <w:bCs/>
          <w:color w:val="000000" w:themeColor="text1"/>
          <w:sz w:val="24"/>
          <w:szCs w:val="24"/>
          <w14:textFill>
            <w14:solidFill>
              <w14:schemeClr w14:val="tx1"/>
            </w14:solidFill>
          </w14:textFill>
        </w:rPr>
      </w:pPr>
    </w:p>
    <w:p w14:paraId="273C1A8B">
      <w:pPr>
        <w:snapToGrid w:val="0"/>
        <w:spacing w:line="400" w:lineRule="exact"/>
        <w:jc w:val="center"/>
        <w:rPr>
          <w:rFonts w:ascii="仿宋" w:hAnsi="仿宋" w:eastAsia="仿宋" w:cs="仿宋"/>
          <w:b/>
          <w:color w:val="000000" w:themeColor="text1"/>
          <w:sz w:val="24"/>
          <w:szCs w:val="24"/>
          <w14:textFill>
            <w14:solidFill>
              <w14:schemeClr w14:val="tx1"/>
            </w14:solidFill>
          </w14:textFill>
        </w:rPr>
      </w:pPr>
    </w:p>
    <w:p w14:paraId="622838FE">
      <w:pPr>
        <w:snapToGrid w:val="0"/>
        <w:spacing w:line="400" w:lineRule="exact"/>
        <w:jc w:val="center"/>
        <w:rPr>
          <w:rFonts w:ascii="仿宋" w:hAnsi="仿宋" w:eastAsia="仿宋" w:cs="仿宋"/>
          <w:b/>
          <w:color w:val="000000" w:themeColor="text1"/>
          <w:sz w:val="24"/>
          <w:szCs w:val="24"/>
          <w14:textFill>
            <w14:solidFill>
              <w14:schemeClr w14:val="tx1"/>
            </w14:solidFill>
          </w14:textFill>
        </w:rPr>
      </w:pPr>
    </w:p>
    <w:p w14:paraId="6363F943">
      <w:pPr>
        <w:pStyle w:val="36"/>
        <w:spacing w:line="400" w:lineRule="exact"/>
        <w:rPr>
          <w:rFonts w:ascii="仿宋" w:hAnsi="仿宋" w:eastAsia="仿宋" w:cs="仿宋"/>
          <w:b/>
          <w:color w:val="000000" w:themeColor="text1"/>
          <w:sz w:val="24"/>
          <w:szCs w:val="24"/>
          <w14:textFill>
            <w14:solidFill>
              <w14:schemeClr w14:val="tx1"/>
            </w14:solidFill>
          </w14:textFill>
        </w:rPr>
      </w:pPr>
    </w:p>
    <w:p w14:paraId="25E22CC0">
      <w:pPr>
        <w:pStyle w:val="36"/>
        <w:spacing w:line="400" w:lineRule="exact"/>
        <w:rPr>
          <w:rFonts w:ascii="仿宋" w:hAnsi="仿宋" w:eastAsia="仿宋" w:cs="仿宋"/>
          <w:b/>
          <w:color w:val="000000" w:themeColor="text1"/>
          <w:sz w:val="24"/>
          <w:szCs w:val="24"/>
          <w14:textFill>
            <w14:solidFill>
              <w14:schemeClr w14:val="tx1"/>
            </w14:solidFill>
          </w14:textFill>
        </w:rPr>
      </w:pPr>
    </w:p>
    <w:p w14:paraId="624BCC00">
      <w:pP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br w:type="page"/>
      </w:r>
    </w:p>
    <w:p w14:paraId="44FA9A94">
      <w:pPr>
        <w:spacing w:line="400" w:lineRule="exac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附件7：</w:t>
      </w:r>
    </w:p>
    <w:p w14:paraId="1FF57C68">
      <w:pPr>
        <w:snapToGrid w:val="0"/>
        <w:spacing w:line="400" w:lineRule="exact"/>
        <w:jc w:val="center"/>
        <w:outlineLvl w:val="1"/>
        <w:rPr>
          <w:rFonts w:ascii="仿宋" w:hAnsi="仿宋" w:eastAsia="仿宋" w:cs="仿宋"/>
          <w:b/>
          <w:color w:val="000000" w:themeColor="text1"/>
          <w:sz w:val="24"/>
          <w:szCs w:val="24"/>
          <w14:textFill>
            <w14:solidFill>
              <w14:schemeClr w14:val="tx1"/>
            </w14:solidFill>
          </w14:textFill>
        </w:rPr>
      </w:pPr>
      <w:bookmarkStart w:id="109" w:name="_Toc29859"/>
      <w:bookmarkStart w:id="110" w:name="_Toc4220"/>
      <w:r>
        <w:rPr>
          <w:rFonts w:hint="eastAsia" w:ascii="仿宋" w:hAnsi="仿宋" w:eastAsia="仿宋" w:cs="仿宋"/>
          <w:b/>
          <w:color w:val="000000" w:themeColor="text1"/>
          <w:sz w:val="24"/>
          <w:szCs w:val="24"/>
          <w14:textFill>
            <w14:solidFill>
              <w14:schemeClr w14:val="tx1"/>
            </w14:solidFill>
          </w14:textFill>
        </w:rPr>
        <w:t>八、技术偏离表</w:t>
      </w:r>
      <w:bookmarkEnd w:id="109"/>
      <w:bookmarkEnd w:id="110"/>
    </w:p>
    <w:tbl>
      <w:tblPr>
        <w:tblStyle w:val="42"/>
        <w:tblW w:w="9755" w:type="dxa"/>
        <w:jc w:val="center"/>
        <w:tblLayout w:type="fixed"/>
        <w:tblCellMar>
          <w:top w:w="0" w:type="dxa"/>
          <w:left w:w="0" w:type="dxa"/>
          <w:bottom w:w="0" w:type="dxa"/>
          <w:right w:w="0" w:type="dxa"/>
        </w:tblCellMar>
      </w:tblPr>
      <w:tblGrid>
        <w:gridCol w:w="672"/>
        <w:gridCol w:w="2383"/>
        <w:gridCol w:w="2302"/>
        <w:gridCol w:w="2495"/>
        <w:gridCol w:w="1203"/>
        <w:gridCol w:w="700"/>
      </w:tblGrid>
      <w:tr w14:paraId="05F7D066">
        <w:tblPrEx>
          <w:tblCellMar>
            <w:top w:w="0" w:type="dxa"/>
            <w:left w:w="0" w:type="dxa"/>
            <w:bottom w:w="0" w:type="dxa"/>
            <w:right w:w="0" w:type="dxa"/>
          </w:tblCellMar>
        </w:tblPrEx>
        <w:trPr>
          <w:cantSplit/>
          <w:trHeight w:val="549" w:hRule="atLeast"/>
          <w:jc w:val="center"/>
        </w:trPr>
        <w:tc>
          <w:tcPr>
            <w:tcW w:w="672" w:type="dxa"/>
            <w:vMerge w:val="restart"/>
            <w:tcBorders>
              <w:top w:val="single" w:color="auto" w:sz="4" w:space="0"/>
              <w:left w:val="single" w:color="auto" w:sz="4" w:space="0"/>
              <w:bottom w:val="single" w:color="auto" w:sz="4" w:space="0"/>
              <w:right w:val="single" w:color="auto" w:sz="4" w:space="0"/>
            </w:tcBorders>
            <w:vAlign w:val="center"/>
          </w:tcPr>
          <w:p w14:paraId="28953162">
            <w:pPr>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238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A56BB9C">
            <w:pPr>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招标内容</w:t>
            </w:r>
          </w:p>
        </w:tc>
        <w:tc>
          <w:tcPr>
            <w:tcW w:w="4797"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14:paraId="2EBF6152">
            <w:pPr>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规格响应情况</w:t>
            </w:r>
          </w:p>
        </w:tc>
        <w:tc>
          <w:tcPr>
            <w:tcW w:w="120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A0BF306">
            <w:pPr>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偏离情况</w:t>
            </w:r>
          </w:p>
        </w:tc>
        <w:tc>
          <w:tcPr>
            <w:tcW w:w="7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20852B8">
            <w:pPr>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说明</w:t>
            </w:r>
          </w:p>
        </w:tc>
      </w:tr>
      <w:tr w14:paraId="02FEF7DF">
        <w:tblPrEx>
          <w:tblCellMar>
            <w:top w:w="0" w:type="dxa"/>
            <w:left w:w="0" w:type="dxa"/>
            <w:bottom w:w="0" w:type="dxa"/>
            <w:right w:w="0" w:type="dxa"/>
          </w:tblCellMar>
        </w:tblPrEx>
        <w:trPr>
          <w:cantSplit/>
          <w:trHeight w:val="1048" w:hRule="atLeast"/>
          <w:jc w:val="center"/>
        </w:trPr>
        <w:tc>
          <w:tcPr>
            <w:tcW w:w="672" w:type="dxa"/>
            <w:vMerge w:val="continue"/>
            <w:tcBorders>
              <w:top w:val="single" w:color="auto" w:sz="4" w:space="0"/>
              <w:left w:val="single" w:color="auto" w:sz="4" w:space="0"/>
              <w:bottom w:val="single" w:color="auto" w:sz="4" w:space="0"/>
              <w:right w:val="single" w:color="auto" w:sz="4" w:space="0"/>
            </w:tcBorders>
            <w:vAlign w:val="center"/>
          </w:tcPr>
          <w:p w14:paraId="44ED28AA">
            <w:pPr>
              <w:spacing w:line="400" w:lineRule="exact"/>
              <w:rPr>
                <w:rFonts w:ascii="仿宋" w:hAnsi="仿宋" w:eastAsia="仿宋" w:cs="仿宋"/>
                <w:color w:val="000000" w:themeColor="text1"/>
                <w:sz w:val="24"/>
                <w:szCs w:val="24"/>
                <w14:textFill>
                  <w14:solidFill>
                    <w14:schemeClr w14:val="tx1"/>
                  </w14:solidFill>
                </w14:textFill>
              </w:rPr>
            </w:pPr>
          </w:p>
        </w:tc>
        <w:tc>
          <w:tcPr>
            <w:tcW w:w="2383" w:type="dxa"/>
            <w:vMerge w:val="continue"/>
            <w:tcBorders>
              <w:top w:val="single" w:color="auto" w:sz="4" w:space="0"/>
              <w:left w:val="single" w:color="auto" w:sz="4" w:space="0"/>
              <w:bottom w:val="single" w:color="auto" w:sz="4" w:space="0"/>
              <w:right w:val="single" w:color="auto" w:sz="4" w:space="0"/>
            </w:tcBorders>
            <w:vAlign w:val="center"/>
          </w:tcPr>
          <w:p w14:paraId="0412F1A0">
            <w:pPr>
              <w:spacing w:line="400" w:lineRule="exact"/>
              <w:rPr>
                <w:rFonts w:ascii="仿宋" w:hAnsi="仿宋" w:eastAsia="仿宋" w:cs="仿宋"/>
                <w:color w:val="000000" w:themeColor="text1"/>
                <w:sz w:val="24"/>
                <w:szCs w:val="24"/>
                <w14:textFill>
                  <w14:solidFill>
                    <w14:schemeClr w14:val="tx1"/>
                  </w14:solidFill>
                </w14:textFill>
              </w:rPr>
            </w:pPr>
          </w:p>
        </w:tc>
        <w:tc>
          <w:tcPr>
            <w:tcW w:w="2302" w:type="dxa"/>
            <w:tcBorders>
              <w:top w:val="nil"/>
              <w:left w:val="nil"/>
              <w:bottom w:val="single" w:color="auto" w:sz="4" w:space="0"/>
              <w:right w:val="single" w:color="auto" w:sz="4" w:space="0"/>
            </w:tcBorders>
            <w:tcMar>
              <w:top w:w="15" w:type="dxa"/>
              <w:left w:w="15" w:type="dxa"/>
              <w:right w:w="15" w:type="dxa"/>
            </w:tcMar>
            <w:vAlign w:val="center"/>
          </w:tcPr>
          <w:p w14:paraId="01353029">
            <w:pPr>
              <w:pStyle w:val="24"/>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投标文件技术要求</w:t>
            </w:r>
          </w:p>
          <w:p w14:paraId="631020D2">
            <w:pPr>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的内容与数值</w:t>
            </w:r>
          </w:p>
        </w:tc>
        <w:tc>
          <w:tcPr>
            <w:tcW w:w="2495" w:type="dxa"/>
            <w:tcBorders>
              <w:top w:val="nil"/>
              <w:left w:val="nil"/>
              <w:bottom w:val="single" w:color="auto" w:sz="4" w:space="0"/>
              <w:right w:val="single" w:color="auto" w:sz="4" w:space="0"/>
            </w:tcBorders>
            <w:tcMar>
              <w:top w:w="15" w:type="dxa"/>
              <w:left w:w="15" w:type="dxa"/>
              <w:right w:w="15" w:type="dxa"/>
            </w:tcMar>
            <w:vAlign w:val="center"/>
          </w:tcPr>
          <w:p w14:paraId="766B3119">
            <w:pPr>
              <w:pStyle w:val="24"/>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投标供应商的技术响</w:t>
            </w:r>
          </w:p>
          <w:p w14:paraId="197D3CE1">
            <w:pPr>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应内容与数值</w:t>
            </w:r>
          </w:p>
        </w:tc>
        <w:tc>
          <w:tcPr>
            <w:tcW w:w="1203"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20BB59D7">
            <w:pPr>
              <w:spacing w:line="400" w:lineRule="exact"/>
              <w:jc w:val="center"/>
              <w:rPr>
                <w:rFonts w:ascii="仿宋" w:hAnsi="仿宋" w:eastAsia="仿宋" w:cs="仿宋"/>
                <w:color w:val="000000" w:themeColor="text1"/>
                <w:sz w:val="24"/>
                <w:szCs w:val="24"/>
                <w14:textFill>
                  <w14:solidFill>
                    <w14:schemeClr w14:val="tx1"/>
                  </w14:solidFill>
                </w14:textFill>
              </w:rPr>
            </w:pPr>
          </w:p>
        </w:tc>
        <w:tc>
          <w:tcPr>
            <w:tcW w:w="700"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42A3E8F4">
            <w:pPr>
              <w:spacing w:line="400" w:lineRule="exact"/>
              <w:jc w:val="center"/>
              <w:rPr>
                <w:rFonts w:ascii="仿宋" w:hAnsi="仿宋" w:eastAsia="仿宋" w:cs="仿宋"/>
                <w:color w:val="000000" w:themeColor="text1"/>
                <w:sz w:val="24"/>
                <w:szCs w:val="24"/>
                <w14:textFill>
                  <w14:solidFill>
                    <w14:schemeClr w14:val="tx1"/>
                  </w14:solidFill>
                </w14:textFill>
              </w:rPr>
            </w:pPr>
          </w:p>
        </w:tc>
      </w:tr>
      <w:tr w14:paraId="2517812C">
        <w:tblPrEx>
          <w:tblCellMar>
            <w:top w:w="0" w:type="dxa"/>
            <w:left w:w="0" w:type="dxa"/>
            <w:bottom w:w="0" w:type="dxa"/>
            <w:right w:w="0" w:type="dxa"/>
          </w:tblCellMar>
        </w:tblPrEx>
        <w:trPr>
          <w:trHeight w:val="539" w:hRule="atLeast"/>
          <w:jc w:val="center"/>
        </w:trPr>
        <w:tc>
          <w:tcPr>
            <w:tcW w:w="672" w:type="dxa"/>
            <w:tcBorders>
              <w:top w:val="nil"/>
              <w:left w:val="single" w:color="auto" w:sz="4" w:space="0"/>
              <w:bottom w:val="single" w:color="auto" w:sz="4" w:space="0"/>
              <w:right w:val="single" w:color="auto" w:sz="4" w:space="0"/>
            </w:tcBorders>
            <w:vAlign w:val="center"/>
          </w:tcPr>
          <w:p w14:paraId="59E3DFD7">
            <w:pPr>
              <w:spacing w:line="400" w:lineRule="exact"/>
              <w:jc w:val="center"/>
              <w:rPr>
                <w:rFonts w:ascii="仿宋" w:hAnsi="仿宋" w:eastAsia="仿宋" w:cs="仿宋"/>
                <w:color w:val="000000" w:themeColor="text1"/>
                <w:sz w:val="24"/>
                <w:szCs w:val="24"/>
                <w14:textFill>
                  <w14:solidFill>
                    <w14:schemeClr w14:val="tx1"/>
                  </w14:solidFill>
                </w14:textFill>
              </w:rPr>
            </w:pPr>
          </w:p>
        </w:tc>
        <w:tc>
          <w:tcPr>
            <w:tcW w:w="2383" w:type="dxa"/>
            <w:tcBorders>
              <w:top w:val="nil"/>
              <w:left w:val="nil"/>
              <w:bottom w:val="single" w:color="auto" w:sz="4" w:space="0"/>
              <w:right w:val="single" w:color="auto" w:sz="4" w:space="0"/>
            </w:tcBorders>
            <w:tcMar>
              <w:top w:w="15" w:type="dxa"/>
              <w:left w:w="15" w:type="dxa"/>
              <w:right w:w="15" w:type="dxa"/>
            </w:tcMar>
            <w:vAlign w:val="center"/>
          </w:tcPr>
          <w:p w14:paraId="1EA6DB16">
            <w:pPr>
              <w:spacing w:line="400" w:lineRule="exact"/>
              <w:jc w:val="center"/>
              <w:rPr>
                <w:rFonts w:ascii="仿宋" w:hAnsi="仿宋" w:eastAsia="仿宋" w:cs="仿宋"/>
                <w:color w:val="000000" w:themeColor="text1"/>
                <w:sz w:val="24"/>
                <w:szCs w:val="24"/>
                <w14:textFill>
                  <w14:solidFill>
                    <w14:schemeClr w14:val="tx1"/>
                  </w14:solidFill>
                </w14:textFill>
              </w:rPr>
            </w:pPr>
          </w:p>
        </w:tc>
        <w:tc>
          <w:tcPr>
            <w:tcW w:w="2302" w:type="dxa"/>
            <w:tcBorders>
              <w:top w:val="nil"/>
              <w:left w:val="nil"/>
              <w:bottom w:val="single" w:color="auto" w:sz="4" w:space="0"/>
              <w:right w:val="single" w:color="auto" w:sz="4" w:space="0"/>
            </w:tcBorders>
            <w:tcMar>
              <w:top w:w="15" w:type="dxa"/>
              <w:left w:w="15" w:type="dxa"/>
              <w:right w:w="15" w:type="dxa"/>
            </w:tcMar>
            <w:vAlign w:val="center"/>
          </w:tcPr>
          <w:p w14:paraId="6DC4FF6C">
            <w:pPr>
              <w:spacing w:line="400" w:lineRule="exact"/>
              <w:jc w:val="center"/>
              <w:rPr>
                <w:rFonts w:ascii="仿宋" w:hAnsi="仿宋" w:eastAsia="仿宋" w:cs="仿宋"/>
                <w:color w:val="000000" w:themeColor="text1"/>
                <w:sz w:val="24"/>
                <w:szCs w:val="24"/>
                <w14:textFill>
                  <w14:solidFill>
                    <w14:schemeClr w14:val="tx1"/>
                  </w14:solidFill>
                </w14:textFill>
              </w:rPr>
            </w:pPr>
          </w:p>
        </w:tc>
        <w:tc>
          <w:tcPr>
            <w:tcW w:w="2495" w:type="dxa"/>
            <w:tcBorders>
              <w:top w:val="nil"/>
              <w:left w:val="nil"/>
              <w:bottom w:val="single" w:color="auto" w:sz="4" w:space="0"/>
              <w:right w:val="single" w:color="auto" w:sz="4" w:space="0"/>
            </w:tcBorders>
            <w:tcMar>
              <w:top w:w="15" w:type="dxa"/>
              <w:left w:w="15" w:type="dxa"/>
              <w:right w:w="15" w:type="dxa"/>
            </w:tcMar>
            <w:vAlign w:val="center"/>
          </w:tcPr>
          <w:p w14:paraId="37D5832D">
            <w:pPr>
              <w:spacing w:line="400" w:lineRule="exact"/>
              <w:jc w:val="center"/>
              <w:rPr>
                <w:rFonts w:ascii="仿宋" w:hAnsi="仿宋" w:eastAsia="仿宋" w:cs="仿宋"/>
                <w:color w:val="000000" w:themeColor="text1"/>
                <w:sz w:val="24"/>
                <w:szCs w:val="24"/>
                <w14:textFill>
                  <w14:solidFill>
                    <w14:schemeClr w14:val="tx1"/>
                  </w14:solidFill>
                </w14:textFill>
              </w:rPr>
            </w:pPr>
          </w:p>
        </w:tc>
        <w:tc>
          <w:tcPr>
            <w:tcW w:w="1203"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7ED8CA61">
            <w:pPr>
              <w:spacing w:line="400" w:lineRule="exact"/>
              <w:jc w:val="center"/>
              <w:rPr>
                <w:rFonts w:ascii="仿宋" w:hAnsi="仿宋" w:eastAsia="仿宋" w:cs="仿宋"/>
                <w:color w:val="000000" w:themeColor="text1"/>
                <w:sz w:val="24"/>
                <w:szCs w:val="24"/>
                <w14:textFill>
                  <w14:solidFill>
                    <w14:schemeClr w14:val="tx1"/>
                  </w14:solidFill>
                </w14:textFill>
              </w:rPr>
            </w:pPr>
          </w:p>
        </w:tc>
        <w:tc>
          <w:tcPr>
            <w:tcW w:w="700"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23A9D944">
            <w:pPr>
              <w:spacing w:line="400" w:lineRule="exact"/>
              <w:jc w:val="center"/>
              <w:rPr>
                <w:rFonts w:ascii="仿宋" w:hAnsi="仿宋" w:eastAsia="仿宋" w:cs="仿宋"/>
                <w:color w:val="000000" w:themeColor="text1"/>
                <w:sz w:val="24"/>
                <w:szCs w:val="24"/>
                <w14:textFill>
                  <w14:solidFill>
                    <w14:schemeClr w14:val="tx1"/>
                  </w14:solidFill>
                </w14:textFill>
              </w:rPr>
            </w:pPr>
          </w:p>
        </w:tc>
      </w:tr>
      <w:tr w14:paraId="5C6BA66A">
        <w:tblPrEx>
          <w:tblCellMar>
            <w:top w:w="0" w:type="dxa"/>
            <w:left w:w="0" w:type="dxa"/>
            <w:bottom w:w="0" w:type="dxa"/>
            <w:right w:w="0" w:type="dxa"/>
          </w:tblCellMar>
        </w:tblPrEx>
        <w:trPr>
          <w:trHeight w:val="539" w:hRule="atLeast"/>
          <w:jc w:val="center"/>
        </w:trPr>
        <w:tc>
          <w:tcPr>
            <w:tcW w:w="672" w:type="dxa"/>
            <w:tcBorders>
              <w:top w:val="nil"/>
              <w:left w:val="single" w:color="auto" w:sz="4" w:space="0"/>
              <w:bottom w:val="single" w:color="auto" w:sz="4" w:space="0"/>
              <w:right w:val="single" w:color="auto" w:sz="4" w:space="0"/>
            </w:tcBorders>
            <w:vAlign w:val="center"/>
          </w:tcPr>
          <w:p w14:paraId="463FB1C1">
            <w:pPr>
              <w:spacing w:line="400" w:lineRule="exact"/>
              <w:jc w:val="center"/>
              <w:rPr>
                <w:rFonts w:ascii="仿宋" w:hAnsi="仿宋" w:eastAsia="仿宋" w:cs="仿宋"/>
                <w:color w:val="000000" w:themeColor="text1"/>
                <w:sz w:val="24"/>
                <w:szCs w:val="24"/>
                <w14:textFill>
                  <w14:solidFill>
                    <w14:schemeClr w14:val="tx1"/>
                  </w14:solidFill>
                </w14:textFill>
              </w:rPr>
            </w:pPr>
          </w:p>
        </w:tc>
        <w:tc>
          <w:tcPr>
            <w:tcW w:w="2383" w:type="dxa"/>
            <w:tcBorders>
              <w:top w:val="nil"/>
              <w:left w:val="nil"/>
              <w:bottom w:val="single" w:color="auto" w:sz="4" w:space="0"/>
              <w:right w:val="single" w:color="auto" w:sz="4" w:space="0"/>
            </w:tcBorders>
            <w:tcMar>
              <w:top w:w="15" w:type="dxa"/>
              <w:left w:w="15" w:type="dxa"/>
              <w:right w:w="15" w:type="dxa"/>
            </w:tcMar>
            <w:vAlign w:val="center"/>
          </w:tcPr>
          <w:p w14:paraId="191812C6">
            <w:pPr>
              <w:spacing w:line="400" w:lineRule="exact"/>
              <w:jc w:val="center"/>
              <w:rPr>
                <w:rFonts w:ascii="仿宋" w:hAnsi="仿宋" w:eastAsia="仿宋" w:cs="仿宋"/>
                <w:color w:val="000000" w:themeColor="text1"/>
                <w:sz w:val="24"/>
                <w:szCs w:val="24"/>
                <w14:textFill>
                  <w14:solidFill>
                    <w14:schemeClr w14:val="tx1"/>
                  </w14:solidFill>
                </w14:textFill>
              </w:rPr>
            </w:pPr>
          </w:p>
        </w:tc>
        <w:tc>
          <w:tcPr>
            <w:tcW w:w="2302" w:type="dxa"/>
            <w:tcBorders>
              <w:top w:val="nil"/>
              <w:left w:val="nil"/>
              <w:bottom w:val="single" w:color="auto" w:sz="4" w:space="0"/>
              <w:right w:val="single" w:color="auto" w:sz="4" w:space="0"/>
            </w:tcBorders>
            <w:tcMar>
              <w:top w:w="15" w:type="dxa"/>
              <w:left w:w="15" w:type="dxa"/>
              <w:right w:w="15" w:type="dxa"/>
            </w:tcMar>
            <w:vAlign w:val="center"/>
          </w:tcPr>
          <w:p w14:paraId="07B145E7">
            <w:pPr>
              <w:spacing w:line="400" w:lineRule="exact"/>
              <w:jc w:val="center"/>
              <w:rPr>
                <w:rFonts w:ascii="仿宋" w:hAnsi="仿宋" w:eastAsia="仿宋" w:cs="仿宋"/>
                <w:color w:val="000000" w:themeColor="text1"/>
                <w:sz w:val="24"/>
                <w:szCs w:val="24"/>
                <w14:textFill>
                  <w14:solidFill>
                    <w14:schemeClr w14:val="tx1"/>
                  </w14:solidFill>
                </w14:textFill>
              </w:rPr>
            </w:pPr>
          </w:p>
        </w:tc>
        <w:tc>
          <w:tcPr>
            <w:tcW w:w="2495" w:type="dxa"/>
            <w:tcBorders>
              <w:top w:val="nil"/>
              <w:left w:val="nil"/>
              <w:bottom w:val="single" w:color="auto" w:sz="4" w:space="0"/>
              <w:right w:val="single" w:color="auto" w:sz="4" w:space="0"/>
            </w:tcBorders>
            <w:tcMar>
              <w:top w:w="15" w:type="dxa"/>
              <w:left w:w="15" w:type="dxa"/>
              <w:right w:w="15" w:type="dxa"/>
            </w:tcMar>
            <w:vAlign w:val="center"/>
          </w:tcPr>
          <w:p w14:paraId="603152DF">
            <w:pPr>
              <w:spacing w:line="400" w:lineRule="exact"/>
              <w:jc w:val="center"/>
              <w:rPr>
                <w:rFonts w:ascii="仿宋" w:hAnsi="仿宋" w:eastAsia="仿宋" w:cs="仿宋"/>
                <w:color w:val="000000" w:themeColor="text1"/>
                <w:sz w:val="24"/>
                <w:szCs w:val="24"/>
                <w14:textFill>
                  <w14:solidFill>
                    <w14:schemeClr w14:val="tx1"/>
                  </w14:solidFill>
                </w14:textFill>
              </w:rPr>
            </w:pPr>
          </w:p>
        </w:tc>
        <w:tc>
          <w:tcPr>
            <w:tcW w:w="1203"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00754F7B">
            <w:pPr>
              <w:spacing w:line="400" w:lineRule="exact"/>
              <w:jc w:val="center"/>
              <w:rPr>
                <w:rFonts w:ascii="仿宋" w:hAnsi="仿宋" w:eastAsia="仿宋" w:cs="仿宋"/>
                <w:color w:val="000000" w:themeColor="text1"/>
                <w:sz w:val="24"/>
                <w:szCs w:val="24"/>
                <w14:textFill>
                  <w14:solidFill>
                    <w14:schemeClr w14:val="tx1"/>
                  </w14:solidFill>
                </w14:textFill>
              </w:rPr>
            </w:pPr>
          </w:p>
        </w:tc>
        <w:tc>
          <w:tcPr>
            <w:tcW w:w="700"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793810EE">
            <w:pPr>
              <w:spacing w:line="400" w:lineRule="exact"/>
              <w:jc w:val="center"/>
              <w:rPr>
                <w:rFonts w:ascii="仿宋" w:hAnsi="仿宋" w:eastAsia="仿宋" w:cs="仿宋"/>
                <w:color w:val="000000" w:themeColor="text1"/>
                <w:sz w:val="24"/>
                <w:szCs w:val="24"/>
                <w14:textFill>
                  <w14:solidFill>
                    <w14:schemeClr w14:val="tx1"/>
                  </w14:solidFill>
                </w14:textFill>
              </w:rPr>
            </w:pPr>
          </w:p>
        </w:tc>
      </w:tr>
      <w:tr w14:paraId="07A153DC">
        <w:tblPrEx>
          <w:tblCellMar>
            <w:top w:w="0" w:type="dxa"/>
            <w:left w:w="0" w:type="dxa"/>
            <w:bottom w:w="0" w:type="dxa"/>
            <w:right w:w="0" w:type="dxa"/>
          </w:tblCellMar>
        </w:tblPrEx>
        <w:trPr>
          <w:trHeight w:val="539" w:hRule="atLeast"/>
          <w:jc w:val="center"/>
        </w:trPr>
        <w:tc>
          <w:tcPr>
            <w:tcW w:w="672" w:type="dxa"/>
            <w:tcBorders>
              <w:top w:val="nil"/>
              <w:left w:val="single" w:color="auto" w:sz="4" w:space="0"/>
              <w:bottom w:val="single" w:color="auto" w:sz="4" w:space="0"/>
              <w:right w:val="single" w:color="auto" w:sz="4" w:space="0"/>
            </w:tcBorders>
            <w:vAlign w:val="center"/>
          </w:tcPr>
          <w:p w14:paraId="67F7C84A">
            <w:pPr>
              <w:spacing w:line="400" w:lineRule="exact"/>
              <w:jc w:val="center"/>
              <w:rPr>
                <w:rFonts w:ascii="仿宋" w:hAnsi="仿宋" w:eastAsia="仿宋" w:cs="仿宋"/>
                <w:color w:val="000000" w:themeColor="text1"/>
                <w:sz w:val="24"/>
                <w:szCs w:val="24"/>
                <w14:textFill>
                  <w14:solidFill>
                    <w14:schemeClr w14:val="tx1"/>
                  </w14:solidFill>
                </w14:textFill>
              </w:rPr>
            </w:pPr>
          </w:p>
        </w:tc>
        <w:tc>
          <w:tcPr>
            <w:tcW w:w="2383" w:type="dxa"/>
            <w:tcBorders>
              <w:top w:val="nil"/>
              <w:left w:val="nil"/>
              <w:bottom w:val="single" w:color="auto" w:sz="4" w:space="0"/>
              <w:right w:val="single" w:color="auto" w:sz="4" w:space="0"/>
            </w:tcBorders>
            <w:tcMar>
              <w:top w:w="15" w:type="dxa"/>
              <w:left w:w="15" w:type="dxa"/>
              <w:right w:w="15" w:type="dxa"/>
            </w:tcMar>
            <w:vAlign w:val="center"/>
          </w:tcPr>
          <w:p w14:paraId="1F254247">
            <w:pPr>
              <w:spacing w:line="400" w:lineRule="exact"/>
              <w:jc w:val="center"/>
              <w:rPr>
                <w:rFonts w:ascii="仿宋" w:hAnsi="仿宋" w:eastAsia="仿宋" w:cs="仿宋"/>
                <w:color w:val="000000" w:themeColor="text1"/>
                <w:sz w:val="24"/>
                <w:szCs w:val="24"/>
                <w14:textFill>
                  <w14:solidFill>
                    <w14:schemeClr w14:val="tx1"/>
                  </w14:solidFill>
                </w14:textFill>
              </w:rPr>
            </w:pPr>
          </w:p>
        </w:tc>
        <w:tc>
          <w:tcPr>
            <w:tcW w:w="2302" w:type="dxa"/>
            <w:tcBorders>
              <w:top w:val="nil"/>
              <w:left w:val="nil"/>
              <w:bottom w:val="single" w:color="auto" w:sz="4" w:space="0"/>
              <w:right w:val="single" w:color="auto" w:sz="4" w:space="0"/>
            </w:tcBorders>
            <w:tcMar>
              <w:top w:w="15" w:type="dxa"/>
              <w:left w:w="15" w:type="dxa"/>
              <w:right w:w="15" w:type="dxa"/>
            </w:tcMar>
            <w:vAlign w:val="center"/>
          </w:tcPr>
          <w:p w14:paraId="51530735">
            <w:pPr>
              <w:spacing w:line="400" w:lineRule="exact"/>
              <w:jc w:val="center"/>
              <w:rPr>
                <w:rFonts w:ascii="仿宋" w:hAnsi="仿宋" w:eastAsia="仿宋" w:cs="仿宋"/>
                <w:color w:val="000000" w:themeColor="text1"/>
                <w:sz w:val="24"/>
                <w:szCs w:val="24"/>
                <w14:textFill>
                  <w14:solidFill>
                    <w14:schemeClr w14:val="tx1"/>
                  </w14:solidFill>
                </w14:textFill>
              </w:rPr>
            </w:pPr>
          </w:p>
        </w:tc>
        <w:tc>
          <w:tcPr>
            <w:tcW w:w="2495" w:type="dxa"/>
            <w:tcBorders>
              <w:top w:val="nil"/>
              <w:left w:val="nil"/>
              <w:bottom w:val="single" w:color="auto" w:sz="4" w:space="0"/>
              <w:right w:val="single" w:color="auto" w:sz="4" w:space="0"/>
            </w:tcBorders>
            <w:tcMar>
              <w:top w:w="15" w:type="dxa"/>
              <w:left w:w="15" w:type="dxa"/>
              <w:right w:w="15" w:type="dxa"/>
            </w:tcMar>
            <w:vAlign w:val="center"/>
          </w:tcPr>
          <w:p w14:paraId="46695F19">
            <w:pPr>
              <w:spacing w:line="400" w:lineRule="exact"/>
              <w:jc w:val="center"/>
              <w:rPr>
                <w:rFonts w:ascii="仿宋" w:hAnsi="仿宋" w:eastAsia="仿宋" w:cs="仿宋"/>
                <w:color w:val="000000" w:themeColor="text1"/>
                <w:sz w:val="24"/>
                <w:szCs w:val="24"/>
                <w14:textFill>
                  <w14:solidFill>
                    <w14:schemeClr w14:val="tx1"/>
                  </w14:solidFill>
                </w14:textFill>
              </w:rPr>
            </w:pPr>
          </w:p>
        </w:tc>
        <w:tc>
          <w:tcPr>
            <w:tcW w:w="1203"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149DE8B8">
            <w:pPr>
              <w:spacing w:line="400" w:lineRule="exact"/>
              <w:jc w:val="center"/>
              <w:rPr>
                <w:rFonts w:ascii="仿宋" w:hAnsi="仿宋" w:eastAsia="仿宋" w:cs="仿宋"/>
                <w:color w:val="000000" w:themeColor="text1"/>
                <w:sz w:val="24"/>
                <w:szCs w:val="24"/>
                <w14:textFill>
                  <w14:solidFill>
                    <w14:schemeClr w14:val="tx1"/>
                  </w14:solidFill>
                </w14:textFill>
              </w:rPr>
            </w:pPr>
          </w:p>
        </w:tc>
        <w:tc>
          <w:tcPr>
            <w:tcW w:w="700"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4F8D1E8D">
            <w:pPr>
              <w:spacing w:line="400" w:lineRule="exact"/>
              <w:jc w:val="center"/>
              <w:rPr>
                <w:rFonts w:ascii="仿宋" w:hAnsi="仿宋" w:eastAsia="仿宋" w:cs="仿宋"/>
                <w:color w:val="000000" w:themeColor="text1"/>
                <w:sz w:val="24"/>
                <w:szCs w:val="24"/>
                <w14:textFill>
                  <w14:solidFill>
                    <w14:schemeClr w14:val="tx1"/>
                  </w14:solidFill>
                </w14:textFill>
              </w:rPr>
            </w:pPr>
          </w:p>
        </w:tc>
      </w:tr>
      <w:tr w14:paraId="21628ACF">
        <w:tblPrEx>
          <w:tblCellMar>
            <w:top w:w="0" w:type="dxa"/>
            <w:left w:w="0" w:type="dxa"/>
            <w:bottom w:w="0" w:type="dxa"/>
            <w:right w:w="0" w:type="dxa"/>
          </w:tblCellMar>
        </w:tblPrEx>
        <w:trPr>
          <w:trHeight w:val="539" w:hRule="atLeast"/>
          <w:jc w:val="center"/>
        </w:trPr>
        <w:tc>
          <w:tcPr>
            <w:tcW w:w="672" w:type="dxa"/>
            <w:tcBorders>
              <w:top w:val="nil"/>
              <w:left w:val="single" w:color="auto" w:sz="4" w:space="0"/>
              <w:bottom w:val="single" w:color="auto" w:sz="4" w:space="0"/>
              <w:right w:val="single" w:color="auto" w:sz="4" w:space="0"/>
            </w:tcBorders>
            <w:vAlign w:val="center"/>
          </w:tcPr>
          <w:p w14:paraId="7B65D536">
            <w:pPr>
              <w:spacing w:line="400" w:lineRule="exact"/>
              <w:jc w:val="center"/>
              <w:rPr>
                <w:rFonts w:ascii="仿宋" w:hAnsi="仿宋" w:eastAsia="仿宋" w:cs="仿宋"/>
                <w:color w:val="000000" w:themeColor="text1"/>
                <w:sz w:val="24"/>
                <w:szCs w:val="24"/>
                <w14:textFill>
                  <w14:solidFill>
                    <w14:schemeClr w14:val="tx1"/>
                  </w14:solidFill>
                </w14:textFill>
              </w:rPr>
            </w:pPr>
          </w:p>
        </w:tc>
        <w:tc>
          <w:tcPr>
            <w:tcW w:w="2383" w:type="dxa"/>
            <w:tcBorders>
              <w:top w:val="nil"/>
              <w:left w:val="nil"/>
              <w:bottom w:val="single" w:color="auto" w:sz="4" w:space="0"/>
              <w:right w:val="single" w:color="auto" w:sz="4" w:space="0"/>
            </w:tcBorders>
            <w:tcMar>
              <w:top w:w="15" w:type="dxa"/>
              <w:left w:w="15" w:type="dxa"/>
              <w:right w:w="15" w:type="dxa"/>
            </w:tcMar>
            <w:vAlign w:val="center"/>
          </w:tcPr>
          <w:p w14:paraId="401454FC">
            <w:pPr>
              <w:spacing w:line="400" w:lineRule="exact"/>
              <w:jc w:val="center"/>
              <w:rPr>
                <w:rFonts w:ascii="仿宋" w:hAnsi="仿宋" w:eastAsia="仿宋" w:cs="仿宋"/>
                <w:color w:val="000000" w:themeColor="text1"/>
                <w:sz w:val="24"/>
                <w:szCs w:val="24"/>
                <w14:textFill>
                  <w14:solidFill>
                    <w14:schemeClr w14:val="tx1"/>
                  </w14:solidFill>
                </w14:textFill>
              </w:rPr>
            </w:pPr>
          </w:p>
        </w:tc>
        <w:tc>
          <w:tcPr>
            <w:tcW w:w="2302" w:type="dxa"/>
            <w:tcBorders>
              <w:top w:val="nil"/>
              <w:left w:val="nil"/>
              <w:bottom w:val="single" w:color="auto" w:sz="4" w:space="0"/>
              <w:right w:val="single" w:color="auto" w:sz="4" w:space="0"/>
            </w:tcBorders>
            <w:tcMar>
              <w:top w:w="15" w:type="dxa"/>
              <w:left w:w="15" w:type="dxa"/>
              <w:right w:w="15" w:type="dxa"/>
            </w:tcMar>
            <w:vAlign w:val="center"/>
          </w:tcPr>
          <w:p w14:paraId="150AEF6A">
            <w:pPr>
              <w:spacing w:line="400" w:lineRule="exact"/>
              <w:jc w:val="center"/>
              <w:rPr>
                <w:rFonts w:ascii="仿宋" w:hAnsi="仿宋" w:eastAsia="仿宋" w:cs="仿宋"/>
                <w:color w:val="000000" w:themeColor="text1"/>
                <w:sz w:val="24"/>
                <w:szCs w:val="24"/>
                <w14:textFill>
                  <w14:solidFill>
                    <w14:schemeClr w14:val="tx1"/>
                  </w14:solidFill>
                </w14:textFill>
              </w:rPr>
            </w:pPr>
          </w:p>
        </w:tc>
        <w:tc>
          <w:tcPr>
            <w:tcW w:w="2495" w:type="dxa"/>
            <w:tcBorders>
              <w:top w:val="nil"/>
              <w:left w:val="nil"/>
              <w:bottom w:val="single" w:color="auto" w:sz="4" w:space="0"/>
              <w:right w:val="single" w:color="auto" w:sz="4" w:space="0"/>
            </w:tcBorders>
            <w:tcMar>
              <w:top w:w="15" w:type="dxa"/>
              <w:left w:w="15" w:type="dxa"/>
              <w:right w:w="15" w:type="dxa"/>
            </w:tcMar>
            <w:vAlign w:val="center"/>
          </w:tcPr>
          <w:p w14:paraId="3CE9C727">
            <w:pPr>
              <w:spacing w:line="400" w:lineRule="exact"/>
              <w:jc w:val="center"/>
              <w:rPr>
                <w:rFonts w:ascii="仿宋" w:hAnsi="仿宋" w:eastAsia="仿宋" w:cs="仿宋"/>
                <w:color w:val="000000" w:themeColor="text1"/>
                <w:sz w:val="24"/>
                <w:szCs w:val="24"/>
                <w14:textFill>
                  <w14:solidFill>
                    <w14:schemeClr w14:val="tx1"/>
                  </w14:solidFill>
                </w14:textFill>
              </w:rPr>
            </w:pPr>
          </w:p>
        </w:tc>
        <w:tc>
          <w:tcPr>
            <w:tcW w:w="1203"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7D38DA25">
            <w:pPr>
              <w:spacing w:line="400" w:lineRule="exact"/>
              <w:jc w:val="center"/>
              <w:rPr>
                <w:rFonts w:ascii="仿宋" w:hAnsi="仿宋" w:eastAsia="仿宋" w:cs="仿宋"/>
                <w:color w:val="000000" w:themeColor="text1"/>
                <w:sz w:val="24"/>
                <w:szCs w:val="24"/>
                <w14:textFill>
                  <w14:solidFill>
                    <w14:schemeClr w14:val="tx1"/>
                  </w14:solidFill>
                </w14:textFill>
              </w:rPr>
            </w:pPr>
          </w:p>
        </w:tc>
        <w:tc>
          <w:tcPr>
            <w:tcW w:w="700"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5275259E">
            <w:pPr>
              <w:spacing w:line="400" w:lineRule="exact"/>
              <w:jc w:val="center"/>
              <w:rPr>
                <w:rFonts w:ascii="仿宋" w:hAnsi="仿宋" w:eastAsia="仿宋" w:cs="仿宋"/>
                <w:color w:val="000000" w:themeColor="text1"/>
                <w:sz w:val="24"/>
                <w:szCs w:val="24"/>
                <w14:textFill>
                  <w14:solidFill>
                    <w14:schemeClr w14:val="tx1"/>
                  </w14:solidFill>
                </w14:textFill>
              </w:rPr>
            </w:pPr>
          </w:p>
        </w:tc>
      </w:tr>
      <w:tr w14:paraId="5429F3E3">
        <w:tblPrEx>
          <w:tblCellMar>
            <w:top w:w="0" w:type="dxa"/>
            <w:left w:w="0" w:type="dxa"/>
            <w:bottom w:w="0" w:type="dxa"/>
            <w:right w:w="0" w:type="dxa"/>
          </w:tblCellMar>
        </w:tblPrEx>
        <w:trPr>
          <w:trHeight w:val="539" w:hRule="atLeast"/>
          <w:jc w:val="center"/>
        </w:trPr>
        <w:tc>
          <w:tcPr>
            <w:tcW w:w="672" w:type="dxa"/>
            <w:tcBorders>
              <w:top w:val="nil"/>
              <w:left w:val="single" w:color="auto" w:sz="4" w:space="0"/>
              <w:bottom w:val="single" w:color="auto" w:sz="4" w:space="0"/>
              <w:right w:val="single" w:color="auto" w:sz="4" w:space="0"/>
            </w:tcBorders>
            <w:vAlign w:val="bottom"/>
          </w:tcPr>
          <w:p w14:paraId="20AD7798">
            <w:pPr>
              <w:spacing w:line="400" w:lineRule="exact"/>
              <w:rPr>
                <w:rFonts w:ascii="仿宋" w:hAnsi="仿宋" w:eastAsia="仿宋" w:cs="仿宋"/>
                <w:color w:val="000000" w:themeColor="text1"/>
                <w:sz w:val="24"/>
                <w:szCs w:val="24"/>
                <w14:textFill>
                  <w14:solidFill>
                    <w14:schemeClr w14:val="tx1"/>
                  </w14:solidFill>
                </w14:textFill>
              </w:rPr>
            </w:pPr>
          </w:p>
        </w:tc>
        <w:tc>
          <w:tcPr>
            <w:tcW w:w="2383" w:type="dxa"/>
            <w:tcBorders>
              <w:top w:val="nil"/>
              <w:left w:val="nil"/>
              <w:bottom w:val="single" w:color="auto" w:sz="4" w:space="0"/>
              <w:right w:val="single" w:color="auto" w:sz="4" w:space="0"/>
            </w:tcBorders>
            <w:tcMar>
              <w:top w:w="15" w:type="dxa"/>
              <w:left w:w="15" w:type="dxa"/>
              <w:right w:w="15" w:type="dxa"/>
            </w:tcMar>
            <w:vAlign w:val="bottom"/>
          </w:tcPr>
          <w:p w14:paraId="17F40898">
            <w:pPr>
              <w:spacing w:line="400" w:lineRule="exact"/>
              <w:rPr>
                <w:rFonts w:ascii="仿宋" w:hAnsi="仿宋" w:eastAsia="仿宋" w:cs="仿宋"/>
                <w:color w:val="000000" w:themeColor="text1"/>
                <w:sz w:val="24"/>
                <w:szCs w:val="24"/>
                <w14:textFill>
                  <w14:solidFill>
                    <w14:schemeClr w14:val="tx1"/>
                  </w14:solidFill>
                </w14:textFill>
              </w:rPr>
            </w:pPr>
          </w:p>
        </w:tc>
        <w:tc>
          <w:tcPr>
            <w:tcW w:w="2302" w:type="dxa"/>
            <w:tcBorders>
              <w:top w:val="nil"/>
              <w:left w:val="nil"/>
              <w:bottom w:val="single" w:color="auto" w:sz="4" w:space="0"/>
              <w:right w:val="single" w:color="auto" w:sz="4" w:space="0"/>
            </w:tcBorders>
            <w:tcMar>
              <w:top w:w="15" w:type="dxa"/>
              <w:left w:w="15" w:type="dxa"/>
              <w:right w:w="15" w:type="dxa"/>
            </w:tcMar>
            <w:vAlign w:val="bottom"/>
          </w:tcPr>
          <w:p w14:paraId="17887209">
            <w:pPr>
              <w:spacing w:line="400" w:lineRule="exact"/>
              <w:jc w:val="center"/>
              <w:rPr>
                <w:rFonts w:ascii="仿宋" w:hAnsi="仿宋" w:eastAsia="仿宋" w:cs="仿宋"/>
                <w:color w:val="000000" w:themeColor="text1"/>
                <w:sz w:val="24"/>
                <w:szCs w:val="24"/>
                <w14:textFill>
                  <w14:solidFill>
                    <w14:schemeClr w14:val="tx1"/>
                  </w14:solidFill>
                </w14:textFill>
              </w:rPr>
            </w:pPr>
          </w:p>
        </w:tc>
        <w:tc>
          <w:tcPr>
            <w:tcW w:w="2495" w:type="dxa"/>
            <w:tcBorders>
              <w:top w:val="nil"/>
              <w:left w:val="nil"/>
              <w:bottom w:val="single" w:color="auto" w:sz="4" w:space="0"/>
              <w:right w:val="single" w:color="auto" w:sz="4" w:space="0"/>
            </w:tcBorders>
            <w:tcMar>
              <w:top w:w="15" w:type="dxa"/>
              <w:left w:w="15" w:type="dxa"/>
              <w:right w:w="15" w:type="dxa"/>
            </w:tcMar>
            <w:vAlign w:val="bottom"/>
          </w:tcPr>
          <w:p w14:paraId="129626CE">
            <w:pPr>
              <w:spacing w:line="400" w:lineRule="exact"/>
              <w:rPr>
                <w:rFonts w:ascii="仿宋" w:hAnsi="仿宋" w:eastAsia="仿宋" w:cs="仿宋"/>
                <w:color w:val="000000" w:themeColor="text1"/>
                <w:sz w:val="24"/>
                <w:szCs w:val="24"/>
                <w14:textFill>
                  <w14:solidFill>
                    <w14:schemeClr w14:val="tx1"/>
                  </w14:solidFill>
                </w14:textFill>
              </w:rPr>
            </w:pPr>
          </w:p>
        </w:tc>
        <w:tc>
          <w:tcPr>
            <w:tcW w:w="1203" w:type="dxa"/>
            <w:tcBorders>
              <w:top w:val="nil"/>
              <w:left w:val="single" w:color="auto" w:sz="4" w:space="0"/>
              <w:bottom w:val="single" w:color="auto" w:sz="4" w:space="0"/>
              <w:right w:val="single" w:color="auto" w:sz="4" w:space="0"/>
            </w:tcBorders>
            <w:tcMar>
              <w:top w:w="15" w:type="dxa"/>
              <w:left w:w="15" w:type="dxa"/>
              <w:right w:w="15" w:type="dxa"/>
            </w:tcMar>
            <w:vAlign w:val="bottom"/>
          </w:tcPr>
          <w:p w14:paraId="7BEA8C85">
            <w:pPr>
              <w:spacing w:line="400" w:lineRule="exact"/>
              <w:rPr>
                <w:rFonts w:ascii="仿宋" w:hAnsi="仿宋" w:eastAsia="仿宋" w:cs="仿宋"/>
                <w:color w:val="000000" w:themeColor="text1"/>
                <w:sz w:val="24"/>
                <w:szCs w:val="24"/>
                <w14:textFill>
                  <w14:solidFill>
                    <w14:schemeClr w14:val="tx1"/>
                  </w14:solidFill>
                </w14:textFill>
              </w:rPr>
            </w:pPr>
          </w:p>
        </w:tc>
        <w:tc>
          <w:tcPr>
            <w:tcW w:w="700" w:type="dxa"/>
            <w:tcBorders>
              <w:top w:val="nil"/>
              <w:left w:val="single" w:color="auto" w:sz="4" w:space="0"/>
              <w:bottom w:val="single" w:color="auto" w:sz="4" w:space="0"/>
              <w:right w:val="single" w:color="auto" w:sz="4" w:space="0"/>
            </w:tcBorders>
            <w:tcMar>
              <w:top w:w="15" w:type="dxa"/>
              <w:left w:w="15" w:type="dxa"/>
              <w:right w:w="15" w:type="dxa"/>
            </w:tcMar>
            <w:vAlign w:val="bottom"/>
          </w:tcPr>
          <w:p w14:paraId="338A7275">
            <w:pPr>
              <w:spacing w:line="400" w:lineRule="exact"/>
              <w:rPr>
                <w:rFonts w:ascii="仿宋" w:hAnsi="仿宋" w:eastAsia="仿宋" w:cs="仿宋"/>
                <w:color w:val="000000" w:themeColor="text1"/>
                <w:sz w:val="24"/>
                <w:szCs w:val="24"/>
                <w14:textFill>
                  <w14:solidFill>
                    <w14:schemeClr w14:val="tx1"/>
                  </w14:solidFill>
                </w14:textFill>
              </w:rPr>
            </w:pPr>
          </w:p>
        </w:tc>
      </w:tr>
      <w:tr w14:paraId="3865C13C">
        <w:tblPrEx>
          <w:tblCellMar>
            <w:top w:w="0" w:type="dxa"/>
            <w:left w:w="0" w:type="dxa"/>
            <w:bottom w:w="0" w:type="dxa"/>
            <w:right w:w="0" w:type="dxa"/>
          </w:tblCellMar>
        </w:tblPrEx>
        <w:trPr>
          <w:trHeight w:val="559" w:hRule="atLeast"/>
          <w:jc w:val="center"/>
        </w:trPr>
        <w:tc>
          <w:tcPr>
            <w:tcW w:w="672" w:type="dxa"/>
            <w:tcBorders>
              <w:top w:val="nil"/>
              <w:left w:val="single" w:color="auto" w:sz="4" w:space="0"/>
              <w:bottom w:val="single" w:color="auto" w:sz="4" w:space="0"/>
              <w:right w:val="single" w:color="auto" w:sz="4" w:space="0"/>
            </w:tcBorders>
            <w:vAlign w:val="bottom"/>
          </w:tcPr>
          <w:p w14:paraId="756EA666">
            <w:pPr>
              <w:spacing w:line="400" w:lineRule="exact"/>
              <w:rPr>
                <w:rFonts w:ascii="仿宋" w:hAnsi="仿宋" w:eastAsia="仿宋" w:cs="仿宋"/>
                <w:color w:val="000000" w:themeColor="text1"/>
                <w:sz w:val="24"/>
                <w:szCs w:val="24"/>
                <w14:textFill>
                  <w14:solidFill>
                    <w14:schemeClr w14:val="tx1"/>
                  </w14:solidFill>
                </w14:textFill>
              </w:rPr>
            </w:pPr>
          </w:p>
        </w:tc>
        <w:tc>
          <w:tcPr>
            <w:tcW w:w="2383" w:type="dxa"/>
            <w:tcBorders>
              <w:top w:val="nil"/>
              <w:left w:val="nil"/>
              <w:bottom w:val="single" w:color="auto" w:sz="4" w:space="0"/>
              <w:right w:val="single" w:color="auto" w:sz="4" w:space="0"/>
            </w:tcBorders>
            <w:tcMar>
              <w:top w:w="15" w:type="dxa"/>
              <w:left w:w="15" w:type="dxa"/>
              <w:right w:w="15" w:type="dxa"/>
            </w:tcMar>
            <w:vAlign w:val="bottom"/>
          </w:tcPr>
          <w:p w14:paraId="0D53C9CE">
            <w:pPr>
              <w:spacing w:line="400" w:lineRule="exact"/>
              <w:rPr>
                <w:rFonts w:ascii="仿宋" w:hAnsi="仿宋" w:eastAsia="仿宋" w:cs="仿宋"/>
                <w:color w:val="000000" w:themeColor="text1"/>
                <w:sz w:val="24"/>
                <w:szCs w:val="24"/>
                <w14:textFill>
                  <w14:solidFill>
                    <w14:schemeClr w14:val="tx1"/>
                  </w14:solidFill>
                </w14:textFill>
              </w:rPr>
            </w:pPr>
          </w:p>
        </w:tc>
        <w:tc>
          <w:tcPr>
            <w:tcW w:w="2302" w:type="dxa"/>
            <w:tcBorders>
              <w:top w:val="nil"/>
              <w:left w:val="nil"/>
              <w:bottom w:val="single" w:color="auto" w:sz="4" w:space="0"/>
              <w:right w:val="single" w:color="auto" w:sz="4" w:space="0"/>
            </w:tcBorders>
            <w:tcMar>
              <w:top w:w="15" w:type="dxa"/>
              <w:left w:w="15" w:type="dxa"/>
              <w:right w:w="15" w:type="dxa"/>
            </w:tcMar>
            <w:vAlign w:val="bottom"/>
          </w:tcPr>
          <w:p w14:paraId="789C43E1">
            <w:pPr>
              <w:spacing w:line="400" w:lineRule="exact"/>
              <w:jc w:val="center"/>
              <w:rPr>
                <w:rFonts w:ascii="仿宋" w:hAnsi="仿宋" w:eastAsia="仿宋" w:cs="仿宋"/>
                <w:color w:val="000000" w:themeColor="text1"/>
                <w:sz w:val="24"/>
                <w:szCs w:val="24"/>
                <w14:textFill>
                  <w14:solidFill>
                    <w14:schemeClr w14:val="tx1"/>
                  </w14:solidFill>
                </w14:textFill>
              </w:rPr>
            </w:pPr>
          </w:p>
        </w:tc>
        <w:tc>
          <w:tcPr>
            <w:tcW w:w="2495" w:type="dxa"/>
            <w:tcBorders>
              <w:top w:val="nil"/>
              <w:left w:val="nil"/>
              <w:bottom w:val="single" w:color="auto" w:sz="4" w:space="0"/>
              <w:right w:val="single" w:color="auto" w:sz="4" w:space="0"/>
            </w:tcBorders>
            <w:tcMar>
              <w:top w:w="15" w:type="dxa"/>
              <w:left w:w="15" w:type="dxa"/>
              <w:right w:w="15" w:type="dxa"/>
            </w:tcMar>
            <w:vAlign w:val="bottom"/>
          </w:tcPr>
          <w:p w14:paraId="5D4F9442">
            <w:pPr>
              <w:spacing w:line="400" w:lineRule="exact"/>
              <w:rPr>
                <w:rFonts w:ascii="仿宋" w:hAnsi="仿宋" w:eastAsia="仿宋" w:cs="仿宋"/>
                <w:color w:val="000000" w:themeColor="text1"/>
                <w:sz w:val="24"/>
                <w:szCs w:val="24"/>
                <w14:textFill>
                  <w14:solidFill>
                    <w14:schemeClr w14:val="tx1"/>
                  </w14:solidFill>
                </w14:textFill>
              </w:rPr>
            </w:pPr>
          </w:p>
        </w:tc>
        <w:tc>
          <w:tcPr>
            <w:tcW w:w="1203" w:type="dxa"/>
            <w:tcBorders>
              <w:top w:val="nil"/>
              <w:left w:val="single" w:color="auto" w:sz="4" w:space="0"/>
              <w:bottom w:val="single" w:color="auto" w:sz="4" w:space="0"/>
              <w:right w:val="single" w:color="auto" w:sz="4" w:space="0"/>
            </w:tcBorders>
            <w:tcMar>
              <w:top w:w="15" w:type="dxa"/>
              <w:left w:w="15" w:type="dxa"/>
              <w:right w:w="15" w:type="dxa"/>
            </w:tcMar>
            <w:vAlign w:val="bottom"/>
          </w:tcPr>
          <w:p w14:paraId="7C3CA00E">
            <w:pPr>
              <w:spacing w:line="400" w:lineRule="exact"/>
              <w:rPr>
                <w:rFonts w:ascii="仿宋" w:hAnsi="仿宋" w:eastAsia="仿宋" w:cs="仿宋"/>
                <w:color w:val="000000" w:themeColor="text1"/>
                <w:sz w:val="24"/>
                <w:szCs w:val="24"/>
                <w14:textFill>
                  <w14:solidFill>
                    <w14:schemeClr w14:val="tx1"/>
                  </w14:solidFill>
                </w14:textFill>
              </w:rPr>
            </w:pPr>
          </w:p>
        </w:tc>
        <w:tc>
          <w:tcPr>
            <w:tcW w:w="700" w:type="dxa"/>
            <w:tcBorders>
              <w:top w:val="nil"/>
              <w:left w:val="single" w:color="auto" w:sz="4" w:space="0"/>
              <w:bottom w:val="single" w:color="auto" w:sz="4" w:space="0"/>
              <w:right w:val="single" w:color="auto" w:sz="4" w:space="0"/>
            </w:tcBorders>
            <w:tcMar>
              <w:top w:w="15" w:type="dxa"/>
              <w:left w:w="15" w:type="dxa"/>
              <w:right w:w="15" w:type="dxa"/>
            </w:tcMar>
            <w:vAlign w:val="bottom"/>
          </w:tcPr>
          <w:p w14:paraId="550EBFA7">
            <w:pPr>
              <w:spacing w:line="400" w:lineRule="exact"/>
              <w:rPr>
                <w:rFonts w:ascii="仿宋" w:hAnsi="仿宋" w:eastAsia="仿宋" w:cs="仿宋"/>
                <w:color w:val="000000" w:themeColor="text1"/>
                <w:sz w:val="24"/>
                <w:szCs w:val="24"/>
                <w14:textFill>
                  <w14:solidFill>
                    <w14:schemeClr w14:val="tx1"/>
                  </w14:solidFill>
                </w14:textFill>
              </w:rPr>
            </w:pPr>
          </w:p>
        </w:tc>
      </w:tr>
    </w:tbl>
    <w:p w14:paraId="4584D67A">
      <w:pPr>
        <w:snapToGrid w:val="0"/>
        <w:spacing w:line="400" w:lineRule="exact"/>
        <w:jc w:val="center"/>
        <w:rPr>
          <w:rFonts w:ascii="仿宋" w:hAnsi="仿宋" w:eastAsia="仿宋" w:cs="仿宋"/>
          <w:b/>
          <w:color w:val="000000" w:themeColor="text1"/>
          <w:sz w:val="24"/>
          <w:szCs w:val="24"/>
          <w14:textFill>
            <w14:solidFill>
              <w14:schemeClr w14:val="tx1"/>
            </w14:solidFill>
          </w14:textFill>
        </w:rPr>
      </w:pPr>
    </w:p>
    <w:p w14:paraId="4E4D60EC">
      <w:pPr>
        <w:pStyle w:val="36"/>
        <w:spacing w:line="400" w:lineRule="exact"/>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注：投标供应商应在响应文件中对本项目需求按顺序响应，做出必要的解释并列出</w:t>
      </w:r>
      <w:r>
        <w:rPr>
          <w:rFonts w:hint="eastAsia" w:ascii="仿宋" w:hAnsi="仿宋" w:eastAsia="仿宋" w:cs="仿宋"/>
          <w:b/>
          <w:color w:val="000000" w:themeColor="text1"/>
          <w:sz w:val="24"/>
          <w:szCs w:val="24"/>
          <w14:textFill>
            <w14:solidFill>
              <w14:schemeClr w14:val="tx1"/>
            </w14:solidFill>
          </w14:textFill>
        </w:rPr>
        <w:t>技术偏离表</w:t>
      </w:r>
      <w:r>
        <w:rPr>
          <w:rFonts w:hint="eastAsia" w:ascii="仿宋" w:hAnsi="仿宋" w:eastAsia="仿宋" w:cs="仿宋"/>
          <w:b/>
          <w:bCs/>
          <w:color w:val="000000" w:themeColor="text1"/>
          <w:sz w:val="24"/>
          <w:szCs w:val="24"/>
          <w14:textFill>
            <w14:solidFill>
              <w14:schemeClr w14:val="tx1"/>
            </w14:solidFill>
          </w14:textFill>
        </w:rPr>
        <w:t>。而不应完全复制采购文件中技术参数要求，统一回答“响应”“无偏离”“正偏离”等。对于没有逐条对照询价文件技术规格，说明所提供的服务已对照采购文件的技术规格做出了实质性的响应，或声明与项目需求条文的偏差和例外的条款，或未按照采购文件的要求提供相关证明材料的，将视同为不满足要求。</w:t>
      </w:r>
    </w:p>
    <w:p w14:paraId="11B0EB8F">
      <w:pPr>
        <w:pStyle w:val="24"/>
        <w:spacing w:line="400" w:lineRule="exact"/>
        <w:jc w:val="center"/>
        <w:rPr>
          <w:rFonts w:ascii="仿宋" w:hAnsi="仿宋" w:eastAsia="仿宋" w:cs="仿宋"/>
          <w:b/>
          <w:color w:val="000000" w:themeColor="text1"/>
          <w:sz w:val="24"/>
          <w:szCs w:val="24"/>
          <w14:textFill>
            <w14:solidFill>
              <w14:schemeClr w14:val="tx1"/>
            </w14:solidFill>
          </w14:textFill>
        </w:rPr>
      </w:pPr>
    </w:p>
    <w:p w14:paraId="419DB445">
      <w:pPr>
        <w:pStyle w:val="33"/>
        <w:spacing w:line="400" w:lineRule="exact"/>
        <w:ind w:left="480" w:hanging="480"/>
        <w:rPr>
          <w:rFonts w:ascii="仿宋" w:hAnsi="仿宋" w:eastAsia="仿宋" w:cs="仿宋"/>
          <w:b w:val="0"/>
          <w:color w:val="000000" w:themeColor="text1"/>
          <w:szCs w:val="24"/>
          <w14:textFill>
            <w14:solidFill>
              <w14:schemeClr w14:val="tx1"/>
            </w14:solidFill>
          </w14:textFill>
        </w:rPr>
      </w:pPr>
    </w:p>
    <w:p w14:paraId="586E045E">
      <w:pPr>
        <w:pStyle w:val="33"/>
        <w:spacing w:line="400" w:lineRule="exact"/>
        <w:ind w:left="480" w:hanging="480"/>
        <w:rPr>
          <w:rFonts w:ascii="仿宋" w:hAnsi="仿宋" w:eastAsia="仿宋" w:cs="仿宋"/>
          <w:b w:val="0"/>
          <w:color w:val="000000" w:themeColor="text1"/>
          <w:szCs w:val="24"/>
          <w14:textFill>
            <w14:solidFill>
              <w14:schemeClr w14:val="tx1"/>
            </w14:solidFill>
          </w14:textFill>
        </w:rPr>
      </w:pPr>
    </w:p>
    <w:p w14:paraId="127C58A6">
      <w:pPr>
        <w:spacing w:line="400" w:lineRule="exact"/>
        <w:rPr>
          <w:rFonts w:ascii="仿宋" w:hAnsi="仿宋" w:eastAsia="仿宋" w:cs="仿宋"/>
          <w:bCs/>
          <w:color w:val="000000" w:themeColor="text1"/>
          <w:sz w:val="24"/>
          <w:szCs w:val="24"/>
          <w14:textFill>
            <w14:solidFill>
              <w14:schemeClr w14:val="tx1"/>
            </w14:solidFill>
          </w14:textFill>
        </w:rPr>
      </w:pPr>
    </w:p>
    <w:p w14:paraId="350604D3">
      <w:pPr>
        <w:spacing w:line="400" w:lineRule="exact"/>
        <w:rPr>
          <w:rFonts w:ascii="仿宋" w:hAnsi="仿宋" w:eastAsia="仿宋" w:cs="仿宋"/>
          <w:bCs/>
          <w:color w:val="000000" w:themeColor="text1"/>
          <w:sz w:val="24"/>
          <w:szCs w:val="24"/>
          <w14:textFill>
            <w14:solidFill>
              <w14:schemeClr w14:val="tx1"/>
            </w14:solidFill>
          </w14:textFill>
        </w:rPr>
      </w:pPr>
    </w:p>
    <w:p w14:paraId="76691FCA">
      <w:pPr>
        <w:spacing w:line="400" w:lineRule="exact"/>
        <w:ind w:firstLine="480" w:firstLineChars="200"/>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投标供应商名称（公章）：</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7C396565">
      <w:pPr>
        <w:spacing w:line="400" w:lineRule="exact"/>
        <w:ind w:firstLine="480" w:firstLineChars="200"/>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法定代表人或授权代表人（签字）：</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0CD48898">
      <w:pPr>
        <w:spacing w:line="400" w:lineRule="exact"/>
        <w:ind w:firstLine="480" w:firstLineChars="200"/>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日期：</w:t>
      </w:r>
      <w:r>
        <w:rPr>
          <w:rFonts w:hint="eastAsia" w:ascii="仿宋" w:hAnsi="仿宋" w:eastAsia="仿宋" w:cs="仿宋"/>
          <w:bCs/>
          <w:color w:val="000000" w:themeColor="text1"/>
          <w:sz w:val="24"/>
          <w:szCs w:val="24"/>
          <w:u w:val="single"/>
          <w14:textFill>
            <w14:solidFill>
              <w14:schemeClr w14:val="tx1"/>
            </w14:solidFill>
          </w14:textFill>
        </w:rPr>
        <w:t xml:space="preserve">      </w:t>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 xml:space="preserve">    </w:t>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 xml:space="preserve">    </w:t>
      </w:r>
      <w:r>
        <w:rPr>
          <w:rFonts w:hint="eastAsia" w:ascii="仿宋" w:hAnsi="仿宋" w:eastAsia="仿宋" w:cs="仿宋"/>
          <w:bCs/>
          <w:color w:val="000000" w:themeColor="text1"/>
          <w:sz w:val="24"/>
          <w:szCs w:val="24"/>
          <w14:textFill>
            <w14:solidFill>
              <w14:schemeClr w14:val="tx1"/>
            </w14:solidFill>
          </w14:textFill>
        </w:rPr>
        <w:t>日</w:t>
      </w:r>
    </w:p>
    <w:p w14:paraId="321E625A">
      <w:pPr>
        <w:spacing w:line="400" w:lineRule="exact"/>
        <w:rPr>
          <w:rFonts w:ascii="仿宋" w:hAnsi="仿宋" w:eastAsia="仿宋" w:cs="仿宋"/>
          <w:b/>
          <w:bCs/>
          <w:color w:val="000000" w:themeColor="text1"/>
          <w:sz w:val="24"/>
          <w:szCs w:val="24"/>
          <w14:textFill>
            <w14:solidFill>
              <w14:schemeClr w14:val="tx1"/>
            </w14:solidFill>
          </w14:textFill>
        </w:rPr>
      </w:pPr>
    </w:p>
    <w:bookmarkEnd w:id="104"/>
    <w:p w14:paraId="45EF9105">
      <w:pPr>
        <w:pStyle w:val="5"/>
        <w:spacing w:line="400" w:lineRule="exact"/>
        <w:rPr>
          <w:rFonts w:ascii="仿宋" w:hAnsi="仿宋" w:eastAsia="仿宋" w:cs="仿宋"/>
          <w:color w:val="000000" w:themeColor="text1"/>
          <w:sz w:val="24"/>
          <w:szCs w:val="24"/>
          <w14:textFill>
            <w14:solidFill>
              <w14:schemeClr w14:val="tx1"/>
            </w14:solidFill>
          </w14:textFill>
        </w:rPr>
        <w:sectPr>
          <w:pgSz w:w="11906" w:h="16838"/>
          <w:pgMar w:top="1304" w:right="1247" w:bottom="1418" w:left="1247" w:header="851" w:footer="992" w:gutter="0"/>
          <w:pgBorders>
            <w:top w:val="none" w:sz="0" w:space="0"/>
            <w:left w:val="none" w:sz="0" w:space="0"/>
            <w:bottom w:val="none" w:sz="0" w:space="0"/>
            <w:right w:val="none" w:sz="0" w:space="0"/>
          </w:pgBorders>
          <w:cols w:space="720" w:num="1"/>
          <w:docGrid w:linePitch="312" w:charSpace="0"/>
        </w:sectPr>
      </w:pPr>
      <w:bookmarkStart w:id="111" w:name="_Toc400536597"/>
      <w:bookmarkStart w:id="112" w:name="_Toc258923314"/>
    </w:p>
    <w:bookmarkEnd w:id="111"/>
    <w:bookmarkEnd w:id="112"/>
    <w:p w14:paraId="7C0DBC2D">
      <w:pPr>
        <w:snapToGrid w:val="0"/>
        <w:spacing w:line="400" w:lineRule="exact"/>
        <w:jc w:val="center"/>
        <w:outlineLvl w:val="1"/>
        <w:rPr>
          <w:rFonts w:ascii="仿宋" w:hAnsi="仿宋" w:eastAsia="仿宋" w:cs="仿宋"/>
          <w:b/>
          <w:color w:val="000000" w:themeColor="text1"/>
          <w:sz w:val="24"/>
          <w:szCs w:val="24"/>
          <w14:textFill>
            <w14:solidFill>
              <w14:schemeClr w14:val="tx1"/>
            </w14:solidFill>
          </w14:textFill>
        </w:rPr>
      </w:pPr>
      <w:bookmarkStart w:id="113" w:name="_Toc15581"/>
      <w:bookmarkStart w:id="114" w:name="_Toc26422"/>
      <w:r>
        <w:rPr>
          <w:rFonts w:hint="eastAsia" w:ascii="仿宋" w:hAnsi="仿宋" w:eastAsia="仿宋" w:cs="仿宋"/>
          <w:b/>
          <w:color w:val="000000" w:themeColor="text1"/>
          <w:sz w:val="24"/>
          <w:szCs w:val="24"/>
          <w14:textFill>
            <w14:solidFill>
              <w14:schemeClr w14:val="tx1"/>
            </w14:solidFill>
          </w14:textFill>
        </w:rPr>
        <w:t>九、技术部分</w:t>
      </w:r>
      <w:bookmarkEnd w:id="113"/>
      <w:bookmarkEnd w:id="114"/>
    </w:p>
    <w:p w14:paraId="16828B6D">
      <w:pPr>
        <w:spacing w:line="400" w:lineRule="exact"/>
        <w:rPr>
          <w:rFonts w:ascii="宋体" w:hAnsi="宋体" w:cs="宋体"/>
          <w:bCs/>
          <w:szCs w:val="21"/>
        </w:rPr>
      </w:pPr>
      <w:r>
        <w:rPr>
          <w:rFonts w:hint="eastAsia" w:ascii="宋体" w:hAnsi="宋体" w:cs="宋体"/>
          <w:bCs/>
          <w:szCs w:val="21"/>
        </w:rPr>
        <w:t>技术评审指标技术部分：</w:t>
      </w:r>
    </w:p>
    <w:p w14:paraId="04AFF8E4">
      <w:pPr>
        <w:spacing w:line="400" w:lineRule="exact"/>
        <w:ind w:left="210"/>
        <w:rPr>
          <w:rFonts w:ascii="仿宋" w:hAnsi="仿宋" w:eastAsia="仿宋" w:cs="仿宋"/>
          <w:color w:val="000000" w:themeColor="text1"/>
          <w:sz w:val="24"/>
          <w:szCs w:val="24"/>
          <w14:textFill>
            <w14:solidFill>
              <w14:schemeClr w14:val="tx1"/>
            </w14:solidFill>
          </w14:textFill>
        </w:rPr>
      </w:pPr>
      <w:r>
        <w:rPr>
          <w:rFonts w:hint="eastAsia" w:ascii="宋体" w:hAnsi="宋体" w:cs="宋体"/>
          <w:bCs/>
          <w:szCs w:val="21"/>
        </w:rPr>
        <w:t>（1）满足技术参数要求情况</w:t>
      </w:r>
    </w:p>
    <w:p w14:paraId="1B5DBACF">
      <w:pPr>
        <w:spacing w:line="400" w:lineRule="exact"/>
        <w:ind w:firstLine="210" w:firstLineChars="100"/>
        <w:rPr>
          <w:rFonts w:ascii="仿宋" w:hAnsi="仿宋" w:eastAsia="仿宋" w:cs="仿宋"/>
          <w:color w:val="000000" w:themeColor="text1"/>
          <w:sz w:val="24"/>
          <w:szCs w:val="24"/>
          <w14:textFill>
            <w14:solidFill>
              <w14:schemeClr w14:val="tx1"/>
            </w14:solidFill>
          </w14:textFill>
        </w:rPr>
      </w:pPr>
      <w:r>
        <w:rPr>
          <w:rFonts w:hint="eastAsia" w:ascii="宋体" w:hAnsi="宋体" w:cs="宋体"/>
          <w:bCs/>
          <w:szCs w:val="21"/>
        </w:rPr>
        <w:t>（2）技术方案及产品性能</w:t>
      </w:r>
    </w:p>
    <w:p w14:paraId="0BF8C279">
      <w:pPr>
        <w:spacing w:line="400" w:lineRule="exact"/>
        <w:ind w:firstLine="210" w:firstLineChars="100"/>
        <w:rPr>
          <w:rFonts w:ascii="仿宋" w:hAnsi="仿宋" w:eastAsia="仿宋" w:cs="Arial"/>
          <w:sz w:val="24"/>
        </w:rPr>
      </w:pPr>
      <w:r>
        <w:rPr>
          <w:rFonts w:hint="eastAsia" w:ascii="宋体" w:hAnsi="宋体" w:cs="宋体"/>
          <w:bCs/>
          <w:szCs w:val="21"/>
        </w:rPr>
        <w:t>（3）技术方案及产品性能</w:t>
      </w:r>
    </w:p>
    <w:p w14:paraId="1A79D8E2">
      <w:pPr>
        <w:spacing w:line="400" w:lineRule="exact"/>
        <w:rPr>
          <w:rFonts w:ascii="仿宋" w:hAnsi="仿宋" w:eastAsia="仿宋" w:cs="仿宋"/>
          <w:b/>
          <w:color w:val="000000" w:themeColor="text1"/>
          <w:sz w:val="24"/>
          <w:szCs w:val="24"/>
          <w14:textFill>
            <w14:solidFill>
              <w14:schemeClr w14:val="tx1"/>
            </w14:solidFill>
          </w14:textFill>
        </w:rPr>
      </w:pPr>
    </w:p>
    <w:p w14:paraId="5809FA12">
      <w:pPr>
        <w:spacing w:line="400" w:lineRule="exact"/>
        <w:rPr>
          <w:rFonts w:ascii="仿宋" w:hAnsi="仿宋" w:eastAsia="仿宋" w:cs="仿宋"/>
          <w:b/>
          <w:color w:val="000000" w:themeColor="text1"/>
          <w:sz w:val="24"/>
          <w:szCs w:val="24"/>
          <w14:textFill>
            <w14:solidFill>
              <w14:schemeClr w14:val="tx1"/>
            </w14:solidFill>
          </w14:textFill>
        </w:rPr>
      </w:pPr>
    </w:p>
    <w:p w14:paraId="6E6C25DD">
      <w:pPr>
        <w:pStyle w:val="36"/>
        <w:spacing w:line="400" w:lineRule="exact"/>
        <w:rPr>
          <w:rFonts w:ascii="仿宋" w:hAnsi="仿宋" w:eastAsia="仿宋" w:cs="仿宋"/>
          <w:b/>
          <w:color w:val="000000" w:themeColor="text1"/>
          <w:sz w:val="24"/>
          <w:szCs w:val="24"/>
          <w14:textFill>
            <w14:solidFill>
              <w14:schemeClr w14:val="tx1"/>
            </w14:solidFill>
          </w14:textFill>
        </w:rPr>
      </w:pPr>
    </w:p>
    <w:p w14:paraId="14A4996F">
      <w:pPr>
        <w:pStyle w:val="36"/>
        <w:spacing w:line="400" w:lineRule="exact"/>
        <w:rPr>
          <w:rFonts w:ascii="仿宋" w:hAnsi="仿宋" w:eastAsia="仿宋" w:cs="仿宋"/>
          <w:b/>
          <w:color w:val="000000" w:themeColor="text1"/>
          <w:sz w:val="24"/>
          <w:szCs w:val="24"/>
          <w14:textFill>
            <w14:solidFill>
              <w14:schemeClr w14:val="tx1"/>
            </w14:solidFill>
          </w14:textFill>
        </w:rPr>
      </w:pPr>
    </w:p>
    <w:p w14:paraId="76D4D21C">
      <w:pPr>
        <w:pStyle w:val="36"/>
        <w:spacing w:line="400" w:lineRule="exact"/>
        <w:rPr>
          <w:rFonts w:ascii="仿宋" w:hAnsi="仿宋" w:eastAsia="仿宋" w:cs="仿宋"/>
          <w:b/>
          <w:color w:val="000000" w:themeColor="text1"/>
          <w:sz w:val="24"/>
          <w:szCs w:val="24"/>
          <w14:textFill>
            <w14:solidFill>
              <w14:schemeClr w14:val="tx1"/>
            </w14:solidFill>
          </w14:textFill>
        </w:rPr>
      </w:pPr>
    </w:p>
    <w:p w14:paraId="4B17C935">
      <w:pPr>
        <w:pStyle w:val="36"/>
        <w:spacing w:line="400" w:lineRule="exact"/>
        <w:rPr>
          <w:rFonts w:ascii="仿宋" w:hAnsi="仿宋" w:eastAsia="仿宋" w:cs="仿宋"/>
          <w:b/>
          <w:color w:val="000000" w:themeColor="text1"/>
          <w:sz w:val="24"/>
          <w:szCs w:val="24"/>
          <w14:textFill>
            <w14:solidFill>
              <w14:schemeClr w14:val="tx1"/>
            </w14:solidFill>
          </w14:textFill>
        </w:rPr>
      </w:pPr>
    </w:p>
    <w:p w14:paraId="7ABF24E7">
      <w:pPr>
        <w:pStyle w:val="36"/>
        <w:spacing w:line="400" w:lineRule="exact"/>
        <w:rPr>
          <w:rFonts w:ascii="仿宋" w:hAnsi="仿宋" w:eastAsia="仿宋" w:cs="仿宋"/>
          <w:b/>
          <w:color w:val="000000" w:themeColor="text1"/>
          <w:sz w:val="24"/>
          <w:szCs w:val="24"/>
          <w14:textFill>
            <w14:solidFill>
              <w14:schemeClr w14:val="tx1"/>
            </w14:solidFill>
          </w14:textFill>
        </w:rPr>
      </w:pPr>
    </w:p>
    <w:p w14:paraId="11E518ED">
      <w:pPr>
        <w:pStyle w:val="36"/>
        <w:spacing w:line="400" w:lineRule="exact"/>
        <w:rPr>
          <w:rFonts w:ascii="仿宋" w:hAnsi="仿宋" w:eastAsia="仿宋" w:cs="仿宋"/>
          <w:b/>
          <w:color w:val="000000" w:themeColor="text1"/>
          <w:sz w:val="24"/>
          <w:szCs w:val="24"/>
          <w14:textFill>
            <w14:solidFill>
              <w14:schemeClr w14:val="tx1"/>
            </w14:solidFill>
          </w14:textFill>
        </w:rPr>
      </w:pPr>
    </w:p>
    <w:p w14:paraId="554E3ABC">
      <w:pPr>
        <w:pStyle w:val="36"/>
        <w:spacing w:line="400" w:lineRule="exact"/>
        <w:rPr>
          <w:rFonts w:ascii="仿宋" w:hAnsi="仿宋" w:eastAsia="仿宋" w:cs="仿宋"/>
          <w:b/>
          <w:color w:val="000000" w:themeColor="text1"/>
          <w:sz w:val="24"/>
          <w:szCs w:val="24"/>
          <w14:textFill>
            <w14:solidFill>
              <w14:schemeClr w14:val="tx1"/>
            </w14:solidFill>
          </w14:textFill>
        </w:rPr>
      </w:pPr>
    </w:p>
    <w:p w14:paraId="4E76B093">
      <w:pPr>
        <w:pStyle w:val="36"/>
        <w:spacing w:line="400" w:lineRule="exact"/>
        <w:rPr>
          <w:rFonts w:ascii="仿宋" w:hAnsi="仿宋" w:eastAsia="仿宋" w:cs="仿宋"/>
          <w:b/>
          <w:color w:val="000000" w:themeColor="text1"/>
          <w:sz w:val="24"/>
          <w:szCs w:val="24"/>
          <w14:textFill>
            <w14:solidFill>
              <w14:schemeClr w14:val="tx1"/>
            </w14:solidFill>
          </w14:textFill>
        </w:rPr>
      </w:pPr>
    </w:p>
    <w:p w14:paraId="209492BB">
      <w:pPr>
        <w:pStyle w:val="36"/>
        <w:spacing w:line="400" w:lineRule="exact"/>
        <w:rPr>
          <w:rFonts w:ascii="仿宋" w:hAnsi="仿宋" w:eastAsia="仿宋" w:cs="仿宋"/>
          <w:b/>
          <w:color w:val="000000" w:themeColor="text1"/>
          <w:sz w:val="24"/>
          <w:szCs w:val="24"/>
          <w14:textFill>
            <w14:solidFill>
              <w14:schemeClr w14:val="tx1"/>
            </w14:solidFill>
          </w14:textFill>
        </w:rPr>
      </w:pPr>
    </w:p>
    <w:p w14:paraId="2A68C266">
      <w:pPr>
        <w:pStyle w:val="36"/>
        <w:spacing w:line="400" w:lineRule="exact"/>
        <w:rPr>
          <w:rFonts w:ascii="仿宋" w:hAnsi="仿宋" w:eastAsia="仿宋" w:cs="仿宋"/>
          <w:b/>
          <w:color w:val="000000" w:themeColor="text1"/>
          <w:sz w:val="24"/>
          <w:szCs w:val="24"/>
          <w14:textFill>
            <w14:solidFill>
              <w14:schemeClr w14:val="tx1"/>
            </w14:solidFill>
          </w14:textFill>
        </w:rPr>
      </w:pPr>
    </w:p>
    <w:p w14:paraId="2BF564DD">
      <w:pPr>
        <w:pStyle w:val="36"/>
        <w:spacing w:line="400" w:lineRule="exact"/>
        <w:rPr>
          <w:rFonts w:ascii="仿宋" w:hAnsi="仿宋" w:eastAsia="仿宋" w:cs="仿宋"/>
          <w:b/>
          <w:color w:val="000000" w:themeColor="text1"/>
          <w:sz w:val="24"/>
          <w:szCs w:val="24"/>
          <w14:textFill>
            <w14:solidFill>
              <w14:schemeClr w14:val="tx1"/>
            </w14:solidFill>
          </w14:textFill>
        </w:rPr>
      </w:pPr>
    </w:p>
    <w:p w14:paraId="20232B03">
      <w:pPr>
        <w:pStyle w:val="36"/>
        <w:spacing w:line="400" w:lineRule="exact"/>
        <w:rPr>
          <w:rFonts w:ascii="仿宋" w:hAnsi="仿宋" w:eastAsia="仿宋" w:cs="仿宋"/>
          <w:b/>
          <w:color w:val="000000" w:themeColor="text1"/>
          <w:sz w:val="24"/>
          <w:szCs w:val="24"/>
          <w14:textFill>
            <w14:solidFill>
              <w14:schemeClr w14:val="tx1"/>
            </w14:solidFill>
          </w14:textFill>
        </w:rPr>
      </w:pPr>
    </w:p>
    <w:p w14:paraId="5AC0DA8B">
      <w:pPr>
        <w:spacing w:line="400" w:lineRule="exact"/>
        <w:rPr>
          <w:rFonts w:ascii="仿宋" w:hAnsi="仿宋" w:eastAsia="仿宋" w:cs="仿宋"/>
          <w:b/>
          <w:color w:val="000000" w:themeColor="text1"/>
          <w:sz w:val="24"/>
          <w:szCs w:val="24"/>
          <w14:textFill>
            <w14:solidFill>
              <w14:schemeClr w14:val="tx1"/>
            </w14:solidFill>
          </w14:textFill>
        </w:rPr>
      </w:pPr>
    </w:p>
    <w:p w14:paraId="36C0D453">
      <w:pPr>
        <w:spacing w:line="400" w:lineRule="exact"/>
        <w:rPr>
          <w:rFonts w:ascii="仿宋" w:hAnsi="仿宋" w:eastAsia="仿宋" w:cs="仿宋"/>
          <w:b/>
          <w:color w:val="000000" w:themeColor="text1"/>
          <w:sz w:val="24"/>
          <w:szCs w:val="24"/>
          <w14:textFill>
            <w14:solidFill>
              <w14:schemeClr w14:val="tx1"/>
            </w14:solidFill>
          </w14:textFill>
        </w:rPr>
      </w:pPr>
    </w:p>
    <w:p w14:paraId="3C4FD5DC">
      <w:pPr>
        <w:spacing w:line="400" w:lineRule="exact"/>
        <w:rPr>
          <w:rFonts w:ascii="仿宋" w:hAnsi="仿宋" w:eastAsia="仿宋" w:cs="仿宋"/>
          <w:b/>
          <w:color w:val="000000" w:themeColor="text1"/>
          <w:sz w:val="24"/>
          <w:szCs w:val="24"/>
          <w14:textFill>
            <w14:solidFill>
              <w14:schemeClr w14:val="tx1"/>
            </w14:solidFill>
          </w14:textFill>
        </w:rPr>
      </w:pPr>
    </w:p>
    <w:p w14:paraId="7E80E2E4">
      <w:pPr>
        <w:spacing w:line="400" w:lineRule="exact"/>
        <w:rPr>
          <w:rFonts w:ascii="仿宋" w:hAnsi="仿宋" w:eastAsia="仿宋" w:cs="仿宋"/>
          <w:b/>
          <w:color w:val="000000" w:themeColor="text1"/>
          <w:sz w:val="24"/>
          <w:szCs w:val="24"/>
          <w14:textFill>
            <w14:solidFill>
              <w14:schemeClr w14:val="tx1"/>
            </w14:solidFill>
          </w14:textFill>
        </w:rPr>
        <w:sectPr>
          <w:pgSz w:w="11906" w:h="16838"/>
          <w:pgMar w:top="1304" w:right="1247" w:bottom="1417" w:left="1247" w:header="851" w:footer="992" w:gutter="0"/>
          <w:pgBorders>
            <w:top w:val="none" w:sz="0" w:space="0"/>
            <w:left w:val="none" w:sz="0" w:space="0"/>
            <w:bottom w:val="none" w:sz="0" w:space="0"/>
            <w:right w:val="none" w:sz="0" w:space="0"/>
          </w:pgBorders>
          <w:cols w:space="720" w:num="1"/>
          <w:docGrid w:type="lines" w:linePitch="312" w:charSpace="0"/>
        </w:sectPr>
      </w:pPr>
    </w:p>
    <w:p w14:paraId="1FE46746">
      <w:pPr>
        <w:spacing w:line="400" w:lineRule="exact"/>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附件8：</w:t>
      </w:r>
      <w:r>
        <w:rPr>
          <w:rFonts w:hint="eastAsia" w:ascii="仿宋" w:hAnsi="仿宋" w:eastAsia="仿宋" w:cs="仿宋"/>
          <w:color w:val="000000" w:themeColor="text1"/>
          <w:sz w:val="24"/>
          <w:szCs w:val="24"/>
          <w14:textFill>
            <w14:solidFill>
              <w14:schemeClr w14:val="tx1"/>
            </w14:solidFill>
          </w14:textFill>
        </w:rPr>
        <w:t xml:space="preserve"> </w:t>
      </w:r>
    </w:p>
    <w:p w14:paraId="08630C90">
      <w:pPr>
        <w:spacing w:line="400" w:lineRule="exact"/>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无重大违法记录声明</w:t>
      </w:r>
    </w:p>
    <w:p w14:paraId="3EC33703">
      <w:pPr>
        <w:spacing w:line="400" w:lineRule="exact"/>
        <w:jc w:val="center"/>
        <w:rPr>
          <w:rFonts w:ascii="仿宋" w:hAnsi="仿宋" w:eastAsia="仿宋" w:cs="仿宋"/>
          <w:b/>
          <w:bCs/>
          <w:color w:val="000000" w:themeColor="text1"/>
          <w:sz w:val="24"/>
          <w:szCs w:val="24"/>
          <w14:textFill>
            <w14:solidFill>
              <w14:schemeClr w14:val="tx1"/>
            </w14:solidFill>
          </w14:textFill>
        </w:rPr>
      </w:pPr>
    </w:p>
    <w:p w14:paraId="06BDAA23">
      <w:pPr>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致：新疆华域建设工程项目管理咨询有限公司</w:t>
      </w:r>
    </w:p>
    <w:p w14:paraId="1E3470E0">
      <w:pPr>
        <w:spacing w:line="400" w:lineRule="exact"/>
        <w:ind w:firstLine="48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我单位参加政府采购活动前三年内，在经营活动中没有重大违法记录。</w:t>
      </w:r>
    </w:p>
    <w:p w14:paraId="459CEDBC">
      <w:pPr>
        <w:spacing w:line="400" w:lineRule="exact"/>
        <w:ind w:firstLine="48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若采购单位在本项目采购过程中发现我单位近三年内在经营活动中有重大违法记录，我单位将无条件地退出本项目的招标，并承担因此引起的一切后果。</w:t>
      </w:r>
    </w:p>
    <w:p w14:paraId="1AA6CF3C">
      <w:pPr>
        <w:spacing w:line="400" w:lineRule="exact"/>
        <w:ind w:firstLine="480"/>
        <w:rPr>
          <w:rFonts w:ascii="仿宋" w:hAnsi="仿宋" w:eastAsia="仿宋" w:cs="仿宋"/>
          <w:bCs/>
          <w:color w:val="000000" w:themeColor="text1"/>
          <w:sz w:val="24"/>
          <w:szCs w:val="24"/>
          <w14:textFill>
            <w14:solidFill>
              <w14:schemeClr w14:val="tx1"/>
            </w14:solidFill>
          </w14:textFill>
        </w:rPr>
      </w:pPr>
    </w:p>
    <w:p w14:paraId="560004A5">
      <w:pPr>
        <w:spacing w:line="400" w:lineRule="exact"/>
        <w:ind w:firstLine="480"/>
        <w:rPr>
          <w:rFonts w:ascii="仿宋" w:hAnsi="仿宋" w:eastAsia="仿宋" w:cs="仿宋"/>
          <w:bCs/>
          <w:color w:val="000000" w:themeColor="text1"/>
          <w:sz w:val="24"/>
          <w:szCs w:val="24"/>
          <w14:textFill>
            <w14:solidFill>
              <w14:schemeClr w14:val="tx1"/>
            </w14:solidFill>
          </w14:textFill>
        </w:rPr>
      </w:pPr>
    </w:p>
    <w:p w14:paraId="13FFC2EA">
      <w:pPr>
        <w:spacing w:line="400" w:lineRule="exact"/>
        <w:ind w:firstLine="48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特此声明!</w:t>
      </w:r>
    </w:p>
    <w:p w14:paraId="05C83171">
      <w:pPr>
        <w:spacing w:line="400" w:lineRule="exact"/>
        <w:ind w:firstLine="480"/>
        <w:rPr>
          <w:rFonts w:ascii="仿宋" w:hAnsi="仿宋" w:eastAsia="仿宋" w:cs="仿宋"/>
          <w:bCs/>
          <w:color w:val="000000" w:themeColor="text1"/>
          <w:sz w:val="24"/>
          <w:szCs w:val="24"/>
          <w14:textFill>
            <w14:solidFill>
              <w14:schemeClr w14:val="tx1"/>
            </w14:solidFill>
          </w14:textFill>
        </w:rPr>
      </w:pPr>
    </w:p>
    <w:p w14:paraId="7D8C5573">
      <w:pPr>
        <w:spacing w:line="400" w:lineRule="exact"/>
        <w:rPr>
          <w:rFonts w:ascii="仿宋" w:hAnsi="仿宋" w:eastAsia="仿宋" w:cs="仿宋"/>
          <w:bCs/>
          <w:color w:val="000000" w:themeColor="text1"/>
          <w:sz w:val="24"/>
          <w:szCs w:val="24"/>
          <w14:textFill>
            <w14:solidFill>
              <w14:schemeClr w14:val="tx1"/>
            </w14:solidFill>
          </w14:textFill>
        </w:rPr>
      </w:pPr>
    </w:p>
    <w:p w14:paraId="396ED5C8">
      <w:pPr>
        <w:spacing w:line="400" w:lineRule="exact"/>
        <w:rPr>
          <w:rFonts w:ascii="仿宋" w:hAnsi="仿宋" w:eastAsia="仿宋" w:cs="仿宋"/>
          <w:bCs/>
          <w:color w:val="000000" w:themeColor="text1"/>
          <w:sz w:val="24"/>
          <w:szCs w:val="24"/>
          <w14:textFill>
            <w14:solidFill>
              <w14:schemeClr w14:val="tx1"/>
            </w14:solidFill>
          </w14:textFill>
        </w:rPr>
      </w:pPr>
    </w:p>
    <w:p w14:paraId="67F38EA4">
      <w:pPr>
        <w:spacing w:line="400" w:lineRule="exact"/>
        <w:rPr>
          <w:rFonts w:ascii="仿宋" w:hAnsi="仿宋" w:eastAsia="仿宋" w:cs="仿宋"/>
          <w:bCs/>
          <w:color w:val="000000" w:themeColor="text1"/>
          <w:sz w:val="24"/>
          <w:szCs w:val="24"/>
          <w14:textFill>
            <w14:solidFill>
              <w14:schemeClr w14:val="tx1"/>
            </w14:solidFill>
          </w14:textFill>
        </w:rPr>
      </w:pPr>
    </w:p>
    <w:p w14:paraId="1DF201F5">
      <w:pPr>
        <w:spacing w:line="400" w:lineRule="exact"/>
        <w:ind w:left="420" w:leftChars="200" w:firstLine="0" w:firstLineChars="0"/>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投标供应商名称（公章）：</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461DC5B7">
      <w:pPr>
        <w:spacing w:line="400" w:lineRule="exact"/>
        <w:ind w:left="420" w:leftChars="200" w:firstLine="0" w:firstLineChars="0"/>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法定代表人或授权代表人（签字）：</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6EC340B2">
      <w:pPr>
        <w:spacing w:line="400" w:lineRule="exact"/>
        <w:ind w:left="420" w:leftChars="200" w:firstLine="0" w:firstLineChars="0"/>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日期：</w:t>
      </w:r>
      <w:r>
        <w:rPr>
          <w:rFonts w:hint="eastAsia" w:ascii="仿宋" w:hAnsi="仿宋" w:eastAsia="仿宋" w:cs="仿宋"/>
          <w:bCs/>
          <w:color w:val="000000" w:themeColor="text1"/>
          <w:sz w:val="24"/>
          <w:szCs w:val="24"/>
          <w:u w:val="single"/>
          <w14:textFill>
            <w14:solidFill>
              <w14:schemeClr w14:val="tx1"/>
            </w14:solidFill>
          </w14:textFill>
        </w:rPr>
        <w:t xml:space="preserve">      </w:t>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 xml:space="preserve">    </w:t>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 xml:space="preserve">    </w:t>
      </w:r>
      <w:r>
        <w:rPr>
          <w:rFonts w:hint="eastAsia" w:ascii="仿宋" w:hAnsi="仿宋" w:eastAsia="仿宋" w:cs="仿宋"/>
          <w:bCs/>
          <w:color w:val="000000" w:themeColor="text1"/>
          <w:sz w:val="24"/>
          <w:szCs w:val="24"/>
          <w14:textFill>
            <w14:solidFill>
              <w14:schemeClr w14:val="tx1"/>
            </w14:solidFill>
          </w14:textFill>
        </w:rPr>
        <w:t>日</w:t>
      </w:r>
    </w:p>
    <w:p w14:paraId="7EF9FC01">
      <w:pPr>
        <w:spacing w:line="400" w:lineRule="exact"/>
        <w:jc w:val="center"/>
        <w:rPr>
          <w:rFonts w:ascii="仿宋" w:hAnsi="仿宋" w:eastAsia="仿宋" w:cs="仿宋"/>
          <w:b/>
          <w:color w:val="000000" w:themeColor="text1"/>
          <w:sz w:val="24"/>
          <w:szCs w:val="24"/>
          <w14:textFill>
            <w14:solidFill>
              <w14:schemeClr w14:val="tx1"/>
            </w14:solidFill>
          </w14:textFill>
        </w:rPr>
      </w:pPr>
    </w:p>
    <w:p w14:paraId="1A5192D2">
      <w:pPr>
        <w:spacing w:line="400" w:lineRule="exact"/>
        <w:rPr>
          <w:rFonts w:ascii="仿宋" w:hAnsi="仿宋" w:eastAsia="仿宋" w:cs="仿宋"/>
          <w:b/>
          <w:color w:val="000000" w:themeColor="text1"/>
          <w:sz w:val="24"/>
          <w:szCs w:val="24"/>
          <w14:textFill>
            <w14:solidFill>
              <w14:schemeClr w14:val="tx1"/>
            </w14:solidFill>
          </w14:textFill>
        </w:rPr>
      </w:pPr>
    </w:p>
    <w:p w14:paraId="46137134">
      <w:pPr>
        <w:spacing w:line="400" w:lineRule="exact"/>
        <w:jc w:val="center"/>
        <w:rPr>
          <w:rFonts w:ascii="仿宋" w:hAnsi="仿宋" w:eastAsia="仿宋" w:cs="仿宋"/>
          <w:b/>
          <w:color w:val="000000" w:themeColor="text1"/>
          <w:sz w:val="24"/>
          <w:szCs w:val="24"/>
          <w14:textFill>
            <w14:solidFill>
              <w14:schemeClr w14:val="tx1"/>
            </w14:solidFill>
          </w14:textFill>
        </w:rPr>
      </w:pPr>
    </w:p>
    <w:p w14:paraId="7B10614B">
      <w:pPr>
        <w:spacing w:line="400" w:lineRule="exact"/>
        <w:jc w:val="center"/>
        <w:rPr>
          <w:rFonts w:ascii="仿宋" w:hAnsi="仿宋" w:eastAsia="仿宋" w:cs="仿宋"/>
          <w:b/>
          <w:color w:val="000000" w:themeColor="text1"/>
          <w:sz w:val="24"/>
          <w:szCs w:val="24"/>
          <w14:textFill>
            <w14:solidFill>
              <w14:schemeClr w14:val="tx1"/>
            </w14:solidFill>
          </w14:textFill>
        </w:rPr>
      </w:pPr>
    </w:p>
    <w:p w14:paraId="6ED7E80E">
      <w:pPr>
        <w:spacing w:line="400" w:lineRule="exact"/>
        <w:jc w:val="center"/>
        <w:rPr>
          <w:rFonts w:ascii="仿宋" w:hAnsi="仿宋" w:eastAsia="仿宋" w:cs="仿宋"/>
          <w:b/>
          <w:color w:val="000000" w:themeColor="text1"/>
          <w:sz w:val="24"/>
          <w:szCs w:val="24"/>
          <w14:textFill>
            <w14:solidFill>
              <w14:schemeClr w14:val="tx1"/>
            </w14:solidFill>
          </w14:textFill>
        </w:rPr>
      </w:pPr>
    </w:p>
    <w:p w14:paraId="3DECA78C">
      <w:pPr>
        <w:spacing w:line="400" w:lineRule="exact"/>
        <w:jc w:val="center"/>
        <w:rPr>
          <w:rFonts w:ascii="仿宋" w:hAnsi="仿宋" w:eastAsia="仿宋" w:cs="仿宋"/>
          <w:b/>
          <w:color w:val="000000" w:themeColor="text1"/>
          <w:sz w:val="24"/>
          <w:szCs w:val="24"/>
          <w14:textFill>
            <w14:solidFill>
              <w14:schemeClr w14:val="tx1"/>
            </w14:solidFill>
          </w14:textFill>
        </w:rPr>
      </w:pPr>
    </w:p>
    <w:p w14:paraId="77A23941">
      <w:pPr>
        <w:spacing w:line="400" w:lineRule="exact"/>
        <w:jc w:val="center"/>
        <w:rPr>
          <w:rFonts w:ascii="仿宋" w:hAnsi="仿宋" w:eastAsia="仿宋" w:cs="仿宋"/>
          <w:b/>
          <w:color w:val="000000" w:themeColor="text1"/>
          <w:sz w:val="24"/>
          <w:szCs w:val="24"/>
          <w14:textFill>
            <w14:solidFill>
              <w14:schemeClr w14:val="tx1"/>
            </w14:solidFill>
          </w14:textFill>
        </w:rPr>
      </w:pPr>
    </w:p>
    <w:p w14:paraId="291303DE">
      <w:pPr>
        <w:spacing w:line="400" w:lineRule="exact"/>
        <w:rPr>
          <w:rFonts w:ascii="仿宋" w:hAnsi="仿宋" w:eastAsia="仿宋" w:cs="仿宋"/>
          <w:b/>
          <w:color w:val="000000" w:themeColor="text1"/>
          <w:sz w:val="24"/>
          <w:szCs w:val="24"/>
          <w14:textFill>
            <w14:solidFill>
              <w14:schemeClr w14:val="tx1"/>
            </w14:solidFill>
          </w14:textFill>
        </w:rPr>
      </w:pPr>
    </w:p>
    <w:p w14:paraId="2BC4E5F8">
      <w:pP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br w:type="page"/>
      </w:r>
    </w:p>
    <w:p w14:paraId="40749DE6">
      <w:pPr>
        <w:spacing w:line="400" w:lineRule="exact"/>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附件9：</w:t>
      </w:r>
      <w:r>
        <w:rPr>
          <w:rFonts w:hint="eastAsia" w:ascii="仿宋" w:hAnsi="仿宋" w:eastAsia="仿宋" w:cs="仿宋"/>
          <w:color w:val="000000" w:themeColor="text1"/>
          <w:sz w:val="24"/>
          <w:szCs w:val="24"/>
          <w14:textFill>
            <w14:solidFill>
              <w14:schemeClr w14:val="tx1"/>
            </w14:solidFill>
          </w14:textFill>
        </w:rPr>
        <w:t xml:space="preserve"> </w:t>
      </w:r>
    </w:p>
    <w:p w14:paraId="0E46EF11">
      <w:pPr>
        <w:spacing w:line="400" w:lineRule="exact"/>
        <w:jc w:val="center"/>
        <w:outlineLvl w:val="1"/>
        <w:rPr>
          <w:rFonts w:ascii="仿宋" w:hAnsi="仿宋" w:eastAsia="仿宋" w:cs="仿宋"/>
          <w:b/>
          <w:color w:val="000000" w:themeColor="text1"/>
          <w:sz w:val="24"/>
          <w:szCs w:val="24"/>
          <w14:textFill>
            <w14:solidFill>
              <w14:schemeClr w14:val="tx1"/>
            </w14:solidFill>
          </w14:textFill>
        </w:rPr>
      </w:pPr>
      <w:bookmarkStart w:id="115" w:name="_Toc30190"/>
      <w:bookmarkStart w:id="116" w:name="_Toc10222"/>
      <w:r>
        <w:rPr>
          <w:rFonts w:hint="eastAsia" w:ascii="仿宋" w:hAnsi="仿宋" w:eastAsia="仿宋" w:cs="仿宋"/>
          <w:b/>
          <w:color w:val="000000" w:themeColor="text1"/>
          <w:sz w:val="24"/>
          <w:szCs w:val="24"/>
          <w14:textFill>
            <w14:solidFill>
              <w14:schemeClr w14:val="tx1"/>
            </w14:solidFill>
          </w14:textFill>
        </w:rPr>
        <w:t>供应商反商业贿赂承诺书</w:t>
      </w:r>
      <w:bookmarkEnd w:id="115"/>
      <w:bookmarkEnd w:id="116"/>
    </w:p>
    <w:p w14:paraId="6A1D77EB">
      <w:pPr>
        <w:autoSpaceDE w:val="0"/>
        <w:autoSpaceDN w:val="0"/>
        <w:adjustRightInd w:val="0"/>
        <w:spacing w:line="400" w:lineRule="exact"/>
        <w:jc w:val="left"/>
        <w:rPr>
          <w:rFonts w:ascii="仿宋" w:hAnsi="仿宋" w:eastAsia="仿宋" w:cs="仿宋"/>
          <w:color w:val="000000" w:themeColor="text1"/>
          <w:kern w:val="0"/>
          <w:sz w:val="24"/>
          <w:szCs w:val="24"/>
          <w14:textFill>
            <w14:solidFill>
              <w14:schemeClr w14:val="tx1"/>
            </w14:solidFill>
          </w14:textFill>
        </w:rPr>
      </w:pPr>
    </w:p>
    <w:p w14:paraId="48E48818">
      <w:pPr>
        <w:autoSpaceDE w:val="0"/>
        <w:autoSpaceDN w:val="0"/>
        <w:adjustRightInd w:val="0"/>
        <w:spacing w:line="400" w:lineRule="exact"/>
        <w:ind w:firstLine="432"/>
        <w:jc w:val="left"/>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我公司承诺在</w:t>
      </w:r>
      <w:r>
        <w:rPr>
          <w:rFonts w:hint="eastAsia" w:ascii="仿宋" w:hAnsi="仿宋" w:eastAsia="仿宋" w:cs="仿宋"/>
          <w:color w:val="000000" w:themeColor="text1"/>
          <w:kern w:val="0"/>
          <w:sz w:val="24"/>
          <w:szCs w:val="24"/>
          <w:u w:val="single"/>
          <w14:textFill>
            <w14:solidFill>
              <w14:schemeClr w14:val="tx1"/>
            </w14:solidFill>
          </w14:textFill>
        </w:rPr>
        <w:t>（项目编号、项目名称）</w:t>
      </w:r>
      <w:r>
        <w:rPr>
          <w:rFonts w:hint="eastAsia" w:ascii="仿宋" w:hAnsi="仿宋" w:eastAsia="仿宋" w:cs="仿宋"/>
          <w:color w:val="000000" w:themeColor="text1"/>
          <w:kern w:val="0"/>
          <w:sz w:val="24"/>
          <w:szCs w:val="24"/>
          <w14:textFill>
            <w14:solidFill>
              <w14:schemeClr w14:val="tx1"/>
            </w14:solidFill>
          </w14:textFill>
        </w:rPr>
        <w:t xml:space="preserve">招标活动中，不给予国家工作人员以及中介机构工作人员及其亲属各种形式的商业贿赂（包括送礼金礼品、有价证券、购物券、回 扣、佣金、咨询费、劳务费、赞助费、宣传费、支付旅游费用、报销各种消费凭证、宴请、娱乐等），如有上述行为，我公司及项目参与人员愿意按照《反不正当竞争法》的 有关规定接受处罚 </w:t>
      </w:r>
    </w:p>
    <w:p w14:paraId="423088FB">
      <w:pPr>
        <w:autoSpaceDE w:val="0"/>
        <w:autoSpaceDN w:val="0"/>
        <w:adjustRightInd w:val="0"/>
        <w:spacing w:line="400" w:lineRule="exact"/>
        <w:jc w:val="left"/>
        <w:rPr>
          <w:rFonts w:ascii="仿宋" w:hAnsi="仿宋" w:eastAsia="仿宋" w:cs="仿宋"/>
          <w:color w:val="000000" w:themeColor="text1"/>
          <w:kern w:val="0"/>
          <w:sz w:val="24"/>
          <w:szCs w:val="24"/>
          <w14:textFill>
            <w14:solidFill>
              <w14:schemeClr w14:val="tx1"/>
            </w14:solidFill>
          </w14:textFill>
        </w:rPr>
      </w:pPr>
    </w:p>
    <w:p w14:paraId="3E750844">
      <w:pPr>
        <w:autoSpaceDE w:val="0"/>
        <w:autoSpaceDN w:val="0"/>
        <w:adjustRightInd w:val="0"/>
        <w:spacing w:line="400" w:lineRule="exact"/>
        <w:ind w:firstLine="897"/>
        <w:jc w:val="left"/>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法定代表人：</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 xml:space="preserve"> </w:t>
      </w:r>
    </w:p>
    <w:p w14:paraId="3A2746A5">
      <w:pPr>
        <w:autoSpaceDE w:val="0"/>
        <w:autoSpaceDN w:val="0"/>
        <w:adjustRightInd w:val="0"/>
        <w:spacing w:line="400" w:lineRule="exact"/>
        <w:ind w:firstLine="897"/>
        <w:jc w:val="left"/>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法人授权代表：</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 xml:space="preserve"> </w:t>
      </w:r>
    </w:p>
    <w:p w14:paraId="47384C96">
      <w:pPr>
        <w:autoSpaceDE w:val="0"/>
        <w:autoSpaceDN w:val="0"/>
        <w:adjustRightInd w:val="0"/>
        <w:spacing w:line="400" w:lineRule="exact"/>
        <w:ind w:firstLine="897"/>
        <w:jc w:val="left"/>
        <w:rPr>
          <w:rFonts w:ascii="仿宋" w:hAnsi="仿宋" w:eastAsia="仿宋" w:cs="仿宋"/>
          <w:b/>
          <w:bCs/>
          <w:color w:val="000000" w:themeColor="text1"/>
          <w:kern w:val="0"/>
          <w:sz w:val="24"/>
          <w:szCs w:val="24"/>
          <w:u w:val="single"/>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项目经办人： </w:t>
      </w:r>
      <w:r>
        <w:rPr>
          <w:rFonts w:hint="eastAsia" w:ascii="仿宋" w:hAnsi="仿宋" w:eastAsia="仿宋" w:cs="仿宋"/>
          <w:color w:val="000000" w:themeColor="text1"/>
          <w:kern w:val="0"/>
          <w:sz w:val="24"/>
          <w:szCs w:val="24"/>
          <w:u w:val="single"/>
          <w14:textFill>
            <w14:solidFill>
              <w14:schemeClr w14:val="tx1"/>
            </w14:solidFill>
          </w14:textFill>
        </w:rPr>
        <w:t xml:space="preserve">                          </w:t>
      </w:r>
    </w:p>
    <w:p w14:paraId="1208EBAE">
      <w:pPr>
        <w:autoSpaceDE w:val="0"/>
        <w:autoSpaceDN w:val="0"/>
        <w:adjustRightInd w:val="0"/>
        <w:spacing w:line="400" w:lineRule="exact"/>
        <w:jc w:val="left"/>
        <w:rPr>
          <w:rFonts w:ascii="仿宋" w:hAnsi="仿宋" w:eastAsia="仿宋" w:cs="仿宋"/>
          <w:color w:val="000000" w:themeColor="text1"/>
          <w:kern w:val="0"/>
          <w:sz w:val="24"/>
          <w:szCs w:val="24"/>
          <w14:textFill>
            <w14:solidFill>
              <w14:schemeClr w14:val="tx1"/>
            </w14:solidFill>
          </w14:textFill>
        </w:rPr>
      </w:pPr>
    </w:p>
    <w:p w14:paraId="20EB6F5E">
      <w:pPr>
        <w:autoSpaceDE w:val="0"/>
        <w:autoSpaceDN w:val="0"/>
        <w:adjustRightInd w:val="0"/>
        <w:spacing w:line="400" w:lineRule="exact"/>
        <w:ind w:firstLine="480"/>
        <w:jc w:val="left"/>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我公司承诺在参加本次投标前三年内，无以下行为： </w:t>
      </w:r>
    </w:p>
    <w:p w14:paraId="402D12C5">
      <w:pPr>
        <w:autoSpaceDE w:val="0"/>
        <w:autoSpaceDN w:val="0"/>
        <w:adjustRightInd w:val="0"/>
        <w:spacing w:line="400" w:lineRule="exact"/>
        <w:ind w:firstLine="480"/>
        <w:jc w:val="left"/>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重大违法行为； </w:t>
      </w:r>
    </w:p>
    <w:p w14:paraId="6DFBA2B9">
      <w:pPr>
        <w:autoSpaceDE w:val="0"/>
        <w:autoSpaceDN w:val="0"/>
        <w:adjustRightInd w:val="0"/>
        <w:spacing w:line="400" w:lineRule="exact"/>
        <w:ind w:firstLine="480"/>
        <w:jc w:val="left"/>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商业贿赂行为； </w:t>
      </w:r>
    </w:p>
    <w:p w14:paraId="568D47A9">
      <w:pPr>
        <w:autoSpaceDE w:val="0"/>
        <w:autoSpaceDN w:val="0"/>
        <w:adjustRightInd w:val="0"/>
        <w:spacing w:line="400" w:lineRule="exact"/>
        <w:ind w:firstLine="480"/>
        <w:jc w:val="left"/>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政府采购法《第七十七条》，列入不良行为记录名单的各种行为； </w:t>
      </w:r>
    </w:p>
    <w:p w14:paraId="21BE9DC1">
      <w:pPr>
        <w:autoSpaceDE w:val="0"/>
        <w:autoSpaceDN w:val="0"/>
        <w:adjustRightInd w:val="0"/>
        <w:spacing w:line="400" w:lineRule="exact"/>
        <w:jc w:val="left"/>
        <w:rPr>
          <w:rFonts w:ascii="仿宋" w:hAnsi="仿宋" w:eastAsia="仿宋" w:cs="仿宋"/>
          <w:color w:val="000000" w:themeColor="text1"/>
          <w:kern w:val="0"/>
          <w:sz w:val="24"/>
          <w:szCs w:val="24"/>
          <w14:textFill>
            <w14:solidFill>
              <w14:schemeClr w14:val="tx1"/>
            </w14:solidFill>
          </w14:textFill>
        </w:rPr>
      </w:pPr>
    </w:p>
    <w:p w14:paraId="46874E7D">
      <w:pPr>
        <w:autoSpaceDE w:val="0"/>
        <w:autoSpaceDN w:val="0"/>
        <w:adjustRightInd w:val="0"/>
        <w:spacing w:line="400" w:lineRule="exact"/>
        <w:ind w:firstLine="480" w:firstLineChars="200"/>
        <w:jc w:val="left"/>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如有上述行为，我公司及项目参与人员自愿放弃本次项目的投标、报价资格，若为预中标、成交人，也自愿放弃中标、成交资格 </w:t>
      </w:r>
    </w:p>
    <w:p w14:paraId="5BF776CC">
      <w:pPr>
        <w:autoSpaceDE w:val="0"/>
        <w:autoSpaceDN w:val="0"/>
        <w:adjustRightInd w:val="0"/>
        <w:spacing w:line="400" w:lineRule="exact"/>
        <w:ind w:firstLine="480"/>
        <w:jc w:val="left"/>
        <w:rPr>
          <w:rFonts w:ascii="仿宋" w:hAnsi="仿宋" w:eastAsia="仿宋" w:cs="仿宋"/>
          <w:b/>
          <w:bCs/>
          <w:color w:val="000000" w:themeColor="text1"/>
          <w:kern w:val="0"/>
          <w:sz w:val="24"/>
          <w:szCs w:val="24"/>
          <w14:textFill>
            <w14:solidFill>
              <w14:schemeClr w14:val="tx1"/>
            </w14:solidFill>
          </w14:textFill>
        </w:rPr>
      </w:pPr>
    </w:p>
    <w:p w14:paraId="54038DC6">
      <w:pPr>
        <w:spacing w:line="400" w:lineRule="exact"/>
        <w:rPr>
          <w:rFonts w:ascii="仿宋" w:hAnsi="仿宋" w:eastAsia="仿宋" w:cs="仿宋"/>
          <w:color w:val="000000" w:themeColor="text1"/>
          <w:sz w:val="24"/>
          <w:szCs w:val="24"/>
          <w14:textFill>
            <w14:solidFill>
              <w14:schemeClr w14:val="tx1"/>
            </w14:solidFill>
          </w14:textFill>
        </w:rPr>
      </w:pPr>
    </w:p>
    <w:p w14:paraId="2EE60AF8">
      <w:pPr>
        <w:spacing w:line="400" w:lineRule="exact"/>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投标供应商名称（公章）：</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531E2331">
      <w:pPr>
        <w:spacing w:line="400" w:lineRule="exact"/>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法定代表人或授权代表人（签字）：</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33DE1EDC">
      <w:pPr>
        <w:spacing w:line="400" w:lineRule="exact"/>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日期：</w:t>
      </w:r>
      <w:r>
        <w:rPr>
          <w:rFonts w:hint="eastAsia" w:ascii="仿宋" w:hAnsi="仿宋" w:eastAsia="仿宋" w:cs="仿宋"/>
          <w:bCs/>
          <w:color w:val="000000" w:themeColor="text1"/>
          <w:sz w:val="24"/>
          <w:szCs w:val="24"/>
          <w:u w:val="single"/>
          <w14:textFill>
            <w14:solidFill>
              <w14:schemeClr w14:val="tx1"/>
            </w14:solidFill>
          </w14:textFill>
        </w:rPr>
        <w:t xml:space="preserve">      </w:t>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 xml:space="preserve">    </w:t>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 xml:space="preserve">    </w:t>
      </w:r>
      <w:r>
        <w:rPr>
          <w:rFonts w:hint="eastAsia" w:ascii="仿宋" w:hAnsi="仿宋" w:eastAsia="仿宋" w:cs="仿宋"/>
          <w:bCs/>
          <w:color w:val="000000" w:themeColor="text1"/>
          <w:sz w:val="24"/>
          <w:szCs w:val="24"/>
          <w14:textFill>
            <w14:solidFill>
              <w14:schemeClr w14:val="tx1"/>
            </w14:solidFill>
          </w14:textFill>
        </w:rPr>
        <w:t>日</w:t>
      </w:r>
    </w:p>
    <w:p w14:paraId="1CF79976">
      <w:pPr>
        <w:spacing w:line="400" w:lineRule="exact"/>
        <w:rPr>
          <w:rFonts w:ascii="仿宋" w:hAnsi="仿宋" w:eastAsia="仿宋" w:cs="仿宋"/>
          <w:color w:val="000000" w:themeColor="text1"/>
          <w:sz w:val="24"/>
          <w:szCs w:val="24"/>
          <w14:textFill>
            <w14:solidFill>
              <w14:schemeClr w14:val="tx1"/>
            </w14:solidFill>
          </w14:textFill>
        </w:rPr>
      </w:pPr>
    </w:p>
    <w:p w14:paraId="18B36AC1">
      <w:pPr>
        <w:spacing w:line="400" w:lineRule="exact"/>
        <w:rPr>
          <w:rFonts w:ascii="仿宋" w:hAnsi="仿宋" w:eastAsia="仿宋" w:cs="仿宋"/>
          <w:color w:val="000000" w:themeColor="text1"/>
          <w:sz w:val="24"/>
          <w:szCs w:val="24"/>
          <w14:textFill>
            <w14:solidFill>
              <w14:schemeClr w14:val="tx1"/>
            </w14:solidFill>
          </w14:textFill>
        </w:rPr>
      </w:pPr>
    </w:p>
    <w:p w14:paraId="348838E6">
      <w:pPr>
        <w:spacing w:line="400" w:lineRule="exact"/>
        <w:rPr>
          <w:rFonts w:ascii="仿宋" w:hAnsi="仿宋" w:eastAsia="仿宋" w:cs="仿宋"/>
          <w:color w:val="000000" w:themeColor="text1"/>
          <w:sz w:val="24"/>
          <w:szCs w:val="24"/>
          <w14:textFill>
            <w14:solidFill>
              <w14:schemeClr w14:val="tx1"/>
            </w14:solidFill>
          </w14:textFill>
        </w:rPr>
      </w:pPr>
    </w:p>
    <w:p w14:paraId="27A8F74D">
      <w:pPr>
        <w:pStyle w:val="36"/>
        <w:spacing w:line="400" w:lineRule="exact"/>
        <w:rPr>
          <w:rFonts w:ascii="仿宋" w:hAnsi="仿宋" w:eastAsia="仿宋" w:cs="仿宋"/>
          <w:color w:val="000000" w:themeColor="text1"/>
          <w:sz w:val="24"/>
          <w:szCs w:val="24"/>
          <w14:textFill>
            <w14:solidFill>
              <w14:schemeClr w14:val="tx1"/>
            </w14:solidFill>
          </w14:textFill>
        </w:rPr>
      </w:pPr>
    </w:p>
    <w:p w14:paraId="5ADC20F9">
      <w:pP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br w:type="page"/>
      </w:r>
    </w:p>
    <w:p w14:paraId="089E9F2E">
      <w:pPr>
        <w:widowControl/>
        <w:spacing w:line="400" w:lineRule="exac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附件10：</w:t>
      </w:r>
    </w:p>
    <w:p w14:paraId="4089D5D6">
      <w:pPr>
        <w:widowControl/>
        <w:spacing w:line="400" w:lineRule="exact"/>
        <w:jc w:val="center"/>
        <w:outlineLvl w:val="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十、中小微企业证明文件等</w:t>
      </w:r>
    </w:p>
    <w:p w14:paraId="7F63A4E4">
      <w:pPr>
        <w:spacing w:line="480" w:lineRule="auto"/>
        <w:jc w:val="center"/>
        <w:rPr>
          <w:b/>
          <w:bCs/>
          <w:color w:val="000000"/>
          <w:sz w:val="22"/>
          <w:szCs w:val="22"/>
        </w:rPr>
      </w:pPr>
      <w:r>
        <w:rPr>
          <w:rFonts w:hint="eastAsia"/>
          <w:b/>
          <w:bCs/>
          <w:color w:val="000000"/>
          <w:sz w:val="22"/>
          <w:szCs w:val="22"/>
        </w:rPr>
        <w:t>中小企业声明函（工程、服务）</w:t>
      </w:r>
    </w:p>
    <w:p w14:paraId="1FB67E5B">
      <w:pPr>
        <w:autoSpaceDE w:val="0"/>
        <w:autoSpaceDN w:val="0"/>
        <w:adjustRightInd w:val="0"/>
        <w:spacing w:line="400" w:lineRule="exact"/>
        <w:ind w:firstLine="432"/>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本公司（联合体） 郑重声明， 根据《政府采购促进中小企业发展管理办法》（财库﹝ 2020﹞ 46 号） 的规定， 本公司（联合体） 参加（单位名称） 的（项目名称） 采购活动， 工程的运营单位全部为符合政策要求的中小企业（或者： 服务全部由符合政策要求的中小企业承接）。相关企业（ 含联合体中的中小企业、 签订分包意向协议的中小企业） 的具体情况如下：</w:t>
      </w:r>
    </w:p>
    <w:p w14:paraId="48687A50">
      <w:pPr>
        <w:autoSpaceDE w:val="0"/>
        <w:autoSpaceDN w:val="0"/>
        <w:adjustRightInd w:val="0"/>
        <w:spacing w:line="400" w:lineRule="exact"/>
        <w:ind w:firstLine="432"/>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 （标的名称） ， 属于（采购文件中明确的所属行业）；承建（ 承接） 企业为（企业名称）， 从业人员   人， 营业收入为    万元， 资产总额为    万元， 属于（中型企业、小型企业、 微型企业）；</w:t>
      </w:r>
    </w:p>
    <w:p w14:paraId="428C261F">
      <w:pPr>
        <w:autoSpaceDE w:val="0"/>
        <w:autoSpaceDN w:val="0"/>
        <w:adjustRightInd w:val="0"/>
        <w:spacing w:line="400" w:lineRule="exact"/>
        <w:ind w:firstLine="432"/>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 （标的名称） ， 属于（采购文件中明确的所属行业）；承建（ 承接） 企业为（企业名称）， 从业人员   人， 营业收入为    万元， 资产总额为    万元， 属于（中型企业、小型企业、 微型企业）；</w:t>
      </w:r>
    </w:p>
    <w:p w14:paraId="302A328F">
      <w:pPr>
        <w:autoSpaceDE w:val="0"/>
        <w:autoSpaceDN w:val="0"/>
        <w:adjustRightInd w:val="0"/>
        <w:spacing w:line="400" w:lineRule="exact"/>
        <w:ind w:firstLine="432"/>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p w14:paraId="0499A62C">
      <w:pPr>
        <w:autoSpaceDE w:val="0"/>
        <w:autoSpaceDN w:val="0"/>
        <w:adjustRightInd w:val="0"/>
        <w:spacing w:line="400" w:lineRule="exact"/>
        <w:ind w:firstLine="432"/>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以上企业， 不属于大企业的分支机构， 不存在控股股东为大企业的情形， 也不存在与大企业的负责人为同一人的情形。本企业对上述声明内容的真实性负责。 如有虚假， 将依法承担相应责任。</w:t>
      </w:r>
    </w:p>
    <w:p w14:paraId="6E5C4757">
      <w:pPr>
        <w:autoSpaceDE w:val="0"/>
        <w:autoSpaceDN w:val="0"/>
        <w:adjustRightInd w:val="0"/>
        <w:spacing w:line="400" w:lineRule="exact"/>
        <w:ind w:firstLine="432"/>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企业名称（盖章）：</w:t>
      </w:r>
    </w:p>
    <w:p w14:paraId="67D7409B">
      <w:pPr>
        <w:autoSpaceDE w:val="0"/>
        <w:autoSpaceDN w:val="0"/>
        <w:adjustRightInd w:val="0"/>
        <w:spacing w:line="400" w:lineRule="exact"/>
        <w:ind w:firstLine="432"/>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日 期：</w:t>
      </w:r>
    </w:p>
    <w:p w14:paraId="5B3B38DE">
      <w:pPr>
        <w:autoSpaceDE w:val="0"/>
        <w:autoSpaceDN w:val="0"/>
        <w:adjustRightInd w:val="0"/>
        <w:spacing w:line="400" w:lineRule="exact"/>
        <w:ind w:firstLine="432"/>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从业人员、 营业收入、 资产总额填报上一年度数据， 无上一年度数据的新成立企业可不填报。</w:t>
      </w:r>
    </w:p>
    <w:p w14:paraId="7DA31F56">
      <w:pPr>
        <w:autoSpaceDE w:val="0"/>
        <w:autoSpaceDN w:val="0"/>
        <w:adjustRightInd w:val="0"/>
        <w:spacing w:line="400" w:lineRule="exact"/>
        <w:ind w:firstLine="432"/>
        <w:jc w:val="left"/>
        <w:rPr>
          <w:rFonts w:ascii="仿宋" w:hAnsi="仿宋" w:eastAsia="仿宋" w:cs="仿宋"/>
          <w:color w:val="000000" w:themeColor="text1"/>
          <w:kern w:val="0"/>
          <w:sz w:val="24"/>
          <w:szCs w:val="24"/>
          <w14:textFill>
            <w14:solidFill>
              <w14:schemeClr w14:val="tx1"/>
            </w14:solidFill>
          </w14:textFill>
        </w:rPr>
        <w:sectPr>
          <w:pgSz w:w="11906" w:h="16838"/>
          <w:pgMar w:top="1304" w:right="1247" w:bottom="1417" w:left="1247" w:header="851" w:footer="992" w:gutter="0"/>
          <w:pgBorders>
            <w:top w:val="none" w:sz="0" w:space="0"/>
            <w:left w:val="none" w:sz="0" w:space="0"/>
            <w:bottom w:val="none" w:sz="0" w:space="0"/>
            <w:right w:val="none" w:sz="0" w:space="0"/>
          </w:pgBorders>
          <w:cols w:space="720" w:num="1"/>
          <w:docGrid w:type="lines" w:linePitch="312" w:charSpace="0"/>
        </w:sectPr>
      </w:pPr>
    </w:p>
    <w:p w14:paraId="1C3080FC">
      <w:pPr>
        <w:pStyle w:val="24"/>
        <w:adjustRightInd w:val="0"/>
        <w:snapToGrid w:val="0"/>
        <w:spacing w:line="360" w:lineRule="auto"/>
        <w:ind w:firstLine="2249" w:firstLineChars="700"/>
        <w:outlineLvl w:val="3"/>
        <w:rPr>
          <w:rFonts w:ascii="仿宋" w:hAnsi="仿宋" w:eastAsia="仿宋" w:cs="仿宋"/>
          <w:color w:val="000000" w:themeColor="text1"/>
          <w:sz w:val="24"/>
          <w:szCs w:val="24"/>
          <w14:textFill>
            <w14:solidFill>
              <w14:schemeClr w14:val="tx1"/>
            </w14:solidFill>
          </w14:textFill>
        </w:rPr>
        <w:sectPr>
          <w:pgSz w:w="11906" w:h="16838"/>
          <w:pgMar w:top="1304" w:right="1247" w:bottom="1417" w:left="1247"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eastAsia="仿宋" w:cs="仿宋"/>
          <w:b/>
          <w:color w:val="000000" w:themeColor="text1"/>
          <w:sz w:val="32"/>
          <w:szCs w:val="32"/>
          <w14:textFill>
            <w14:solidFill>
              <w14:schemeClr w14:val="tx1"/>
            </w14:solidFill>
          </w14:textFill>
        </w:rPr>
        <w:t>十一、供应商认为需要提供的其它资料</w:t>
      </w:r>
    </w:p>
    <w:p w14:paraId="705D1418">
      <w:pPr>
        <w:pStyle w:val="24"/>
        <w:adjustRightInd w:val="0"/>
        <w:snapToGrid w:val="0"/>
        <w:spacing w:line="480" w:lineRule="exact"/>
        <w:jc w:val="center"/>
        <w:outlineLvl w:val="0"/>
        <w:rPr>
          <w:rFonts w:ascii="仿宋" w:hAnsi="仿宋" w:eastAsia="仿宋" w:cs="仿宋"/>
          <w:b/>
          <w:color w:val="000000" w:themeColor="text1"/>
          <w:sz w:val="36"/>
          <w:szCs w:val="36"/>
          <w14:textFill>
            <w14:solidFill>
              <w14:schemeClr w14:val="tx1"/>
            </w14:solidFill>
          </w14:textFill>
        </w:rPr>
      </w:pPr>
      <w:bookmarkStart w:id="117" w:name="_Toc1648"/>
      <w:bookmarkStart w:id="118" w:name="_Toc32625"/>
      <w:r>
        <w:rPr>
          <w:rFonts w:hint="eastAsia" w:ascii="仿宋" w:hAnsi="仿宋" w:eastAsia="仿宋" w:cs="仿宋"/>
          <w:b/>
          <w:color w:val="000000" w:themeColor="text1"/>
          <w:sz w:val="36"/>
          <w:szCs w:val="36"/>
          <w14:textFill>
            <w14:solidFill>
              <w14:schemeClr w14:val="tx1"/>
            </w14:solidFill>
          </w14:textFill>
        </w:rPr>
        <w:t>补充条款</w:t>
      </w:r>
      <w:bookmarkEnd w:id="117"/>
      <w:bookmarkEnd w:id="118"/>
    </w:p>
    <w:p w14:paraId="7BBC355C">
      <w:pPr>
        <w:spacing w:line="480" w:lineRule="exact"/>
        <w:jc w:val="center"/>
        <w:outlineLvl w:val="0"/>
        <w:rPr>
          <w:rFonts w:ascii="仿宋" w:hAnsi="仿宋" w:eastAsia="仿宋" w:cs="仿宋"/>
          <w:color w:val="000000" w:themeColor="text1"/>
          <w:sz w:val="28"/>
          <w:szCs w:val="28"/>
          <w14:textFill>
            <w14:solidFill>
              <w14:schemeClr w14:val="tx1"/>
            </w14:solidFill>
          </w14:textFill>
        </w:rPr>
      </w:pPr>
      <w:bookmarkStart w:id="119" w:name="_Toc2809"/>
      <w:bookmarkStart w:id="120" w:name="_Toc27967"/>
      <w:r>
        <w:rPr>
          <w:rFonts w:hint="eastAsia" w:ascii="仿宋" w:hAnsi="仿宋" w:eastAsia="仿宋" w:cs="仿宋"/>
          <w:b/>
          <w:bCs/>
          <w:color w:val="000000" w:themeColor="text1"/>
          <w:sz w:val="28"/>
          <w:szCs w:val="28"/>
          <w14:textFill>
            <w14:solidFill>
              <w14:schemeClr w14:val="tx1"/>
            </w14:solidFill>
          </w14:textFill>
        </w:rPr>
        <w:t>投标保证金退还申请书</w:t>
      </w:r>
      <w:bookmarkEnd w:id="119"/>
      <w:bookmarkEnd w:id="120"/>
    </w:p>
    <w:p w14:paraId="3D1790D5">
      <w:pPr>
        <w:spacing w:line="480" w:lineRule="exact"/>
        <w:rPr>
          <w:rFonts w:ascii="宋体" w:hAnsi="宋体" w:cs="宋体"/>
          <w:color w:val="000000" w:themeColor="text1"/>
          <w:sz w:val="24"/>
          <w:szCs w:val="24"/>
          <w14:textFill>
            <w14:solidFill>
              <w14:schemeClr w14:val="tx1"/>
            </w14:solidFill>
          </w14:textFill>
        </w:rPr>
      </w:pPr>
    </w:p>
    <w:p w14:paraId="561C44AC">
      <w:pPr>
        <w:spacing w:line="480" w:lineRule="exac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致：</w:t>
      </w:r>
      <w:r>
        <w:rPr>
          <w:rFonts w:hint="eastAsia" w:ascii="仿宋" w:hAnsi="仿宋" w:eastAsia="仿宋" w:cs="仿宋"/>
          <w:color w:val="000000" w:themeColor="text1"/>
          <w:sz w:val="22"/>
          <w:szCs w:val="22"/>
          <w:u w:val="single"/>
          <w14:textFill>
            <w14:solidFill>
              <w14:schemeClr w14:val="tx1"/>
            </w14:solidFill>
          </w14:textFill>
        </w:rPr>
        <w:t xml:space="preserve">                       </w:t>
      </w:r>
      <w:r>
        <w:rPr>
          <w:rFonts w:hint="eastAsia" w:ascii="仿宋" w:hAnsi="仿宋" w:eastAsia="仿宋" w:cs="仿宋"/>
          <w:color w:val="000000" w:themeColor="text1"/>
          <w:sz w:val="22"/>
          <w:szCs w:val="22"/>
          <w14:textFill>
            <w14:solidFill>
              <w14:schemeClr w14:val="tx1"/>
            </w14:solidFill>
          </w14:textFill>
        </w:rPr>
        <w:t>（招标代理机构）</w:t>
      </w:r>
    </w:p>
    <w:p w14:paraId="4D7564D4">
      <w:pPr>
        <w:spacing w:line="480" w:lineRule="exact"/>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我公司报名参加了</w:t>
      </w:r>
      <w:r>
        <w:rPr>
          <w:rFonts w:hint="eastAsia" w:ascii="仿宋" w:hAnsi="仿宋" w:eastAsia="仿宋" w:cs="仿宋"/>
          <w:color w:val="000000" w:themeColor="text1"/>
          <w:sz w:val="22"/>
          <w:szCs w:val="22"/>
          <w:u w:val="single"/>
          <w14:textFill>
            <w14:solidFill>
              <w14:schemeClr w14:val="tx1"/>
            </w14:solidFill>
          </w14:textFill>
        </w:rPr>
        <w:t xml:space="preserve">                                    （项目名称标包号、项目编号）</w:t>
      </w:r>
      <w:r>
        <w:rPr>
          <w:rFonts w:hint="eastAsia" w:ascii="仿宋" w:hAnsi="仿宋" w:eastAsia="仿宋" w:cs="仿宋"/>
          <w:color w:val="000000" w:themeColor="text1"/>
          <w:sz w:val="22"/>
          <w:szCs w:val="22"/>
          <w14:textFill>
            <w14:solidFill>
              <w14:schemeClr w14:val="tx1"/>
            </w14:solidFill>
          </w14:textFill>
        </w:rPr>
        <w:t>的投标并递交了投标保证金人民币</w:t>
      </w:r>
      <w:r>
        <w:rPr>
          <w:rFonts w:hint="eastAsia" w:ascii="仿宋" w:hAnsi="仿宋" w:eastAsia="仿宋" w:cs="仿宋"/>
          <w:color w:val="000000" w:themeColor="text1"/>
          <w:sz w:val="22"/>
          <w:szCs w:val="22"/>
          <w:u w:val="single"/>
          <w14:textFill>
            <w14:solidFill>
              <w14:schemeClr w14:val="tx1"/>
            </w14:solidFill>
          </w14:textFill>
        </w:rPr>
        <w:t xml:space="preserve">      </w:t>
      </w:r>
      <w:r>
        <w:rPr>
          <w:rFonts w:hint="eastAsia" w:ascii="仿宋" w:hAnsi="仿宋" w:eastAsia="仿宋" w:cs="仿宋"/>
          <w:color w:val="000000" w:themeColor="text1"/>
          <w:sz w:val="22"/>
          <w:szCs w:val="22"/>
          <w14:textFill>
            <w14:solidFill>
              <w14:schemeClr w14:val="tx1"/>
            </w14:solidFill>
          </w14:textFill>
        </w:rPr>
        <w:t>拾</w:t>
      </w:r>
      <w:r>
        <w:rPr>
          <w:rFonts w:hint="eastAsia" w:ascii="仿宋" w:hAnsi="仿宋" w:eastAsia="仿宋" w:cs="仿宋"/>
          <w:color w:val="000000" w:themeColor="text1"/>
          <w:sz w:val="22"/>
          <w:szCs w:val="22"/>
          <w:u w:val="single"/>
          <w14:textFill>
            <w14:solidFill>
              <w14:schemeClr w14:val="tx1"/>
            </w14:solidFill>
          </w14:textFill>
        </w:rPr>
        <w:t xml:space="preserve">     </w:t>
      </w:r>
      <w:r>
        <w:rPr>
          <w:rFonts w:hint="eastAsia" w:ascii="仿宋" w:hAnsi="仿宋" w:eastAsia="仿宋" w:cs="仿宋"/>
          <w:color w:val="000000" w:themeColor="text1"/>
          <w:sz w:val="22"/>
          <w:szCs w:val="22"/>
          <w14:textFill>
            <w14:solidFill>
              <w14:schemeClr w14:val="tx1"/>
            </w14:solidFill>
          </w14:textFill>
        </w:rPr>
        <w:t>万</w:t>
      </w:r>
      <w:r>
        <w:rPr>
          <w:rFonts w:hint="eastAsia" w:ascii="仿宋" w:hAnsi="仿宋" w:eastAsia="仿宋" w:cs="仿宋"/>
          <w:color w:val="000000" w:themeColor="text1"/>
          <w:sz w:val="22"/>
          <w:szCs w:val="22"/>
          <w:u w:val="single"/>
          <w14:textFill>
            <w14:solidFill>
              <w14:schemeClr w14:val="tx1"/>
            </w14:solidFill>
          </w14:textFill>
        </w:rPr>
        <w:t xml:space="preserve">     </w:t>
      </w:r>
      <w:r>
        <w:rPr>
          <w:rFonts w:hint="eastAsia" w:ascii="仿宋" w:hAnsi="仿宋" w:eastAsia="仿宋" w:cs="仿宋"/>
          <w:color w:val="000000" w:themeColor="text1"/>
          <w:sz w:val="22"/>
          <w:szCs w:val="22"/>
          <w14:textFill>
            <w14:solidFill>
              <w14:schemeClr w14:val="tx1"/>
            </w14:solidFill>
          </w14:textFill>
        </w:rPr>
        <w:t>仟</w:t>
      </w:r>
      <w:r>
        <w:rPr>
          <w:rFonts w:hint="eastAsia" w:ascii="仿宋" w:hAnsi="仿宋" w:eastAsia="仿宋" w:cs="仿宋"/>
          <w:color w:val="000000" w:themeColor="text1"/>
          <w:sz w:val="22"/>
          <w:szCs w:val="22"/>
          <w:u w:val="single"/>
          <w14:textFill>
            <w14:solidFill>
              <w14:schemeClr w14:val="tx1"/>
            </w14:solidFill>
          </w14:textFill>
        </w:rPr>
        <w:t xml:space="preserve">    </w:t>
      </w:r>
      <w:r>
        <w:rPr>
          <w:rFonts w:hint="eastAsia" w:ascii="仿宋" w:hAnsi="仿宋" w:eastAsia="仿宋" w:cs="仿宋"/>
          <w:color w:val="000000" w:themeColor="text1"/>
          <w:sz w:val="22"/>
          <w:szCs w:val="22"/>
          <w14:textFill>
            <w14:solidFill>
              <w14:schemeClr w14:val="tx1"/>
            </w14:solidFill>
          </w14:textFill>
        </w:rPr>
        <w:t>佰</w:t>
      </w:r>
      <w:r>
        <w:rPr>
          <w:rFonts w:hint="eastAsia" w:ascii="仿宋" w:hAnsi="仿宋" w:eastAsia="仿宋" w:cs="仿宋"/>
          <w:color w:val="000000" w:themeColor="text1"/>
          <w:sz w:val="22"/>
          <w:szCs w:val="22"/>
          <w:u w:val="single"/>
          <w14:textFill>
            <w14:solidFill>
              <w14:schemeClr w14:val="tx1"/>
            </w14:solidFill>
          </w14:textFill>
        </w:rPr>
        <w:t xml:space="preserve">    </w:t>
      </w:r>
      <w:r>
        <w:rPr>
          <w:rFonts w:hint="eastAsia" w:ascii="仿宋" w:hAnsi="仿宋" w:eastAsia="仿宋" w:cs="仿宋"/>
          <w:color w:val="000000" w:themeColor="text1"/>
          <w:sz w:val="22"/>
          <w:szCs w:val="22"/>
          <w14:textFill>
            <w14:solidFill>
              <w14:schemeClr w14:val="tx1"/>
            </w14:solidFill>
          </w14:textFill>
        </w:rPr>
        <w:t>拾</w:t>
      </w:r>
      <w:r>
        <w:rPr>
          <w:rFonts w:hint="eastAsia" w:ascii="仿宋" w:hAnsi="仿宋" w:eastAsia="仿宋" w:cs="仿宋"/>
          <w:color w:val="000000" w:themeColor="text1"/>
          <w:sz w:val="22"/>
          <w:szCs w:val="22"/>
          <w:u w:val="single"/>
          <w14:textFill>
            <w14:solidFill>
              <w14:schemeClr w14:val="tx1"/>
            </w14:solidFill>
          </w14:textFill>
        </w:rPr>
        <w:t xml:space="preserve">    </w:t>
      </w:r>
      <w:r>
        <w:rPr>
          <w:rFonts w:hint="eastAsia" w:ascii="仿宋" w:hAnsi="仿宋" w:eastAsia="仿宋" w:cs="仿宋"/>
          <w:color w:val="000000" w:themeColor="text1"/>
          <w:sz w:val="22"/>
          <w:szCs w:val="22"/>
          <w14:textFill>
            <w14:solidFill>
              <w14:schemeClr w14:val="tx1"/>
            </w14:solidFill>
          </w14:textFill>
        </w:rPr>
        <w:t>元整，￥</w:t>
      </w:r>
      <w:r>
        <w:rPr>
          <w:rFonts w:hint="eastAsia" w:ascii="仿宋" w:hAnsi="仿宋" w:eastAsia="仿宋" w:cs="仿宋"/>
          <w:color w:val="000000" w:themeColor="text1"/>
          <w:sz w:val="22"/>
          <w:szCs w:val="22"/>
          <w:u w:val="single"/>
          <w14:textFill>
            <w14:solidFill>
              <w14:schemeClr w14:val="tx1"/>
            </w14:solidFill>
          </w14:textFill>
        </w:rPr>
        <w:t xml:space="preserve">：         </w:t>
      </w:r>
      <w:r>
        <w:rPr>
          <w:rFonts w:hint="eastAsia" w:ascii="仿宋" w:hAnsi="仿宋" w:eastAsia="仿宋" w:cs="仿宋"/>
          <w:color w:val="000000" w:themeColor="text1"/>
          <w:sz w:val="22"/>
          <w:szCs w:val="22"/>
          <w14:textFill>
            <w14:solidFill>
              <w14:schemeClr w14:val="tx1"/>
            </w14:solidFill>
          </w14:textFill>
        </w:rPr>
        <w:t>元），在此我方说明如下：</w:t>
      </w:r>
    </w:p>
    <w:p w14:paraId="03F64FBA">
      <w:pPr>
        <w:spacing w:line="480" w:lineRule="exact"/>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1、根据投标要求，我公司向贵单位缴纳了投标保证金现该项目已定标，我公司未中标，因此，请将我司缴纳的投标保证金金额退还至以下账户。</w:t>
      </w:r>
    </w:p>
    <w:p w14:paraId="71D6C6D9">
      <w:pPr>
        <w:spacing w:line="480" w:lineRule="exact"/>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2、如我单位中标，我们将按照规定缴纳招标代理服务费。我方承诺，如我单位未按规定缴纳招标代理服务费，承诺同意贵方可从我单位提交的投标保证金内抵销。</w:t>
      </w:r>
    </w:p>
    <w:p w14:paraId="44885081">
      <w:pPr>
        <w:spacing w:line="480" w:lineRule="exact"/>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3、如果我单位未遵守有关招标文件关于招标保证金的规定，贵方可以抵销我单位投标保证金。</w:t>
      </w:r>
    </w:p>
    <w:tbl>
      <w:tblPr>
        <w:tblStyle w:val="43"/>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8"/>
        <w:gridCol w:w="4064"/>
      </w:tblGrid>
      <w:tr w14:paraId="4490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408" w:type="dxa"/>
            <w:vAlign w:val="center"/>
          </w:tcPr>
          <w:p w14:paraId="568BF1E4">
            <w:pPr>
              <w:tabs>
                <w:tab w:val="left" w:pos="780"/>
              </w:tabs>
              <w:spacing w:line="48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投标人（收款单位）名称</w:t>
            </w:r>
          </w:p>
        </w:tc>
        <w:tc>
          <w:tcPr>
            <w:tcW w:w="4064" w:type="dxa"/>
            <w:vAlign w:val="center"/>
          </w:tcPr>
          <w:p w14:paraId="21EE72C4">
            <w:pPr>
              <w:tabs>
                <w:tab w:val="left" w:pos="780"/>
              </w:tabs>
              <w:spacing w:line="480" w:lineRule="exact"/>
              <w:rPr>
                <w:rFonts w:ascii="仿宋" w:hAnsi="仿宋" w:eastAsia="仿宋" w:cs="仿宋"/>
                <w:color w:val="000000" w:themeColor="text1"/>
                <w:szCs w:val="21"/>
                <w14:textFill>
                  <w14:solidFill>
                    <w14:schemeClr w14:val="tx1"/>
                  </w14:solidFill>
                </w14:textFill>
              </w:rPr>
            </w:pPr>
          </w:p>
        </w:tc>
      </w:tr>
      <w:tr w14:paraId="2278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408" w:type="dxa"/>
            <w:vAlign w:val="center"/>
          </w:tcPr>
          <w:p w14:paraId="1F2B29ED">
            <w:pPr>
              <w:tabs>
                <w:tab w:val="left" w:pos="780"/>
              </w:tabs>
              <w:spacing w:line="48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投标人（收款单位）纳税人识别号</w:t>
            </w:r>
          </w:p>
        </w:tc>
        <w:tc>
          <w:tcPr>
            <w:tcW w:w="4064" w:type="dxa"/>
            <w:vAlign w:val="center"/>
          </w:tcPr>
          <w:p w14:paraId="53DF381A">
            <w:pPr>
              <w:tabs>
                <w:tab w:val="left" w:pos="780"/>
              </w:tabs>
              <w:spacing w:line="480" w:lineRule="exact"/>
              <w:rPr>
                <w:rFonts w:ascii="仿宋" w:hAnsi="仿宋" w:eastAsia="仿宋" w:cs="仿宋"/>
                <w:color w:val="000000" w:themeColor="text1"/>
                <w:szCs w:val="21"/>
                <w14:textFill>
                  <w14:solidFill>
                    <w14:schemeClr w14:val="tx1"/>
                  </w14:solidFill>
                </w14:textFill>
              </w:rPr>
            </w:pPr>
          </w:p>
        </w:tc>
      </w:tr>
      <w:tr w14:paraId="37FF3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408" w:type="dxa"/>
            <w:vAlign w:val="center"/>
          </w:tcPr>
          <w:p w14:paraId="610F49EB">
            <w:pPr>
              <w:tabs>
                <w:tab w:val="left" w:pos="780"/>
              </w:tabs>
              <w:spacing w:line="48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投标人（收款单位）注册地址、电话</w:t>
            </w:r>
          </w:p>
        </w:tc>
        <w:tc>
          <w:tcPr>
            <w:tcW w:w="4064" w:type="dxa"/>
            <w:vAlign w:val="center"/>
          </w:tcPr>
          <w:p w14:paraId="1A43AC5A">
            <w:pPr>
              <w:tabs>
                <w:tab w:val="left" w:pos="780"/>
              </w:tabs>
              <w:spacing w:line="480" w:lineRule="exact"/>
              <w:rPr>
                <w:rFonts w:ascii="仿宋" w:hAnsi="仿宋" w:eastAsia="仿宋" w:cs="仿宋"/>
                <w:color w:val="000000" w:themeColor="text1"/>
                <w:szCs w:val="21"/>
                <w14:textFill>
                  <w14:solidFill>
                    <w14:schemeClr w14:val="tx1"/>
                  </w14:solidFill>
                </w14:textFill>
              </w:rPr>
            </w:pPr>
          </w:p>
        </w:tc>
      </w:tr>
      <w:tr w14:paraId="69A3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408" w:type="dxa"/>
            <w:vAlign w:val="center"/>
          </w:tcPr>
          <w:p w14:paraId="6149329A">
            <w:pPr>
              <w:tabs>
                <w:tab w:val="left" w:pos="780"/>
              </w:tabs>
              <w:spacing w:line="48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开户银行、行号、账号</w:t>
            </w:r>
          </w:p>
        </w:tc>
        <w:tc>
          <w:tcPr>
            <w:tcW w:w="4064" w:type="dxa"/>
            <w:vAlign w:val="center"/>
          </w:tcPr>
          <w:p w14:paraId="31B611BE">
            <w:pPr>
              <w:tabs>
                <w:tab w:val="left" w:pos="780"/>
              </w:tabs>
              <w:spacing w:line="480" w:lineRule="exact"/>
              <w:rPr>
                <w:rFonts w:ascii="仿宋" w:hAnsi="仿宋" w:eastAsia="仿宋" w:cs="仿宋"/>
                <w:color w:val="000000" w:themeColor="text1"/>
                <w:szCs w:val="21"/>
                <w14:textFill>
                  <w14:solidFill>
                    <w14:schemeClr w14:val="tx1"/>
                  </w14:solidFill>
                </w14:textFill>
              </w:rPr>
            </w:pPr>
          </w:p>
        </w:tc>
      </w:tr>
      <w:tr w14:paraId="282D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408" w:type="dxa"/>
            <w:vAlign w:val="center"/>
          </w:tcPr>
          <w:p w14:paraId="636DD3D6">
            <w:pPr>
              <w:tabs>
                <w:tab w:val="left" w:pos="780"/>
              </w:tabs>
              <w:spacing w:line="48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联系人、联系电话（手机）</w:t>
            </w:r>
          </w:p>
        </w:tc>
        <w:tc>
          <w:tcPr>
            <w:tcW w:w="4064" w:type="dxa"/>
            <w:vAlign w:val="center"/>
          </w:tcPr>
          <w:p w14:paraId="4E572375">
            <w:pPr>
              <w:tabs>
                <w:tab w:val="left" w:pos="780"/>
              </w:tabs>
              <w:spacing w:line="480" w:lineRule="exact"/>
              <w:rPr>
                <w:rFonts w:ascii="仿宋" w:hAnsi="仿宋" w:eastAsia="仿宋" w:cs="仿宋"/>
                <w:color w:val="000000" w:themeColor="text1"/>
                <w:szCs w:val="21"/>
                <w14:textFill>
                  <w14:solidFill>
                    <w14:schemeClr w14:val="tx1"/>
                  </w14:solidFill>
                </w14:textFill>
              </w:rPr>
            </w:pPr>
          </w:p>
        </w:tc>
      </w:tr>
      <w:tr w14:paraId="715D7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408" w:type="dxa"/>
            <w:vAlign w:val="center"/>
          </w:tcPr>
          <w:p w14:paraId="0F86A14B">
            <w:pPr>
              <w:tabs>
                <w:tab w:val="left" w:pos="780"/>
              </w:tabs>
              <w:spacing w:line="48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投标人地址（很重要：如中标通知书、发票等直接寄往该地址）</w:t>
            </w:r>
          </w:p>
        </w:tc>
        <w:tc>
          <w:tcPr>
            <w:tcW w:w="4064" w:type="dxa"/>
            <w:vAlign w:val="center"/>
          </w:tcPr>
          <w:p w14:paraId="656B3A73">
            <w:pPr>
              <w:tabs>
                <w:tab w:val="left" w:pos="780"/>
              </w:tabs>
              <w:spacing w:line="480" w:lineRule="exact"/>
              <w:rPr>
                <w:rFonts w:ascii="仿宋" w:hAnsi="仿宋" w:eastAsia="仿宋" w:cs="仿宋"/>
                <w:color w:val="000000" w:themeColor="text1"/>
                <w:szCs w:val="21"/>
                <w14:textFill>
                  <w14:solidFill>
                    <w14:schemeClr w14:val="tx1"/>
                  </w14:solidFill>
                </w14:textFill>
              </w:rPr>
            </w:pPr>
          </w:p>
        </w:tc>
      </w:tr>
    </w:tbl>
    <w:p w14:paraId="58C2D14E">
      <w:pPr>
        <w:spacing w:line="480" w:lineRule="exact"/>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特此承诺！</w:t>
      </w:r>
    </w:p>
    <w:p w14:paraId="0DC33C29">
      <w:pPr>
        <w:tabs>
          <w:tab w:val="left" w:pos="5580"/>
        </w:tabs>
        <w:spacing w:line="480" w:lineRule="exact"/>
        <w:ind w:firstLine="2860" w:firstLineChars="1300"/>
        <w:rPr>
          <w:rFonts w:ascii="仿宋" w:hAnsi="仿宋" w:eastAsia="仿宋" w:cs="仿宋"/>
          <w:color w:val="000000" w:themeColor="text1"/>
          <w:sz w:val="22"/>
          <w:szCs w:val="21"/>
          <w14:textFill>
            <w14:solidFill>
              <w14:schemeClr w14:val="tx1"/>
            </w14:solidFill>
          </w14:textFill>
        </w:rPr>
      </w:pPr>
      <w:r>
        <w:rPr>
          <w:rFonts w:hint="eastAsia" w:ascii="仿宋" w:hAnsi="仿宋" w:eastAsia="仿宋" w:cs="仿宋"/>
          <w:color w:val="000000" w:themeColor="text1"/>
          <w:sz w:val="22"/>
          <w:szCs w:val="21"/>
          <w14:textFill>
            <w14:solidFill>
              <w14:schemeClr w14:val="tx1"/>
            </w14:solidFill>
          </w14:textFill>
        </w:rPr>
        <w:t>投标人（盖章）：</w:t>
      </w:r>
      <w:r>
        <w:rPr>
          <w:rFonts w:hint="eastAsia" w:ascii="仿宋" w:hAnsi="仿宋" w:eastAsia="仿宋" w:cs="仿宋"/>
          <w:color w:val="000000" w:themeColor="text1"/>
          <w:sz w:val="22"/>
          <w:szCs w:val="21"/>
          <w:u w:val="single"/>
          <w14:textFill>
            <w14:solidFill>
              <w14:schemeClr w14:val="tx1"/>
            </w14:solidFill>
          </w14:textFill>
        </w:rPr>
        <w:t xml:space="preserve">                             </w:t>
      </w:r>
      <w:r>
        <w:rPr>
          <w:rFonts w:hint="eastAsia" w:ascii="仿宋" w:hAnsi="仿宋" w:eastAsia="仿宋" w:cs="仿宋"/>
          <w:color w:val="000000" w:themeColor="text1"/>
          <w:sz w:val="22"/>
          <w:szCs w:val="21"/>
          <w14:textFill>
            <w14:solidFill>
              <w14:schemeClr w14:val="tx1"/>
            </w14:solidFill>
          </w14:textFill>
        </w:rPr>
        <w:t xml:space="preserve">                    </w:t>
      </w:r>
    </w:p>
    <w:p w14:paraId="6812B076">
      <w:pPr>
        <w:tabs>
          <w:tab w:val="left" w:pos="5580"/>
        </w:tabs>
        <w:spacing w:line="480" w:lineRule="exact"/>
        <w:ind w:firstLine="2860" w:firstLineChars="1300"/>
        <w:rPr>
          <w:rFonts w:ascii="仿宋" w:hAnsi="仿宋" w:eastAsia="仿宋" w:cs="仿宋"/>
          <w:color w:val="000000" w:themeColor="text1"/>
          <w:kern w:val="0"/>
          <w:sz w:val="22"/>
          <w:szCs w:val="22"/>
          <w:u w:val="single"/>
          <w14:textFill>
            <w14:solidFill>
              <w14:schemeClr w14:val="tx1"/>
            </w14:solidFill>
          </w14:textFill>
        </w:rPr>
      </w:pPr>
      <w:r>
        <w:rPr>
          <w:rFonts w:hint="eastAsia" w:ascii="仿宋" w:hAnsi="仿宋" w:eastAsia="仿宋" w:cs="仿宋"/>
          <w:color w:val="000000" w:themeColor="text1"/>
          <w:sz w:val="22"/>
          <w:szCs w:val="21"/>
          <w14:textFill>
            <w14:solidFill>
              <w14:schemeClr w14:val="tx1"/>
            </w14:solidFill>
          </w14:textFill>
        </w:rPr>
        <w:t>法定代表人或</w:t>
      </w:r>
      <w:r>
        <w:rPr>
          <w:rFonts w:hint="eastAsia" w:ascii="仿宋" w:hAnsi="仿宋" w:eastAsia="仿宋" w:cs="仿宋"/>
          <w:color w:val="000000" w:themeColor="text1"/>
          <w:kern w:val="0"/>
          <w:sz w:val="22"/>
          <w:szCs w:val="22"/>
          <w14:textFill>
            <w14:solidFill>
              <w14:schemeClr w14:val="tx1"/>
            </w14:solidFill>
          </w14:textFill>
        </w:rPr>
        <w:t>委托代理人</w:t>
      </w:r>
      <w:r>
        <w:rPr>
          <w:rFonts w:hint="eastAsia" w:ascii="仿宋" w:hAnsi="仿宋" w:eastAsia="仿宋" w:cs="仿宋"/>
          <w:color w:val="000000" w:themeColor="text1"/>
          <w:sz w:val="22"/>
          <w:szCs w:val="21"/>
          <w14:textFill>
            <w14:solidFill>
              <w14:schemeClr w14:val="tx1"/>
            </w14:solidFill>
          </w14:textFill>
        </w:rPr>
        <w:t>（签字）</w:t>
      </w:r>
      <w:r>
        <w:rPr>
          <w:rFonts w:hint="eastAsia" w:ascii="仿宋" w:hAnsi="仿宋" w:eastAsia="仿宋" w:cs="仿宋"/>
          <w:color w:val="000000" w:themeColor="text1"/>
          <w:kern w:val="0"/>
          <w:sz w:val="22"/>
          <w:szCs w:val="22"/>
          <w14:textFill>
            <w14:solidFill>
              <w14:schemeClr w14:val="tx1"/>
            </w14:solidFill>
          </w14:textFill>
        </w:rPr>
        <w:t>：</w:t>
      </w:r>
      <w:r>
        <w:rPr>
          <w:rFonts w:hint="eastAsia" w:ascii="仿宋" w:hAnsi="仿宋" w:eastAsia="仿宋" w:cs="仿宋"/>
          <w:color w:val="000000" w:themeColor="text1"/>
          <w:kern w:val="0"/>
          <w:sz w:val="22"/>
          <w:szCs w:val="22"/>
          <w:u w:val="single"/>
          <w14:textFill>
            <w14:solidFill>
              <w14:schemeClr w14:val="tx1"/>
            </w14:solidFill>
          </w14:textFill>
        </w:rPr>
        <w:t xml:space="preserve">             </w:t>
      </w:r>
    </w:p>
    <w:p w14:paraId="46E26407">
      <w:pPr>
        <w:spacing w:line="480" w:lineRule="exact"/>
        <w:ind w:firstLine="2860" w:firstLineChars="1300"/>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日期：   年   月   日</w:t>
      </w:r>
    </w:p>
    <w:p w14:paraId="23346C7D">
      <w:pPr>
        <w:tabs>
          <w:tab w:val="left" w:pos="780"/>
        </w:tabs>
        <w:spacing w:line="360" w:lineRule="auto"/>
        <w:rPr>
          <w:rFonts w:ascii="仿宋" w:hAnsi="仿宋" w:eastAsia="仿宋" w:cs="仿宋"/>
          <w:b/>
          <w:bCs/>
          <w:color w:val="000000" w:themeColor="text1"/>
          <w:szCs w:val="21"/>
          <w14:textFill>
            <w14:solidFill>
              <w14:schemeClr w14:val="tx1"/>
            </w14:solidFill>
          </w14:textFill>
        </w:rPr>
      </w:pPr>
    </w:p>
    <w:p w14:paraId="2E71E13E">
      <w:pPr>
        <w:tabs>
          <w:tab w:val="left" w:pos="780"/>
        </w:tabs>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说明：</w:t>
      </w:r>
      <w:r>
        <w:rPr>
          <w:rFonts w:hint="eastAsia" w:ascii="仿宋" w:hAnsi="仿宋" w:eastAsia="仿宋" w:cs="仿宋"/>
          <w:color w:val="000000" w:themeColor="text1"/>
          <w:szCs w:val="21"/>
          <w14:textFill>
            <w14:solidFill>
              <w14:schemeClr w14:val="tx1"/>
            </w14:solidFill>
          </w14:textFill>
        </w:rPr>
        <w:t>1．为保障资金安全，上述账户不能为私人账户。 </w:t>
      </w:r>
    </w:p>
    <w:p w14:paraId="0BA1C5AF">
      <w:pPr>
        <w:tabs>
          <w:tab w:val="left" w:pos="780"/>
        </w:tabs>
        <w:spacing w:line="360" w:lineRule="auto"/>
        <w:ind w:firstLine="630" w:firstLineChars="3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2．如因上述账户信息有误或账户信息变更未及时通知导致投标保证金无法退还或丢失等可能产生的一切后果由投标人自行负责。 </w:t>
      </w:r>
    </w:p>
    <w:p w14:paraId="64B402CE">
      <w:pPr>
        <w:ind w:firstLine="630" w:firstLineChars="3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3．招标方退还该笔投标保证金后，无论是否开具收据，均不再作为招标方已收款依据。</w:t>
      </w:r>
    </w:p>
    <w:p w14:paraId="4FFB2010">
      <w:pPr>
        <w:pStyle w:val="24"/>
        <w:spacing w:line="360" w:lineRule="auto"/>
        <w:ind w:firstLine="442"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开标结束后将此表发送至邮箱</w:t>
      </w:r>
      <w:r>
        <w:rPr>
          <w:rFonts w:hint="eastAsia" w:ascii="仿宋" w:hAnsi="仿宋" w:eastAsia="仿宋" w:cs="仿宋"/>
          <w:b/>
          <w:bCs/>
          <w:color w:val="000000" w:themeColor="text1"/>
          <w:sz w:val="22"/>
          <w:lang w:val="en-US" w:eastAsia="zh-CN"/>
          <w14:textFill>
            <w14:solidFill>
              <w14:schemeClr w14:val="tx1"/>
            </w14:solidFill>
          </w14:textFill>
        </w:rPr>
        <w:t>1986968236</w:t>
      </w:r>
      <w:r>
        <w:rPr>
          <w:rFonts w:hint="eastAsia" w:ascii="仿宋" w:hAnsi="仿宋" w:eastAsia="仿宋" w:cs="仿宋"/>
          <w:b/>
          <w:bCs/>
          <w:color w:val="000000" w:themeColor="text1"/>
          <w:sz w:val="22"/>
          <w14:textFill>
            <w14:solidFill>
              <w14:schemeClr w14:val="tx1"/>
            </w14:solidFill>
          </w14:textFill>
        </w:rPr>
        <w:t>@qq.com。</w:t>
      </w:r>
    </w:p>
    <w:sectPr>
      <w:pgSz w:w="11906" w:h="16838"/>
      <w:pgMar w:top="1304" w:right="1247" w:bottom="1417" w:left="124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BDD7C">
    <w:pPr>
      <w:pStyle w:val="28"/>
      <w:framePr w:wrap="around" w:vAnchor="text" w:hAnchor="margin" w:xAlign="right" w:y="1"/>
      <w:rPr>
        <w:rStyle w:val="46"/>
      </w:rPr>
    </w:pPr>
    <w:r>
      <w:fldChar w:fldCharType="begin"/>
    </w:r>
    <w:r>
      <w:rPr>
        <w:rStyle w:val="46"/>
      </w:rPr>
      <w:instrText xml:space="preserve">PAGE  </w:instrText>
    </w:r>
    <w:r>
      <w:fldChar w:fldCharType="end"/>
    </w:r>
  </w:p>
  <w:p w14:paraId="6C6D6CA1">
    <w:pPr>
      <w:pStyle w:val="2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39AF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DE9CE">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4287850">
                          <w:pPr>
                            <w:pStyle w:val="28"/>
                          </w:pPr>
                          <w:r>
                            <w:fldChar w:fldCharType="begin"/>
                          </w:r>
                          <w:r>
                            <w:instrText xml:space="preserve"> PAGE  \* MERGEFORMAT </w:instrText>
                          </w:r>
                          <w:r>
                            <w:fldChar w:fldCharType="separate"/>
                          </w:r>
                          <w:r>
                            <w:t>24</w:t>
                          </w:r>
                          <w:r>
                            <w:fldChar w:fldCharType="end"/>
                          </w: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DrnIfXEAQAAjwMAAA4AAAAAAAAAAQAgAAAAHwEAAGRycy9lMm9Eb2MueG1s&#10;UEsFBgAAAAAGAAYAWQEAAFUFAAAAAA==&#10;">
              <v:fill on="f" focussize="0,0"/>
              <v:stroke on="f"/>
              <v:imagedata o:title=""/>
              <o:lock v:ext="edit" aspectratio="f"/>
              <v:textbox inset="0mm,0mm,0mm,0mm" style="mso-fit-shape-to-text:t;">
                <w:txbxContent>
                  <w:p w14:paraId="64287850">
                    <w:pPr>
                      <w:pStyle w:val="28"/>
                    </w:pPr>
                    <w:r>
                      <w:fldChar w:fldCharType="begin"/>
                    </w:r>
                    <w:r>
                      <w:instrText xml:space="preserve"> PAGE  \* MERGEFORMAT </w:instrText>
                    </w:r>
                    <w:r>
                      <w:fldChar w:fldCharType="separate"/>
                    </w:r>
                    <w:r>
                      <w:t>24</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1B254">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14:paraId="627A9BD2">
                          <w:pPr>
                            <w:pStyle w:val="28"/>
                          </w:pPr>
                          <w:r>
                            <w:fldChar w:fldCharType="begin"/>
                          </w:r>
                          <w:r>
                            <w:instrText xml:space="preserve"> PAGE  \* MERGEFORMAT </w:instrText>
                          </w:r>
                          <w:r>
                            <w:fldChar w:fldCharType="separate"/>
                          </w:r>
                          <w:r>
                            <w:t>34</w:t>
                          </w:r>
                          <w: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S/0sLQAAAAAwEAAA8AAAAAAAAAAQAgAAAAIgAAAGRycy9kb3ducmV2Lnht&#10;bFBLAQIUABQAAAAIAIdO4kDp5WQByAEAAI0DAAAOAAAAAAAAAAEAIAAAAB8BAABkcnMvZTJvRG9j&#10;LnhtbFBLBQYAAAAABgAGAFkBAABZBQAAAAA=&#10;">
              <v:fill on="f" focussize="0,0"/>
              <v:stroke on="f"/>
              <v:imagedata o:title=""/>
              <o:lock v:ext="edit" aspectratio="f"/>
              <v:textbox inset="0mm,0mm,0mm,0mm" style="mso-fit-shape-to-text:t;">
                <w:txbxContent>
                  <w:p w14:paraId="627A9BD2">
                    <w:pPr>
                      <w:pStyle w:val="28"/>
                    </w:pPr>
                    <w:r>
                      <w:fldChar w:fldCharType="begin"/>
                    </w:r>
                    <w:r>
                      <w:instrText xml:space="preserve"> PAGE  \* MERGEFORMAT </w:instrText>
                    </w:r>
                    <w:r>
                      <w:fldChar w:fldCharType="separate"/>
                    </w:r>
                    <w:r>
                      <w:t>34</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B4304">
    <w:pPr>
      <w:pStyle w:val="29"/>
      <w:pBdr>
        <w:bottom w:val="thickThinSmallGap" w:color="622423" w:sz="24" w:space="1"/>
      </w:pBdr>
      <w:rPr>
        <w:rFonts w:ascii="宋体" w:hAnsi="宋体" w:cs="宋体"/>
        <w:sz w:val="24"/>
        <w:szCs w:val="24"/>
      </w:rPr>
    </w:pPr>
    <w:r>
      <w:rPr>
        <w:rFonts w:hint="eastAsia"/>
        <w:sz w:val="22"/>
        <w:szCs w:val="22"/>
      </w:rPr>
      <w:t>新疆华域建设工程项目管理咨询有限公司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52F3F">
    <w:pPr>
      <w:pStyle w:val="29"/>
      <w:pBdr>
        <w:bottom w:val="thickThinSmallGap" w:color="auto" w:sz="12" w:space="1"/>
      </w:pBdr>
    </w:pPr>
    <w:r>
      <w:rPr>
        <w:rFonts w:hint="eastAsia"/>
        <w:sz w:val="21"/>
        <w:szCs w:val="21"/>
      </w:rPr>
      <w:t>新疆华域建设工程项目管理咨询有限公司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21078">
    <w:pPr>
      <w:pStyle w:val="29"/>
      <w:pBdr>
        <w:bottom w:val="thickThinSmallGap" w:color="622423" w:sz="24" w:space="1"/>
      </w:pBdr>
    </w:pPr>
    <w:r>
      <w:rPr>
        <w:rFonts w:hint="eastAsia"/>
        <w:sz w:val="22"/>
        <w:szCs w:val="22"/>
      </w:rPr>
      <w:t xml:space="preserve">新疆华域建设工程项目管理咨询有限公司  </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75AF5">
    <w:pPr>
      <w:pStyle w:val="29"/>
    </w:pPr>
    <w:r>
      <w:rPr>
        <w:rFonts w:hint="eastAsia"/>
        <w:sz w:val="22"/>
        <w:szCs w:val="22"/>
      </w:rPr>
      <w:t xml:space="preserve">新疆华域建设工程项目管理咨询有限公司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586A8"/>
    <w:multiLevelType w:val="singleLevel"/>
    <w:tmpl w:val="930586A8"/>
    <w:lvl w:ilvl="0" w:tentative="0">
      <w:start w:val="1"/>
      <w:numFmt w:val="decimal"/>
      <w:suff w:val="nothing"/>
      <w:lvlText w:val="%1、"/>
      <w:lvlJc w:val="left"/>
    </w:lvl>
  </w:abstractNum>
  <w:abstractNum w:abstractNumId="1">
    <w:nsid w:val="C053C41C"/>
    <w:multiLevelType w:val="singleLevel"/>
    <w:tmpl w:val="C053C41C"/>
    <w:lvl w:ilvl="0" w:tentative="0">
      <w:start w:val="5"/>
      <w:numFmt w:val="decimal"/>
      <w:suff w:val="space"/>
      <w:lvlText w:val="%1."/>
      <w:lvlJc w:val="left"/>
    </w:lvl>
  </w:abstractNum>
  <w:abstractNum w:abstractNumId="2">
    <w:nsid w:val="C7CF8DA3"/>
    <w:multiLevelType w:val="singleLevel"/>
    <w:tmpl w:val="C7CF8DA3"/>
    <w:lvl w:ilvl="0" w:tentative="0">
      <w:start w:val="4"/>
      <w:numFmt w:val="decimal"/>
      <w:lvlText w:val="%1."/>
      <w:lvlJc w:val="left"/>
      <w:pPr>
        <w:tabs>
          <w:tab w:val="left" w:pos="312"/>
        </w:tabs>
      </w:pPr>
    </w:lvl>
  </w:abstractNum>
  <w:abstractNum w:abstractNumId="3">
    <w:nsid w:val="EC555AA8"/>
    <w:multiLevelType w:val="singleLevel"/>
    <w:tmpl w:val="EC555AA8"/>
    <w:lvl w:ilvl="0" w:tentative="0">
      <w:start w:val="1"/>
      <w:numFmt w:val="decimal"/>
      <w:suff w:val="nothing"/>
      <w:lvlText w:val="%1、"/>
      <w:lvlJc w:val="left"/>
    </w:lvl>
  </w:abstractNum>
  <w:abstractNum w:abstractNumId="4">
    <w:nsid w:val="ED25BFA4"/>
    <w:multiLevelType w:val="singleLevel"/>
    <w:tmpl w:val="ED25BFA4"/>
    <w:lvl w:ilvl="0" w:tentative="0">
      <w:start w:val="1"/>
      <w:numFmt w:val="decimal"/>
      <w:lvlText w:val="%1."/>
      <w:lvlJc w:val="left"/>
      <w:pPr>
        <w:tabs>
          <w:tab w:val="left" w:pos="312"/>
        </w:tabs>
      </w:pPr>
    </w:lvl>
  </w:abstractNum>
  <w:abstractNum w:abstractNumId="5">
    <w:nsid w:val="F73A1FE5"/>
    <w:multiLevelType w:val="singleLevel"/>
    <w:tmpl w:val="F73A1FE5"/>
    <w:lvl w:ilvl="0" w:tentative="0">
      <w:start w:val="1"/>
      <w:numFmt w:val="decimal"/>
      <w:lvlText w:val="%1."/>
      <w:lvlJc w:val="left"/>
      <w:pPr>
        <w:tabs>
          <w:tab w:val="left" w:pos="425"/>
        </w:tabs>
        <w:ind w:left="425" w:hanging="425"/>
      </w:pPr>
      <w:rPr>
        <w:rFonts w:hint="default"/>
      </w:rPr>
    </w:lvl>
  </w:abstractNum>
  <w:abstractNum w:abstractNumId="6">
    <w:nsid w:val="015ECAA4"/>
    <w:multiLevelType w:val="singleLevel"/>
    <w:tmpl w:val="015ECAA4"/>
    <w:lvl w:ilvl="0" w:tentative="0">
      <w:start w:val="1"/>
      <w:numFmt w:val="decimal"/>
      <w:lvlText w:val="%1."/>
      <w:lvlJc w:val="left"/>
      <w:pPr>
        <w:tabs>
          <w:tab w:val="left" w:pos="312"/>
        </w:tabs>
      </w:pPr>
    </w:lvl>
  </w:abstractNum>
  <w:abstractNum w:abstractNumId="7">
    <w:nsid w:val="12CF4F13"/>
    <w:multiLevelType w:val="singleLevel"/>
    <w:tmpl w:val="12CF4F13"/>
    <w:lvl w:ilvl="0" w:tentative="0">
      <w:start w:val="3"/>
      <w:numFmt w:val="chineseCounting"/>
      <w:suff w:val="space"/>
      <w:lvlText w:val="第%1章"/>
      <w:lvlJc w:val="left"/>
      <w:pPr>
        <w:ind w:left="3780"/>
      </w:pPr>
      <w:rPr>
        <w:rFonts w:hint="eastAsia"/>
      </w:rPr>
    </w:lvl>
  </w:abstractNum>
  <w:abstractNum w:abstractNumId="8">
    <w:nsid w:val="246319BB"/>
    <w:multiLevelType w:val="multilevel"/>
    <w:tmpl w:val="246319BB"/>
    <w:lvl w:ilvl="0" w:tentative="0">
      <w:start w:val="1"/>
      <w:numFmt w:val="decimalEnclosedParen"/>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2F49719B"/>
    <w:multiLevelType w:val="singleLevel"/>
    <w:tmpl w:val="2F49719B"/>
    <w:lvl w:ilvl="0" w:tentative="0">
      <w:start w:val="1"/>
      <w:numFmt w:val="decimal"/>
      <w:suff w:val="nothing"/>
      <w:lvlText w:val="%1、"/>
      <w:lvlJc w:val="left"/>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0"/>
  </w:num>
  <w:num w:numId="2">
    <w:abstractNumId w:val="7"/>
  </w:num>
  <w:num w:numId="3">
    <w:abstractNumId w:val="6"/>
  </w:num>
  <w:num w:numId="4">
    <w:abstractNumId w:val="4"/>
  </w:num>
  <w:num w:numId="5">
    <w:abstractNumId w:val="5"/>
  </w:num>
  <w:num w:numId="6">
    <w:abstractNumId w:val="0"/>
  </w:num>
  <w:num w:numId="7">
    <w:abstractNumId w:val="3"/>
  </w:num>
  <w:num w:numId="8">
    <w:abstractNumId w:val="9"/>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yN2E4YWQyMzVkNDA1ZTY1ZDE2M2M3MmVjZTZkMDMifQ=="/>
  </w:docVars>
  <w:rsids>
    <w:rsidRoot w:val="0010740B"/>
    <w:rsid w:val="00005EA8"/>
    <w:rsid w:val="000803B9"/>
    <w:rsid w:val="00092D39"/>
    <w:rsid w:val="0010740B"/>
    <w:rsid w:val="00107556"/>
    <w:rsid w:val="00115D85"/>
    <w:rsid w:val="00177D70"/>
    <w:rsid w:val="001D64C8"/>
    <w:rsid w:val="001E5D32"/>
    <w:rsid w:val="0025065E"/>
    <w:rsid w:val="00252699"/>
    <w:rsid w:val="00261CA5"/>
    <w:rsid w:val="00285158"/>
    <w:rsid w:val="00386A79"/>
    <w:rsid w:val="00394B2D"/>
    <w:rsid w:val="003E201D"/>
    <w:rsid w:val="0044616E"/>
    <w:rsid w:val="004569CB"/>
    <w:rsid w:val="00470FA1"/>
    <w:rsid w:val="00507446"/>
    <w:rsid w:val="005204B6"/>
    <w:rsid w:val="005354DF"/>
    <w:rsid w:val="0058651D"/>
    <w:rsid w:val="00587F3C"/>
    <w:rsid w:val="005A0D51"/>
    <w:rsid w:val="005C06FA"/>
    <w:rsid w:val="0064381A"/>
    <w:rsid w:val="00661F47"/>
    <w:rsid w:val="0067479A"/>
    <w:rsid w:val="006804E2"/>
    <w:rsid w:val="006942A6"/>
    <w:rsid w:val="006E3E06"/>
    <w:rsid w:val="006F34D9"/>
    <w:rsid w:val="0076383A"/>
    <w:rsid w:val="007A4A0E"/>
    <w:rsid w:val="007B665F"/>
    <w:rsid w:val="007C4903"/>
    <w:rsid w:val="0086449A"/>
    <w:rsid w:val="008B1B81"/>
    <w:rsid w:val="008C6C96"/>
    <w:rsid w:val="009210EE"/>
    <w:rsid w:val="009C1207"/>
    <w:rsid w:val="009D073F"/>
    <w:rsid w:val="00A37DE8"/>
    <w:rsid w:val="00A4090B"/>
    <w:rsid w:val="00A67013"/>
    <w:rsid w:val="00A841B5"/>
    <w:rsid w:val="00A92772"/>
    <w:rsid w:val="00AB2218"/>
    <w:rsid w:val="00AC3BCC"/>
    <w:rsid w:val="00B2314D"/>
    <w:rsid w:val="00B413EA"/>
    <w:rsid w:val="00BD3B92"/>
    <w:rsid w:val="00BF3B08"/>
    <w:rsid w:val="00C603FA"/>
    <w:rsid w:val="00CC436B"/>
    <w:rsid w:val="00CF572F"/>
    <w:rsid w:val="00D17727"/>
    <w:rsid w:val="00DC6C56"/>
    <w:rsid w:val="00E04D5D"/>
    <w:rsid w:val="00E259D7"/>
    <w:rsid w:val="00E30544"/>
    <w:rsid w:val="00E93FAB"/>
    <w:rsid w:val="00E96997"/>
    <w:rsid w:val="00EC795C"/>
    <w:rsid w:val="00EE2B4D"/>
    <w:rsid w:val="00F0096B"/>
    <w:rsid w:val="00F22A61"/>
    <w:rsid w:val="00F43C45"/>
    <w:rsid w:val="00F6344F"/>
    <w:rsid w:val="00F64A8A"/>
    <w:rsid w:val="00F64D95"/>
    <w:rsid w:val="00FF718A"/>
    <w:rsid w:val="013C3B35"/>
    <w:rsid w:val="01540852"/>
    <w:rsid w:val="01D15CF2"/>
    <w:rsid w:val="021B2EC3"/>
    <w:rsid w:val="02B90A96"/>
    <w:rsid w:val="02D359A2"/>
    <w:rsid w:val="02DE3156"/>
    <w:rsid w:val="0307187B"/>
    <w:rsid w:val="030B33C5"/>
    <w:rsid w:val="036208CD"/>
    <w:rsid w:val="03782B4D"/>
    <w:rsid w:val="039A141B"/>
    <w:rsid w:val="03C44E26"/>
    <w:rsid w:val="03D573A8"/>
    <w:rsid w:val="03DE126C"/>
    <w:rsid w:val="03EB77BF"/>
    <w:rsid w:val="0481129B"/>
    <w:rsid w:val="04C43110"/>
    <w:rsid w:val="0507235C"/>
    <w:rsid w:val="054F07D9"/>
    <w:rsid w:val="05756C8C"/>
    <w:rsid w:val="05816FE5"/>
    <w:rsid w:val="05931445"/>
    <w:rsid w:val="05B96E85"/>
    <w:rsid w:val="05C43042"/>
    <w:rsid w:val="05ED58B4"/>
    <w:rsid w:val="061463D3"/>
    <w:rsid w:val="06AB256C"/>
    <w:rsid w:val="06E65412"/>
    <w:rsid w:val="07701421"/>
    <w:rsid w:val="0789788C"/>
    <w:rsid w:val="080710DE"/>
    <w:rsid w:val="083243C4"/>
    <w:rsid w:val="083C2724"/>
    <w:rsid w:val="08FD71AF"/>
    <w:rsid w:val="096977A7"/>
    <w:rsid w:val="097E79A1"/>
    <w:rsid w:val="09AA0CC1"/>
    <w:rsid w:val="09E03865"/>
    <w:rsid w:val="09E412E0"/>
    <w:rsid w:val="0A5813A7"/>
    <w:rsid w:val="0A73098A"/>
    <w:rsid w:val="0A7D6E4F"/>
    <w:rsid w:val="0A8418A7"/>
    <w:rsid w:val="0A9B04CF"/>
    <w:rsid w:val="0AA11E2C"/>
    <w:rsid w:val="0AB56828"/>
    <w:rsid w:val="0ACE75C6"/>
    <w:rsid w:val="0AD82E56"/>
    <w:rsid w:val="0AF67B2D"/>
    <w:rsid w:val="0AF80CAA"/>
    <w:rsid w:val="0B1C0A08"/>
    <w:rsid w:val="0B4D7AB8"/>
    <w:rsid w:val="0B674E03"/>
    <w:rsid w:val="0B7271E6"/>
    <w:rsid w:val="0B9C1CA8"/>
    <w:rsid w:val="0BF90AE4"/>
    <w:rsid w:val="0C460F0C"/>
    <w:rsid w:val="0C5E7893"/>
    <w:rsid w:val="0CBE29EE"/>
    <w:rsid w:val="0CC21072"/>
    <w:rsid w:val="0CD12600"/>
    <w:rsid w:val="0CDD0064"/>
    <w:rsid w:val="0D223219"/>
    <w:rsid w:val="0D2E4723"/>
    <w:rsid w:val="0D417786"/>
    <w:rsid w:val="0D99308F"/>
    <w:rsid w:val="0DA27AF9"/>
    <w:rsid w:val="0DB8037C"/>
    <w:rsid w:val="0DB9736A"/>
    <w:rsid w:val="0DBE1BCE"/>
    <w:rsid w:val="0DEB1BBD"/>
    <w:rsid w:val="0E4B23D3"/>
    <w:rsid w:val="0E7F4067"/>
    <w:rsid w:val="0E8304DB"/>
    <w:rsid w:val="0E8D5049"/>
    <w:rsid w:val="0ECD1AB4"/>
    <w:rsid w:val="0F2A375A"/>
    <w:rsid w:val="0F382290"/>
    <w:rsid w:val="0F4939F6"/>
    <w:rsid w:val="0FD03957"/>
    <w:rsid w:val="0FE4089C"/>
    <w:rsid w:val="105E41AB"/>
    <w:rsid w:val="10BF3B2F"/>
    <w:rsid w:val="10D93C93"/>
    <w:rsid w:val="111410BF"/>
    <w:rsid w:val="115C5A72"/>
    <w:rsid w:val="1188256A"/>
    <w:rsid w:val="119322C4"/>
    <w:rsid w:val="11994C65"/>
    <w:rsid w:val="11E83697"/>
    <w:rsid w:val="120522C8"/>
    <w:rsid w:val="12481FCC"/>
    <w:rsid w:val="12870D7E"/>
    <w:rsid w:val="12AD766B"/>
    <w:rsid w:val="12C66037"/>
    <w:rsid w:val="12CF0F42"/>
    <w:rsid w:val="13702494"/>
    <w:rsid w:val="1410707E"/>
    <w:rsid w:val="1413453E"/>
    <w:rsid w:val="146F2E2A"/>
    <w:rsid w:val="14E56911"/>
    <w:rsid w:val="15095B9A"/>
    <w:rsid w:val="15256B20"/>
    <w:rsid w:val="152A02A9"/>
    <w:rsid w:val="15367EF7"/>
    <w:rsid w:val="154A56B9"/>
    <w:rsid w:val="16025E2F"/>
    <w:rsid w:val="16111629"/>
    <w:rsid w:val="1750532C"/>
    <w:rsid w:val="176A10BF"/>
    <w:rsid w:val="17D84C98"/>
    <w:rsid w:val="17DE1656"/>
    <w:rsid w:val="180112F6"/>
    <w:rsid w:val="18345F44"/>
    <w:rsid w:val="18C76615"/>
    <w:rsid w:val="1912647A"/>
    <w:rsid w:val="19237869"/>
    <w:rsid w:val="19510D02"/>
    <w:rsid w:val="19921E03"/>
    <w:rsid w:val="19ED74A4"/>
    <w:rsid w:val="1A365A99"/>
    <w:rsid w:val="1AC92A69"/>
    <w:rsid w:val="1ACA3B0B"/>
    <w:rsid w:val="1B1C713C"/>
    <w:rsid w:val="1B383CEE"/>
    <w:rsid w:val="1B384A4E"/>
    <w:rsid w:val="1C32622F"/>
    <w:rsid w:val="1CD512B7"/>
    <w:rsid w:val="1D10290C"/>
    <w:rsid w:val="1D296C19"/>
    <w:rsid w:val="1DB34F4D"/>
    <w:rsid w:val="1E4A2472"/>
    <w:rsid w:val="1E637F72"/>
    <w:rsid w:val="1EC33ECA"/>
    <w:rsid w:val="1EF46AD2"/>
    <w:rsid w:val="1EF7781D"/>
    <w:rsid w:val="1F566A57"/>
    <w:rsid w:val="1F9D3B08"/>
    <w:rsid w:val="20076632"/>
    <w:rsid w:val="20790B8D"/>
    <w:rsid w:val="20B9542D"/>
    <w:rsid w:val="20DD0C14"/>
    <w:rsid w:val="20E47CDB"/>
    <w:rsid w:val="215C7877"/>
    <w:rsid w:val="224D7E71"/>
    <w:rsid w:val="230464D3"/>
    <w:rsid w:val="2310688A"/>
    <w:rsid w:val="234C14C9"/>
    <w:rsid w:val="23671171"/>
    <w:rsid w:val="2368771E"/>
    <w:rsid w:val="23D12F09"/>
    <w:rsid w:val="23F043B9"/>
    <w:rsid w:val="247456DF"/>
    <w:rsid w:val="247753E3"/>
    <w:rsid w:val="251574A6"/>
    <w:rsid w:val="252F7A64"/>
    <w:rsid w:val="253C7538"/>
    <w:rsid w:val="254B2B27"/>
    <w:rsid w:val="25667607"/>
    <w:rsid w:val="256D4ED6"/>
    <w:rsid w:val="259E1280"/>
    <w:rsid w:val="25A521AF"/>
    <w:rsid w:val="267A2947"/>
    <w:rsid w:val="268D6FA0"/>
    <w:rsid w:val="26F24F01"/>
    <w:rsid w:val="270A7635"/>
    <w:rsid w:val="275211AD"/>
    <w:rsid w:val="2776673B"/>
    <w:rsid w:val="277C485E"/>
    <w:rsid w:val="27924ABA"/>
    <w:rsid w:val="27F76382"/>
    <w:rsid w:val="288914B1"/>
    <w:rsid w:val="28BD4CDE"/>
    <w:rsid w:val="2A1711BC"/>
    <w:rsid w:val="2A331144"/>
    <w:rsid w:val="2AAB61D9"/>
    <w:rsid w:val="2ACB3B4E"/>
    <w:rsid w:val="2B047976"/>
    <w:rsid w:val="2B320DF2"/>
    <w:rsid w:val="2BAA609E"/>
    <w:rsid w:val="2BD96B47"/>
    <w:rsid w:val="2C0D4EBA"/>
    <w:rsid w:val="2C5F4BD1"/>
    <w:rsid w:val="2D0C0414"/>
    <w:rsid w:val="2D346567"/>
    <w:rsid w:val="2D9A2207"/>
    <w:rsid w:val="2E0E30F7"/>
    <w:rsid w:val="2E3D5918"/>
    <w:rsid w:val="2E89697B"/>
    <w:rsid w:val="2EB571A4"/>
    <w:rsid w:val="2EFB79EA"/>
    <w:rsid w:val="2F971466"/>
    <w:rsid w:val="2FD86925"/>
    <w:rsid w:val="2FEC5AD3"/>
    <w:rsid w:val="30F32296"/>
    <w:rsid w:val="31025D2C"/>
    <w:rsid w:val="31605E27"/>
    <w:rsid w:val="31AA0271"/>
    <w:rsid w:val="31C733DB"/>
    <w:rsid w:val="3246740A"/>
    <w:rsid w:val="328A7B87"/>
    <w:rsid w:val="328D5DFF"/>
    <w:rsid w:val="33076A80"/>
    <w:rsid w:val="330D1186"/>
    <w:rsid w:val="33416945"/>
    <w:rsid w:val="33717B73"/>
    <w:rsid w:val="337D170B"/>
    <w:rsid w:val="342310CC"/>
    <w:rsid w:val="34876C83"/>
    <w:rsid w:val="34D01ACF"/>
    <w:rsid w:val="350925D2"/>
    <w:rsid w:val="354B4A67"/>
    <w:rsid w:val="35886536"/>
    <w:rsid w:val="35AA4C8B"/>
    <w:rsid w:val="362F55ED"/>
    <w:rsid w:val="364B1FC1"/>
    <w:rsid w:val="36865185"/>
    <w:rsid w:val="36E65426"/>
    <w:rsid w:val="376C7344"/>
    <w:rsid w:val="38054762"/>
    <w:rsid w:val="382B6E4E"/>
    <w:rsid w:val="385E0D11"/>
    <w:rsid w:val="38680FA1"/>
    <w:rsid w:val="386B0BAC"/>
    <w:rsid w:val="39007C46"/>
    <w:rsid w:val="39164732"/>
    <w:rsid w:val="39AC2C5A"/>
    <w:rsid w:val="3A1F7725"/>
    <w:rsid w:val="3A577D39"/>
    <w:rsid w:val="3A6C5593"/>
    <w:rsid w:val="3A77523F"/>
    <w:rsid w:val="3A977973"/>
    <w:rsid w:val="3AB361F8"/>
    <w:rsid w:val="3ADB3E00"/>
    <w:rsid w:val="3AE8186D"/>
    <w:rsid w:val="3B1E318A"/>
    <w:rsid w:val="3B5E6906"/>
    <w:rsid w:val="3B726878"/>
    <w:rsid w:val="3B986CBB"/>
    <w:rsid w:val="3BAD4288"/>
    <w:rsid w:val="3C2A6AF7"/>
    <w:rsid w:val="3CBC072A"/>
    <w:rsid w:val="3CBE2609"/>
    <w:rsid w:val="3CE0063C"/>
    <w:rsid w:val="3D233F03"/>
    <w:rsid w:val="3D266A02"/>
    <w:rsid w:val="3D740E64"/>
    <w:rsid w:val="3DC54A89"/>
    <w:rsid w:val="3F851ADA"/>
    <w:rsid w:val="3F9E6783"/>
    <w:rsid w:val="3FB4129F"/>
    <w:rsid w:val="3FBA0885"/>
    <w:rsid w:val="3FDC6844"/>
    <w:rsid w:val="3FDC6F95"/>
    <w:rsid w:val="40325677"/>
    <w:rsid w:val="403E1F5F"/>
    <w:rsid w:val="40507764"/>
    <w:rsid w:val="40A370F7"/>
    <w:rsid w:val="40B82A44"/>
    <w:rsid w:val="40CA494F"/>
    <w:rsid w:val="40ED554A"/>
    <w:rsid w:val="411E27A8"/>
    <w:rsid w:val="41837C0C"/>
    <w:rsid w:val="41E22DC7"/>
    <w:rsid w:val="41FA7DE9"/>
    <w:rsid w:val="420A5691"/>
    <w:rsid w:val="42562509"/>
    <w:rsid w:val="43482915"/>
    <w:rsid w:val="43CA6E72"/>
    <w:rsid w:val="44664090"/>
    <w:rsid w:val="446A1002"/>
    <w:rsid w:val="44801419"/>
    <w:rsid w:val="44B40DFC"/>
    <w:rsid w:val="44CD608D"/>
    <w:rsid w:val="44EC2651"/>
    <w:rsid w:val="45086415"/>
    <w:rsid w:val="450F6A31"/>
    <w:rsid w:val="45154265"/>
    <w:rsid w:val="452C1EF9"/>
    <w:rsid w:val="45620E8D"/>
    <w:rsid w:val="46006182"/>
    <w:rsid w:val="46032F36"/>
    <w:rsid w:val="46360220"/>
    <w:rsid w:val="465E7CB8"/>
    <w:rsid w:val="468E063F"/>
    <w:rsid w:val="46DD2912"/>
    <w:rsid w:val="46F1707F"/>
    <w:rsid w:val="478B4A59"/>
    <w:rsid w:val="47A3169B"/>
    <w:rsid w:val="47FD0C82"/>
    <w:rsid w:val="48022AA8"/>
    <w:rsid w:val="483D3A2C"/>
    <w:rsid w:val="48E2765F"/>
    <w:rsid w:val="490F1C91"/>
    <w:rsid w:val="494F7F54"/>
    <w:rsid w:val="49651784"/>
    <w:rsid w:val="496C3FBD"/>
    <w:rsid w:val="49951CE4"/>
    <w:rsid w:val="49E72937"/>
    <w:rsid w:val="4A280DAA"/>
    <w:rsid w:val="4A2C4394"/>
    <w:rsid w:val="4AB573FC"/>
    <w:rsid w:val="4B450FC6"/>
    <w:rsid w:val="4B755CFA"/>
    <w:rsid w:val="4B9F71FC"/>
    <w:rsid w:val="4BDE6AB3"/>
    <w:rsid w:val="4BE17AFB"/>
    <w:rsid w:val="4C10607D"/>
    <w:rsid w:val="4C63431C"/>
    <w:rsid w:val="4D4C5EA3"/>
    <w:rsid w:val="4D706D4F"/>
    <w:rsid w:val="4D92081F"/>
    <w:rsid w:val="4DFA6940"/>
    <w:rsid w:val="4E3901A7"/>
    <w:rsid w:val="4EFD621C"/>
    <w:rsid w:val="4F3C45A3"/>
    <w:rsid w:val="4FA47125"/>
    <w:rsid w:val="50130FBD"/>
    <w:rsid w:val="505210E2"/>
    <w:rsid w:val="50A13449"/>
    <w:rsid w:val="50B372ED"/>
    <w:rsid w:val="50B963F0"/>
    <w:rsid w:val="50D6330E"/>
    <w:rsid w:val="50E5707E"/>
    <w:rsid w:val="510373BF"/>
    <w:rsid w:val="516B68C8"/>
    <w:rsid w:val="517D5E7F"/>
    <w:rsid w:val="51AC1F40"/>
    <w:rsid w:val="51E00991"/>
    <w:rsid w:val="5263221D"/>
    <w:rsid w:val="52C84B1A"/>
    <w:rsid w:val="52E44F21"/>
    <w:rsid w:val="533234C8"/>
    <w:rsid w:val="53796324"/>
    <w:rsid w:val="53850DE6"/>
    <w:rsid w:val="53AB773B"/>
    <w:rsid w:val="53BA4E1E"/>
    <w:rsid w:val="53F45C4E"/>
    <w:rsid w:val="542448C9"/>
    <w:rsid w:val="54320DF1"/>
    <w:rsid w:val="54414F42"/>
    <w:rsid w:val="54673759"/>
    <w:rsid w:val="546E406F"/>
    <w:rsid w:val="54B9335E"/>
    <w:rsid w:val="55BA354E"/>
    <w:rsid w:val="568B6949"/>
    <w:rsid w:val="56EA1678"/>
    <w:rsid w:val="570137BC"/>
    <w:rsid w:val="57547DC2"/>
    <w:rsid w:val="576A5C60"/>
    <w:rsid w:val="576C0DA0"/>
    <w:rsid w:val="58006BC0"/>
    <w:rsid w:val="582F16C2"/>
    <w:rsid w:val="585E0F1A"/>
    <w:rsid w:val="58E40770"/>
    <w:rsid w:val="59032020"/>
    <w:rsid w:val="592025E4"/>
    <w:rsid w:val="5956150A"/>
    <w:rsid w:val="595B430F"/>
    <w:rsid w:val="5987078B"/>
    <w:rsid w:val="5A490FF5"/>
    <w:rsid w:val="5B011469"/>
    <w:rsid w:val="5B6B5022"/>
    <w:rsid w:val="5BE52E11"/>
    <w:rsid w:val="5C2E04A2"/>
    <w:rsid w:val="5C314037"/>
    <w:rsid w:val="5CC44962"/>
    <w:rsid w:val="5CD66535"/>
    <w:rsid w:val="5D2C42B6"/>
    <w:rsid w:val="5D4B7C1F"/>
    <w:rsid w:val="5DA24E17"/>
    <w:rsid w:val="5E0F686A"/>
    <w:rsid w:val="5E206012"/>
    <w:rsid w:val="5E9B0E94"/>
    <w:rsid w:val="5EBE2EB3"/>
    <w:rsid w:val="5EF3687E"/>
    <w:rsid w:val="5F0B0627"/>
    <w:rsid w:val="5F124EDD"/>
    <w:rsid w:val="5F7D3905"/>
    <w:rsid w:val="5FFE30DC"/>
    <w:rsid w:val="61641B17"/>
    <w:rsid w:val="61905AF4"/>
    <w:rsid w:val="619D39D4"/>
    <w:rsid w:val="61C471B3"/>
    <w:rsid w:val="62400EAD"/>
    <w:rsid w:val="62BB2599"/>
    <w:rsid w:val="62BF1011"/>
    <w:rsid w:val="62CF223E"/>
    <w:rsid w:val="62CF47E6"/>
    <w:rsid w:val="62D022B3"/>
    <w:rsid w:val="63336C82"/>
    <w:rsid w:val="6358747B"/>
    <w:rsid w:val="63B12448"/>
    <w:rsid w:val="63E92C7F"/>
    <w:rsid w:val="64196EBE"/>
    <w:rsid w:val="64206061"/>
    <w:rsid w:val="64421632"/>
    <w:rsid w:val="645541C2"/>
    <w:rsid w:val="6460505B"/>
    <w:rsid w:val="647014C5"/>
    <w:rsid w:val="64C35501"/>
    <w:rsid w:val="64CE39A5"/>
    <w:rsid w:val="64ED1AE5"/>
    <w:rsid w:val="65354FFB"/>
    <w:rsid w:val="657C0B87"/>
    <w:rsid w:val="65E067AC"/>
    <w:rsid w:val="65F04C74"/>
    <w:rsid w:val="66155376"/>
    <w:rsid w:val="6640052B"/>
    <w:rsid w:val="6683644C"/>
    <w:rsid w:val="66CB7FB6"/>
    <w:rsid w:val="66F41BC6"/>
    <w:rsid w:val="67224012"/>
    <w:rsid w:val="672952BD"/>
    <w:rsid w:val="682855FA"/>
    <w:rsid w:val="68653602"/>
    <w:rsid w:val="687B3C27"/>
    <w:rsid w:val="687D3777"/>
    <w:rsid w:val="68F506F1"/>
    <w:rsid w:val="690232D2"/>
    <w:rsid w:val="69556629"/>
    <w:rsid w:val="69CC30A8"/>
    <w:rsid w:val="69E60A9C"/>
    <w:rsid w:val="69F15557"/>
    <w:rsid w:val="6A333052"/>
    <w:rsid w:val="6A3E7B36"/>
    <w:rsid w:val="6AB37D1A"/>
    <w:rsid w:val="6AFC73AE"/>
    <w:rsid w:val="6B0547D1"/>
    <w:rsid w:val="6B7F5774"/>
    <w:rsid w:val="6B9A086E"/>
    <w:rsid w:val="6BC1359C"/>
    <w:rsid w:val="6BF846D1"/>
    <w:rsid w:val="6C0B7345"/>
    <w:rsid w:val="6C192F45"/>
    <w:rsid w:val="6D106B0F"/>
    <w:rsid w:val="6D201C56"/>
    <w:rsid w:val="6D753F09"/>
    <w:rsid w:val="6D9608C0"/>
    <w:rsid w:val="6DC537B7"/>
    <w:rsid w:val="6E2B11CE"/>
    <w:rsid w:val="6E4F5D68"/>
    <w:rsid w:val="6E873A48"/>
    <w:rsid w:val="6E916532"/>
    <w:rsid w:val="6EA27DCE"/>
    <w:rsid w:val="6EC26886"/>
    <w:rsid w:val="6EC73DCC"/>
    <w:rsid w:val="6ED04B50"/>
    <w:rsid w:val="6EE13152"/>
    <w:rsid w:val="6F1A502C"/>
    <w:rsid w:val="6F2B6D0F"/>
    <w:rsid w:val="6F851176"/>
    <w:rsid w:val="6FD64AFF"/>
    <w:rsid w:val="701029C9"/>
    <w:rsid w:val="704570F9"/>
    <w:rsid w:val="70687416"/>
    <w:rsid w:val="71186DE7"/>
    <w:rsid w:val="71F45899"/>
    <w:rsid w:val="72031631"/>
    <w:rsid w:val="721372E8"/>
    <w:rsid w:val="72785B7B"/>
    <w:rsid w:val="72B16CEB"/>
    <w:rsid w:val="732D61CF"/>
    <w:rsid w:val="734279EA"/>
    <w:rsid w:val="735E501F"/>
    <w:rsid w:val="73C3376E"/>
    <w:rsid w:val="741B2C62"/>
    <w:rsid w:val="741D6555"/>
    <w:rsid w:val="74204E87"/>
    <w:rsid w:val="747D6965"/>
    <w:rsid w:val="74D2336D"/>
    <w:rsid w:val="74FF3956"/>
    <w:rsid w:val="752848B6"/>
    <w:rsid w:val="757C3BD5"/>
    <w:rsid w:val="75852944"/>
    <w:rsid w:val="75FD347E"/>
    <w:rsid w:val="76436AB4"/>
    <w:rsid w:val="765E2E38"/>
    <w:rsid w:val="76711C37"/>
    <w:rsid w:val="76853DE1"/>
    <w:rsid w:val="76CA7D2C"/>
    <w:rsid w:val="76E65A48"/>
    <w:rsid w:val="77362AB4"/>
    <w:rsid w:val="77A2701F"/>
    <w:rsid w:val="77D200E8"/>
    <w:rsid w:val="77D4404A"/>
    <w:rsid w:val="78747050"/>
    <w:rsid w:val="78833A69"/>
    <w:rsid w:val="78BD0159"/>
    <w:rsid w:val="78EE0B2B"/>
    <w:rsid w:val="78F67C2A"/>
    <w:rsid w:val="794D2E78"/>
    <w:rsid w:val="79DF287E"/>
    <w:rsid w:val="79FD2D9D"/>
    <w:rsid w:val="7A4D46B7"/>
    <w:rsid w:val="7AB07381"/>
    <w:rsid w:val="7B186783"/>
    <w:rsid w:val="7B7E0A21"/>
    <w:rsid w:val="7BAC1ED5"/>
    <w:rsid w:val="7BD019F5"/>
    <w:rsid w:val="7C1761F8"/>
    <w:rsid w:val="7C5373E2"/>
    <w:rsid w:val="7CC876FF"/>
    <w:rsid w:val="7CD10C1B"/>
    <w:rsid w:val="7D7C3545"/>
    <w:rsid w:val="7DAC056D"/>
    <w:rsid w:val="7E146715"/>
    <w:rsid w:val="7E2247DC"/>
    <w:rsid w:val="7E29042D"/>
    <w:rsid w:val="7E80598D"/>
    <w:rsid w:val="7EA247E7"/>
    <w:rsid w:val="7EAE3FE5"/>
    <w:rsid w:val="7F135CCD"/>
    <w:rsid w:val="7F3B6C94"/>
    <w:rsid w:val="7F4F2240"/>
    <w:rsid w:val="7FC91006"/>
    <w:rsid w:val="7FD718AE"/>
    <w:rsid w:val="7FE27DC4"/>
    <w:rsid w:val="7FEF4442"/>
    <w:rsid w:val="7FF37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94"/>
    <w:qFormat/>
    <w:uiPriority w:val="0"/>
    <w:pPr>
      <w:keepNext/>
      <w:tabs>
        <w:tab w:val="left" w:pos="360"/>
      </w:tabs>
      <w:ind w:left="360" w:hanging="360"/>
      <w:outlineLvl w:val="0"/>
    </w:pPr>
    <w:rPr>
      <w:b/>
    </w:rPr>
  </w:style>
  <w:style w:type="paragraph" w:styleId="4">
    <w:name w:val="heading 2"/>
    <w:basedOn w:val="1"/>
    <w:next w:val="1"/>
    <w:link w:val="95"/>
    <w:qFormat/>
    <w:uiPriority w:val="0"/>
    <w:pPr>
      <w:keepNext/>
      <w:keepLines/>
      <w:spacing w:before="260" w:after="260" w:line="416" w:lineRule="auto"/>
      <w:outlineLvl w:val="1"/>
    </w:pPr>
    <w:rPr>
      <w:rFonts w:ascii="Arial" w:hAnsi="Arial" w:eastAsia="黑体"/>
      <w:b/>
      <w:sz w:val="32"/>
    </w:rPr>
  </w:style>
  <w:style w:type="paragraph" w:styleId="5">
    <w:name w:val="heading 3"/>
    <w:basedOn w:val="1"/>
    <w:next w:val="1"/>
    <w:link w:val="96"/>
    <w:qFormat/>
    <w:uiPriority w:val="0"/>
    <w:pPr>
      <w:outlineLvl w:val="2"/>
    </w:pPr>
    <w:rPr>
      <w:bCs/>
      <w:szCs w:val="32"/>
    </w:rPr>
  </w:style>
  <w:style w:type="paragraph" w:styleId="6">
    <w:name w:val="heading 4"/>
    <w:basedOn w:val="1"/>
    <w:next w:val="1"/>
    <w:link w:val="9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98"/>
    <w:qFormat/>
    <w:uiPriority w:val="0"/>
    <w:pPr>
      <w:keepNext/>
      <w:keepLines/>
      <w:tabs>
        <w:tab w:val="left" w:pos="1440"/>
      </w:tabs>
      <w:spacing w:before="280" w:after="290" w:line="372" w:lineRule="auto"/>
      <w:ind w:left="1440" w:hanging="900"/>
      <w:outlineLvl w:val="4"/>
    </w:pPr>
    <w:rPr>
      <w:b/>
      <w:sz w:val="28"/>
    </w:rPr>
  </w:style>
  <w:style w:type="paragraph" w:styleId="8">
    <w:name w:val="heading 6"/>
    <w:basedOn w:val="1"/>
    <w:next w:val="1"/>
    <w:link w:val="99"/>
    <w:qFormat/>
    <w:uiPriority w:val="0"/>
    <w:pPr>
      <w:keepNext/>
      <w:keepLines/>
      <w:tabs>
        <w:tab w:val="left" w:pos="1440"/>
      </w:tabs>
      <w:spacing w:before="240" w:after="64" w:line="317" w:lineRule="auto"/>
      <w:ind w:left="1440" w:hanging="900"/>
      <w:outlineLvl w:val="5"/>
    </w:pPr>
    <w:rPr>
      <w:rFonts w:ascii="Arial" w:hAnsi="Arial" w:eastAsia="黑体"/>
      <w:b/>
      <w:sz w:val="24"/>
    </w:rPr>
  </w:style>
  <w:style w:type="paragraph" w:styleId="9">
    <w:name w:val="heading 7"/>
    <w:basedOn w:val="1"/>
    <w:next w:val="1"/>
    <w:link w:val="100"/>
    <w:qFormat/>
    <w:uiPriority w:val="0"/>
    <w:pPr>
      <w:keepNext/>
      <w:keepLines/>
      <w:tabs>
        <w:tab w:val="left" w:pos="1440"/>
      </w:tabs>
      <w:spacing w:before="240" w:after="64" w:line="317" w:lineRule="auto"/>
      <w:ind w:left="1440" w:hanging="900"/>
      <w:outlineLvl w:val="6"/>
    </w:pPr>
    <w:rPr>
      <w:b/>
      <w:sz w:val="24"/>
    </w:rPr>
  </w:style>
  <w:style w:type="paragraph" w:styleId="10">
    <w:name w:val="heading 8"/>
    <w:basedOn w:val="1"/>
    <w:next w:val="1"/>
    <w:link w:val="101"/>
    <w:qFormat/>
    <w:uiPriority w:val="0"/>
    <w:pPr>
      <w:keepNext/>
      <w:keepLines/>
      <w:tabs>
        <w:tab w:val="left" w:pos="1440"/>
      </w:tabs>
      <w:spacing w:before="240" w:after="64" w:line="317" w:lineRule="auto"/>
      <w:ind w:left="1440" w:hanging="900"/>
      <w:outlineLvl w:val="7"/>
    </w:pPr>
    <w:rPr>
      <w:rFonts w:ascii="Arial" w:hAnsi="Arial" w:eastAsia="黑体"/>
      <w:sz w:val="24"/>
    </w:rPr>
  </w:style>
  <w:style w:type="paragraph" w:styleId="11">
    <w:name w:val="heading 9"/>
    <w:basedOn w:val="1"/>
    <w:next w:val="1"/>
    <w:link w:val="102"/>
    <w:qFormat/>
    <w:uiPriority w:val="0"/>
    <w:pPr>
      <w:keepNext/>
      <w:keepLines/>
      <w:tabs>
        <w:tab w:val="left" w:pos="1440"/>
      </w:tabs>
      <w:spacing w:before="240" w:after="64" w:line="317" w:lineRule="auto"/>
      <w:ind w:left="1440" w:hanging="900"/>
      <w:outlineLvl w:val="8"/>
    </w:pPr>
    <w:rPr>
      <w:rFonts w:ascii="Arial" w:hAnsi="Arial" w:eastAsia="黑体"/>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5"/>
    <w:qFormat/>
    <w:uiPriority w:val="0"/>
    <w:rPr>
      <w:rFonts w:ascii="Arial" w:hAnsi="Arial" w:cs="Arial"/>
      <w:sz w:val="24"/>
      <w:szCs w:val="22"/>
    </w:rPr>
  </w:style>
  <w:style w:type="paragraph" w:styleId="12">
    <w:name w:val="table of authorities"/>
    <w:basedOn w:val="1"/>
    <w:next w:val="1"/>
    <w:unhideWhenUsed/>
    <w:qFormat/>
    <w:uiPriority w:val="99"/>
    <w:pPr>
      <w:ind w:left="420" w:leftChars="200"/>
    </w:pPr>
  </w:style>
  <w:style w:type="paragraph" w:styleId="13">
    <w:name w:val="Normal Indent"/>
    <w:basedOn w:val="1"/>
    <w:next w:val="1"/>
    <w:link w:val="125"/>
    <w:qFormat/>
    <w:uiPriority w:val="99"/>
    <w:pPr>
      <w:ind w:firstLine="420" w:firstLineChars="200"/>
    </w:pPr>
    <w:rPr>
      <w:rFonts w:ascii="Calibri" w:hAnsi="Calibri" w:cs="黑体"/>
      <w:szCs w:val="24"/>
    </w:rPr>
  </w:style>
  <w:style w:type="paragraph" w:styleId="14">
    <w:name w:val="caption"/>
    <w:basedOn w:val="1"/>
    <w:next w:val="1"/>
    <w:qFormat/>
    <w:uiPriority w:val="0"/>
    <w:rPr>
      <w:rFonts w:ascii="Arial" w:hAnsi="Arial" w:eastAsia="黑体" w:cs="Arial"/>
      <w:sz w:val="20"/>
    </w:rPr>
  </w:style>
  <w:style w:type="paragraph" w:styleId="15">
    <w:name w:val="Document Map"/>
    <w:basedOn w:val="1"/>
    <w:link w:val="134"/>
    <w:qFormat/>
    <w:uiPriority w:val="0"/>
    <w:pPr>
      <w:shd w:val="clear" w:color="auto" w:fill="000080"/>
    </w:pPr>
    <w:rPr>
      <w:rFonts w:ascii="Calibri" w:hAnsi="Calibri" w:cs="黑体"/>
      <w:szCs w:val="22"/>
    </w:rPr>
  </w:style>
  <w:style w:type="paragraph" w:styleId="16">
    <w:name w:val="toa heading"/>
    <w:basedOn w:val="1"/>
    <w:next w:val="1"/>
    <w:qFormat/>
    <w:uiPriority w:val="0"/>
    <w:pPr>
      <w:spacing w:before="120"/>
    </w:pPr>
    <w:rPr>
      <w:rFonts w:ascii="Arial" w:hAnsi="Arial"/>
      <w:sz w:val="24"/>
      <w:szCs w:val="21"/>
    </w:rPr>
  </w:style>
  <w:style w:type="paragraph" w:styleId="17">
    <w:name w:val="annotation text"/>
    <w:basedOn w:val="1"/>
    <w:link w:val="139"/>
    <w:unhideWhenUsed/>
    <w:qFormat/>
    <w:uiPriority w:val="99"/>
    <w:pPr>
      <w:jc w:val="left"/>
    </w:pPr>
  </w:style>
  <w:style w:type="paragraph" w:styleId="18">
    <w:name w:val="index 6"/>
    <w:basedOn w:val="1"/>
    <w:next w:val="1"/>
    <w:qFormat/>
    <w:uiPriority w:val="99"/>
    <w:pPr>
      <w:ind w:left="2100"/>
    </w:pPr>
  </w:style>
  <w:style w:type="paragraph" w:styleId="19">
    <w:name w:val="Salutation"/>
    <w:basedOn w:val="1"/>
    <w:next w:val="1"/>
    <w:link w:val="104"/>
    <w:qFormat/>
    <w:uiPriority w:val="0"/>
    <w:rPr>
      <w:rFonts w:ascii="宋体"/>
      <w:b/>
      <w:sz w:val="28"/>
    </w:rPr>
  </w:style>
  <w:style w:type="paragraph" w:styleId="20">
    <w:name w:val="Body Text Indent"/>
    <w:basedOn w:val="1"/>
    <w:next w:val="21"/>
    <w:link w:val="106"/>
    <w:qFormat/>
    <w:uiPriority w:val="0"/>
    <w:pPr>
      <w:ind w:firstLine="480"/>
    </w:pPr>
    <w:rPr>
      <w:rFonts w:ascii="宋体" w:hAnsi="宋体"/>
      <w:sz w:val="24"/>
    </w:rPr>
  </w:style>
  <w:style w:type="paragraph" w:styleId="21">
    <w:name w:val="envelope return"/>
    <w:basedOn w:val="1"/>
    <w:qFormat/>
    <w:uiPriority w:val="0"/>
    <w:pPr>
      <w:topLinePunct/>
      <w:snapToGrid w:val="0"/>
    </w:pPr>
    <w:rPr>
      <w:rFonts w:ascii="Arial" w:hAnsi="Arial" w:cs="Arial"/>
    </w:rPr>
  </w:style>
  <w:style w:type="paragraph" w:styleId="22">
    <w:name w:val="Block Text"/>
    <w:basedOn w:val="2"/>
    <w:qFormat/>
    <w:uiPriority w:val="99"/>
    <w:pPr>
      <w:ind w:left="1171" w:right="91" w:hanging="1080"/>
    </w:pPr>
    <w:rPr>
      <w:rFonts w:eastAsia="楷体_GB2312"/>
    </w:rPr>
  </w:style>
  <w:style w:type="paragraph" w:styleId="23">
    <w:name w:val="toc 3"/>
    <w:basedOn w:val="1"/>
    <w:next w:val="1"/>
    <w:qFormat/>
    <w:uiPriority w:val="39"/>
    <w:pPr>
      <w:ind w:left="840" w:leftChars="400"/>
    </w:pPr>
  </w:style>
  <w:style w:type="paragraph" w:styleId="24">
    <w:name w:val="Plain Text"/>
    <w:basedOn w:val="1"/>
    <w:next w:val="1"/>
    <w:link w:val="136"/>
    <w:qFormat/>
    <w:uiPriority w:val="0"/>
    <w:rPr>
      <w:rFonts w:ascii="宋体" w:hAnsi="Courier New" w:cs="黑体"/>
      <w:szCs w:val="22"/>
    </w:rPr>
  </w:style>
  <w:style w:type="paragraph" w:styleId="25">
    <w:name w:val="Date"/>
    <w:basedOn w:val="1"/>
    <w:next w:val="1"/>
    <w:link w:val="108"/>
    <w:qFormat/>
    <w:uiPriority w:val="0"/>
    <w:pPr>
      <w:ind w:left="100"/>
    </w:pPr>
    <w:rPr>
      <w:sz w:val="24"/>
    </w:rPr>
  </w:style>
  <w:style w:type="paragraph" w:styleId="26">
    <w:name w:val="Body Text Indent 2"/>
    <w:basedOn w:val="1"/>
    <w:link w:val="133"/>
    <w:qFormat/>
    <w:uiPriority w:val="0"/>
    <w:pPr>
      <w:ind w:firstLine="435"/>
    </w:pPr>
    <w:rPr>
      <w:rFonts w:ascii="宋体" w:hAnsi="宋体" w:cs="黑体"/>
      <w:sz w:val="24"/>
      <w:szCs w:val="22"/>
    </w:rPr>
  </w:style>
  <w:style w:type="paragraph" w:styleId="27">
    <w:name w:val="Balloon Text"/>
    <w:basedOn w:val="1"/>
    <w:link w:val="110"/>
    <w:semiHidden/>
    <w:qFormat/>
    <w:uiPriority w:val="0"/>
    <w:rPr>
      <w:sz w:val="18"/>
      <w:szCs w:val="18"/>
    </w:rPr>
  </w:style>
  <w:style w:type="paragraph" w:styleId="28">
    <w:name w:val="footer"/>
    <w:basedOn w:val="1"/>
    <w:link w:val="111"/>
    <w:unhideWhenUsed/>
    <w:qFormat/>
    <w:uiPriority w:val="99"/>
    <w:pPr>
      <w:tabs>
        <w:tab w:val="center" w:pos="4153"/>
        <w:tab w:val="right" w:pos="8306"/>
      </w:tabs>
      <w:snapToGrid w:val="0"/>
      <w:jc w:val="left"/>
    </w:pPr>
    <w:rPr>
      <w:sz w:val="18"/>
      <w:szCs w:val="18"/>
    </w:rPr>
  </w:style>
  <w:style w:type="paragraph" w:styleId="29">
    <w:name w:val="header"/>
    <w:basedOn w:val="1"/>
    <w:link w:val="112"/>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style>
  <w:style w:type="paragraph" w:styleId="31">
    <w:name w:val="List"/>
    <w:basedOn w:val="1"/>
    <w:unhideWhenUsed/>
    <w:qFormat/>
    <w:uiPriority w:val="0"/>
    <w:pPr>
      <w:ind w:left="200" w:hanging="200" w:hangingChars="200"/>
      <w:contextualSpacing/>
    </w:pPr>
    <w:rPr>
      <w:sz w:val="20"/>
    </w:rPr>
  </w:style>
  <w:style w:type="paragraph" w:styleId="32">
    <w:name w:val="footnote text"/>
    <w:basedOn w:val="1"/>
    <w:unhideWhenUsed/>
    <w:qFormat/>
    <w:uiPriority w:val="99"/>
    <w:pPr>
      <w:snapToGrid w:val="0"/>
      <w:jc w:val="left"/>
    </w:pPr>
    <w:rPr>
      <w:sz w:val="18"/>
      <w:szCs w:val="18"/>
    </w:rPr>
  </w:style>
  <w:style w:type="paragraph" w:styleId="33">
    <w:name w:val="Body Text Indent 3"/>
    <w:basedOn w:val="1"/>
    <w:link w:val="113"/>
    <w:qFormat/>
    <w:uiPriority w:val="0"/>
    <w:pPr>
      <w:ind w:left="471" w:hanging="471" w:hangingChars="200"/>
    </w:pPr>
    <w:rPr>
      <w:rFonts w:ascii="Arial" w:hAnsi="Arial" w:cs="Arial"/>
      <w:b/>
      <w:bCs/>
      <w:sz w:val="24"/>
    </w:rPr>
  </w:style>
  <w:style w:type="paragraph" w:styleId="34">
    <w:name w:val="toc 2"/>
    <w:basedOn w:val="1"/>
    <w:next w:val="1"/>
    <w:qFormat/>
    <w:uiPriority w:val="39"/>
    <w:pPr>
      <w:ind w:left="420" w:leftChars="200"/>
    </w:pPr>
  </w:style>
  <w:style w:type="paragraph" w:styleId="35">
    <w:name w:val="Body Text 2"/>
    <w:basedOn w:val="1"/>
    <w:link w:val="114"/>
    <w:qFormat/>
    <w:uiPriority w:val="0"/>
    <w:pPr>
      <w:spacing w:line="360" w:lineRule="auto"/>
    </w:pPr>
    <w:rPr>
      <w:b/>
      <w:sz w:val="28"/>
      <w:szCs w:val="21"/>
    </w:rPr>
  </w:style>
  <w:style w:type="paragraph" w:styleId="36">
    <w:name w:val="HTML Preformatted"/>
    <w:basedOn w:val="1"/>
    <w:qFormat/>
    <w:uiPriority w:val="0"/>
    <w:rPr>
      <w:rFonts w:ascii="Courier New" w:hAnsi="Courier New"/>
      <w:sz w:val="20"/>
    </w:rPr>
  </w:style>
  <w:style w:type="paragraph" w:styleId="37">
    <w:name w:val="Normal (Web)"/>
    <w:basedOn w:val="1"/>
    <w:link w:val="138"/>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8">
    <w:name w:val="Title"/>
    <w:basedOn w:val="1"/>
    <w:next w:val="1"/>
    <w:qFormat/>
    <w:uiPriority w:val="0"/>
    <w:pPr>
      <w:spacing w:after="75" w:afterLines="75" w:line="500" w:lineRule="auto"/>
      <w:jc w:val="center"/>
      <w:outlineLvl w:val="0"/>
    </w:pPr>
    <w:rPr>
      <w:rFonts w:eastAsia="方正小标宋简体" w:asciiTheme="majorHAnsi" w:hAnsiTheme="majorHAnsi" w:cstheme="majorBidi"/>
      <w:bCs/>
      <w:szCs w:val="32"/>
    </w:rPr>
  </w:style>
  <w:style w:type="paragraph" w:styleId="39">
    <w:name w:val="annotation subject"/>
    <w:basedOn w:val="17"/>
    <w:next w:val="17"/>
    <w:link w:val="140"/>
    <w:unhideWhenUsed/>
    <w:qFormat/>
    <w:uiPriority w:val="99"/>
    <w:rPr>
      <w:b/>
      <w:bCs/>
    </w:rPr>
  </w:style>
  <w:style w:type="paragraph" w:styleId="40">
    <w:name w:val="Body Text First Indent"/>
    <w:basedOn w:val="2"/>
    <w:next w:val="1"/>
    <w:link w:val="137"/>
    <w:qFormat/>
    <w:uiPriority w:val="0"/>
    <w:pPr>
      <w:spacing w:after="120"/>
      <w:ind w:firstLine="420" w:firstLineChars="100"/>
    </w:pPr>
  </w:style>
  <w:style w:type="paragraph" w:styleId="41">
    <w:name w:val="Body Text First Indent 2"/>
    <w:basedOn w:val="20"/>
    <w:next w:val="1"/>
    <w:unhideWhenUsed/>
    <w:qFormat/>
    <w:uiPriority w:val="99"/>
    <w:pPr>
      <w:ind w:firstLine="420"/>
    </w:pPr>
    <w:rPr>
      <w:rFonts w:ascii="Arial" w:hAnsi="Arial" w:eastAsia="仿宋_GB2312"/>
      <w:sz w:val="28"/>
    </w:rPr>
  </w:style>
  <w:style w:type="table" w:styleId="43">
    <w:name w:val="Table Grid"/>
    <w:basedOn w:val="42"/>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5">
    <w:name w:val="Strong"/>
    <w:basedOn w:val="44"/>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Emphasis"/>
    <w:qFormat/>
    <w:uiPriority w:val="0"/>
    <w:rPr>
      <w:color w:val="CC0033"/>
    </w:rPr>
  </w:style>
  <w:style w:type="character" w:styleId="49">
    <w:name w:val="Hyperlink"/>
    <w:basedOn w:val="44"/>
    <w:qFormat/>
    <w:uiPriority w:val="99"/>
    <w:rPr>
      <w:color w:val="0000FF"/>
      <w:u w:val="single"/>
    </w:rPr>
  </w:style>
  <w:style w:type="character" w:styleId="50">
    <w:name w:val="annotation reference"/>
    <w:basedOn w:val="44"/>
    <w:unhideWhenUsed/>
    <w:qFormat/>
    <w:uiPriority w:val="99"/>
    <w:rPr>
      <w:sz w:val="21"/>
      <w:szCs w:val="21"/>
    </w:rPr>
  </w:style>
  <w:style w:type="paragraph" w:styleId="51">
    <w:name w:val="Quote"/>
    <w:basedOn w:val="1"/>
    <w:next w:val="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paragraph" w:customStyle="1" w:styleId="52">
    <w:name w:val="_Style 1"/>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53">
    <w:name w:val="文档正文"/>
    <w:basedOn w:val="13"/>
    <w:qFormat/>
    <w:uiPriority w:val="0"/>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paragraph" w:customStyle="1" w:styleId="54">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55">
    <w:name w:val="标题 5（有编号）（绿盟科技）"/>
    <w:basedOn w:val="1"/>
    <w:next w:val="56"/>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5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57">
    <w:name w:val="所标正文"/>
    <w:basedOn w:val="1"/>
    <w:link w:val="118"/>
    <w:qFormat/>
    <w:uiPriority w:val="0"/>
    <w:pPr>
      <w:spacing w:line="360" w:lineRule="auto"/>
      <w:ind w:firstLine="200" w:firstLineChars="200"/>
    </w:pPr>
    <w:rPr>
      <w:rFonts w:ascii="仿宋_GB2312" w:hAnsi="Calibri" w:eastAsia="仿宋_GB2312" w:cs="黑体"/>
      <w:sz w:val="30"/>
      <w:szCs w:val="28"/>
    </w:rPr>
  </w:style>
  <w:style w:type="paragraph" w:customStyle="1" w:styleId="58">
    <w:name w:val="正文文字"/>
    <w:basedOn w:val="1"/>
    <w:link w:val="119"/>
    <w:qFormat/>
    <w:uiPriority w:val="0"/>
    <w:pPr>
      <w:widowControl/>
      <w:spacing w:line="2375" w:lineRule="atLeast"/>
      <w:ind w:firstLine="419"/>
      <w:textAlignment w:val="baseline"/>
    </w:pPr>
    <w:rPr>
      <w:rFonts w:ascii="宋体" w:hAnsi="Calibri" w:cs="黑体"/>
      <w:color w:val="000000"/>
      <w:sz w:val="28"/>
      <w:szCs w:val="22"/>
      <w:u w:color="000000"/>
    </w:rPr>
  </w:style>
  <w:style w:type="paragraph" w:customStyle="1" w:styleId="59">
    <w:name w:val="样式 正文缩进 + 首行缩进:  2 字符"/>
    <w:basedOn w:val="13"/>
    <w:link w:val="126"/>
    <w:qFormat/>
    <w:uiPriority w:val="0"/>
    <w:pPr>
      <w:spacing w:line="360" w:lineRule="auto"/>
      <w:ind w:firstLine="200"/>
    </w:pPr>
    <w:rPr>
      <w:sz w:val="24"/>
      <w:szCs w:val="22"/>
    </w:rPr>
  </w:style>
  <w:style w:type="paragraph" w:customStyle="1" w:styleId="60">
    <w:name w:val="标准段落正文"/>
    <w:basedOn w:val="1"/>
    <w:link w:val="127"/>
    <w:qFormat/>
    <w:uiPriority w:val="0"/>
    <w:pPr>
      <w:spacing w:line="360" w:lineRule="auto"/>
      <w:ind w:firstLine="482"/>
    </w:pPr>
    <w:rPr>
      <w:rFonts w:ascii="Calibri" w:hAnsi="Calibri" w:cs="宋体"/>
      <w:sz w:val="24"/>
      <w:szCs w:val="22"/>
    </w:rPr>
  </w:style>
  <w:style w:type="paragraph" w:customStyle="1" w:styleId="61">
    <w:name w:val="列出段落1"/>
    <w:basedOn w:val="1"/>
    <w:qFormat/>
    <w:uiPriority w:val="34"/>
    <w:pPr>
      <w:ind w:firstLine="420" w:firstLineChars="200"/>
    </w:pPr>
    <w:rPr>
      <w:rFonts w:ascii="Calibri" w:hAnsi="Calibri"/>
      <w:szCs w:val="22"/>
    </w:rPr>
  </w:style>
  <w:style w:type="paragraph" w:customStyle="1" w:styleId="62">
    <w:name w:val="标题 31"/>
    <w:basedOn w:val="1"/>
    <w:next w:val="1"/>
    <w:qFormat/>
    <w:uiPriority w:val="0"/>
    <w:pPr>
      <w:adjustRightInd w:val="0"/>
      <w:snapToGrid w:val="0"/>
      <w:spacing w:line="360" w:lineRule="auto"/>
      <w:outlineLvl w:val="2"/>
    </w:pPr>
    <w:rPr>
      <w:rFonts w:hAnsi="宋体"/>
      <w:b/>
      <w:bCs/>
      <w:sz w:val="24"/>
      <w:szCs w:val="21"/>
    </w:rPr>
  </w:style>
  <w:style w:type="paragraph" w:customStyle="1" w:styleId="63">
    <w:name w:val="Char"/>
    <w:basedOn w:val="1"/>
    <w:semiHidden/>
    <w:qFormat/>
    <w:uiPriority w:val="0"/>
    <w:rPr>
      <w:rFonts w:ascii="Tahoma" w:hAnsi="Tahoma" w:cs="仿宋_GB2312"/>
      <w:sz w:val="24"/>
      <w:szCs w:val="28"/>
    </w:rPr>
  </w:style>
  <w:style w:type="paragraph" w:customStyle="1" w:styleId="64">
    <w:name w:val="正文缩进1"/>
    <w:basedOn w:val="1"/>
    <w:qFormat/>
    <w:uiPriority w:val="0"/>
    <w:pPr>
      <w:ind w:firstLine="420" w:firstLineChars="200"/>
    </w:pPr>
    <w:rPr>
      <w:rFonts w:ascii="Calibri" w:hAnsi="Calibri"/>
    </w:rPr>
  </w:style>
  <w:style w:type="paragraph" w:customStyle="1" w:styleId="65">
    <w:name w:val="条目3"/>
    <w:basedOn w:val="24"/>
    <w:qFormat/>
    <w:uiPriority w:val="0"/>
  </w:style>
  <w:style w:type="paragraph" w:customStyle="1" w:styleId="66">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7">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8">
    <w:name w:val="列出段落11"/>
    <w:basedOn w:val="1"/>
    <w:qFormat/>
    <w:uiPriority w:val="0"/>
    <w:pPr>
      <w:ind w:firstLine="420" w:firstLineChars="200"/>
    </w:pPr>
  </w:style>
  <w:style w:type="paragraph" w:customStyle="1" w:styleId="69">
    <w:name w:val="Char1"/>
    <w:basedOn w:val="1"/>
    <w:qFormat/>
    <w:uiPriority w:val="0"/>
    <w:pPr>
      <w:widowControl/>
      <w:spacing w:after="160" w:line="240" w:lineRule="exact"/>
      <w:jc w:val="left"/>
    </w:pPr>
    <w:rPr>
      <w:rFonts w:ascii="Verdana" w:hAnsi="Verdana"/>
      <w:kern w:val="0"/>
      <w:sz w:val="20"/>
      <w:lang w:eastAsia="en-US"/>
    </w:rPr>
  </w:style>
  <w:style w:type="paragraph" w:customStyle="1" w:styleId="70">
    <w:name w:val="首页大标题"/>
    <w:basedOn w:val="57"/>
    <w:qFormat/>
    <w:uiPriority w:val="0"/>
    <w:pPr>
      <w:ind w:firstLine="0" w:firstLineChars="0"/>
      <w:jc w:val="center"/>
    </w:pPr>
    <w:rPr>
      <w:rFonts w:ascii="黑体" w:eastAsia="黑体"/>
      <w:b/>
      <w:sz w:val="52"/>
    </w:rPr>
  </w:style>
  <w:style w:type="paragraph" w:customStyle="1" w:styleId="71">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2">
    <w:name w:val="p0"/>
    <w:basedOn w:val="1"/>
    <w:qFormat/>
    <w:uiPriority w:val="0"/>
    <w:pPr>
      <w:widowControl/>
    </w:pPr>
    <w:rPr>
      <w:kern w:val="0"/>
      <w:szCs w:val="21"/>
    </w:rPr>
  </w:style>
  <w:style w:type="paragraph" w:customStyle="1" w:styleId="73">
    <w:name w:val="条目2"/>
    <w:basedOn w:val="24"/>
    <w:qFormat/>
    <w:uiPriority w:val="0"/>
    <w:pPr>
      <w:tabs>
        <w:tab w:val="left" w:pos="420"/>
      </w:tabs>
      <w:spacing w:line="360" w:lineRule="auto"/>
      <w:ind w:left="420" w:hanging="420"/>
    </w:pPr>
    <w:rPr>
      <w:color w:val="000000"/>
      <w:sz w:val="30"/>
    </w:rPr>
  </w:style>
  <w:style w:type="paragraph" w:customStyle="1" w:styleId="74">
    <w:name w:val="1 Char Char Char Char"/>
    <w:basedOn w:val="1"/>
    <w:qFormat/>
    <w:uiPriority w:val="0"/>
    <w:rPr>
      <w:rFonts w:ascii="Tahoma" w:hAnsi="Tahoma"/>
      <w:sz w:val="24"/>
    </w:rPr>
  </w:style>
  <w:style w:type="paragraph" w:customStyle="1" w:styleId="75">
    <w:name w:val="列表段落1"/>
    <w:basedOn w:val="1"/>
    <w:qFormat/>
    <w:uiPriority w:val="34"/>
    <w:pPr>
      <w:ind w:firstLine="420" w:firstLineChars="200"/>
    </w:pPr>
    <w:rPr>
      <w:rFonts w:ascii="Calibri" w:hAnsi="Calibri" w:cs="黑体"/>
      <w:szCs w:val="22"/>
    </w:rPr>
  </w:style>
  <w:style w:type="paragraph" w:customStyle="1" w:styleId="76">
    <w:name w:val="宋体小四"/>
    <w:basedOn w:val="1"/>
    <w:qFormat/>
    <w:uiPriority w:val="0"/>
    <w:pPr>
      <w:spacing w:line="360" w:lineRule="auto"/>
      <w:ind w:firstLine="480" w:firstLineChars="200"/>
    </w:pPr>
    <w:rPr>
      <w:rFonts w:ascii="Arial" w:hAnsi="Arial"/>
      <w:sz w:val="24"/>
    </w:rPr>
  </w:style>
  <w:style w:type="paragraph" w:customStyle="1" w:styleId="77">
    <w:name w:val="列出段落2"/>
    <w:basedOn w:val="1"/>
    <w:qFormat/>
    <w:uiPriority w:val="34"/>
    <w:pPr>
      <w:ind w:firstLine="420" w:firstLineChars="200"/>
    </w:pPr>
    <w:rPr>
      <w:rFonts w:ascii="Calibri" w:hAnsi="Calibri" w:cs="黑体"/>
      <w:szCs w:val="24"/>
    </w:rPr>
  </w:style>
  <w:style w:type="paragraph" w:customStyle="1" w:styleId="78">
    <w:name w:val="验收文档-首页保密文字"/>
    <w:basedOn w:val="1"/>
    <w:qFormat/>
    <w:uiPriority w:val="0"/>
    <w:pPr>
      <w:tabs>
        <w:tab w:val="left" w:pos="2700"/>
      </w:tabs>
      <w:spacing w:line="520" w:lineRule="exact"/>
      <w:jc w:val="center"/>
    </w:pPr>
    <w:rPr>
      <w:rFonts w:ascii="仿宋_GB2312" w:eastAsia="仿宋_GB2312" w:cs="黑体"/>
      <w:sz w:val="28"/>
      <w:szCs w:val="24"/>
    </w:rPr>
  </w:style>
  <w:style w:type="paragraph" w:customStyle="1" w:styleId="79">
    <w:name w:val="样式1"/>
    <w:basedOn w:val="5"/>
    <w:qFormat/>
    <w:uiPriority w:val="0"/>
    <w:rPr>
      <w:rFonts w:ascii="宋体" w:hAnsi="宋体"/>
      <w:szCs w:val="21"/>
    </w:rPr>
  </w:style>
  <w:style w:type="paragraph" w:customStyle="1" w:styleId="80">
    <w:name w:val="验收文档-首页主标题"/>
    <w:basedOn w:val="1"/>
    <w:qFormat/>
    <w:uiPriority w:val="0"/>
    <w:pPr>
      <w:jc w:val="center"/>
    </w:pPr>
    <w:rPr>
      <w:rFonts w:ascii="黑体" w:eastAsia="黑体"/>
      <w:sz w:val="52"/>
      <w:szCs w:val="52"/>
    </w:rPr>
  </w:style>
  <w:style w:type="paragraph" w:customStyle="1" w:styleId="81">
    <w:name w:val="TOC 标题1"/>
    <w:basedOn w:val="3"/>
    <w:next w:val="1"/>
    <w:unhideWhenUsed/>
    <w:qFormat/>
    <w:uiPriority w:val="39"/>
    <w:pPr>
      <w:widowControl/>
      <w:spacing w:before="240" w:line="259" w:lineRule="auto"/>
      <w:ind w:left="0" w:firstLine="0"/>
      <w:jc w:val="left"/>
      <w:outlineLvl w:val="9"/>
    </w:pPr>
    <w:rPr>
      <w:rFonts w:ascii="Cambria" w:hAnsi="Cambria" w:cs="黑体"/>
      <w:color w:val="365F90"/>
      <w:kern w:val="0"/>
      <w:sz w:val="32"/>
      <w:szCs w:val="32"/>
    </w:rPr>
  </w:style>
  <w:style w:type="paragraph" w:customStyle="1" w:styleId="82">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83">
    <w:name w:val="表头"/>
    <w:basedOn w:val="1"/>
    <w:qFormat/>
    <w:uiPriority w:val="0"/>
    <w:pPr>
      <w:widowControl/>
      <w:spacing w:line="276" w:lineRule="auto"/>
      <w:jc w:val="center"/>
    </w:pPr>
    <w:rPr>
      <w:rFonts w:ascii="宋体" w:hAnsi="宋体"/>
      <w:b/>
    </w:rPr>
  </w:style>
  <w:style w:type="paragraph" w:customStyle="1" w:styleId="84">
    <w:name w:val="表格内容"/>
    <w:basedOn w:val="1"/>
    <w:qFormat/>
    <w:uiPriority w:val="0"/>
    <w:pPr>
      <w:widowControl/>
      <w:spacing w:line="276" w:lineRule="auto"/>
      <w:jc w:val="left"/>
    </w:pPr>
    <w:rPr>
      <w:rFonts w:ascii="宋体" w:hAnsi="宋体"/>
      <w:kern w:val="0"/>
    </w:rPr>
  </w:style>
  <w:style w:type="paragraph" w:customStyle="1" w:styleId="85">
    <w:name w:val="表格内容左对齐"/>
    <w:basedOn w:val="1"/>
    <w:qFormat/>
    <w:uiPriority w:val="2"/>
    <w:pPr>
      <w:widowControl/>
      <w:jc w:val="left"/>
    </w:pPr>
    <w:rPr>
      <w:rFonts w:ascii="Calibri" w:hAnsi="Calibri"/>
      <w:kern w:val="0"/>
    </w:rPr>
  </w:style>
  <w:style w:type="paragraph" w:customStyle="1" w:styleId="86">
    <w:name w:val="List Paragraph1"/>
    <w:basedOn w:val="1"/>
    <w:semiHidden/>
    <w:qFormat/>
    <w:uiPriority w:val="0"/>
    <w:pPr>
      <w:ind w:firstLine="420" w:firstLineChars="200"/>
    </w:pPr>
    <w:rPr>
      <w:rFonts w:ascii="Calibri" w:hAnsi="Calibri"/>
      <w:szCs w:val="24"/>
    </w:rPr>
  </w:style>
  <w:style w:type="paragraph" w:customStyle="1" w:styleId="87">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rFonts w:ascii="@仿宋_GB2312" w:hAnsi="@仿宋_GB2312" w:eastAsia="@仿宋_GB2312" w:cs="@仿宋_GB2312"/>
      <w:sz w:val="24"/>
    </w:rPr>
  </w:style>
  <w:style w:type="paragraph" w:customStyle="1" w:styleId="88">
    <w:name w:val="正文1"/>
    <w:qFormat/>
    <w:uiPriority w:val="99"/>
    <w:rPr>
      <w:rFonts w:ascii="Times New Roman" w:hAnsi="Times New Roman" w:eastAsia="Times New Roman" w:cs="Times New Roman"/>
      <w:sz w:val="24"/>
      <w:szCs w:val="24"/>
      <w:lang w:val="en-US" w:eastAsia="zh-CN" w:bidi="ar-SA"/>
    </w:rPr>
  </w:style>
  <w:style w:type="paragraph" w:customStyle="1" w:styleId="89">
    <w:name w:val="准备书正文"/>
    <w:qFormat/>
    <w:uiPriority w:val="0"/>
    <w:pPr>
      <w:spacing w:beforeLines="50"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90">
    <w:name w:val="!正文ctrl+q"/>
    <w:basedOn w:val="1"/>
    <w:qFormat/>
    <w:uiPriority w:val="0"/>
    <w:pPr>
      <w:ind w:firstLine="200"/>
    </w:pPr>
    <w:rPr>
      <w:rFonts w:eastAsia="仿宋_GB2312"/>
      <w:kern w:val="0"/>
      <w:sz w:val="28"/>
      <w:szCs w:val="24"/>
    </w:rPr>
  </w:style>
  <w:style w:type="paragraph" w:customStyle="1" w:styleId="91">
    <w:name w:val="0正文"/>
    <w:basedOn w:val="1"/>
    <w:link w:val="142"/>
    <w:qFormat/>
    <w:uiPriority w:val="0"/>
    <w:rPr>
      <w:rFonts w:ascii="Calibri" w:hAnsi="Calibri" w:cs="黑体"/>
      <w:szCs w:val="22"/>
    </w:rPr>
  </w:style>
  <w:style w:type="paragraph" w:customStyle="1" w:styleId="92">
    <w:name w:val="样式 首行缩进:  0.74 厘米"/>
    <w:basedOn w:val="1"/>
    <w:qFormat/>
    <w:uiPriority w:val="0"/>
    <w:pPr>
      <w:ind w:firstLine="420"/>
    </w:pPr>
    <w:rPr>
      <w:rFonts w:ascii="Arial" w:hAnsi="Arial" w:eastAsia="仿宋_GB2312" w:cs="Arial"/>
      <w:bCs/>
      <w:sz w:val="28"/>
      <w:szCs w:val="28"/>
    </w:rPr>
  </w:style>
  <w:style w:type="paragraph" w:customStyle="1" w:styleId="93">
    <w:name w:val="标准文本"/>
    <w:basedOn w:val="1"/>
    <w:qFormat/>
    <w:uiPriority w:val="0"/>
    <w:pPr>
      <w:spacing w:line="360" w:lineRule="auto"/>
      <w:ind w:firstLine="480" w:firstLineChars="200"/>
    </w:pPr>
    <w:rPr>
      <w:rFonts w:cs="宋体"/>
      <w:sz w:val="24"/>
    </w:rPr>
  </w:style>
  <w:style w:type="character" w:customStyle="1" w:styleId="94">
    <w:name w:val="标题 1 字符"/>
    <w:basedOn w:val="44"/>
    <w:link w:val="3"/>
    <w:qFormat/>
    <w:uiPriority w:val="0"/>
    <w:rPr>
      <w:rFonts w:ascii="Times New Roman" w:hAnsi="Times New Roman" w:eastAsia="宋体" w:cs="Times New Roman"/>
      <w:b/>
      <w:szCs w:val="20"/>
    </w:rPr>
  </w:style>
  <w:style w:type="character" w:customStyle="1" w:styleId="95">
    <w:name w:val="标题 2 字符"/>
    <w:basedOn w:val="44"/>
    <w:link w:val="4"/>
    <w:qFormat/>
    <w:uiPriority w:val="0"/>
    <w:rPr>
      <w:rFonts w:ascii="Arial" w:hAnsi="Arial" w:eastAsia="黑体" w:cs="Times New Roman"/>
      <w:b/>
      <w:sz w:val="32"/>
      <w:szCs w:val="20"/>
    </w:rPr>
  </w:style>
  <w:style w:type="character" w:customStyle="1" w:styleId="96">
    <w:name w:val="标题 3 字符"/>
    <w:basedOn w:val="44"/>
    <w:link w:val="5"/>
    <w:qFormat/>
    <w:uiPriority w:val="0"/>
    <w:rPr>
      <w:rFonts w:ascii="Times New Roman" w:hAnsi="Times New Roman" w:eastAsia="宋体" w:cs="Times New Roman"/>
      <w:b/>
      <w:bCs/>
      <w:sz w:val="32"/>
      <w:szCs w:val="32"/>
    </w:rPr>
  </w:style>
  <w:style w:type="character" w:customStyle="1" w:styleId="97">
    <w:name w:val="标题 4 字符"/>
    <w:basedOn w:val="44"/>
    <w:link w:val="6"/>
    <w:qFormat/>
    <w:uiPriority w:val="0"/>
    <w:rPr>
      <w:rFonts w:ascii="Arial" w:hAnsi="Arial" w:eastAsia="黑体" w:cs="Times New Roman"/>
      <w:b/>
      <w:bCs/>
      <w:sz w:val="28"/>
      <w:szCs w:val="28"/>
    </w:rPr>
  </w:style>
  <w:style w:type="character" w:customStyle="1" w:styleId="98">
    <w:name w:val="标题 5 字符"/>
    <w:basedOn w:val="44"/>
    <w:link w:val="7"/>
    <w:qFormat/>
    <w:uiPriority w:val="0"/>
    <w:rPr>
      <w:rFonts w:ascii="Times New Roman" w:hAnsi="Times New Roman" w:eastAsia="宋体" w:cs="Times New Roman"/>
      <w:b/>
      <w:sz w:val="28"/>
      <w:szCs w:val="20"/>
    </w:rPr>
  </w:style>
  <w:style w:type="character" w:customStyle="1" w:styleId="99">
    <w:name w:val="标题 6 字符"/>
    <w:basedOn w:val="44"/>
    <w:link w:val="8"/>
    <w:qFormat/>
    <w:uiPriority w:val="0"/>
    <w:rPr>
      <w:rFonts w:ascii="Arial" w:hAnsi="Arial" w:eastAsia="黑体" w:cs="Times New Roman"/>
      <w:b/>
      <w:sz w:val="24"/>
      <w:szCs w:val="20"/>
    </w:rPr>
  </w:style>
  <w:style w:type="character" w:customStyle="1" w:styleId="100">
    <w:name w:val="标题 7 字符"/>
    <w:basedOn w:val="44"/>
    <w:link w:val="9"/>
    <w:qFormat/>
    <w:uiPriority w:val="0"/>
    <w:rPr>
      <w:rFonts w:ascii="Times New Roman" w:hAnsi="Times New Roman" w:eastAsia="宋体" w:cs="Times New Roman"/>
      <w:b/>
      <w:sz w:val="24"/>
      <w:szCs w:val="20"/>
    </w:rPr>
  </w:style>
  <w:style w:type="character" w:customStyle="1" w:styleId="101">
    <w:name w:val="标题 8 字符"/>
    <w:basedOn w:val="44"/>
    <w:link w:val="10"/>
    <w:qFormat/>
    <w:uiPriority w:val="0"/>
    <w:rPr>
      <w:rFonts w:ascii="Arial" w:hAnsi="Arial" w:eastAsia="黑体" w:cs="Times New Roman"/>
      <w:sz w:val="24"/>
      <w:szCs w:val="20"/>
    </w:rPr>
  </w:style>
  <w:style w:type="character" w:customStyle="1" w:styleId="102">
    <w:name w:val="标题 9 字符"/>
    <w:basedOn w:val="44"/>
    <w:link w:val="11"/>
    <w:qFormat/>
    <w:uiPriority w:val="0"/>
    <w:rPr>
      <w:rFonts w:ascii="Arial" w:hAnsi="Arial" w:eastAsia="黑体" w:cs="Times New Roman"/>
      <w:szCs w:val="20"/>
    </w:rPr>
  </w:style>
  <w:style w:type="character" w:customStyle="1" w:styleId="103">
    <w:name w:val="文档结构图 Char"/>
    <w:basedOn w:val="44"/>
    <w:qFormat/>
    <w:uiPriority w:val="0"/>
    <w:rPr>
      <w:rFonts w:ascii="宋体" w:hAnsi="Times New Roman" w:eastAsia="宋体" w:cs="Times New Roman"/>
      <w:sz w:val="18"/>
      <w:szCs w:val="18"/>
    </w:rPr>
  </w:style>
  <w:style w:type="character" w:customStyle="1" w:styleId="104">
    <w:name w:val="称呼 字符"/>
    <w:basedOn w:val="44"/>
    <w:link w:val="19"/>
    <w:qFormat/>
    <w:uiPriority w:val="0"/>
    <w:rPr>
      <w:rFonts w:ascii="宋体" w:hAnsi="Times New Roman" w:eastAsia="宋体" w:cs="Times New Roman"/>
      <w:b/>
      <w:sz w:val="28"/>
      <w:szCs w:val="20"/>
    </w:rPr>
  </w:style>
  <w:style w:type="character" w:customStyle="1" w:styleId="105">
    <w:name w:val="正文文本 Char"/>
    <w:basedOn w:val="44"/>
    <w:qFormat/>
    <w:uiPriority w:val="0"/>
    <w:rPr>
      <w:rFonts w:ascii="Times New Roman" w:hAnsi="Times New Roman" w:eastAsia="宋体" w:cs="Times New Roman"/>
      <w:szCs w:val="20"/>
    </w:rPr>
  </w:style>
  <w:style w:type="character" w:customStyle="1" w:styleId="106">
    <w:name w:val="正文文本缩进 字符"/>
    <w:basedOn w:val="44"/>
    <w:link w:val="20"/>
    <w:qFormat/>
    <w:uiPriority w:val="0"/>
    <w:rPr>
      <w:rFonts w:ascii="宋体" w:hAnsi="宋体" w:eastAsia="宋体" w:cs="Times New Roman"/>
      <w:sz w:val="24"/>
      <w:szCs w:val="20"/>
    </w:rPr>
  </w:style>
  <w:style w:type="character" w:customStyle="1" w:styleId="107">
    <w:name w:val="纯文本 Char"/>
    <w:basedOn w:val="44"/>
    <w:qFormat/>
    <w:uiPriority w:val="0"/>
    <w:rPr>
      <w:rFonts w:ascii="宋体" w:hAnsi="Courier New" w:eastAsia="宋体" w:cs="Courier New"/>
      <w:szCs w:val="21"/>
    </w:rPr>
  </w:style>
  <w:style w:type="character" w:customStyle="1" w:styleId="108">
    <w:name w:val="日期 字符"/>
    <w:basedOn w:val="44"/>
    <w:link w:val="25"/>
    <w:qFormat/>
    <w:uiPriority w:val="0"/>
    <w:rPr>
      <w:rFonts w:ascii="Times New Roman" w:hAnsi="Times New Roman" w:eastAsia="宋体" w:cs="Times New Roman"/>
      <w:sz w:val="24"/>
      <w:szCs w:val="20"/>
    </w:rPr>
  </w:style>
  <w:style w:type="character" w:customStyle="1" w:styleId="109">
    <w:name w:val="正文文本缩进 2 Char"/>
    <w:basedOn w:val="44"/>
    <w:qFormat/>
    <w:uiPriority w:val="0"/>
    <w:rPr>
      <w:rFonts w:ascii="Times New Roman" w:hAnsi="Times New Roman" w:eastAsia="宋体" w:cs="Times New Roman"/>
      <w:szCs w:val="20"/>
    </w:rPr>
  </w:style>
  <w:style w:type="character" w:customStyle="1" w:styleId="110">
    <w:name w:val="批注框文本 字符"/>
    <w:basedOn w:val="44"/>
    <w:link w:val="27"/>
    <w:semiHidden/>
    <w:qFormat/>
    <w:uiPriority w:val="0"/>
    <w:rPr>
      <w:rFonts w:ascii="Times New Roman" w:hAnsi="Times New Roman" w:eastAsia="宋体" w:cs="Times New Roman"/>
      <w:sz w:val="18"/>
      <w:szCs w:val="18"/>
    </w:rPr>
  </w:style>
  <w:style w:type="character" w:customStyle="1" w:styleId="111">
    <w:name w:val="页脚 字符"/>
    <w:basedOn w:val="44"/>
    <w:link w:val="28"/>
    <w:qFormat/>
    <w:uiPriority w:val="99"/>
    <w:rPr>
      <w:rFonts w:ascii="Times New Roman" w:hAnsi="Times New Roman" w:eastAsia="宋体" w:cs="Times New Roman"/>
      <w:sz w:val="18"/>
      <w:szCs w:val="18"/>
    </w:rPr>
  </w:style>
  <w:style w:type="character" w:customStyle="1" w:styleId="112">
    <w:name w:val="页眉 字符"/>
    <w:basedOn w:val="44"/>
    <w:link w:val="29"/>
    <w:qFormat/>
    <w:uiPriority w:val="99"/>
    <w:rPr>
      <w:rFonts w:ascii="Times New Roman" w:hAnsi="Times New Roman" w:eastAsia="宋体" w:cs="Times New Roman"/>
      <w:sz w:val="18"/>
      <w:szCs w:val="18"/>
    </w:rPr>
  </w:style>
  <w:style w:type="character" w:customStyle="1" w:styleId="113">
    <w:name w:val="正文文本缩进 3 字符"/>
    <w:basedOn w:val="44"/>
    <w:link w:val="33"/>
    <w:qFormat/>
    <w:uiPriority w:val="0"/>
    <w:rPr>
      <w:rFonts w:ascii="Arial" w:hAnsi="Arial" w:eastAsia="宋体" w:cs="Arial"/>
      <w:b/>
      <w:bCs/>
      <w:sz w:val="24"/>
      <w:szCs w:val="20"/>
    </w:rPr>
  </w:style>
  <w:style w:type="character" w:customStyle="1" w:styleId="114">
    <w:name w:val="正文文本 2 字符"/>
    <w:basedOn w:val="44"/>
    <w:link w:val="35"/>
    <w:qFormat/>
    <w:uiPriority w:val="0"/>
    <w:rPr>
      <w:rFonts w:ascii="Times New Roman" w:hAnsi="Times New Roman" w:eastAsia="宋体" w:cs="Times New Roman"/>
      <w:b/>
      <w:sz w:val="28"/>
      <w:szCs w:val="21"/>
    </w:rPr>
  </w:style>
  <w:style w:type="character" w:customStyle="1" w:styleId="115">
    <w:name w:val="正文首行缩进 Char"/>
    <w:basedOn w:val="105"/>
    <w:qFormat/>
    <w:uiPriority w:val="0"/>
    <w:rPr>
      <w:rFonts w:ascii="Times New Roman" w:hAnsi="Times New Roman" w:eastAsia="宋体" w:cs="Times New Roman"/>
      <w:szCs w:val="20"/>
    </w:rPr>
  </w:style>
  <w:style w:type="character" w:customStyle="1" w:styleId="116">
    <w:name w:val="p21"/>
    <w:qFormat/>
    <w:uiPriority w:val="0"/>
    <w:rPr>
      <w:rFonts w:hint="default" w:ascii="Arial" w:hAnsi="Arial" w:cs="Arial"/>
      <w:color w:val="333333"/>
      <w:sz w:val="18"/>
      <w:szCs w:val="18"/>
      <w:u w:val="none"/>
    </w:rPr>
  </w:style>
  <w:style w:type="character" w:customStyle="1" w:styleId="117">
    <w:name w:val="font21"/>
    <w:basedOn w:val="44"/>
    <w:qFormat/>
    <w:uiPriority w:val="0"/>
    <w:rPr>
      <w:rFonts w:hint="eastAsia" w:ascii="宋体" w:hAnsi="宋体" w:eastAsia="宋体" w:cs="宋体"/>
      <w:color w:val="000000"/>
      <w:sz w:val="22"/>
      <w:szCs w:val="22"/>
      <w:u w:val="none"/>
    </w:rPr>
  </w:style>
  <w:style w:type="character" w:customStyle="1" w:styleId="118">
    <w:name w:val="所标正文 Char Char"/>
    <w:link w:val="57"/>
    <w:qFormat/>
    <w:uiPriority w:val="0"/>
    <w:rPr>
      <w:rFonts w:ascii="仿宋_GB2312" w:hAnsi="Calibri" w:eastAsia="仿宋_GB2312"/>
      <w:sz w:val="30"/>
      <w:szCs w:val="28"/>
    </w:rPr>
  </w:style>
  <w:style w:type="character" w:customStyle="1" w:styleId="119">
    <w:name w:val="正文文字 Char1"/>
    <w:link w:val="58"/>
    <w:qFormat/>
    <w:uiPriority w:val="0"/>
    <w:rPr>
      <w:rFonts w:ascii="宋体" w:eastAsia="宋体"/>
      <w:color w:val="000000"/>
      <w:sz w:val="28"/>
      <w:u w:val="none" w:color="000000"/>
    </w:rPr>
  </w:style>
  <w:style w:type="character" w:customStyle="1" w:styleId="120">
    <w:name w:val="marklong"/>
    <w:basedOn w:val="44"/>
    <w:qFormat/>
    <w:uiPriority w:val="0"/>
  </w:style>
  <w:style w:type="character" w:customStyle="1" w:styleId="121">
    <w:name w:val="unnamed1"/>
    <w:basedOn w:val="44"/>
    <w:qFormat/>
    <w:uiPriority w:val="0"/>
  </w:style>
  <w:style w:type="character" w:customStyle="1" w:styleId="122">
    <w:name w:val="css21"/>
    <w:qFormat/>
    <w:uiPriority w:val="0"/>
    <w:rPr>
      <w:sz w:val="18"/>
      <w:szCs w:val="18"/>
    </w:rPr>
  </w:style>
  <w:style w:type="character" w:customStyle="1" w:styleId="123">
    <w:name w:val="font01"/>
    <w:basedOn w:val="44"/>
    <w:qFormat/>
    <w:uiPriority w:val="0"/>
    <w:rPr>
      <w:rFonts w:hint="eastAsia" w:ascii="宋体" w:hAnsi="宋体" w:eastAsia="宋体" w:cs="宋体"/>
      <w:color w:val="000000"/>
      <w:sz w:val="22"/>
      <w:szCs w:val="22"/>
      <w:u w:val="none"/>
    </w:rPr>
  </w:style>
  <w:style w:type="character" w:customStyle="1" w:styleId="124">
    <w:name w:val="纯文本 Char Char Char Char Char Char"/>
    <w:qFormat/>
    <w:locked/>
    <w:uiPriority w:val="0"/>
    <w:rPr>
      <w:rFonts w:ascii="宋体" w:hAnsi="Courier New" w:eastAsia="宋体"/>
      <w:kern w:val="2"/>
      <w:sz w:val="21"/>
      <w:lang w:val="en-US" w:eastAsia="zh-CN" w:bidi="ar-SA"/>
    </w:rPr>
  </w:style>
  <w:style w:type="character" w:customStyle="1" w:styleId="125">
    <w:name w:val="正文缩进 字符"/>
    <w:link w:val="13"/>
    <w:qFormat/>
    <w:uiPriority w:val="99"/>
    <w:rPr>
      <w:szCs w:val="24"/>
    </w:rPr>
  </w:style>
  <w:style w:type="character" w:customStyle="1" w:styleId="126">
    <w:name w:val="样式 正文缩进 + 首行缩进:  2 字符 Char"/>
    <w:link w:val="59"/>
    <w:qFormat/>
    <w:uiPriority w:val="0"/>
    <w:rPr>
      <w:sz w:val="24"/>
    </w:rPr>
  </w:style>
  <w:style w:type="character" w:customStyle="1" w:styleId="127">
    <w:name w:val="标准段落正文 Char"/>
    <w:link w:val="60"/>
    <w:qFormat/>
    <w:uiPriority w:val="0"/>
    <w:rPr>
      <w:rFonts w:cs="宋体"/>
      <w:sz w:val="24"/>
    </w:rPr>
  </w:style>
  <w:style w:type="character" w:customStyle="1" w:styleId="128">
    <w:name w:val="正文文字 Char"/>
    <w:qFormat/>
    <w:uiPriority w:val="0"/>
    <w:rPr>
      <w:rFonts w:ascii="Arial" w:hAnsi="Arial" w:eastAsia="宋体" w:cs="Arial"/>
      <w:kern w:val="2"/>
      <w:sz w:val="24"/>
      <w:lang w:val="en-US" w:eastAsia="zh-CN" w:bidi="ar-SA"/>
    </w:rPr>
  </w:style>
  <w:style w:type="character" w:customStyle="1" w:styleId="129">
    <w:name w:val="书籍标题1"/>
    <w:qFormat/>
    <w:uiPriority w:val="0"/>
    <w:rPr>
      <w:b/>
      <w:bCs/>
      <w:smallCaps/>
      <w:spacing w:val="5"/>
    </w:rPr>
  </w:style>
  <w:style w:type="character" w:customStyle="1" w:styleId="130">
    <w:name w:val="con"/>
    <w:qFormat/>
    <w:uiPriority w:val="0"/>
  </w:style>
  <w:style w:type="character" w:customStyle="1" w:styleId="131">
    <w:name w:val="明显参考1"/>
    <w:qFormat/>
    <w:uiPriority w:val="0"/>
    <w:rPr>
      <w:b/>
      <w:bCs/>
      <w:smallCaps/>
      <w:color w:val="C0504D"/>
      <w:spacing w:val="5"/>
      <w:u w:val="single"/>
    </w:rPr>
  </w:style>
  <w:style w:type="character" w:customStyle="1" w:styleId="132">
    <w:name w:val="grame"/>
    <w:basedOn w:val="44"/>
    <w:qFormat/>
    <w:uiPriority w:val="0"/>
  </w:style>
  <w:style w:type="character" w:customStyle="1" w:styleId="133">
    <w:name w:val="正文文本缩进 2 字符"/>
    <w:basedOn w:val="44"/>
    <w:link w:val="26"/>
    <w:qFormat/>
    <w:uiPriority w:val="0"/>
    <w:rPr>
      <w:rFonts w:ascii="宋体" w:hAnsi="宋体"/>
      <w:sz w:val="24"/>
    </w:rPr>
  </w:style>
  <w:style w:type="character" w:customStyle="1" w:styleId="134">
    <w:name w:val="文档结构图 字符"/>
    <w:basedOn w:val="44"/>
    <w:link w:val="15"/>
    <w:qFormat/>
    <w:uiPriority w:val="0"/>
    <w:rPr>
      <w:shd w:val="clear" w:color="auto" w:fill="000080"/>
    </w:rPr>
  </w:style>
  <w:style w:type="character" w:customStyle="1" w:styleId="135">
    <w:name w:val="正文文本 字符"/>
    <w:basedOn w:val="44"/>
    <w:link w:val="2"/>
    <w:qFormat/>
    <w:uiPriority w:val="0"/>
    <w:rPr>
      <w:rFonts w:ascii="Arial" w:hAnsi="Arial" w:cs="Arial"/>
      <w:sz w:val="24"/>
    </w:rPr>
  </w:style>
  <w:style w:type="character" w:customStyle="1" w:styleId="136">
    <w:name w:val="纯文本 字符"/>
    <w:basedOn w:val="44"/>
    <w:link w:val="24"/>
    <w:qFormat/>
    <w:uiPriority w:val="0"/>
    <w:rPr>
      <w:rFonts w:ascii="宋体" w:hAnsi="Courier New" w:eastAsia="宋体"/>
    </w:rPr>
  </w:style>
  <w:style w:type="character" w:customStyle="1" w:styleId="137">
    <w:name w:val="正文首行缩进 字符"/>
    <w:basedOn w:val="135"/>
    <w:link w:val="40"/>
    <w:qFormat/>
    <w:uiPriority w:val="0"/>
    <w:rPr>
      <w:rFonts w:ascii="Arial" w:hAnsi="Arial" w:cs="Arial"/>
      <w:sz w:val="24"/>
    </w:rPr>
  </w:style>
  <w:style w:type="character" w:customStyle="1" w:styleId="138">
    <w:name w:val="普通(网站) 字符"/>
    <w:link w:val="37"/>
    <w:qFormat/>
    <w:uiPriority w:val="99"/>
    <w:rPr>
      <w:rFonts w:ascii="Arial Unicode MS" w:hAnsi="Arial Unicode MS" w:eastAsia="Arial Unicode MS" w:cs="Arial Unicode MS"/>
      <w:kern w:val="0"/>
      <w:sz w:val="24"/>
      <w:szCs w:val="24"/>
    </w:rPr>
  </w:style>
  <w:style w:type="character" w:customStyle="1" w:styleId="139">
    <w:name w:val="批注文字 字符"/>
    <w:basedOn w:val="44"/>
    <w:link w:val="17"/>
    <w:qFormat/>
    <w:uiPriority w:val="99"/>
    <w:rPr>
      <w:kern w:val="2"/>
      <w:sz w:val="21"/>
    </w:rPr>
  </w:style>
  <w:style w:type="character" w:customStyle="1" w:styleId="140">
    <w:name w:val="批注主题 字符"/>
    <w:basedOn w:val="139"/>
    <w:link w:val="39"/>
    <w:semiHidden/>
    <w:qFormat/>
    <w:uiPriority w:val="99"/>
    <w:rPr>
      <w:b/>
      <w:bCs/>
      <w:kern w:val="2"/>
      <w:sz w:val="21"/>
    </w:rPr>
  </w:style>
  <w:style w:type="character" w:customStyle="1" w:styleId="141">
    <w:name w:val="bookmark-item"/>
    <w:basedOn w:val="44"/>
    <w:qFormat/>
    <w:uiPriority w:val="0"/>
  </w:style>
  <w:style w:type="character" w:customStyle="1" w:styleId="142">
    <w:name w:val="0正文 Char"/>
    <w:link w:val="91"/>
    <w:qFormat/>
    <w:uiPriority w:val="0"/>
    <w:rPr>
      <w:rFonts w:ascii="Calibri" w:hAnsi="Calibri" w:cs="黑体"/>
      <w:kern w:val="2"/>
      <w:szCs w:val="22"/>
    </w:rPr>
  </w:style>
  <w:style w:type="table" w:customStyle="1" w:styleId="143">
    <w:name w:val="网格表 5 深色 - 着色 31"/>
    <w:basedOn w:val="42"/>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character" w:customStyle="1" w:styleId="144">
    <w:name w:val="font41"/>
    <w:basedOn w:val="44"/>
    <w:qFormat/>
    <w:uiPriority w:val="0"/>
    <w:rPr>
      <w:rFonts w:ascii="Arial" w:hAnsi="Arial" w:cs="Arial"/>
      <w:color w:val="000000"/>
      <w:sz w:val="20"/>
      <w:szCs w:val="20"/>
      <w:u w:val="none"/>
    </w:rPr>
  </w:style>
  <w:style w:type="paragraph" w:customStyle="1" w:styleId="145">
    <w:name w:val="Table Paragraph"/>
    <w:basedOn w:val="1"/>
    <w:qFormat/>
    <w:uiPriority w:val="1"/>
    <w:pPr>
      <w:jc w:val="left"/>
    </w:pPr>
    <w:rPr>
      <w:rFonts w:asciiTheme="minorHAnsi" w:hAnsiTheme="minorHAnsi" w:eastAsiaTheme="minorEastAsia" w:cstheme="minorBidi"/>
      <w:kern w:val="0"/>
      <w:sz w:val="22"/>
      <w:szCs w:val="22"/>
      <w:lang w:eastAsia="en-US"/>
    </w:rPr>
  </w:style>
  <w:style w:type="table" w:customStyle="1" w:styleId="146">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 w:type="character" w:customStyle="1" w:styleId="147">
    <w:name w:val="font11"/>
    <w:basedOn w:val="44"/>
    <w:qFormat/>
    <w:uiPriority w:val="0"/>
    <w:rPr>
      <w:rFonts w:hint="eastAsia" w:ascii="宋体" w:hAnsi="宋体" w:eastAsia="宋体" w:cs="宋体"/>
      <w:color w:val="000000"/>
      <w:sz w:val="22"/>
      <w:szCs w:val="22"/>
      <w:u w:val="none"/>
    </w:rPr>
  </w:style>
  <w:style w:type="paragraph" w:styleId="148">
    <w:name w:val="List Paragraph"/>
    <w:basedOn w:val="1"/>
    <w:qFormat/>
    <w:uiPriority w:val="34"/>
    <w:pPr>
      <w:ind w:firstLine="420" w:firstLineChars="200"/>
    </w:pPr>
  </w:style>
  <w:style w:type="paragraph" w:customStyle="1" w:styleId="149">
    <w:name w:val="B-表正文"/>
    <w:qFormat/>
    <w:uiPriority w:val="0"/>
    <w:rPr>
      <w:rFonts w:ascii="Times New Roman" w:hAnsi="Times New Roman" w:eastAsia="黑体" w:cstheme="minorBidi"/>
      <w:kern w:val="2"/>
      <w:sz w:val="21"/>
      <w:szCs w:val="24"/>
      <w:lang w:val="en-US" w:eastAsia="zh-CN" w:bidi="ar-SA"/>
    </w:rPr>
  </w:style>
  <w:style w:type="paragraph" w:customStyle="1" w:styleId="150">
    <w:name w:val="表格内文字"/>
    <w:basedOn w:val="1"/>
    <w:qFormat/>
    <w:uiPriority w:val="0"/>
    <w:pPr>
      <w:adjustRightInd w:val="0"/>
      <w:spacing w:line="300" w:lineRule="exact"/>
      <w:ind w:firstLine="0" w:firstLineChars="0"/>
    </w:pPr>
    <w:rPr>
      <w:rFonts w:eastAsia="方正仿宋_GBK"/>
      <w:sz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6BAA5A-A049-41AE-B366-7579C3496D2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74</Pages>
  <Words>47050</Words>
  <Characters>50541</Characters>
  <Lines>248</Lines>
  <Paragraphs>69</Paragraphs>
  <TotalTime>171</TotalTime>
  <ScaleCrop>false</ScaleCrop>
  <LinksUpToDate>false</LinksUpToDate>
  <CharactersWithSpaces>53364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2024-06-14T02:34:00Z</dcterms:created>
  <dc:creator>Administrator</dc:creator>
  <cp:lastModifiedBy>27726</cp:lastModifiedBy>
  <cp:lastPrinted>2024-10-17T05:51:05Z</cp:lastPrinted>
  <dcterms:modified xsi:type="dcterms:W3CDTF">2024-10-17T07:34:09Z</dcterms:modified>
  <dc:title>教育教学平台建设项目—新疆艺术学院思政课教学资源项目_x000b_采购文件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914F35EA8216460D9B8F38CC482F236B_13</vt:lpwstr>
  </property>
</Properties>
</file>