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BD571CA">
      <w:pPr>
        <w:snapToGrid w:val="0"/>
        <w:spacing w:after="120" w:line="540" w:lineRule="exact"/>
        <w:jc w:val="left"/>
        <w:rPr>
          <w:rFonts w:hint="eastAsia" w:ascii="宋体" w:hAnsi="宋体" w:eastAsia="宋体" w:cs="宋体"/>
          <w:color w:val="000000" w:themeColor="text1"/>
          <w:sz w:val="21"/>
          <w:szCs w:val="13"/>
          <w:highlight w:val="none"/>
          <w14:textFill>
            <w14:solidFill>
              <w14:schemeClr w14:val="tx1"/>
            </w14:solidFill>
          </w14:textFill>
        </w:rPr>
      </w:pPr>
    </w:p>
    <w:p w14:paraId="62880E59">
      <w:pPr>
        <w:pStyle w:val="4"/>
        <w:rPr>
          <w:rFonts w:hint="eastAsia" w:ascii="宋体" w:hAnsi="宋体" w:eastAsia="宋体" w:cs="宋体"/>
          <w:color w:val="000000" w:themeColor="text1"/>
          <w14:textFill>
            <w14:solidFill>
              <w14:schemeClr w14:val="tx1"/>
            </w14:solidFill>
          </w14:textFill>
        </w:rPr>
      </w:pPr>
    </w:p>
    <w:p w14:paraId="650261F0">
      <w:pPr>
        <w:pStyle w:val="35"/>
        <w:rPr>
          <w:rFonts w:hint="eastAsia" w:ascii="宋体" w:hAnsi="宋体" w:eastAsia="宋体" w:cs="宋体"/>
          <w:color w:val="000000" w:themeColor="text1"/>
          <w:sz w:val="44"/>
          <w:highlight w:val="none"/>
          <w14:textFill>
            <w14:solidFill>
              <w14:schemeClr w14:val="tx1"/>
            </w14:solidFill>
          </w14:textFill>
        </w:rPr>
      </w:pPr>
    </w:p>
    <w:p w14:paraId="4BBE8557">
      <w:pPr>
        <w:pStyle w:val="36"/>
        <w:rPr>
          <w:rFonts w:hint="eastAsia" w:ascii="宋体" w:hAnsi="宋体" w:eastAsia="宋体" w:cs="宋体"/>
          <w:color w:val="000000" w:themeColor="text1"/>
          <w:highlight w:val="none"/>
          <w14:textFill>
            <w14:solidFill>
              <w14:schemeClr w14:val="tx1"/>
            </w14:solidFill>
          </w14:textFill>
        </w:rPr>
      </w:pPr>
    </w:p>
    <w:p w14:paraId="3BD18A19">
      <w:pPr>
        <w:pStyle w:val="36"/>
        <w:rPr>
          <w:rFonts w:hint="eastAsia" w:ascii="宋体" w:hAnsi="宋体" w:eastAsia="宋体" w:cs="宋体"/>
          <w:color w:val="000000" w:themeColor="text1"/>
          <w:highlight w:val="none"/>
          <w14:textFill>
            <w14:solidFill>
              <w14:schemeClr w14:val="tx1"/>
            </w14:solidFill>
          </w14:textFill>
        </w:rPr>
      </w:pPr>
    </w:p>
    <w:p w14:paraId="38A85D7B">
      <w:pPr>
        <w:snapToGrid w:val="0"/>
        <w:spacing w:line="360" w:lineRule="auto"/>
        <w:jc w:val="center"/>
        <w:rPr>
          <w:rStyle w:val="40"/>
          <w:rFonts w:hint="eastAsia" w:ascii="宋体" w:hAnsi="宋体" w:eastAsia="宋体" w:cs="宋体"/>
          <w:color w:val="000000" w:themeColor="text1"/>
          <w:sz w:val="36"/>
          <w:szCs w:val="36"/>
          <w:highlight w:val="none"/>
          <w14:textFill>
            <w14:solidFill>
              <w14:schemeClr w14:val="tx1"/>
            </w14:solidFill>
          </w14:textFill>
        </w:rPr>
      </w:pPr>
      <w:r>
        <w:rPr>
          <w:rFonts w:hint="eastAsia" w:ascii="宋体" w:hAnsi="宋体" w:eastAsia="宋体" w:cs="宋体"/>
          <w:b/>
          <w:color w:val="000000" w:themeColor="text1"/>
          <w:sz w:val="52"/>
          <w:szCs w:val="52"/>
          <w:highlight w:val="none"/>
          <w:lang w:eastAsia="zh-CN"/>
          <w14:textFill>
            <w14:solidFill>
              <w14:schemeClr w14:val="tx1"/>
            </w14:solidFill>
          </w14:textFill>
        </w:rPr>
        <w:t>招</w:t>
      </w:r>
      <w:r>
        <w:rPr>
          <w:rFonts w:hint="eastAsia" w:ascii="宋体" w:hAnsi="宋体" w:eastAsia="宋体" w:cs="宋体"/>
          <w:b/>
          <w:color w:val="000000" w:themeColor="text1"/>
          <w:sz w:val="52"/>
          <w:szCs w:val="52"/>
          <w:highlight w:val="none"/>
          <w:lang w:val="en-US" w:eastAsia="zh-CN"/>
          <w14:textFill>
            <w14:solidFill>
              <w14:schemeClr w14:val="tx1"/>
            </w14:solidFill>
          </w14:textFill>
        </w:rPr>
        <w:t xml:space="preserve"> </w:t>
      </w:r>
      <w:r>
        <w:rPr>
          <w:rFonts w:hint="eastAsia" w:ascii="宋体" w:hAnsi="宋体" w:eastAsia="宋体" w:cs="宋体"/>
          <w:b/>
          <w:color w:val="000000" w:themeColor="text1"/>
          <w:sz w:val="52"/>
          <w:szCs w:val="52"/>
          <w:highlight w:val="none"/>
          <w:lang w:eastAsia="zh-CN"/>
          <w14:textFill>
            <w14:solidFill>
              <w14:schemeClr w14:val="tx1"/>
            </w14:solidFill>
          </w14:textFill>
        </w:rPr>
        <w:t>标</w:t>
      </w:r>
      <w:r>
        <w:rPr>
          <w:rFonts w:hint="eastAsia" w:ascii="宋体" w:hAnsi="宋体" w:eastAsia="宋体" w:cs="宋体"/>
          <w:b/>
          <w:color w:val="000000" w:themeColor="text1"/>
          <w:sz w:val="52"/>
          <w:szCs w:val="52"/>
          <w:highlight w:val="none"/>
          <w:lang w:val="en-US" w:eastAsia="zh-CN"/>
          <w14:textFill>
            <w14:solidFill>
              <w14:schemeClr w14:val="tx1"/>
            </w14:solidFill>
          </w14:textFill>
        </w:rPr>
        <w:t xml:space="preserve"> </w:t>
      </w:r>
      <w:r>
        <w:rPr>
          <w:rFonts w:hint="eastAsia" w:ascii="宋体" w:hAnsi="宋体" w:eastAsia="宋体" w:cs="宋体"/>
          <w:b/>
          <w:color w:val="000000" w:themeColor="text1"/>
          <w:sz w:val="52"/>
          <w:szCs w:val="52"/>
          <w:highlight w:val="none"/>
          <w:lang w:eastAsia="zh-CN"/>
          <w14:textFill>
            <w14:solidFill>
              <w14:schemeClr w14:val="tx1"/>
            </w14:solidFill>
          </w14:textFill>
        </w:rPr>
        <w:t>文</w:t>
      </w:r>
      <w:r>
        <w:rPr>
          <w:rFonts w:hint="eastAsia" w:ascii="宋体" w:hAnsi="宋体" w:eastAsia="宋体" w:cs="宋体"/>
          <w:b/>
          <w:color w:val="000000" w:themeColor="text1"/>
          <w:sz w:val="52"/>
          <w:szCs w:val="52"/>
          <w:highlight w:val="none"/>
          <w:lang w:val="en-US" w:eastAsia="zh-CN"/>
          <w14:textFill>
            <w14:solidFill>
              <w14:schemeClr w14:val="tx1"/>
            </w14:solidFill>
          </w14:textFill>
        </w:rPr>
        <w:t xml:space="preserve"> </w:t>
      </w:r>
      <w:r>
        <w:rPr>
          <w:rFonts w:hint="eastAsia" w:ascii="宋体" w:hAnsi="宋体" w:eastAsia="宋体" w:cs="宋体"/>
          <w:b/>
          <w:color w:val="000000" w:themeColor="text1"/>
          <w:sz w:val="52"/>
          <w:szCs w:val="52"/>
          <w:highlight w:val="none"/>
          <w:lang w:eastAsia="zh-CN"/>
          <w14:textFill>
            <w14:solidFill>
              <w14:schemeClr w14:val="tx1"/>
            </w14:solidFill>
          </w14:textFill>
        </w:rPr>
        <w:t>件</w:t>
      </w:r>
    </w:p>
    <w:p w14:paraId="0BCC57A7">
      <w:pPr>
        <w:snapToGrid w:val="0"/>
        <w:jc w:val="center"/>
        <w:rPr>
          <w:rStyle w:val="40"/>
          <w:rFonts w:hint="eastAsia" w:ascii="宋体" w:hAnsi="宋体" w:eastAsia="宋体" w:cs="宋体"/>
          <w:b w:val="0"/>
          <w:bCs/>
          <w:color w:val="000000" w:themeColor="text1"/>
          <w:highlight w:val="none"/>
          <w14:textFill>
            <w14:solidFill>
              <w14:schemeClr w14:val="tx1"/>
            </w14:solidFill>
          </w14:textFill>
        </w:rPr>
      </w:pPr>
    </w:p>
    <w:p w14:paraId="4C7A2D44">
      <w:pPr>
        <w:pStyle w:val="35"/>
        <w:rPr>
          <w:rStyle w:val="40"/>
          <w:rFonts w:hint="eastAsia" w:ascii="宋体" w:hAnsi="宋体" w:eastAsia="宋体" w:cs="宋体"/>
          <w:b w:val="0"/>
          <w:bCs/>
          <w:color w:val="000000" w:themeColor="text1"/>
          <w:highlight w:val="none"/>
          <w14:textFill>
            <w14:solidFill>
              <w14:schemeClr w14:val="tx1"/>
            </w14:solidFill>
          </w14:textFill>
        </w:rPr>
      </w:pPr>
    </w:p>
    <w:p w14:paraId="270D85C1">
      <w:pPr>
        <w:pStyle w:val="36"/>
        <w:rPr>
          <w:rStyle w:val="40"/>
          <w:rFonts w:hint="eastAsia" w:ascii="宋体" w:hAnsi="宋体" w:eastAsia="宋体" w:cs="宋体"/>
          <w:b w:val="0"/>
          <w:bCs/>
          <w:color w:val="000000" w:themeColor="text1"/>
          <w:highlight w:val="none"/>
          <w14:textFill>
            <w14:solidFill>
              <w14:schemeClr w14:val="tx1"/>
            </w14:solidFill>
          </w14:textFill>
        </w:rPr>
      </w:pPr>
    </w:p>
    <w:p w14:paraId="05FC078F">
      <w:pPr>
        <w:pStyle w:val="36"/>
        <w:rPr>
          <w:rStyle w:val="40"/>
          <w:rFonts w:hint="eastAsia" w:ascii="宋体" w:hAnsi="宋体" w:eastAsia="宋体" w:cs="宋体"/>
          <w:b w:val="0"/>
          <w:bCs/>
          <w:color w:val="000000" w:themeColor="text1"/>
          <w:highlight w:val="none"/>
          <w14:textFill>
            <w14:solidFill>
              <w14:schemeClr w14:val="tx1"/>
            </w14:solidFill>
          </w14:textFill>
        </w:rPr>
      </w:pPr>
    </w:p>
    <w:p w14:paraId="76C38315">
      <w:pPr>
        <w:pStyle w:val="36"/>
        <w:rPr>
          <w:rStyle w:val="40"/>
          <w:rFonts w:hint="eastAsia" w:ascii="宋体" w:hAnsi="宋体" w:eastAsia="宋体" w:cs="宋体"/>
          <w:b w:val="0"/>
          <w:bCs/>
          <w:color w:val="000000" w:themeColor="text1"/>
          <w:highlight w:val="none"/>
          <w14:textFill>
            <w14:solidFill>
              <w14:schemeClr w14:val="tx1"/>
            </w14:solidFill>
          </w14:textFill>
        </w:rPr>
      </w:pPr>
    </w:p>
    <w:p w14:paraId="6BB8A405">
      <w:pPr>
        <w:keepNext w:val="0"/>
        <w:keepLines w:val="0"/>
        <w:pageBreakBefore w:val="0"/>
        <w:widowControl w:val="0"/>
        <w:kinsoku/>
        <w:wordWrap/>
        <w:overflowPunct/>
        <w:topLinePunct w:val="0"/>
        <w:autoSpaceDE/>
        <w:autoSpaceDN/>
        <w:bidi w:val="0"/>
        <w:adjustRightInd/>
        <w:snapToGrid w:val="0"/>
        <w:spacing w:line="480" w:lineRule="auto"/>
        <w:textAlignment w:val="auto"/>
        <w:rPr>
          <w:rStyle w:val="37"/>
          <w:rFonts w:hint="eastAsia" w:ascii="宋体" w:hAnsi="宋体" w:eastAsia="宋体" w:cs="宋体"/>
          <w:bCs/>
          <w:color w:val="000000" w:themeColor="text1"/>
          <w:sz w:val="24"/>
          <w:highlight w:val="none"/>
          <w:lang w:val="en-US" w:eastAsia="zh-CN"/>
          <w14:textFill>
            <w14:solidFill>
              <w14:schemeClr w14:val="tx1"/>
            </w14:solidFill>
          </w14:textFill>
        </w:rPr>
      </w:pPr>
      <w:r>
        <w:rPr>
          <w:rStyle w:val="37"/>
          <w:rFonts w:hint="eastAsia" w:ascii="宋体" w:hAnsi="宋体" w:eastAsia="宋体" w:cs="宋体"/>
          <w:bCs/>
          <w:color w:val="000000" w:themeColor="text1"/>
          <w:sz w:val="24"/>
          <w:highlight w:val="none"/>
          <w14:textFill>
            <w14:solidFill>
              <w14:schemeClr w14:val="tx1"/>
            </w14:solidFill>
          </w14:textFill>
        </w:rPr>
        <w:t>项目名称：</w:t>
      </w:r>
      <w:r>
        <w:rPr>
          <w:rStyle w:val="37"/>
          <w:rFonts w:hint="eastAsia" w:ascii="宋体" w:hAnsi="宋体" w:eastAsia="宋体" w:cs="宋体"/>
          <w:bCs/>
          <w:color w:val="000000" w:themeColor="text1"/>
          <w:sz w:val="24"/>
          <w:highlight w:val="none"/>
          <w:lang w:val="en-US" w:eastAsia="zh-CN"/>
          <w14:textFill>
            <w14:solidFill>
              <w14:schemeClr w14:val="tx1"/>
            </w14:solidFill>
          </w14:textFill>
        </w:rPr>
        <w:t>沙湾市中等职业技术学校智能设备运行与维护实训基地新建实训室</w:t>
      </w:r>
    </w:p>
    <w:p w14:paraId="46F00A15">
      <w:pPr>
        <w:keepNext w:val="0"/>
        <w:keepLines w:val="0"/>
        <w:pageBreakBefore w:val="0"/>
        <w:widowControl w:val="0"/>
        <w:kinsoku/>
        <w:wordWrap/>
        <w:overflowPunct/>
        <w:topLinePunct w:val="0"/>
        <w:autoSpaceDE/>
        <w:autoSpaceDN/>
        <w:bidi w:val="0"/>
        <w:adjustRightInd/>
        <w:snapToGrid w:val="0"/>
        <w:spacing w:line="480" w:lineRule="auto"/>
        <w:ind w:firstLine="1200" w:firstLineChars="500"/>
        <w:textAlignment w:val="auto"/>
        <w:rPr>
          <w:rStyle w:val="37"/>
          <w:rFonts w:hint="eastAsia" w:ascii="宋体" w:hAnsi="宋体" w:eastAsia="宋体" w:cs="宋体"/>
          <w:bCs/>
          <w:color w:val="000000" w:themeColor="text1"/>
          <w:sz w:val="24"/>
          <w:highlight w:val="none"/>
          <w:lang w:val="en-US" w:eastAsia="zh-CN"/>
          <w14:textFill>
            <w14:solidFill>
              <w14:schemeClr w14:val="tx1"/>
            </w14:solidFill>
          </w14:textFill>
        </w:rPr>
      </w:pPr>
      <w:r>
        <w:rPr>
          <w:rStyle w:val="37"/>
          <w:rFonts w:hint="eastAsia" w:ascii="宋体" w:hAnsi="宋体" w:eastAsia="宋体" w:cs="宋体"/>
          <w:bCs/>
          <w:color w:val="000000" w:themeColor="text1"/>
          <w:sz w:val="24"/>
          <w:highlight w:val="none"/>
          <w:lang w:val="en-US" w:eastAsia="zh-CN"/>
          <w14:textFill>
            <w14:solidFill>
              <w14:schemeClr w14:val="tx1"/>
            </w14:solidFill>
          </w14:textFill>
        </w:rPr>
        <w:t>设备采购项目</w:t>
      </w:r>
      <w:bookmarkStart w:id="169" w:name="_GoBack"/>
      <w:bookmarkEnd w:id="169"/>
    </w:p>
    <w:p w14:paraId="3857FD74">
      <w:pPr>
        <w:keepNext w:val="0"/>
        <w:keepLines w:val="0"/>
        <w:pageBreakBefore w:val="0"/>
        <w:widowControl w:val="0"/>
        <w:kinsoku/>
        <w:wordWrap/>
        <w:overflowPunct/>
        <w:topLinePunct w:val="0"/>
        <w:autoSpaceDE/>
        <w:autoSpaceDN/>
        <w:bidi w:val="0"/>
        <w:adjustRightInd/>
        <w:snapToGrid w:val="0"/>
        <w:spacing w:line="480" w:lineRule="auto"/>
        <w:textAlignment w:val="auto"/>
        <w:rPr>
          <w:rStyle w:val="37"/>
          <w:rFonts w:hint="eastAsia" w:ascii="宋体" w:hAnsi="宋体" w:eastAsia="宋体" w:cs="宋体"/>
          <w:bCs/>
          <w:color w:val="000000" w:themeColor="text1"/>
          <w:sz w:val="24"/>
          <w:highlight w:val="none"/>
          <w:lang w:val="en-US" w:eastAsia="zh-CN"/>
          <w14:textFill>
            <w14:solidFill>
              <w14:schemeClr w14:val="tx1"/>
            </w14:solidFill>
          </w14:textFill>
        </w:rPr>
      </w:pPr>
      <w:r>
        <w:rPr>
          <w:rStyle w:val="37"/>
          <w:rFonts w:hint="eastAsia" w:ascii="宋体" w:hAnsi="宋体" w:eastAsia="宋体" w:cs="宋体"/>
          <w:bCs/>
          <w:color w:val="000000" w:themeColor="text1"/>
          <w:sz w:val="24"/>
          <w:highlight w:val="none"/>
          <w14:textFill>
            <w14:solidFill>
              <w14:schemeClr w14:val="tx1"/>
            </w14:solidFill>
          </w14:textFill>
        </w:rPr>
        <w:t>项目编号：</w:t>
      </w:r>
      <w:r>
        <w:rPr>
          <w:rStyle w:val="37"/>
          <w:rFonts w:hint="eastAsia" w:ascii="宋体" w:hAnsi="宋体" w:cs="宋体"/>
          <w:bCs/>
          <w:color w:val="000000" w:themeColor="text1"/>
          <w:sz w:val="24"/>
          <w:highlight w:val="none"/>
          <w:lang w:val="en-US" w:eastAsia="zh-CN"/>
          <w14:textFill>
            <w14:solidFill>
              <w14:schemeClr w14:val="tx1"/>
            </w14:solidFill>
          </w14:textFill>
        </w:rPr>
        <w:t>2025-0328-160725</w:t>
      </w:r>
    </w:p>
    <w:p w14:paraId="79E2CB73">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宋体" w:hAnsi="宋体" w:eastAsia="宋体" w:cs="宋体"/>
          <w:bCs/>
          <w:caps w:val="0"/>
          <w:color w:val="000000" w:themeColor="text1"/>
          <w:spacing w:val="0"/>
          <w:sz w:val="24"/>
          <w:szCs w:val="24"/>
          <w:highlight w:val="none"/>
          <w:lang w:eastAsia="zh-CN"/>
          <w14:textFill>
            <w14:solidFill>
              <w14:schemeClr w14:val="tx1"/>
            </w14:solidFill>
          </w14:textFill>
        </w:rPr>
      </w:pPr>
      <w:r>
        <w:rPr>
          <w:rStyle w:val="37"/>
          <w:rFonts w:hint="eastAsia" w:ascii="宋体" w:hAnsi="宋体" w:eastAsia="宋体" w:cs="宋体"/>
          <w:bCs/>
          <w:caps w:val="0"/>
          <w:color w:val="000000" w:themeColor="text1"/>
          <w:spacing w:val="0"/>
          <w:kern w:val="0"/>
          <w:sz w:val="24"/>
          <w:szCs w:val="24"/>
          <w:highlight w:val="none"/>
          <w14:textFill>
            <w14:solidFill>
              <w14:schemeClr w14:val="tx1"/>
            </w14:solidFill>
          </w14:textFill>
        </w:rPr>
        <w:t>采购人</w:t>
      </w:r>
      <w:r>
        <w:rPr>
          <w:rStyle w:val="37"/>
          <w:rFonts w:hint="eastAsia" w:ascii="宋体" w:hAnsi="宋体" w:eastAsia="宋体" w:cs="宋体"/>
          <w:bCs/>
          <w:caps w:val="0"/>
          <w:color w:val="000000" w:themeColor="text1"/>
          <w:spacing w:val="0"/>
          <w:sz w:val="24"/>
          <w:szCs w:val="24"/>
          <w:highlight w:val="none"/>
          <w14:textFill>
            <w14:solidFill>
              <w14:schemeClr w14:val="tx1"/>
            </w14:solidFill>
          </w14:textFill>
        </w:rPr>
        <w:t>（盖章）</w:t>
      </w:r>
      <w:r>
        <w:rPr>
          <w:rStyle w:val="37"/>
          <w:rFonts w:hint="eastAsia" w:ascii="宋体" w:hAnsi="宋体" w:eastAsia="宋体" w:cs="宋体"/>
          <w:bCs/>
          <w:caps w:val="0"/>
          <w:color w:val="000000" w:themeColor="text1"/>
          <w:spacing w:val="0"/>
          <w:sz w:val="24"/>
          <w:szCs w:val="24"/>
          <w:highlight w:val="none"/>
          <w:lang w:eastAsia="zh-CN"/>
          <w14:textFill>
            <w14:solidFill>
              <w14:schemeClr w14:val="tx1"/>
            </w14:solidFill>
          </w14:textFill>
        </w:rPr>
        <w:t>：沙湾市中等职业技术学校</w:t>
      </w:r>
    </w:p>
    <w:p w14:paraId="4E5111EA">
      <w:pPr>
        <w:keepNext w:val="0"/>
        <w:keepLines w:val="0"/>
        <w:pageBreakBefore w:val="0"/>
        <w:widowControl w:val="0"/>
        <w:kinsoku/>
        <w:wordWrap/>
        <w:overflowPunct/>
        <w:topLinePunct w:val="0"/>
        <w:autoSpaceDE/>
        <w:autoSpaceDN/>
        <w:bidi w:val="0"/>
        <w:adjustRightInd/>
        <w:snapToGrid w:val="0"/>
        <w:spacing w:line="600" w:lineRule="exact"/>
        <w:textAlignment w:val="auto"/>
        <w:rPr>
          <w:rStyle w:val="37"/>
          <w:rFonts w:hint="eastAsia" w:ascii="宋体" w:hAnsi="宋体" w:eastAsia="宋体" w:cs="宋体"/>
          <w:bCs/>
          <w:caps w:val="0"/>
          <w:color w:val="000000" w:themeColor="text1"/>
          <w:spacing w:val="0"/>
          <w:sz w:val="24"/>
          <w:szCs w:val="24"/>
          <w:highlight w:val="none"/>
          <w:lang w:val="en-US" w:eastAsia="zh-CN"/>
          <w14:textFill>
            <w14:solidFill>
              <w14:schemeClr w14:val="tx1"/>
            </w14:solidFill>
          </w14:textFill>
        </w:rPr>
      </w:pPr>
      <w:r>
        <w:rPr>
          <w:rStyle w:val="37"/>
          <w:rFonts w:hint="eastAsia" w:ascii="宋体" w:hAnsi="宋体" w:eastAsia="宋体" w:cs="宋体"/>
          <w:bCs/>
          <w:caps w:val="0"/>
          <w:color w:val="000000" w:themeColor="text1"/>
          <w:spacing w:val="0"/>
          <w:kern w:val="0"/>
          <w:sz w:val="24"/>
          <w:szCs w:val="24"/>
          <w:highlight w:val="none"/>
          <w14:textFill>
            <w14:solidFill>
              <w14:schemeClr w14:val="tx1"/>
            </w14:solidFill>
          </w14:textFill>
        </w:rPr>
        <w:t>联</w:t>
      </w:r>
      <w:r>
        <w:rPr>
          <w:rStyle w:val="37"/>
          <w:rFonts w:hint="eastAsia" w:ascii="宋体" w:hAnsi="宋体" w:eastAsia="宋体" w:cs="宋体"/>
          <w:bCs/>
          <w:caps w:val="0"/>
          <w:color w:val="000000" w:themeColor="text1"/>
          <w:spacing w:val="0"/>
          <w:kern w:val="0"/>
          <w:sz w:val="24"/>
          <w:szCs w:val="24"/>
          <w:highlight w:val="none"/>
          <w:lang w:val="en-US" w:eastAsia="zh-CN"/>
          <w14:textFill>
            <w14:solidFill>
              <w14:schemeClr w14:val="tx1"/>
            </w14:solidFill>
          </w14:textFill>
        </w:rPr>
        <w:t xml:space="preserve">    </w:t>
      </w:r>
      <w:r>
        <w:rPr>
          <w:rStyle w:val="37"/>
          <w:rFonts w:hint="eastAsia" w:ascii="宋体" w:hAnsi="宋体" w:eastAsia="宋体" w:cs="宋体"/>
          <w:bCs/>
          <w:caps w:val="0"/>
          <w:color w:val="000000" w:themeColor="text1"/>
          <w:spacing w:val="0"/>
          <w:kern w:val="0"/>
          <w:sz w:val="24"/>
          <w:szCs w:val="24"/>
          <w:highlight w:val="none"/>
          <w14:textFill>
            <w14:solidFill>
              <w14:schemeClr w14:val="tx1"/>
            </w14:solidFill>
          </w14:textFill>
        </w:rPr>
        <w:t>系</w:t>
      </w:r>
      <w:r>
        <w:rPr>
          <w:rStyle w:val="37"/>
          <w:rFonts w:hint="eastAsia" w:ascii="宋体" w:hAnsi="宋体" w:eastAsia="宋体" w:cs="宋体"/>
          <w:bCs/>
          <w:caps w:val="0"/>
          <w:color w:val="000000" w:themeColor="text1"/>
          <w:spacing w:val="0"/>
          <w:kern w:val="0"/>
          <w:sz w:val="24"/>
          <w:szCs w:val="24"/>
          <w:highlight w:val="none"/>
          <w:lang w:val="en-US" w:eastAsia="zh-CN"/>
          <w14:textFill>
            <w14:solidFill>
              <w14:schemeClr w14:val="tx1"/>
            </w14:solidFill>
          </w14:textFill>
        </w:rPr>
        <w:t xml:space="preserve">    </w:t>
      </w:r>
      <w:r>
        <w:rPr>
          <w:rStyle w:val="37"/>
          <w:rFonts w:hint="eastAsia" w:ascii="宋体" w:hAnsi="宋体" w:eastAsia="宋体" w:cs="宋体"/>
          <w:bCs/>
          <w:caps w:val="0"/>
          <w:color w:val="000000" w:themeColor="text1"/>
          <w:spacing w:val="0"/>
          <w:kern w:val="0"/>
          <w:sz w:val="24"/>
          <w:szCs w:val="24"/>
          <w:highlight w:val="none"/>
          <w14:textFill>
            <w14:solidFill>
              <w14:schemeClr w14:val="tx1"/>
            </w14:solidFill>
          </w14:textFill>
        </w:rPr>
        <w:t>人</w:t>
      </w:r>
      <w:r>
        <w:rPr>
          <w:rStyle w:val="37"/>
          <w:rFonts w:hint="eastAsia" w:ascii="宋体" w:hAnsi="宋体" w:eastAsia="宋体" w:cs="宋体"/>
          <w:bCs/>
          <w:caps w:val="0"/>
          <w:color w:val="000000" w:themeColor="text1"/>
          <w:spacing w:val="0"/>
          <w:sz w:val="24"/>
          <w:szCs w:val="24"/>
          <w:highlight w:val="none"/>
          <w14:textFill>
            <w14:solidFill>
              <w14:schemeClr w14:val="tx1"/>
            </w14:solidFill>
          </w14:textFill>
        </w:rPr>
        <w:t>：</w:t>
      </w:r>
      <w:r>
        <w:rPr>
          <w:rStyle w:val="37"/>
          <w:rFonts w:hint="eastAsia" w:ascii="宋体" w:hAnsi="宋体" w:eastAsia="宋体" w:cs="宋体"/>
          <w:bCs/>
          <w:caps w:val="0"/>
          <w:color w:val="000000" w:themeColor="text1"/>
          <w:spacing w:val="0"/>
          <w:sz w:val="24"/>
          <w:szCs w:val="24"/>
          <w:highlight w:val="none"/>
          <w:lang w:eastAsia="zh-CN"/>
          <w14:textFill>
            <w14:solidFill>
              <w14:schemeClr w14:val="tx1"/>
            </w14:solidFill>
          </w14:textFill>
        </w:rPr>
        <w:t>王素兰</w:t>
      </w:r>
    </w:p>
    <w:p w14:paraId="22449A99">
      <w:pPr>
        <w:keepNext w:val="0"/>
        <w:keepLines w:val="0"/>
        <w:pageBreakBefore w:val="0"/>
        <w:widowControl w:val="0"/>
        <w:kinsoku/>
        <w:wordWrap/>
        <w:overflowPunct/>
        <w:topLinePunct w:val="0"/>
        <w:autoSpaceDE/>
        <w:autoSpaceDN/>
        <w:bidi w:val="0"/>
        <w:adjustRightInd/>
        <w:snapToGrid w:val="0"/>
        <w:spacing w:line="600" w:lineRule="exact"/>
        <w:textAlignment w:val="auto"/>
        <w:rPr>
          <w:rStyle w:val="37"/>
          <w:rFonts w:hint="eastAsia" w:ascii="宋体" w:hAnsi="宋体" w:eastAsia="宋体" w:cs="宋体"/>
          <w:bCs/>
          <w:caps w:val="0"/>
          <w:color w:val="000000" w:themeColor="text1"/>
          <w:spacing w:val="0"/>
          <w:sz w:val="24"/>
          <w:szCs w:val="24"/>
          <w:highlight w:val="none"/>
          <w:lang w:val="en-US" w:eastAsia="zh-CN"/>
          <w14:textFill>
            <w14:solidFill>
              <w14:schemeClr w14:val="tx1"/>
            </w14:solidFill>
          </w14:textFill>
        </w:rPr>
      </w:pPr>
      <w:r>
        <w:rPr>
          <w:rStyle w:val="37"/>
          <w:rFonts w:hint="eastAsia" w:ascii="宋体" w:hAnsi="宋体" w:eastAsia="宋体" w:cs="宋体"/>
          <w:bCs/>
          <w:caps w:val="0"/>
          <w:color w:val="000000" w:themeColor="text1"/>
          <w:spacing w:val="0"/>
          <w:kern w:val="0"/>
          <w:sz w:val="24"/>
          <w:szCs w:val="24"/>
          <w:highlight w:val="none"/>
          <w14:textFill>
            <w14:solidFill>
              <w14:schemeClr w14:val="tx1"/>
            </w14:solidFill>
          </w14:textFill>
        </w:rPr>
        <w:t>电</w:t>
      </w:r>
      <w:r>
        <w:rPr>
          <w:rStyle w:val="37"/>
          <w:rFonts w:hint="eastAsia" w:ascii="宋体" w:hAnsi="宋体" w:eastAsia="宋体" w:cs="宋体"/>
          <w:bCs/>
          <w:caps w:val="0"/>
          <w:color w:val="000000" w:themeColor="text1"/>
          <w:spacing w:val="0"/>
          <w:kern w:val="0"/>
          <w:sz w:val="24"/>
          <w:szCs w:val="24"/>
          <w:highlight w:val="none"/>
          <w:lang w:val="en-US" w:eastAsia="zh-CN"/>
          <w14:textFill>
            <w14:solidFill>
              <w14:schemeClr w14:val="tx1"/>
            </w14:solidFill>
          </w14:textFill>
        </w:rPr>
        <w:t xml:space="preserve">          </w:t>
      </w:r>
      <w:r>
        <w:rPr>
          <w:rStyle w:val="37"/>
          <w:rFonts w:hint="eastAsia" w:ascii="宋体" w:hAnsi="宋体" w:eastAsia="宋体" w:cs="宋体"/>
          <w:bCs/>
          <w:caps w:val="0"/>
          <w:color w:val="000000" w:themeColor="text1"/>
          <w:spacing w:val="0"/>
          <w:kern w:val="0"/>
          <w:sz w:val="24"/>
          <w:szCs w:val="24"/>
          <w:highlight w:val="none"/>
          <w14:textFill>
            <w14:solidFill>
              <w14:schemeClr w14:val="tx1"/>
            </w14:solidFill>
          </w14:textFill>
        </w:rPr>
        <w:t>话</w:t>
      </w:r>
      <w:r>
        <w:rPr>
          <w:rStyle w:val="37"/>
          <w:rFonts w:hint="eastAsia" w:ascii="宋体" w:hAnsi="宋体" w:eastAsia="宋体" w:cs="宋体"/>
          <w:bCs/>
          <w:caps w:val="0"/>
          <w:color w:val="000000" w:themeColor="text1"/>
          <w:spacing w:val="0"/>
          <w:sz w:val="24"/>
          <w:szCs w:val="24"/>
          <w:highlight w:val="none"/>
          <w14:textFill>
            <w14:solidFill>
              <w14:schemeClr w14:val="tx1"/>
            </w14:solidFill>
          </w14:textFill>
        </w:rPr>
        <w:t>：</w:t>
      </w:r>
      <w:r>
        <w:rPr>
          <w:rStyle w:val="37"/>
          <w:rFonts w:hint="eastAsia" w:ascii="宋体" w:hAnsi="宋体" w:eastAsia="宋体" w:cs="宋体"/>
          <w:bCs/>
          <w:caps w:val="0"/>
          <w:color w:val="000000" w:themeColor="text1"/>
          <w:spacing w:val="0"/>
          <w:sz w:val="24"/>
          <w:szCs w:val="24"/>
          <w:highlight w:val="none"/>
          <w:lang w:val="en-US" w:eastAsia="zh-CN"/>
          <w14:textFill>
            <w14:solidFill>
              <w14:schemeClr w14:val="tx1"/>
            </w14:solidFill>
          </w14:textFill>
        </w:rPr>
        <w:t>15001633288</w:t>
      </w:r>
    </w:p>
    <w:p w14:paraId="2B7C4709">
      <w:pPr>
        <w:keepNext w:val="0"/>
        <w:keepLines w:val="0"/>
        <w:pageBreakBefore w:val="0"/>
        <w:widowControl w:val="0"/>
        <w:kinsoku/>
        <w:wordWrap/>
        <w:overflowPunct/>
        <w:topLinePunct w:val="0"/>
        <w:autoSpaceDE/>
        <w:autoSpaceDN/>
        <w:bidi w:val="0"/>
        <w:adjustRightInd/>
        <w:snapToGrid w:val="0"/>
        <w:spacing w:line="600" w:lineRule="exact"/>
        <w:textAlignment w:val="auto"/>
        <w:rPr>
          <w:rStyle w:val="37"/>
          <w:rFonts w:hint="eastAsia" w:ascii="宋体" w:hAnsi="宋体" w:eastAsia="宋体" w:cs="宋体"/>
          <w:bCs/>
          <w:caps w:val="0"/>
          <w:color w:val="000000" w:themeColor="text1"/>
          <w:spacing w:val="0"/>
          <w:sz w:val="24"/>
          <w:szCs w:val="24"/>
          <w:highlight w:val="none"/>
          <w:lang w:eastAsia="zh-CN"/>
          <w14:textFill>
            <w14:solidFill>
              <w14:schemeClr w14:val="tx1"/>
            </w14:solidFill>
          </w14:textFill>
        </w:rPr>
      </w:pPr>
      <w:r>
        <w:rPr>
          <w:rStyle w:val="37"/>
          <w:rFonts w:hint="eastAsia" w:ascii="宋体" w:hAnsi="宋体" w:eastAsia="宋体" w:cs="宋体"/>
          <w:bCs/>
          <w:caps w:val="0"/>
          <w:color w:val="000000" w:themeColor="text1"/>
          <w:spacing w:val="0"/>
          <w:kern w:val="0"/>
          <w:sz w:val="24"/>
          <w:szCs w:val="24"/>
          <w:highlight w:val="none"/>
          <w14:textFill>
            <w14:solidFill>
              <w14:schemeClr w14:val="tx1"/>
            </w14:solidFill>
          </w14:textFill>
        </w:rPr>
        <w:t>详</w:t>
      </w:r>
      <w:r>
        <w:rPr>
          <w:rStyle w:val="37"/>
          <w:rFonts w:hint="eastAsia" w:ascii="宋体" w:hAnsi="宋体" w:eastAsia="宋体" w:cs="宋体"/>
          <w:bCs/>
          <w:caps w:val="0"/>
          <w:color w:val="000000" w:themeColor="text1"/>
          <w:spacing w:val="0"/>
          <w:kern w:val="0"/>
          <w:sz w:val="24"/>
          <w:szCs w:val="24"/>
          <w:highlight w:val="none"/>
          <w:lang w:val="en-US" w:eastAsia="zh-CN"/>
          <w14:textFill>
            <w14:solidFill>
              <w14:schemeClr w14:val="tx1"/>
            </w14:solidFill>
          </w14:textFill>
        </w:rPr>
        <w:t xml:space="preserve">  </w:t>
      </w:r>
      <w:r>
        <w:rPr>
          <w:rStyle w:val="37"/>
          <w:rFonts w:hint="eastAsia" w:ascii="宋体" w:hAnsi="宋体" w:eastAsia="宋体" w:cs="宋体"/>
          <w:bCs/>
          <w:caps w:val="0"/>
          <w:color w:val="000000" w:themeColor="text1"/>
          <w:spacing w:val="0"/>
          <w:kern w:val="0"/>
          <w:sz w:val="24"/>
          <w:szCs w:val="24"/>
          <w:highlight w:val="none"/>
          <w14:textFill>
            <w14:solidFill>
              <w14:schemeClr w14:val="tx1"/>
            </w14:solidFill>
          </w14:textFill>
        </w:rPr>
        <w:t>细</w:t>
      </w:r>
      <w:r>
        <w:rPr>
          <w:rStyle w:val="37"/>
          <w:rFonts w:hint="eastAsia" w:ascii="宋体" w:hAnsi="宋体" w:eastAsia="宋体" w:cs="宋体"/>
          <w:bCs/>
          <w:caps w:val="0"/>
          <w:color w:val="000000" w:themeColor="text1"/>
          <w:spacing w:val="0"/>
          <w:kern w:val="0"/>
          <w:sz w:val="24"/>
          <w:szCs w:val="24"/>
          <w:highlight w:val="none"/>
          <w:lang w:val="en-US" w:eastAsia="zh-CN"/>
          <w14:textFill>
            <w14:solidFill>
              <w14:schemeClr w14:val="tx1"/>
            </w14:solidFill>
          </w14:textFill>
        </w:rPr>
        <w:t xml:space="preserve">  </w:t>
      </w:r>
      <w:r>
        <w:rPr>
          <w:rStyle w:val="37"/>
          <w:rFonts w:hint="eastAsia" w:ascii="宋体" w:hAnsi="宋体" w:eastAsia="宋体" w:cs="宋体"/>
          <w:bCs/>
          <w:caps w:val="0"/>
          <w:color w:val="000000" w:themeColor="text1"/>
          <w:spacing w:val="0"/>
          <w:kern w:val="0"/>
          <w:sz w:val="24"/>
          <w:szCs w:val="24"/>
          <w:highlight w:val="none"/>
          <w14:textFill>
            <w14:solidFill>
              <w14:schemeClr w14:val="tx1"/>
            </w14:solidFill>
          </w14:textFill>
        </w:rPr>
        <w:t>地</w:t>
      </w:r>
      <w:r>
        <w:rPr>
          <w:rStyle w:val="37"/>
          <w:rFonts w:hint="eastAsia" w:ascii="宋体" w:hAnsi="宋体" w:eastAsia="宋体" w:cs="宋体"/>
          <w:bCs/>
          <w:caps w:val="0"/>
          <w:color w:val="000000" w:themeColor="text1"/>
          <w:spacing w:val="0"/>
          <w:kern w:val="0"/>
          <w:sz w:val="24"/>
          <w:szCs w:val="24"/>
          <w:highlight w:val="none"/>
          <w:lang w:val="en-US" w:eastAsia="zh-CN"/>
          <w14:textFill>
            <w14:solidFill>
              <w14:schemeClr w14:val="tx1"/>
            </w14:solidFill>
          </w14:textFill>
        </w:rPr>
        <w:t xml:space="preserve">  </w:t>
      </w:r>
      <w:r>
        <w:rPr>
          <w:rStyle w:val="37"/>
          <w:rFonts w:hint="eastAsia" w:ascii="宋体" w:hAnsi="宋体" w:eastAsia="宋体" w:cs="宋体"/>
          <w:bCs/>
          <w:caps w:val="0"/>
          <w:color w:val="000000" w:themeColor="text1"/>
          <w:spacing w:val="0"/>
          <w:kern w:val="0"/>
          <w:sz w:val="24"/>
          <w:szCs w:val="24"/>
          <w:highlight w:val="none"/>
          <w14:textFill>
            <w14:solidFill>
              <w14:schemeClr w14:val="tx1"/>
            </w14:solidFill>
          </w14:textFill>
        </w:rPr>
        <w:t>址</w:t>
      </w:r>
      <w:r>
        <w:rPr>
          <w:rStyle w:val="37"/>
          <w:rFonts w:hint="eastAsia" w:ascii="宋体" w:hAnsi="宋体" w:eastAsia="宋体" w:cs="宋体"/>
          <w:bCs/>
          <w:caps w:val="0"/>
          <w:color w:val="000000" w:themeColor="text1"/>
          <w:spacing w:val="0"/>
          <w:sz w:val="24"/>
          <w:szCs w:val="24"/>
          <w:highlight w:val="none"/>
          <w14:textFill>
            <w14:solidFill>
              <w14:schemeClr w14:val="tx1"/>
            </w14:solidFill>
          </w14:textFill>
        </w:rPr>
        <w:t>：</w:t>
      </w:r>
      <w:r>
        <w:rPr>
          <w:rStyle w:val="37"/>
          <w:rFonts w:hint="eastAsia" w:ascii="宋体" w:hAnsi="宋体" w:eastAsia="宋体" w:cs="宋体"/>
          <w:bCs/>
          <w:caps w:val="0"/>
          <w:color w:val="000000" w:themeColor="text1"/>
          <w:spacing w:val="0"/>
          <w:sz w:val="24"/>
          <w:szCs w:val="24"/>
          <w:highlight w:val="none"/>
          <w:lang w:eastAsia="zh-CN"/>
          <w14:textFill>
            <w14:solidFill>
              <w14:schemeClr w14:val="tx1"/>
            </w14:solidFill>
          </w14:textFill>
        </w:rPr>
        <w:t>沙湾市</w:t>
      </w:r>
    </w:p>
    <w:p w14:paraId="25EDE0ED">
      <w:pPr>
        <w:pStyle w:val="35"/>
        <w:keepNext w:val="0"/>
        <w:keepLines w:val="0"/>
        <w:pageBreakBefore w:val="0"/>
        <w:widowControl w:val="0"/>
        <w:kinsoku/>
        <w:wordWrap/>
        <w:overflowPunct/>
        <w:topLinePunct w:val="0"/>
        <w:autoSpaceDE/>
        <w:autoSpaceDN/>
        <w:bidi w:val="0"/>
        <w:adjustRightInd/>
        <w:spacing w:before="0" w:beforeLines="0" w:after="0" w:afterLines="0"/>
        <w:ind w:firstLine="840" w:firstLineChars="400"/>
        <w:textAlignment w:val="auto"/>
        <w:rPr>
          <w:rFonts w:hint="eastAsia" w:ascii="宋体" w:hAnsi="宋体" w:eastAsia="宋体" w:cs="宋体"/>
          <w:color w:val="000000" w:themeColor="text1"/>
          <w:highlight w:val="none"/>
          <w14:textFill>
            <w14:solidFill>
              <w14:schemeClr w14:val="tx1"/>
            </w14:solidFill>
          </w14:textFill>
        </w:rPr>
      </w:pPr>
    </w:p>
    <w:p w14:paraId="4EBD899F">
      <w:pPr>
        <w:pStyle w:val="36"/>
        <w:keepNext w:val="0"/>
        <w:keepLines w:val="0"/>
        <w:pageBreakBefore w:val="0"/>
        <w:widowControl w:val="0"/>
        <w:kinsoku/>
        <w:wordWrap/>
        <w:overflowPunct/>
        <w:topLinePunct w:val="0"/>
        <w:autoSpaceDE/>
        <w:autoSpaceDN/>
        <w:bidi w:val="0"/>
        <w:adjustRightInd/>
        <w:spacing w:before="0" w:beforeLines="0" w:after="0" w:afterLines="0"/>
        <w:ind w:firstLine="840" w:firstLineChars="400"/>
        <w:textAlignment w:val="auto"/>
        <w:rPr>
          <w:rFonts w:hint="eastAsia" w:ascii="宋体" w:hAnsi="宋体" w:eastAsia="宋体" w:cs="宋体"/>
          <w:color w:val="000000" w:themeColor="text1"/>
          <w:highlight w:val="none"/>
          <w14:textFill>
            <w14:solidFill>
              <w14:schemeClr w14:val="tx1"/>
            </w14:solidFill>
          </w14:textFill>
        </w:rPr>
      </w:pPr>
    </w:p>
    <w:p w14:paraId="15825D75">
      <w:pPr>
        <w:keepNext w:val="0"/>
        <w:keepLines w:val="0"/>
        <w:pageBreakBefore w:val="0"/>
        <w:widowControl w:val="0"/>
        <w:kinsoku/>
        <w:wordWrap/>
        <w:overflowPunct/>
        <w:topLinePunct w:val="0"/>
        <w:autoSpaceDE/>
        <w:autoSpaceDN/>
        <w:bidi w:val="0"/>
        <w:adjustRightInd/>
        <w:snapToGrid w:val="0"/>
        <w:spacing w:line="480" w:lineRule="auto"/>
        <w:textAlignment w:val="auto"/>
        <w:rPr>
          <w:rStyle w:val="37"/>
          <w:rFonts w:hint="eastAsia" w:ascii="宋体" w:hAnsi="宋体" w:eastAsia="宋体" w:cs="宋体"/>
          <w:bCs/>
          <w:color w:val="000000" w:themeColor="text1"/>
          <w:sz w:val="24"/>
          <w:highlight w:val="none"/>
          <w14:textFill>
            <w14:solidFill>
              <w14:schemeClr w14:val="tx1"/>
            </w14:solidFill>
          </w14:textFill>
        </w:rPr>
      </w:pPr>
      <w:r>
        <w:rPr>
          <w:rStyle w:val="37"/>
          <w:rFonts w:hint="eastAsia" w:ascii="宋体" w:hAnsi="宋体" w:eastAsia="宋体" w:cs="宋体"/>
          <w:bCs/>
          <w:color w:val="000000" w:themeColor="text1"/>
          <w:sz w:val="24"/>
          <w:highlight w:val="none"/>
          <w14:textFill>
            <w14:solidFill>
              <w14:schemeClr w14:val="tx1"/>
            </w14:solidFill>
          </w14:textFill>
        </w:rPr>
        <w:t>采购代理机构（</w:t>
      </w:r>
      <w:r>
        <w:rPr>
          <w:rStyle w:val="37"/>
          <w:rFonts w:hint="eastAsia" w:ascii="宋体" w:hAnsi="宋体" w:eastAsia="宋体" w:cs="宋体"/>
          <w:bCs/>
          <w:color w:val="000000" w:themeColor="text1"/>
          <w:sz w:val="24"/>
          <w:highlight w:val="none"/>
          <w:lang w:eastAsia="zh-CN"/>
          <w14:textFill>
            <w14:solidFill>
              <w14:schemeClr w14:val="tx1"/>
            </w14:solidFill>
          </w14:textFill>
        </w:rPr>
        <w:t>盖公章</w:t>
      </w:r>
      <w:r>
        <w:rPr>
          <w:rStyle w:val="37"/>
          <w:rFonts w:hint="eastAsia" w:ascii="宋体" w:hAnsi="宋体" w:eastAsia="宋体" w:cs="宋体"/>
          <w:bCs/>
          <w:color w:val="000000" w:themeColor="text1"/>
          <w:sz w:val="24"/>
          <w:highlight w:val="none"/>
          <w14:textFill>
            <w14:solidFill>
              <w14:schemeClr w14:val="tx1"/>
            </w14:solidFill>
          </w14:textFill>
        </w:rPr>
        <w:t>）:新疆拓源工程管理咨询有限公司</w:t>
      </w:r>
    </w:p>
    <w:p w14:paraId="4FA4C207">
      <w:pPr>
        <w:keepNext w:val="0"/>
        <w:keepLines w:val="0"/>
        <w:pageBreakBefore w:val="0"/>
        <w:widowControl w:val="0"/>
        <w:kinsoku/>
        <w:wordWrap/>
        <w:overflowPunct/>
        <w:topLinePunct w:val="0"/>
        <w:autoSpaceDE/>
        <w:autoSpaceDN/>
        <w:bidi w:val="0"/>
        <w:adjustRightInd/>
        <w:snapToGrid w:val="0"/>
        <w:spacing w:line="480" w:lineRule="auto"/>
        <w:jc w:val="left"/>
        <w:textAlignment w:val="auto"/>
        <w:rPr>
          <w:rStyle w:val="37"/>
          <w:rFonts w:hint="eastAsia" w:ascii="宋体" w:hAnsi="宋体" w:eastAsia="宋体" w:cs="宋体"/>
          <w:bCs/>
          <w:color w:val="000000" w:themeColor="text1"/>
          <w:sz w:val="24"/>
          <w:highlight w:val="none"/>
          <w14:textFill>
            <w14:solidFill>
              <w14:schemeClr w14:val="tx1"/>
            </w14:solidFill>
          </w14:textFill>
        </w:rPr>
      </w:pPr>
      <w:r>
        <w:rPr>
          <w:rStyle w:val="37"/>
          <w:rFonts w:hint="eastAsia" w:ascii="宋体" w:hAnsi="宋体" w:eastAsia="宋体" w:cs="宋体"/>
          <w:bCs/>
          <w:color w:val="000000" w:themeColor="text1"/>
          <w:spacing w:val="35"/>
          <w:kern w:val="0"/>
          <w:sz w:val="24"/>
          <w:highlight w:val="none"/>
          <w14:textFill>
            <w14:solidFill>
              <w14:schemeClr w14:val="tx1"/>
            </w14:solidFill>
          </w14:textFill>
        </w:rPr>
        <w:t>项 目 联系人</w:t>
      </w:r>
      <w:r>
        <w:rPr>
          <w:rStyle w:val="37"/>
          <w:rFonts w:hint="eastAsia" w:ascii="宋体" w:hAnsi="宋体" w:eastAsia="宋体" w:cs="宋体"/>
          <w:bCs/>
          <w:color w:val="000000" w:themeColor="text1"/>
          <w:sz w:val="24"/>
          <w:highlight w:val="none"/>
          <w14:textFill>
            <w14:solidFill>
              <w14:schemeClr w14:val="tx1"/>
            </w14:solidFill>
          </w14:textFill>
        </w:rPr>
        <w:t>：</w:t>
      </w:r>
      <w:r>
        <w:rPr>
          <w:rStyle w:val="37"/>
          <w:rFonts w:hint="eastAsia" w:ascii="宋体" w:hAnsi="宋体" w:eastAsia="宋体" w:cs="宋体"/>
          <w:bCs/>
          <w:color w:val="000000" w:themeColor="text1"/>
          <w:sz w:val="24"/>
          <w:highlight w:val="none"/>
          <w:lang w:val="en-US" w:eastAsia="zh-CN"/>
          <w14:textFill>
            <w14:solidFill>
              <w14:schemeClr w14:val="tx1"/>
            </w14:solidFill>
          </w14:textFill>
        </w:rPr>
        <w:t>杨工</w:t>
      </w:r>
    </w:p>
    <w:p w14:paraId="0FA41A65">
      <w:pPr>
        <w:keepNext w:val="0"/>
        <w:keepLines w:val="0"/>
        <w:pageBreakBefore w:val="0"/>
        <w:widowControl w:val="0"/>
        <w:kinsoku/>
        <w:wordWrap/>
        <w:overflowPunct/>
        <w:topLinePunct w:val="0"/>
        <w:autoSpaceDE/>
        <w:autoSpaceDN/>
        <w:bidi w:val="0"/>
        <w:adjustRightInd/>
        <w:snapToGrid w:val="0"/>
        <w:spacing w:line="480" w:lineRule="auto"/>
        <w:jc w:val="left"/>
        <w:textAlignment w:val="auto"/>
        <w:rPr>
          <w:rStyle w:val="37"/>
          <w:rFonts w:hint="eastAsia" w:ascii="宋体" w:hAnsi="宋体" w:eastAsia="宋体" w:cs="宋体"/>
          <w:bCs/>
          <w:color w:val="000000" w:themeColor="text1"/>
          <w:sz w:val="24"/>
          <w:highlight w:val="none"/>
          <w:lang w:val="en-US" w:eastAsia="zh-CN"/>
          <w14:textFill>
            <w14:solidFill>
              <w14:schemeClr w14:val="tx1"/>
            </w14:solidFill>
          </w14:textFill>
        </w:rPr>
      </w:pPr>
      <w:r>
        <w:rPr>
          <w:rStyle w:val="37"/>
          <w:rFonts w:hint="eastAsia" w:ascii="宋体" w:hAnsi="宋体" w:eastAsia="宋体" w:cs="宋体"/>
          <w:bCs/>
          <w:color w:val="000000" w:themeColor="text1"/>
          <w:kern w:val="0"/>
          <w:sz w:val="24"/>
          <w:highlight w:val="none"/>
          <w:lang w:val="en-US" w:eastAsia="zh-CN"/>
          <w14:textFill>
            <w14:solidFill>
              <w14:schemeClr w14:val="tx1"/>
            </w14:solidFill>
          </w14:textFill>
        </w:rPr>
        <w:t xml:space="preserve">电  </w:t>
      </w:r>
      <w:r>
        <w:rPr>
          <w:rStyle w:val="37"/>
          <w:rFonts w:hint="eastAsia" w:ascii="宋体" w:hAnsi="宋体" w:eastAsia="宋体" w:cs="宋体"/>
          <w:bCs/>
          <w:color w:val="000000" w:themeColor="text1"/>
          <w:kern w:val="0"/>
          <w:sz w:val="24"/>
          <w:highlight w:val="none"/>
          <w14:textFill>
            <w14:solidFill>
              <w14:schemeClr w14:val="tx1"/>
            </w14:solidFill>
          </w14:textFill>
        </w:rPr>
        <w:t>话</w:t>
      </w:r>
      <w:r>
        <w:rPr>
          <w:rStyle w:val="37"/>
          <w:rFonts w:hint="eastAsia" w:ascii="宋体" w:hAnsi="宋体" w:eastAsia="宋体" w:cs="宋体"/>
          <w:bCs/>
          <w:color w:val="000000" w:themeColor="text1"/>
          <w:sz w:val="24"/>
          <w:highlight w:val="none"/>
          <w14:textFill>
            <w14:solidFill>
              <w14:schemeClr w14:val="tx1"/>
            </w14:solidFill>
          </w14:textFill>
        </w:rPr>
        <w:t>：</w:t>
      </w:r>
      <w:r>
        <w:rPr>
          <w:rStyle w:val="37"/>
          <w:rFonts w:hint="eastAsia" w:ascii="宋体" w:hAnsi="宋体" w:eastAsia="宋体" w:cs="宋体"/>
          <w:bCs/>
          <w:color w:val="000000" w:themeColor="text1"/>
          <w:sz w:val="24"/>
          <w:highlight w:val="none"/>
          <w:lang w:eastAsia="zh-CN"/>
          <w14:textFill>
            <w14:solidFill>
              <w14:schemeClr w14:val="tx1"/>
            </w14:solidFill>
          </w14:textFill>
        </w:rPr>
        <w:t>15199586230、19999795598</w:t>
      </w:r>
    </w:p>
    <w:p w14:paraId="0BC9703E">
      <w:pPr>
        <w:keepNext w:val="0"/>
        <w:keepLines w:val="0"/>
        <w:pageBreakBefore w:val="0"/>
        <w:widowControl w:val="0"/>
        <w:kinsoku/>
        <w:wordWrap/>
        <w:overflowPunct/>
        <w:topLinePunct w:val="0"/>
        <w:autoSpaceDE/>
        <w:autoSpaceDN/>
        <w:bidi w:val="0"/>
        <w:adjustRightInd/>
        <w:snapToGrid w:val="0"/>
        <w:spacing w:line="480" w:lineRule="auto"/>
        <w:textAlignment w:val="auto"/>
        <w:rPr>
          <w:rStyle w:val="37"/>
          <w:rFonts w:hint="eastAsia" w:ascii="宋体" w:hAnsi="宋体" w:eastAsia="宋体" w:cs="宋体"/>
          <w:bCs/>
          <w:color w:val="000000" w:themeColor="text1"/>
          <w:sz w:val="24"/>
          <w:highlight w:val="none"/>
          <w14:textFill>
            <w14:solidFill>
              <w14:schemeClr w14:val="tx1"/>
            </w14:solidFill>
          </w14:textFill>
        </w:rPr>
      </w:pPr>
      <w:r>
        <w:rPr>
          <w:rStyle w:val="37"/>
          <w:rFonts w:hint="eastAsia" w:ascii="宋体" w:hAnsi="宋体" w:eastAsia="宋体" w:cs="宋体"/>
          <w:bCs/>
          <w:color w:val="000000" w:themeColor="text1"/>
          <w:spacing w:val="93"/>
          <w:kern w:val="0"/>
          <w:sz w:val="24"/>
          <w:highlight w:val="none"/>
          <w14:textFill>
            <w14:solidFill>
              <w14:schemeClr w14:val="tx1"/>
            </w14:solidFill>
          </w14:textFill>
        </w:rPr>
        <w:t>详细地</w:t>
      </w:r>
      <w:r>
        <w:rPr>
          <w:rStyle w:val="37"/>
          <w:rFonts w:hint="eastAsia" w:ascii="宋体" w:hAnsi="宋体" w:eastAsia="宋体" w:cs="宋体"/>
          <w:bCs/>
          <w:color w:val="000000" w:themeColor="text1"/>
          <w:spacing w:val="1"/>
          <w:kern w:val="0"/>
          <w:sz w:val="24"/>
          <w:highlight w:val="none"/>
          <w14:textFill>
            <w14:solidFill>
              <w14:schemeClr w14:val="tx1"/>
            </w14:solidFill>
          </w14:textFill>
        </w:rPr>
        <w:t>址：</w:t>
      </w:r>
      <w:r>
        <w:rPr>
          <w:rStyle w:val="37"/>
          <w:rFonts w:hint="eastAsia" w:ascii="宋体" w:hAnsi="宋体" w:eastAsia="宋体" w:cs="宋体"/>
          <w:bCs/>
          <w:color w:val="000000" w:themeColor="text1"/>
          <w:sz w:val="24"/>
          <w:highlight w:val="none"/>
          <w14:textFill>
            <w14:solidFill>
              <w14:schemeClr w14:val="tx1"/>
            </w14:solidFill>
          </w14:textFill>
        </w:rPr>
        <w:t>乌鲁木齐市水磨沟区龙盛街898号万科中央公园S6栋5层</w:t>
      </w:r>
    </w:p>
    <w:p w14:paraId="46F3C364">
      <w:pPr>
        <w:pStyle w:val="4"/>
        <w:rPr>
          <w:rFonts w:hint="eastAsia" w:ascii="宋体" w:hAnsi="宋体" w:eastAsia="宋体" w:cs="宋体"/>
          <w:color w:val="000000" w:themeColor="text1"/>
          <w14:textFill>
            <w14:solidFill>
              <w14:schemeClr w14:val="tx1"/>
            </w14:solidFill>
          </w14:textFill>
        </w:rPr>
        <w:sectPr>
          <w:headerReference r:id="rId3" w:type="default"/>
          <w:pgSz w:w="11907" w:h="16840"/>
          <w:pgMar w:top="1440" w:right="1803" w:bottom="1440" w:left="1803" w:header="851" w:footer="992" w:gutter="0"/>
          <w:pgNumType w:start="1"/>
          <w:cols w:space="720" w:num="1"/>
          <w:docGrid w:linePitch="312" w:charSpace="0"/>
        </w:sectPr>
      </w:pPr>
      <w:bookmarkStart w:id="0" w:name="_Toc31371"/>
    </w:p>
    <w:p w14:paraId="1E848265">
      <w:pPr>
        <w:snapToGrid w:val="0"/>
        <w:spacing w:after="120" w:line="540" w:lineRule="exact"/>
        <w:jc w:val="both"/>
        <w:rPr>
          <w:rFonts w:hint="eastAsia" w:ascii="宋体" w:hAnsi="宋体" w:eastAsia="宋体" w:cs="宋体"/>
          <w:caps w:val="0"/>
          <w:color w:val="000000" w:themeColor="text1"/>
          <w:spacing w:val="0"/>
          <w:sz w:val="24"/>
          <w:szCs w:val="24"/>
          <w:highlight w:val="none"/>
          <w14:textFill>
            <w14:solidFill>
              <w14:schemeClr w14:val="tx1"/>
            </w14:solidFill>
          </w14:textFill>
        </w:rPr>
      </w:pPr>
    </w:p>
    <w:p w14:paraId="4E1F8933">
      <w:pPr>
        <w:snapToGrid w:val="0"/>
        <w:spacing w:after="120" w:line="480" w:lineRule="auto"/>
        <w:jc w:val="left"/>
        <w:rPr>
          <w:rFonts w:hint="eastAsia" w:ascii="宋体" w:hAnsi="宋体" w:eastAsia="宋体" w:cs="宋体"/>
          <w:caps w:val="0"/>
          <w:color w:val="000000" w:themeColor="text1"/>
          <w:spacing w:val="0"/>
          <w:sz w:val="24"/>
          <w:szCs w:val="24"/>
          <w:highlight w:val="none"/>
          <w:lang w:val="en-US" w:eastAsia="zh-CN"/>
          <w14:textFill>
            <w14:solidFill>
              <w14:schemeClr w14:val="tx1"/>
            </w14:solidFill>
          </w14:textFill>
        </w:rPr>
      </w:pPr>
      <w:r>
        <w:rPr>
          <w:rFonts w:hint="eastAsia" w:ascii="宋体" w:hAnsi="宋体" w:eastAsia="宋体" w:cs="宋体"/>
          <w:caps w:val="0"/>
          <w:color w:val="000000" w:themeColor="text1"/>
          <w:spacing w:val="0"/>
          <w:sz w:val="24"/>
          <w:szCs w:val="24"/>
          <w:highlight w:val="none"/>
          <w14:textFill>
            <w14:solidFill>
              <w14:schemeClr w14:val="tx1"/>
            </w14:solidFill>
          </w14:textFill>
        </w:rPr>
        <w:t xml:space="preserve">            </w:t>
      </w:r>
      <w:r>
        <w:rPr>
          <w:rFonts w:hint="eastAsia" w:ascii="宋体" w:hAnsi="宋体" w:eastAsia="宋体" w:cs="宋体"/>
          <w:caps w:val="0"/>
          <w:color w:val="000000" w:themeColor="text1"/>
          <w:spacing w:val="0"/>
          <w:sz w:val="24"/>
          <w:szCs w:val="24"/>
          <w:highlight w:val="none"/>
          <w:lang w:val="en-US" w:eastAsia="zh-CN"/>
          <w14:textFill>
            <w14:solidFill>
              <w14:schemeClr w14:val="tx1"/>
            </w14:solidFill>
          </w14:textFill>
        </w:rPr>
        <w:t xml:space="preserve">   </w:t>
      </w:r>
    </w:p>
    <w:p w14:paraId="21E43EBE">
      <w:pPr>
        <w:snapToGrid w:val="0"/>
        <w:spacing w:after="120" w:line="480" w:lineRule="auto"/>
        <w:jc w:val="left"/>
        <w:rPr>
          <w:rFonts w:hint="eastAsia" w:ascii="宋体" w:hAnsi="宋体" w:eastAsia="宋体" w:cs="宋体"/>
          <w:caps w:val="0"/>
          <w:color w:val="000000" w:themeColor="text1"/>
          <w:spacing w:val="0"/>
          <w:sz w:val="24"/>
          <w:szCs w:val="24"/>
          <w:highlight w:val="none"/>
          <w:lang w:val="en-US" w:eastAsia="zh-CN"/>
          <w14:textFill>
            <w14:solidFill>
              <w14:schemeClr w14:val="tx1"/>
            </w14:solidFill>
          </w14:textFill>
        </w:rPr>
      </w:pPr>
    </w:p>
    <w:p w14:paraId="5E388639">
      <w:pPr>
        <w:snapToGrid w:val="0"/>
        <w:spacing w:after="120" w:line="480" w:lineRule="auto"/>
        <w:jc w:val="left"/>
        <w:rPr>
          <w:rFonts w:hint="eastAsia" w:ascii="宋体" w:hAnsi="宋体" w:eastAsia="宋体" w:cs="宋体"/>
          <w:caps w:val="0"/>
          <w:color w:val="000000" w:themeColor="text1"/>
          <w:spacing w:val="0"/>
          <w:sz w:val="24"/>
          <w:szCs w:val="24"/>
          <w:highlight w:val="none"/>
          <w:lang w:val="en-US" w:eastAsia="zh-CN"/>
          <w14:textFill>
            <w14:solidFill>
              <w14:schemeClr w14:val="tx1"/>
            </w14:solidFill>
          </w14:textFill>
        </w:rPr>
      </w:pPr>
    </w:p>
    <w:p w14:paraId="2A98867E">
      <w:pPr>
        <w:snapToGrid w:val="0"/>
        <w:spacing w:after="120" w:line="480" w:lineRule="auto"/>
        <w:ind w:firstLine="1920" w:firstLineChars="800"/>
        <w:jc w:val="left"/>
        <w:rPr>
          <w:rFonts w:hint="eastAsia" w:ascii="宋体" w:hAnsi="宋体" w:eastAsia="宋体" w:cs="宋体"/>
          <w:caps w:val="0"/>
          <w:color w:val="000000" w:themeColor="text1"/>
          <w:spacing w:val="0"/>
          <w:sz w:val="24"/>
          <w:szCs w:val="24"/>
          <w:highlight w:val="none"/>
          <w:lang w:val="en-US" w:eastAsia="zh-CN"/>
          <w14:textFill>
            <w14:solidFill>
              <w14:schemeClr w14:val="tx1"/>
            </w14:solidFill>
          </w14:textFill>
        </w:rPr>
      </w:pPr>
      <w:r>
        <w:rPr>
          <w:rFonts w:hint="eastAsia" w:ascii="宋体" w:hAnsi="宋体" w:eastAsia="宋体" w:cs="宋体"/>
          <w:caps w:val="0"/>
          <w:color w:val="000000" w:themeColor="text1"/>
          <w:spacing w:val="0"/>
          <w:sz w:val="24"/>
          <w:szCs w:val="24"/>
          <w:highlight w:val="none"/>
          <w14:textFill>
            <w14:solidFill>
              <w14:schemeClr w14:val="tx1"/>
            </w14:solidFill>
          </w14:textFill>
        </w:rPr>
        <w:t xml:space="preserve">文件编制 :  </w:t>
      </w:r>
      <w:r>
        <w:rPr>
          <w:rFonts w:hint="eastAsia" w:ascii="宋体" w:hAnsi="宋体" w:eastAsia="宋体" w:cs="宋体"/>
          <w:caps w:val="0"/>
          <w:color w:val="000000" w:themeColor="text1"/>
          <w:spacing w:val="0"/>
          <w:sz w:val="24"/>
          <w:szCs w:val="24"/>
          <w:highlight w:val="none"/>
          <w:lang w:val="en-US" w:eastAsia="zh-CN"/>
          <w14:textFill>
            <w14:solidFill>
              <w14:schemeClr w14:val="tx1"/>
            </w14:solidFill>
          </w14:textFill>
        </w:rPr>
        <w:t>杨治国</w:t>
      </w:r>
    </w:p>
    <w:p w14:paraId="6AF77FEB">
      <w:pPr>
        <w:snapToGrid w:val="0"/>
        <w:spacing w:after="120" w:line="480" w:lineRule="auto"/>
        <w:jc w:val="left"/>
        <w:rPr>
          <w:rFonts w:hint="eastAsia" w:ascii="宋体" w:hAnsi="宋体" w:eastAsia="宋体" w:cs="宋体"/>
          <w:caps w:val="0"/>
          <w:color w:val="000000" w:themeColor="text1"/>
          <w:spacing w:val="0"/>
          <w:sz w:val="24"/>
          <w:szCs w:val="24"/>
          <w:highlight w:val="none"/>
          <w:lang w:eastAsia="zh-CN"/>
          <w14:textFill>
            <w14:solidFill>
              <w14:schemeClr w14:val="tx1"/>
            </w14:solidFill>
          </w14:textFill>
        </w:rPr>
      </w:pPr>
      <w:r>
        <w:rPr>
          <w:rFonts w:hint="eastAsia" w:ascii="宋体" w:hAnsi="宋体" w:eastAsia="宋体" w:cs="宋体"/>
          <w:caps w:val="0"/>
          <w:color w:val="000000" w:themeColor="text1"/>
          <w:spacing w:val="0"/>
          <w:sz w:val="24"/>
          <w:szCs w:val="24"/>
          <w:highlight w:val="none"/>
          <w14:textFill>
            <w14:solidFill>
              <w14:schemeClr w14:val="tx1"/>
            </w14:solidFill>
          </w14:textFill>
        </w:rPr>
        <w:t xml:space="preserve">                文件复核 :  </w:t>
      </w:r>
      <w:r>
        <w:rPr>
          <w:rFonts w:hint="eastAsia" w:ascii="宋体" w:hAnsi="宋体" w:eastAsia="宋体" w:cs="宋体"/>
          <w:caps w:val="0"/>
          <w:color w:val="000000" w:themeColor="text1"/>
          <w:spacing w:val="0"/>
          <w:sz w:val="24"/>
          <w:szCs w:val="24"/>
          <w:highlight w:val="none"/>
          <w:lang w:val="en-US" w:eastAsia="zh-CN"/>
          <w14:textFill>
            <w14:solidFill>
              <w14:schemeClr w14:val="tx1"/>
            </w14:solidFill>
          </w14:textFill>
        </w:rPr>
        <w:t>娆扎</w:t>
      </w:r>
    </w:p>
    <w:p w14:paraId="3AD32290">
      <w:pPr>
        <w:snapToGrid w:val="0"/>
        <w:spacing w:after="120" w:line="480" w:lineRule="auto"/>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r>
        <w:rPr>
          <w:rFonts w:hint="eastAsia" w:ascii="宋体" w:hAnsi="宋体" w:eastAsia="宋体" w:cs="宋体"/>
          <w:caps w:val="0"/>
          <w:color w:val="000000" w:themeColor="text1"/>
          <w:spacing w:val="0"/>
          <w:sz w:val="24"/>
          <w:szCs w:val="24"/>
          <w:highlight w:val="none"/>
          <w14:textFill>
            <w14:solidFill>
              <w14:schemeClr w14:val="tx1"/>
            </w14:solidFill>
          </w14:textFill>
        </w:rPr>
        <w:t xml:space="preserve">                文件终审 :  娆扎   </w:t>
      </w:r>
    </w:p>
    <w:p w14:paraId="64C7AD8C">
      <w:pPr>
        <w:snapToGrid w:val="0"/>
        <w:spacing w:after="120" w:line="480" w:lineRule="auto"/>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r>
        <w:rPr>
          <w:rFonts w:hint="eastAsia" w:ascii="宋体" w:hAnsi="宋体" w:eastAsia="宋体" w:cs="宋体"/>
          <w:caps w:val="0"/>
          <w:color w:val="000000" w:themeColor="text1"/>
          <w:spacing w:val="0"/>
          <w:sz w:val="24"/>
          <w:szCs w:val="24"/>
          <w:highlight w:val="none"/>
          <w14:textFill>
            <w14:solidFill>
              <w14:schemeClr w14:val="tx1"/>
            </w14:solidFill>
          </w14:textFill>
        </w:rPr>
        <w:t xml:space="preserve">              </w:t>
      </w:r>
      <w:r>
        <w:rPr>
          <w:rFonts w:hint="eastAsia" w:ascii="宋体" w:hAnsi="宋体" w:eastAsia="宋体" w:cs="宋体"/>
          <w:caps w:val="0"/>
          <w:color w:val="000000" w:themeColor="text1"/>
          <w:spacing w:val="0"/>
          <w:sz w:val="24"/>
          <w:szCs w:val="24"/>
          <w:highlight w:val="none"/>
          <w:lang w:val="en-US" w:eastAsia="zh-CN"/>
          <w14:textFill>
            <w14:solidFill>
              <w14:schemeClr w14:val="tx1"/>
            </w14:solidFill>
          </w14:textFill>
        </w:rPr>
        <w:t xml:space="preserve">  </w:t>
      </w:r>
      <w:r>
        <w:rPr>
          <w:rFonts w:hint="eastAsia" w:ascii="宋体" w:hAnsi="宋体" w:eastAsia="宋体" w:cs="宋体"/>
          <w:caps w:val="0"/>
          <w:color w:val="000000" w:themeColor="text1"/>
          <w:spacing w:val="0"/>
          <w:sz w:val="24"/>
          <w:szCs w:val="24"/>
          <w:highlight w:val="none"/>
          <w14:textFill>
            <w14:solidFill>
              <w14:schemeClr w14:val="tx1"/>
            </w14:solidFill>
          </w14:textFill>
        </w:rPr>
        <w:t>法律顾问 :  杜  红</w:t>
      </w:r>
    </w:p>
    <w:p w14:paraId="35EFF656">
      <w:pPr>
        <w:snapToGrid w:val="0"/>
        <w:spacing w:after="120" w:line="540" w:lineRule="exact"/>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p>
    <w:p w14:paraId="716BCA7C">
      <w:pPr>
        <w:snapToGrid w:val="0"/>
        <w:spacing w:after="120" w:line="540" w:lineRule="exact"/>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p>
    <w:p w14:paraId="4F65FFBE">
      <w:pPr>
        <w:snapToGrid w:val="0"/>
        <w:spacing w:after="120" w:line="540" w:lineRule="exact"/>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p>
    <w:p w14:paraId="1B6BFA06">
      <w:pPr>
        <w:snapToGrid w:val="0"/>
        <w:spacing w:after="120" w:line="540" w:lineRule="exact"/>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p>
    <w:p w14:paraId="0EC5366B">
      <w:pPr>
        <w:snapToGrid w:val="0"/>
        <w:spacing w:after="120" w:line="540" w:lineRule="exact"/>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p>
    <w:p w14:paraId="1D7CF5A1">
      <w:pPr>
        <w:snapToGrid w:val="0"/>
        <w:spacing w:after="120" w:line="540" w:lineRule="exact"/>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p>
    <w:p w14:paraId="145A3A0B">
      <w:pPr>
        <w:snapToGrid w:val="0"/>
        <w:spacing w:after="120" w:line="540" w:lineRule="exact"/>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p>
    <w:p w14:paraId="5C3981CC">
      <w:pPr>
        <w:snapToGrid w:val="0"/>
        <w:spacing w:after="120" w:line="540" w:lineRule="exact"/>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p>
    <w:p w14:paraId="42AEC98D">
      <w:pPr>
        <w:snapToGrid w:val="0"/>
        <w:spacing w:after="120" w:line="540" w:lineRule="exact"/>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p>
    <w:p w14:paraId="3D27E185">
      <w:pPr>
        <w:snapToGrid w:val="0"/>
        <w:spacing w:after="120" w:line="540" w:lineRule="exact"/>
        <w:jc w:val="left"/>
        <w:rPr>
          <w:rFonts w:hint="eastAsia" w:ascii="宋体" w:hAnsi="宋体" w:eastAsia="宋体" w:cs="宋体"/>
          <w:caps w:val="0"/>
          <w:color w:val="000000" w:themeColor="text1"/>
          <w:spacing w:val="0"/>
          <w:sz w:val="24"/>
          <w:szCs w:val="24"/>
          <w:highlight w:val="none"/>
          <w14:textFill>
            <w14:solidFill>
              <w14:schemeClr w14:val="tx1"/>
            </w14:solidFill>
          </w14:textFill>
        </w:rPr>
      </w:pPr>
    </w:p>
    <w:p w14:paraId="06D64341">
      <w:pPr>
        <w:pStyle w:val="77"/>
        <w:snapToGrid w:val="0"/>
        <w:ind w:left="0"/>
        <w:rPr>
          <w:rStyle w:val="37"/>
          <w:rFonts w:hint="eastAsia" w:ascii="宋体" w:hAnsi="宋体" w:eastAsia="宋体" w:cs="宋体"/>
          <w:caps w:val="0"/>
          <w:color w:val="000000" w:themeColor="text1"/>
          <w:spacing w:val="0"/>
          <w:sz w:val="24"/>
          <w:szCs w:val="24"/>
          <w:highlight w:val="none"/>
          <w14:textFill>
            <w14:solidFill>
              <w14:schemeClr w14:val="tx1"/>
            </w14:solidFill>
          </w14:textFill>
        </w:rPr>
      </w:pPr>
    </w:p>
    <w:p w14:paraId="785234A9">
      <w:pPr>
        <w:rPr>
          <w:rFonts w:hint="eastAsia" w:ascii="宋体" w:hAnsi="宋体" w:eastAsia="宋体" w:cs="宋体"/>
          <w:b/>
          <w:caps w:val="0"/>
          <w:color w:val="000000" w:themeColor="text1"/>
          <w:spacing w:val="0"/>
          <w:sz w:val="24"/>
          <w:szCs w:val="24"/>
          <w:highlight w:val="none"/>
          <w14:textFill>
            <w14:solidFill>
              <w14:schemeClr w14:val="tx1"/>
            </w14:solidFill>
          </w14:textFill>
        </w:rPr>
      </w:pPr>
    </w:p>
    <w:p w14:paraId="790C1E48">
      <w:pPr>
        <w:keepNext w:val="0"/>
        <w:keepLines w:val="0"/>
        <w:pageBreakBefore w:val="0"/>
        <w:widowControl w:val="0"/>
        <w:kinsoku/>
        <w:wordWrap/>
        <w:overflowPunct/>
        <w:topLinePunct w:val="0"/>
        <w:autoSpaceDE/>
        <w:autoSpaceDN/>
        <w:bidi w:val="0"/>
        <w:adjustRightInd/>
        <w:snapToGrid/>
        <w:spacing w:line="360" w:lineRule="exact"/>
        <w:jc w:val="center"/>
        <w:textAlignment w:val="auto"/>
        <w:outlineLvl w:val="9"/>
        <w:rPr>
          <w:rFonts w:hint="eastAsia" w:ascii="宋体" w:hAnsi="宋体" w:eastAsia="宋体" w:cs="宋体"/>
          <w:b/>
          <w:caps w:val="0"/>
          <w:color w:val="000000" w:themeColor="text1"/>
          <w:spacing w:val="0"/>
          <w:sz w:val="24"/>
          <w:szCs w:val="24"/>
          <w:highlight w:val="none"/>
          <w14:textFill>
            <w14:solidFill>
              <w14:schemeClr w14:val="tx1"/>
            </w14:solidFill>
          </w14:textFill>
        </w:rPr>
        <w:sectPr>
          <w:footerReference r:id="rId4" w:type="default"/>
          <w:pgSz w:w="11906" w:h="16838"/>
          <w:pgMar w:top="1440" w:right="1800" w:bottom="1440" w:left="1800" w:header="851" w:footer="992" w:gutter="0"/>
          <w:pgNumType w:start="1"/>
          <w:cols w:space="720" w:num="1"/>
          <w:docGrid w:type="lines" w:linePitch="312" w:charSpace="0"/>
        </w:sectPr>
      </w:pPr>
    </w:p>
    <w:p w14:paraId="526EB256">
      <w:pPr>
        <w:spacing w:line="500" w:lineRule="exact"/>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目    录</w:t>
      </w:r>
      <w:bookmarkEnd w:id="0"/>
    </w:p>
    <w:p w14:paraId="7B8936BE">
      <w:pPr>
        <w:pStyle w:val="19"/>
        <w:tabs>
          <w:tab w:val="right" w:leader="dot" w:pos="8959"/>
        </w:tabs>
        <w:rPr>
          <w:rFonts w:hint="eastAsia" w:ascii="宋体" w:hAnsi="宋体" w:eastAsia="宋体" w:cs="宋体"/>
          <w:color w:val="000000" w:themeColor="text1"/>
          <w:sz w:val="24"/>
          <w:szCs w:val="24"/>
          <w:highlight w:val="none"/>
          <w14:textFill>
            <w14:solidFill>
              <w14:schemeClr w14:val="tx1"/>
            </w14:solidFill>
          </w14:textFill>
        </w:rPr>
      </w:pPr>
    </w:p>
    <w:p w14:paraId="6C9A7F1B">
      <w:pPr>
        <w:pStyle w:val="19"/>
        <w:tabs>
          <w:tab w:val="right" w:leader="dot" w:pos="8959"/>
        </w:tabs>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TOC \o "1-1" \h \u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"_Toc3427"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第一章  招标公告</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66193854">
      <w:pPr>
        <w:pStyle w:val="19"/>
        <w:tabs>
          <w:tab w:val="right" w:leader="dot" w:pos="8959"/>
        </w:tabs>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"_Toc28983"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第二章  投标人须知</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7F701D86">
      <w:pPr>
        <w:pStyle w:val="19"/>
        <w:tabs>
          <w:tab w:val="right" w:leader="dot" w:pos="8959"/>
        </w:tabs>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"_Toc21780"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bCs/>
          <w:color w:val="000000" w:themeColor="text1"/>
          <w:sz w:val="24"/>
          <w:szCs w:val="24"/>
          <w:highlight w:val="none"/>
          <w14:textFill>
            <w14:solidFill>
              <w14:schemeClr w14:val="tx1"/>
            </w14:solidFill>
          </w14:textFill>
        </w:rPr>
        <w:t>第三章  投标文件格式</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p>
    <w:p w14:paraId="6AA13AB0">
      <w:pPr>
        <w:pStyle w:val="19"/>
        <w:tabs>
          <w:tab w:val="right" w:leader="dot" w:pos="8959"/>
        </w:tabs>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"_Toc20068"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bCs/>
          <w:color w:val="000000" w:themeColor="text1"/>
          <w:sz w:val="24"/>
          <w:szCs w:val="24"/>
          <w:highlight w:val="none"/>
          <w14:textFill>
            <w14:solidFill>
              <w14:schemeClr w14:val="tx1"/>
            </w14:solidFill>
          </w14:textFill>
        </w:rPr>
        <w:t xml:space="preserve">第四章  </w:t>
      </w:r>
      <w:r>
        <w:rPr>
          <w:rFonts w:hint="eastAsia" w:ascii="宋体" w:hAnsi="宋体" w:eastAsia="宋体" w:cs="宋体"/>
          <w:bCs/>
          <w:color w:val="000000" w:themeColor="text1"/>
          <w:sz w:val="24"/>
          <w:szCs w:val="24"/>
          <w:highlight w:val="none"/>
          <w:lang w:eastAsia="zh-CN"/>
          <w14:textFill>
            <w14:solidFill>
              <w14:schemeClr w14:val="tx1"/>
            </w14:solidFill>
          </w14:textFill>
        </w:rPr>
        <w:t>项目采购需求</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p>
    <w:p w14:paraId="304DB3A8">
      <w:pPr>
        <w:pStyle w:val="19"/>
        <w:tabs>
          <w:tab w:val="right" w:leader="dot" w:pos="8959"/>
        </w:tabs>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"_Toc15082"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bCs/>
          <w:color w:val="000000" w:themeColor="text1"/>
          <w:sz w:val="24"/>
          <w:szCs w:val="24"/>
          <w:highlight w:val="none"/>
          <w14:textFill>
            <w14:solidFill>
              <w14:schemeClr w14:val="tx1"/>
            </w14:solidFill>
          </w14:textFill>
        </w:rPr>
        <w:t>第五章  评标办法</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lang w:val="en-US" w:eastAsia="zh-CN"/>
          <w14:textFill>
            <w14:solidFill>
              <w14:schemeClr w14:val="tx1"/>
            </w14:solidFill>
          </w14:textFill>
        </w:rPr>
        <w:t>58</w:t>
      </w:r>
    </w:p>
    <w:p w14:paraId="69B9F5B9">
      <w:pPr>
        <w:pStyle w:val="19"/>
        <w:tabs>
          <w:tab w:val="right" w:leader="dot" w:pos="8959"/>
        </w:tabs>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\l "_Toc22113"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第六章  合同文本</w:t>
      </w:r>
      <w:r>
        <w:rPr>
          <w:rFonts w:hint="eastAsia" w:ascii="宋体" w:hAnsi="宋体" w:eastAsia="宋体" w:cs="宋体"/>
          <w:color w:val="000000" w:themeColor="text1"/>
          <w:sz w:val="24"/>
          <w:szCs w:val="24"/>
          <w:highlight w:val="none"/>
          <w14:textFill>
            <w14:solidFill>
              <w14:schemeClr w14:val="tx1"/>
            </w14:solidFill>
          </w14:textFill>
        </w:rPr>
        <w:tab/>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lang w:val="en-US" w:eastAsia="zh-CN"/>
          <w14:textFill>
            <w14:solidFill>
              <w14:schemeClr w14:val="tx1"/>
            </w14:solidFill>
          </w14:textFill>
        </w:rPr>
        <w:t>67</w:t>
      </w:r>
    </w:p>
    <w:p w14:paraId="5BA2DE45">
      <w:pPr>
        <w:pStyle w:val="2"/>
        <w:spacing w:after="0" w:line="500" w:lineRule="exac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end"/>
      </w:r>
    </w:p>
    <w:p w14:paraId="621E64F7">
      <w:pPr>
        <w:ind w:firstLine="480" w:firstLineChars="200"/>
        <w:rPr>
          <w:rFonts w:hint="eastAsia" w:ascii="宋体" w:hAnsi="宋体" w:eastAsia="宋体" w:cs="宋体"/>
          <w:bCs/>
          <w:color w:val="000000" w:themeColor="text1"/>
          <w:sz w:val="24"/>
          <w:highlight w:val="none"/>
          <w14:textFill>
            <w14:solidFill>
              <w14:schemeClr w14:val="tx1"/>
            </w14:solidFill>
          </w14:textFill>
        </w:rPr>
      </w:pPr>
    </w:p>
    <w:p w14:paraId="760E7CD4">
      <w:pPr>
        <w:pStyle w:val="3"/>
        <w:spacing w:line="360" w:lineRule="exact"/>
        <w:rPr>
          <w:rFonts w:hint="eastAsia" w:ascii="宋体" w:hAnsi="宋体" w:eastAsia="宋体" w:cs="宋体"/>
          <w:bCs w:val="0"/>
          <w:color w:val="000000" w:themeColor="text1"/>
          <w:sz w:val="24"/>
          <w:szCs w:val="24"/>
          <w:highlight w:val="none"/>
          <w14:textFill>
            <w14:solidFill>
              <w14:schemeClr w14:val="tx1"/>
            </w14:solidFill>
          </w14:textFill>
        </w:rPr>
        <w:sectPr>
          <w:footerReference r:id="rId5" w:type="default"/>
          <w:pgSz w:w="11907" w:h="16840"/>
          <w:pgMar w:top="1440" w:right="1808" w:bottom="1440" w:left="1803" w:header="851" w:footer="992" w:gutter="0"/>
          <w:pgNumType w:fmt="decimal" w:start="1"/>
          <w:cols w:space="720" w:num="1"/>
          <w:docGrid w:linePitch="312" w:charSpace="0"/>
        </w:sectPr>
      </w:pPr>
    </w:p>
    <w:p w14:paraId="5B196075">
      <w:pPr>
        <w:pStyle w:val="3"/>
        <w:pageBreakBefore w:val="0"/>
        <w:widowControl w:val="0"/>
        <w:kinsoku/>
        <w:wordWrap/>
        <w:overflowPunct/>
        <w:topLinePunct w:val="0"/>
        <w:autoSpaceDE/>
        <w:autoSpaceDN/>
        <w:bidi w:val="0"/>
        <w:adjustRightInd/>
        <w:snapToGrid/>
        <w:spacing w:before="312" w:beforeLines="100" w:after="312" w:afterLines="100" w:line="400" w:lineRule="exact"/>
        <w:jc w:val="center"/>
        <w:textAlignment w:val="auto"/>
        <w:rPr>
          <w:rFonts w:hint="eastAsia" w:ascii="宋体" w:hAnsi="宋体" w:eastAsia="宋体" w:cs="宋体"/>
          <w:bCs w:val="0"/>
          <w:color w:val="000000" w:themeColor="text1"/>
          <w:sz w:val="24"/>
          <w:szCs w:val="24"/>
          <w:highlight w:val="none"/>
          <w14:textFill>
            <w14:solidFill>
              <w14:schemeClr w14:val="tx1"/>
            </w14:solidFill>
          </w14:textFill>
        </w:rPr>
      </w:pPr>
      <w:bookmarkStart w:id="1" w:name="_Toc647_WPSOffice_Level1"/>
      <w:bookmarkStart w:id="2" w:name="_Toc3427"/>
      <w:r>
        <w:rPr>
          <w:rFonts w:hint="eastAsia" w:ascii="宋体" w:hAnsi="宋体" w:eastAsia="宋体" w:cs="宋体"/>
          <w:bCs w:val="0"/>
          <w:color w:val="000000" w:themeColor="text1"/>
          <w:sz w:val="24"/>
          <w:szCs w:val="24"/>
          <w:highlight w:val="none"/>
          <w14:textFill>
            <w14:solidFill>
              <w14:schemeClr w14:val="tx1"/>
            </w14:solidFill>
          </w14:textFill>
        </w:rPr>
        <w:t xml:space="preserve">第一章  </w:t>
      </w:r>
      <w:bookmarkEnd w:id="1"/>
      <w:r>
        <w:rPr>
          <w:rFonts w:hint="eastAsia" w:ascii="宋体" w:hAnsi="宋体" w:eastAsia="宋体" w:cs="宋体"/>
          <w:bCs w:val="0"/>
          <w:color w:val="000000" w:themeColor="text1"/>
          <w:sz w:val="24"/>
          <w:szCs w:val="24"/>
          <w:highlight w:val="none"/>
          <w14:textFill>
            <w14:solidFill>
              <w14:schemeClr w14:val="tx1"/>
            </w14:solidFill>
          </w14:textFill>
        </w:rPr>
        <w:t>招标公告</w:t>
      </w:r>
      <w:bookmarkEnd w:id="2"/>
    </w:p>
    <w:p w14:paraId="6F186185">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3" w:name="_Toc856_WPSOffice_Level1"/>
      <w:bookmarkStart w:id="4" w:name="_Toc213397009"/>
      <w:bookmarkStart w:id="5" w:name="_Toc213396759"/>
      <w:bookmarkStart w:id="6" w:name="_Toc213396945"/>
      <w:bookmarkStart w:id="7" w:name="_Toc217446031"/>
      <w:bookmarkStart w:id="8" w:name="_Toc213496267"/>
      <w:r>
        <w:rPr>
          <w:rFonts w:hint="eastAsia" w:ascii="宋体" w:hAnsi="宋体" w:eastAsia="宋体" w:cs="宋体"/>
          <w:color w:val="000000" w:themeColor="text1"/>
          <w:sz w:val="24"/>
          <w:szCs w:val="24"/>
          <w:highlight w:val="none"/>
          <w14:textFill>
            <w14:solidFill>
              <w14:schemeClr w14:val="tx1"/>
            </w14:solidFill>
          </w14:textFill>
        </w:rPr>
        <w:t>项目概况</w:t>
      </w:r>
    </w:p>
    <w:p w14:paraId="55DA21AB">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lang w:eastAsia="zh-CN"/>
          <w14:textFill>
            <w14:solidFill>
              <w14:schemeClr w14:val="tx1"/>
            </w14:solidFill>
          </w14:textFill>
        </w:rPr>
        <w:t>沙湾市中等职业技术学校智能设备运行与维护实训基地新建实训室设备采购项目</w:t>
      </w:r>
      <w:r>
        <w:rPr>
          <w:rFonts w:hint="eastAsia" w:ascii="宋体" w:hAnsi="宋体" w:eastAsia="宋体" w:cs="宋体"/>
          <w:color w:val="000000" w:themeColor="text1"/>
          <w:sz w:val="24"/>
          <w:szCs w:val="24"/>
          <w:highlight w:val="none"/>
          <w14:textFill>
            <w14:solidFill>
              <w14:schemeClr w14:val="tx1"/>
            </w14:solidFill>
          </w14:textFill>
        </w:rPr>
        <w:t>招标项目的潜在投标人应在</w:t>
      </w:r>
      <w:r>
        <w:rPr>
          <w:rFonts w:hint="eastAsia" w:ascii="宋体" w:hAnsi="宋体" w:eastAsia="宋体" w:cs="宋体"/>
          <w:bCs/>
          <w:color w:val="000000" w:themeColor="text1"/>
          <w:sz w:val="24"/>
          <w:szCs w:val="24"/>
          <w:highlight w:val="none"/>
          <w:u w:val="single"/>
          <w14:textFill>
            <w14:solidFill>
              <w14:schemeClr w14:val="tx1"/>
            </w14:solidFill>
          </w14:textFill>
        </w:rPr>
        <w:t>新疆政府采购云平台https://www.zcygov.cn/</w:t>
      </w:r>
      <w:r>
        <w:rPr>
          <w:rFonts w:hint="eastAsia" w:ascii="宋体" w:hAnsi="宋体" w:eastAsia="宋体" w:cs="宋体"/>
          <w:color w:val="000000" w:themeColor="text1"/>
          <w:sz w:val="24"/>
          <w:szCs w:val="24"/>
          <w:highlight w:val="none"/>
          <w14:textFill>
            <w14:solidFill>
              <w14:schemeClr w14:val="tx1"/>
            </w14:solidFill>
          </w14:textFill>
        </w:rPr>
        <w:t>获取</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，并于</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202</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年0</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23</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日</w:t>
      </w:r>
      <w:r>
        <w:rPr>
          <w:rFonts w:hint="eastAsia" w:ascii="宋体" w:hAnsi="宋体" w:eastAsia="宋体" w:cs="宋体"/>
          <w:bCs/>
          <w:color w:val="000000" w:themeColor="text1"/>
          <w:sz w:val="24"/>
          <w:szCs w:val="24"/>
          <w:highlight w:val="none"/>
          <w:u w:val="single"/>
          <w:lang w:val="en-US" w:eastAsia="zh-CN"/>
          <w14:textFill>
            <w14:solidFill>
              <w14:schemeClr w14:val="tx1"/>
            </w14:solidFill>
          </w14:textFill>
        </w:rPr>
        <w:t>15</w:t>
      </w:r>
      <w:r>
        <w:rPr>
          <w:rFonts w:hint="eastAsia" w:ascii="宋体" w:hAnsi="宋体" w:eastAsia="宋体" w:cs="宋体"/>
          <w:bCs/>
          <w:color w:val="000000" w:themeColor="text1"/>
          <w:sz w:val="24"/>
          <w:szCs w:val="24"/>
          <w:highlight w:val="none"/>
          <w:u w:val="single"/>
          <w14:textFill>
            <w14:solidFill>
              <w14:schemeClr w14:val="tx1"/>
            </w14:solidFill>
          </w14:textFill>
        </w:rPr>
        <w:t>点</w:t>
      </w:r>
      <w:r>
        <w:rPr>
          <w:rFonts w:hint="eastAsia" w:ascii="宋体" w:hAnsi="宋体" w:eastAsia="宋体" w:cs="宋体"/>
          <w:bCs/>
          <w:color w:val="000000" w:themeColor="text1"/>
          <w:sz w:val="24"/>
          <w:szCs w:val="24"/>
          <w:highlight w:val="none"/>
          <w:u w:val="single"/>
          <w:lang w:val="en-US" w:eastAsia="zh-CN"/>
          <w14:textFill>
            <w14:solidFill>
              <w14:schemeClr w14:val="tx1"/>
            </w14:solidFill>
          </w14:textFill>
        </w:rPr>
        <w:t>00</w:t>
      </w:r>
      <w:r>
        <w:rPr>
          <w:rFonts w:hint="eastAsia" w:ascii="宋体" w:hAnsi="宋体" w:eastAsia="宋体" w:cs="宋体"/>
          <w:bCs/>
          <w:color w:val="000000" w:themeColor="text1"/>
          <w:sz w:val="24"/>
          <w:szCs w:val="24"/>
          <w:highlight w:val="none"/>
          <w:u w:val="single"/>
          <w14:textFill>
            <w14:solidFill>
              <w14:schemeClr w14:val="tx1"/>
            </w14:solidFill>
          </w14:textFill>
        </w:rPr>
        <w:t>分</w:t>
      </w:r>
      <w:r>
        <w:rPr>
          <w:rFonts w:hint="eastAsia" w:ascii="宋体" w:hAnsi="宋体" w:eastAsia="宋体" w:cs="宋体"/>
          <w:bCs/>
          <w:color w:val="000000" w:themeColor="text1"/>
          <w:sz w:val="24"/>
          <w:szCs w:val="24"/>
          <w:highlight w:val="none"/>
          <w:u w:val="single"/>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北京时间）前</w:t>
      </w:r>
      <w:r>
        <w:rPr>
          <w:rFonts w:hint="eastAsia" w:ascii="宋体" w:hAnsi="宋体" w:eastAsia="宋体" w:cs="宋体"/>
          <w:bCs/>
          <w:color w:val="000000" w:themeColor="text1"/>
          <w:sz w:val="24"/>
          <w:szCs w:val="24"/>
          <w:highlight w:val="none"/>
          <w:lang w:eastAsia="zh-CN"/>
          <w14:textFill>
            <w14:solidFill>
              <w14:schemeClr w14:val="tx1"/>
            </w14:solidFill>
          </w14:textFill>
        </w:rPr>
        <w:t>上传</w:t>
      </w:r>
      <w:r>
        <w:rPr>
          <w:rFonts w:hint="eastAsia" w:ascii="宋体" w:hAnsi="宋体" w:eastAsia="宋体" w:cs="宋体"/>
          <w:bCs/>
          <w:color w:val="000000" w:themeColor="text1"/>
          <w:sz w:val="24"/>
          <w:szCs w:val="24"/>
          <w:highlight w:val="none"/>
          <w14:textFill>
            <w14:solidFill>
              <w14:schemeClr w14:val="tx1"/>
            </w14:solidFill>
          </w14:textFill>
        </w:rPr>
        <w:t>投标文件</w:t>
      </w:r>
      <w:r>
        <w:rPr>
          <w:rFonts w:hint="eastAsia" w:ascii="宋体" w:hAnsi="宋体" w:eastAsia="宋体" w:cs="宋体"/>
          <w:color w:val="000000" w:themeColor="text1"/>
          <w:sz w:val="24"/>
          <w:szCs w:val="24"/>
          <w:highlight w:val="none"/>
          <w14:textFill>
            <w14:solidFill>
              <w14:schemeClr w14:val="tx1"/>
            </w14:solidFill>
          </w14:textFill>
        </w:rPr>
        <w:t>。</w:t>
      </w:r>
    </w:p>
    <w:p w14:paraId="79138756">
      <w:pPr>
        <w:pStyle w:val="60"/>
        <w:keepNext w:val="0"/>
        <w:keepLines w:val="0"/>
        <w:pageBreakBefore w:val="0"/>
        <w:widowControl/>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pPr>
      <w:bookmarkStart w:id="9" w:name="_Toc28359003"/>
      <w:bookmarkStart w:id="10" w:name="_Toc35393791"/>
      <w:bookmarkStart w:id="11" w:name="_Toc35393622"/>
      <w:bookmarkStart w:id="12" w:name="_Toc28359080"/>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一、项目基本情况</w:t>
      </w: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w:t>
      </w:r>
    </w:p>
    <w:p w14:paraId="25982967">
      <w:pPr>
        <w:pStyle w:val="60"/>
        <w:keepNext w:val="0"/>
        <w:keepLines w:val="0"/>
        <w:pageBreakBefore w:val="0"/>
        <w:widowControl/>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项目编号：</w:t>
      </w:r>
      <w:r>
        <w:rPr>
          <w:rFonts w:hint="eastAsia" w:hAnsi="宋体" w:cs="宋体"/>
          <w:b w:val="0"/>
          <w:bCs/>
          <w:color w:val="000000" w:themeColor="text1"/>
          <w:sz w:val="24"/>
          <w:szCs w:val="24"/>
          <w:highlight w:val="none"/>
          <w:shd w:val="clear" w:color="auto" w:fill="auto"/>
          <w:lang w:eastAsia="zh-CN"/>
          <w14:textFill>
            <w14:solidFill>
              <w14:schemeClr w14:val="tx1"/>
            </w14:solidFill>
          </w14:textFill>
        </w:rPr>
        <w:t>2025-0328-160725</w:t>
      </w: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 xml:space="preserve"> </w:t>
      </w: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 xml:space="preserve"> </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 xml:space="preserve"> </w:t>
      </w:r>
    </w:p>
    <w:p w14:paraId="10723912">
      <w:pPr>
        <w:pStyle w:val="60"/>
        <w:keepNext w:val="0"/>
        <w:keepLines w:val="0"/>
        <w:pageBreakBefore w:val="0"/>
        <w:widowControl/>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color w:val="000000" w:themeColor="text1"/>
          <w:sz w:val="24"/>
          <w:szCs w:val="24"/>
          <w:highlight w:val="none"/>
          <w:u w:val="none"/>
          <w:lang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项目名称：</w:t>
      </w:r>
      <w:r>
        <w:rPr>
          <w:rFonts w:hint="eastAsia" w:ascii="宋体" w:hAnsi="宋体" w:eastAsia="宋体" w:cs="宋体"/>
          <w:color w:val="000000" w:themeColor="text1"/>
          <w:sz w:val="24"/>
          <w:szCs w:val="24"/>
          <w:highlight w:val="none"/>
          <w:u w:val="none"/>
          <w:lang w:eastAsia="zh-CN"/>
          <w14:textFill>
            <w14:solidFill>
              <w14:schemeClr w14:val="tx1"/>
            </w14:solidFill>
          </w14:textFill>
        </w:rPr>
        <w:t>沙湾市中等职业技术学校智能设备运行与维护实训基地新建实训室设备采购项目</w:t>
      </w:r>
    </w:p>
    <w:p w14:paraId="4EE9A734">
      <w:pPr>
        <w:pStyle w:val="60"/>
        <w:keepNext w:val="0"/>
        <w:keepLines w:val="0"/>
        <w:pageBreakBefore w:val="0"/>
        <w:widowControl/>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采购方式：</w:t>
      </w: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公开招标</w:t>
      </w:r>
    </w:p>
    <w:p w14:paraId="5EED65F9">
      <w:pPr>
        <w:pStyle w:val="60"/>
        <w:keepNext w:val="0"/>
        <w:keepLines w:val="0"/>
        <w:pageBreakBefore w:val="0"/>
        <w:widowControl/>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预算金额（元）：</w:t>
      </w: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2000000</w:t>
      </w:r>
    </w:p>
    <w:p w14:paraId="67E54086">
      <w:pPr>
        <w:pStyle w:val="60"/>
        <w:keepNext w:val="0"/>
        <w:keepLines w:val="0"/>
        <w:pageBreakBefore w:val="0"/>
        <w:widowControl/>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i w:val="0"/>
          <w:iCs w:val="0"/>
          <w:caps w:val="0"/>
          <w:color w:val="000000" w:themeColor="text1"/>
          <w:spacing w:val="0"/>
          <w:sz w:val="24"/>
          <w:szCs w:val="24"/>
          <w:highlight w:val="none"/>
          <w:lang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最高限价（元）：</w:t>
      </w: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2000000</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br w:type="textWrapping"/>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xml:space="preserve">  </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 xml:space="preserve"> </w:t>
      </w:r>
      <w:r>
        <w:rPr>
          <w:rFonts w:hint="eastAsia" w:ascii="宋体" w:hAnsi="宋体" w:eastAsia="宋体" w:cs="宋体"/>
          <w:i w:val="0"/>
          <w:iCs w:val="0"/>
          <w:caps w:val="0"/>
          <w:color w:val="000000" w:themeColor="text1"/>
          <w:spacing w:val="0"/>
          <w:sz w:val="24"/>
          <w:szCs w:val="24"/>
          <w:highlight w:val="none"/>
          <w:lang w:eastAsia="zh-CN"/>
          <w14:textFill>
            <w14:solidFill>
              <w14:schemeClr w14:val="tx1"/>
            </w14:solidFill>
          </w14:textFill>
        </w:rPr>
        <w:t>采购需求：</w:t>
      </w:r>
    </w:p>
    <w:p w14:paraId="1736D9E8">
      <w:pPr>
        <w:pStyle w:val="60"/>
        <w:keepNext w:val="0"/>
        <w:keepLines w:val="0"/>
        <w:pageBreakBefore w:val="0"/>
        <w:widowControl/>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标项名称:</w:t>
      </w:r>
      <w:r>
        <w:rPr>
          <w:rFonts w:hint="eastAsia" w:ascii="宋体" w:hAnsi="宋体" w:eastAsia="宋体" w:cs="宋体"/>
          <w:i w:val="0"/>
          <w:iCs w:val="0"/>
          <w:caps w:val="0"/>
          <w:color w:val="000000" w:themeColor="text1"/>
          <w:spacing w:val="0"/>
          <w:sz w:val="24"/>
          <w:szCs w:val="24"/>
          <w:highlight w:val="none"/>
          <w:lang w:eastAsia="zh-CN"/>
          <w14:textFill>
            <w14:solidFill>
              <w14:schemeClr w14:val="tx1"/>
            </w14:solidFill>
          </w14:textFill>
        </w:rPr>
        <w:t>沙湾市中等职业技术学校智能设备运行与维护实训基地新建实训室设备采购项目</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w:t>
      </w:r>
    </w:p>
    <w:p w14:paraId="494275CD">
      <w:pPr>
        <w:pStyle w:val="60"/>
        <w:keepNext w:val="0"/>
        <w:keepLines w:val="0"/>
        <w:pageBreakBefore w:val="0"/>
        <w:widowControl/>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数量:</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1批</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br w:type="textWrapping"/>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xml:space="preserve">  </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 xml:space="preserve"> </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预算金额（元）:</w:t>
      </w: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2000000</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br w:type="textWrapping"/>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简要规格描述或项目基本概况介绍、用途：</w:t>
      </w:r>
      <w:r>
        <w:rPr>
          <w:rFonts w:hint="eastAsia" w:ascii="宋体" w:hAnsi="宋体" w:eastAsia="宋体" w:cs="宋体"/>
          <w:i w:val="0"/>
          <w:iCs w:val="0"/>
          <w:caps w:val="0"/>
          <w:color w:val="000000" w:themeColor="text1"/>
          <w:spacing w:val="0"/>
          <w:sz w:val="24"/>
          <w:szCs w:val="24"/>
          <w:highlight w:val="none"/>
          <w:lang w:eastAsia="zh-CN"/>
          <w14:textFill>
            <w14:solidFill>
              <w14:schemeClr w14:val="tx1"/>
            </w14:solidFill>
          </w14:textFill>
        </w:rPr>
        <w:t>本次项目拟建智能设备运行与维护实训室三间，包括：电工电子实训室一间，购置设备6套；plc实训室一间，购置设备10套；工业机器人实训室一间，购置设备4套；购置软件10套。包括</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以上采购内容的</w:t>
      </w:r>
      <w:r>
        <w:rPr>
          <w:rFonts w:hint="eastAsia" w:ascii="宋体" w:hAnsi="宋体" w:eastAsia="宋体" w:cs="宋体"/>
          <w:i w:val="0"/>
          <w:iCs w:val="0"/>
          <w:caps w:val="0"/>
          <w:color w:val="000000" w:themeColor="text1"/>
          <w:spacing w:val="0"/>
          <w:sz w:val="24"/>
          <w:szCs w:val="24"/>
          <w:highlight w:val="none"/>
          <w:lang w:eastAsia="zh-CN"/>
          <w14:textFill>
            <w14:solidFill>
              <w14:schemeClr w14:val="tx1"/>
            </w14:solidFill>
          </w14:textFill>
        </w:rPr>
        <w:t>供货、运输保险、安装</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调试</w:t>
      </w:r>
      <w:r>
        <w:rPr>
          <w:rFonts w:hint="eastAsia" w:ascii="宋体" w:hAnsi="宋体" w:eastAsia="宋体" w:cs="宋体"/>
          <w:i w:val="0"/>
          <w:iCs w:val="0"/>
          <w:caps w:val="0"/>
          <w:color w:val="000000" w:themeColor="text1"/>
          <w:spacing w:val="0"/>
          <w:sz w:val="24"/>
          <w:szCs w:val="24"/>
          <w:highlight w:val="none"/>
          <w:lang w:eastAsia="zh-CN"/>
          <w14:textFill>
            <w14:solidFill>
              <w14:schemeClr w14:val="tx1"/>
            </w14:solidFill>
          </w14:textFill>
        </w:rPr>
        <w:t>、验收及质保、售后服务等，具体内容详见招标文件及项目采购需求。</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br w:type="textWrapping"/>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 xml:space="preserve">  </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 xml:space="preserve"> </w:t>
      </w: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备注：合同履约期限：</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合同签订后15日历天内完成。</w:t>
      </w:r>
    </w:p>
    <w:p w14:paraId="46210528">
      <w:pPr>
        <w:pStyle w:val="24"/>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14:textFill>
            <w14:solidFill>
              <w14:schemeClr w14:val="tx1"/>
            </w14:solidFill>
          </w14:textFill>
        </w:rPr>
        <w:t>本项目（否）接受联合体投标。</w:t>
      </w:r>
    </w:p>
    <w:p w14:paraId="0DFEF93E">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二、申请人的资格要求：</w:t>
      </w:r>
      <w:bookmarkEnd w:id="9"/>
      <w:bookmarkEnd w:id="10"/>
      <w:bookmarkEnd w:id="11"/>
      <w:bookmarkEnd w:id="12"/>
    </w:p>
    <w:p w14:paraId="6C3ED443">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1.满足《中华人民共和国政府采购法》第二十二条规定；</w:t>
      </w:r>
    </w:p>
    <w:p w14:paraId="28B13B37">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bookmarkStart w:id="13" w:name="_Toc28359004"/>
      <w:bookmarkStart w:id="14" w:name="_Toc28359081"/>
      <w:r>
        <w:rPr>
          <w:rFonts w:hint="eastAsia" w:ascii="宋体" w:hAnsi="宋体" w:eastAsia="宋体" w:cs="宋体"/>
          <w:color w:val="000000" w:themeColor="text1"/>
          <w:sz w:val="24"/>
          <w:szCs w:val="24"/>
          <w:highlight w:val="none"/>
          <w14:textFill>
            <w14:solidFill>
              <w14:schemeClr w14:val="tx1"/>
            </w14:solidFill>
          </w14:textFill>
        </w:rPr>
        <w:t>2.落实政府采购政策需满足的资格要求：本项目为专门面向</w:t>
      </w:r>
      <w:r>
        <w:rPr>
          <w:rFonts w:hint="eastAsia" w:ascii="宋体" w:hAnsi="宋体" w:cs="宋体"/>
          <w:color w:val="000000" w:themeColor="text1"/>
          <w:sz w:val="24"/>
          <w:szCs w:val="24"/>
          <w:highlight w:val="none"/>
          <w:lang w:val="en-US" w:eastAsia="zh-CN"/>
          <w14:textFill>
            <w14:solidFill>
              <w14:schemeClr w14:val="tx1"/>
            </w14:solidFill>
          </w14:textFill>
        </w:rPr>
        <w:t>中小</w:t>
      </w:r>
      <w:r>
        <w:rPr>
          <w:rFonts w:hint="eastAsia" w:ascii="宋体" w:hAnsi="宋体" w:eastAsia="宋体" w:cs="宋体"/>
          <w:color w:val="000000" w:themeColor="text1"/>
          <w:sz w:val="24"/>
          <w:szCs w:val="24"/>
          <w:highlight w:val="none"/>
          <w14:textFill>
            <w14:solidFill>
              <w14:schemeClr w14:val="tx1"/>
            </w14:solidFill>
          </w14:textFill>
        </w:rPr>
        <w:t>企业（含</w:t>
      </w:r>
      <w:r>
        <w:rPr>
          <w:rFonts w:hint="eastAsia" w:ascii="宋体" w:hAnsi="宋体" w:cs="宋体"/>
          <w:color w:val="000000" w:themeColor="text1"/>
          <w:sz w:val="24"/>
          <w:szCs w:val="24"/>
          <w:highlight w:val="none"/>
          <w:lang w:val="en-US" w:eastAsia="zh-CN"/>
          <w14:textFill>
            <w14:solidFill>
              <w14:schemeClr w14:val="tx1"/>
            </w14:solidFill>
          </w14:textFill>
        </w:rPr>
        <w:t>中型、</w:t>
      </w:r>
      <w:r>
        <w:rPr>
          <w:rFonts w:hint="eastAsia" w:ascii="宋体" w:hAnsi="宋体" w:eastAsia="宋体" w:cs="宋体"/>
          <w:color w:val="000000" w:themeColor="text1"/>
          <w:sz w:val="24"/>
          <w:szCs w:val="24"/>
          <w:highlight w:val="none"/>
          <w14:textFill>
            <w14:solidFill>
              <w14:schemeClr w14:val="tx1"/>
            </w14:solidFill>
          </w14:textFill>
        </w:rPr>
        <w:t>小型、微型企业）采购项目，根据《政府采购促进中小企业发展管理办法》（财库[2020]46 号）的规定，评审时不再执行价格评审优惠的扶持政策；</w:t>
      </w:r>
    </w:p>
    <w:p w14:paraId="09E40964">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（1）《政府采购促进中小企业发展管理办法》（财库〔2020〕46号）及《关于进一步加大政府采购支持中小企业力度的通知》（财库〔2022〕19号）；</w:t>
      </w:r>
    </w:p>
    <w:p w14:paraId="78A2D180">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（2）《财政部、司法部关于政府采购支持监狱企业发展有关问题的通知》（财库〔2014〕68号）；</w:t>
      </w:r>
    </w:p>
    <w:p w14:paraId="1C28C95C">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（3）《财政部 民政部 中国残疾人联合会关于促进残疾人就业政府采购政策的通知》财库〔2017〕141号。</w:t>
      </w:r>
    </w:p>
    <w:p w14:paraId="4B2AAA6B">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（4）财政部、国家发展改革委、生态环境部、市场监管总局《关于调整优化节能产品、环境标志产品政府采购执行机制的通知》（财库[2019]9号文）；</w:t>
      </w:r>
    </w:p>
    <w:p w14:paraId="3CF51454">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（5）财政部、生态环境部《关于印发环境标志产品政府采购品目清单的通知》（财库[2019]18号文）；</w:t>
      </w:r>
    </w:p>
    <w:p w14:paraId="72D5E2B1">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（6）财政部、发展改革委《关于印发节能产品政府采购品目清单的通知》（财库[2019]19号文）；</w:t>
      </w:r>
    </w:p>
    <w:p w14:paraId="5C35AEB2">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（7）市场监管总局《市场监管总局关于发布参与实施政府采购节能产品、环境标志产品认证机构名录的公告》（2019年第16号）</w:t>
      </w:r>
      <w:r>
        <w:rPr>
          <w:rFonts w:hint="eastAsia" w:ascii="宋体" w:hAnsi="宋体" w:eastAsia="宋体" w:cs="宋体"/>
          <w:i w:val="0"/>
          <w:iCs w:val="0"/>
          <w:color w:val="000000" w:themeColor="text1"/>
          <w:sz w:val="24"/>
          <w:szCs w:val="24"/>
          <w:highlight w:val="none"/>
          <w14:textFill>
            <w14:solidFill>
              <w14:schemeClr w14:val="tx1"/>
            </w14:solidFill>
          </w14:textFill>
        </w:rPr>
        <w:t>。</w:t>
      </w:r>
    </w:p>
    <w:p w14:paraId="2F751BD7">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.本项目的特定资格要求：</w:t>
      </w:r>
      <w:r>
        <w:rPr>
          <w:rFonts w:hint="eastAsia" w:ascii="宋体" w:hAnsi="宋体" w:eastAsia="宋体" w:cs="宋体"/>
          <w:color w:val="000000" w:themeColor="text1"/>
          <w:sz w:val="24"/>
          <w:szCs w:val="24"/>
          <w:highlight w:val="none"/>
          <w:lang w:val="en-US" w:eastAsia="zh-CN"/>
          <w14:textFill>
            <w14:solidFill>
              <w14:schemeClr w14:val="tx1"/>
            </w14:solidFill>
          </w14:textFill>
        </w:rPr>
        <w:t>无</w:t>
      </w: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w:t>
      </w:r>
    </w:p>
    <w:p w14:paraId="46945106">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bookmarkStart w:id="15" w:name="_Toc35393792"/>
      <w:bookmarkStart w:id="16" w:name="_Toc35393623"/>
      <w:r>
        <w:rPr>
          <w:rFonts w:hint="eastAsia" w:ascii="宋体" w:hAnsi="宋体" w:eastAsia="宋体" w:cs="宋体"/>
          <w:color w:val="000000" w:themeColor="text1"/>
          <w:sz w:val="24"/>
          <w:szCs w:val="24"/>
          <w:highlight w:val="none"/>
          <w14:textFill>
            <w14:solidFill>
              <w14:schemeClr w14:val="tx1"/>
            </w14:solidFill>
          </w14:textFill>
        </w:rPr>
        <w:t>三、获取</w:t>
      </w:r>
      <w:bookmarkEnd w:id="13"/>
      <w:bookmarkEnd w:id="14"/>
      <w:bookmarkEnd w:id="15"/>
      <w:bookmarkEnd w:id="16"/>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p>
    <w:p w14:paraId="1E00B57A">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时间：</w:t>
      </w:r>
      <w:r>
        <w:rPr>
          <w:rFonts w:hint="eastAsia" w:ascii="宋体" w:hAnsi="宋体" w:eastAsia="宋体" w:cs="宋体"/>
          <w:color w:val="000000" w:themeColor="text1"/>
          <w:sz w:val="24"/>
          <w:szCs w:val="24"/>
          <w:highlight w:val="none"/>
          <w14:textFill>
            <w14:solidFill>
              <w14:schemeClr w14:val="tx1"/>
            </w14:solidFill>
          </w14:textFill>
        </w:rPr>
        <w:t>202</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03</w:t>
      </w:r>
      <w:r>
        <w:rPr>
          <w:rFonts w:hint="eastAsia" w:ascii="宋体" w:hAnsi="宋体" w:eastAsia="宋体" w:cs="宋体"/>
          <w:color w:val="000000" w:themeColor="text1"/>
          <w:sz w:val="24"/>
          <w:szCs w:val="24"/>
          <w:highlight w:val="none"/>
          <w14:textFill>
            <w14:solidFill>
              <w14:schemeClr w14:val="tx1"/>
            </w14:solidFill>
          </w14:textFill>
        </w:rPr>
        <w:t>日至202</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11</w:t>
      </w:r>
      <w:r>
        <w:rPr>
          <w:rFonts w:hint="eastAsia" w:ascii="宋体" w:hAnsi="宋体" w:eastAsia="宋体" w:cs="宋体"/>
          <w:color w:val="000000" w:themeColor="text1"/>
          <w:sz w:val="24"/>
          <w:szCs w:val="24"/>
          <w:highlight w:val="none"/>
          <w14:textFill>
            <w14:solidFill>
              <w14:schemeClr w14:val="tx1"/>
            </w14:solidFill>
          </w14:textFill>
        </w:rPr>
        <w:t>日</w:t>
      </w:r>
      <w:r>
        <w:rPr>
          <w:rFonts w:hint="eastAsia" w:ascii="宋体" w:hAnsi="宋体" w:eastAsia="宋体" w:cs="宋体"/>
          <w:color w:val="000000" w:themeColor="text1"/>
          <w:sz w:val="24"/>
          <w:szCs w:val="24"/>
          <w:highlight w:val="none"/>
          <w14:textFill>
            <w14:solidFill>
              <w14:schemeClr w14:val="tx1"/>
            </w14:solidFill>
          </w14:textFill>
        </w:rPr>
        <w:t>，每天</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0:00至</w:t>
      </w:r>
      <w:r>
        <w:rPr>
          <w:rFonts w:hint="eastAsia" w:ascii="宋体" w:hAnsi="宋体" w:eastAsia="宋体" w:cs="宋体"/>
          <w:color w:val="000000" w:themeColor="text1"/>
          <w:sz w:val="24"/>
          <w:szCs w:val="24"/>
          <w:highlight w:val="none"/>
          <w:lang w:val="en-US" w:eastAsia="zh-CN"/>
          <w14:textFill>
            <w14:solidFill>
              <w14:schemeClr w14:val="tx1"/>
            </w14:solidFill>
          </w14:textFill>
        </w:rPr>
        <w:t>23</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59</w:t>
      </w:r>
      <w:r>
        <w:rPr>
          <w:rFonts w:hint="eastAsia" w:ascii="宋体" w:hAnsi="宋体" w:eastAsia="宋体" w:cs="宋体"/>
          <w:color w:val="000000" w:themeColor="text1"/>
          <w:sz w:val="24"/>
          <w:szCs w:val="24"/>
          <w:highlight w:val="none"/>
          <w14:textFill>
            <w14:solidFill>
              <w14:schemeClr w14:val="tx1"/>
            </w14:solidFill>
          </w14:textFill>
        </w:rPr>
        <w:t>（北京时间，线上获取法定节假日均可 ）</w:t>
      </w:r>
    </w:p>
    <w:p w14:paraId="779A4C02">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地点：</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登陆政采云平台http://www.zcygov.cn/，在线申请获取</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（登录政府采购云平台 → 项目采购 → 获取</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→申请通过后可下载</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，如有操作性问题，可与政采云在线客服进行咨询，咨询电话：95763）。</w:t>
      </w:r>
    </w:p>
    <w:p w14:paraId="7FA50FF0">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方式：投标人登录新疆政府采购云平台https://www.zcygov.cn/在线申请获取</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（登录政府采购云平台 → 项目采购 → 获取</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 申请通过后可下载</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w:t>
      </w:r>
    </w:p>
    <w:p w14:paraId="41896C90">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售价：0元</w:t>
      </w:r>
    </w:p>
    <w:p w14:paraId="2BD7A0B1">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17" w:name="_Toc28359082"/>
      <w:bookmarkStart w:id="18" w:name="_Toc28359005"/>
      <w:bookmarkStart w:id="19" w:name="_Toc35393624"/>
      <w:bookmarkStart w:id="20" w:name="_Toc35393793"/>
      <w:r>
        <w:rPr>
          <w:rFonts w:hint="eastAsia" w:ascii="宋体" w:hAnsi="宋体" w:eastAsia="宋体" w:cs="宋体"/>
          <w:color w:val="000000" w:themeColor="text1"/>
          <w:sz w:val="24"/>
          <w:szCs w:val="24"/>
          <w:highlight w:val="none"/>
          <w14:textFill>
            <w14:solidFill>
              <w14:schemeClr w14:val="tx1"/>
            </w14:solidFill>
          </w14:textFill>
        </w:rPr>
        <w:t>四、提交投标文件</w:t>
      </w:r>
      <w:bookmarkEnd w:id="17"/>
      <w:bookmarkEnd w:id="18"/>
      <w:r>
        <w:rPr>
          <w:rFonts w:hint="eastAsia" w:ascii="宋体" w:hAnsi="宋体" w:eastAsia="宋体" w:cs="宋体"/>
          <w:color w:val="000000" w:themeColor="text1"/>
          <w:sz w:val="24"/>
          <w:szCs w:val="24"/>
          <w:highlight w:val="none"/>
          <w14:textFill>
            <w14:solidFill>
              <w14:schemeClr w14:val="tx1"/>
            </w14:solidFill>
          </w14:textFill>
        </w:rPr>
        <w:t>截止时间、开标时间和地点</w:t>
      </w:r>
      <w:bookmarkEnd w:id="19"/>
      <w:bookmarkEnd w:id="20"/>
    </w:p>
    <w:p w14:paraId="0A534236">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提交投标文件截止时间：</w:t>
      </w:r>
      <w:r>
        <w:rPr>
          <w:rFonts w:hint="eastAsia" w:ascii="宋体" w:hAnsi="宋体" w:eastAsia="宋体" w:cs="宋体"/>
          <w:color w:val="000000" w:themeColor="text1"/>
          <w:sz w:val="24"/>
          <w:szCs w:val="24"/>
          <w:highlight w:val="none"/>
          <w:lang w:eastAsia="zh-CN"/>
          <w14:textFill>
            <w14:solidFill>
              <w14:schemeClr w14:val="tx1"/>
            </w14:solidFill>
          </w14:textFill>
        </w:rPr>
        <w:t>202</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lang w:eastAsia="zh-CN"/>
          <w14:textFill>
            <w14:solidFill>
              <w14:schemeClr w14:val="tx1"/>
            </w14:solidFill>
          </w14:textFill>
        </w:rPr>
        <w:t>年0</w:t>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lang w:eastAsia="zh-CN"/>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23</w:t>
      </w:r>
      <w:r>
        <w:rPr>
          <w:rFonts w:hint="eastAsia" w:ascii="宋体" w:hAnsi="宋体" w:eastAsia="宋体" w:cs="宋体"/>
          <w:color w:val="000000" w:themeColor="text1"/>
          <w:sz w:val="24"/>
          <w:szCs w:val="24"/>
          <w:highlight w:val="none"/>
          <w:lang w:eastAsia="zh-CN"/>
          <w14:textFill>
            <w14:solidFill>
              <w14:schemeClr w14:val="tx1"/>
            </w14:solidFill>
          </w14:textFill>
        </w:rPr>
        <w:t>日</w:t>
      </w:r>
      <w:r>
        <w:rPr>
          <w:rFonts w:hint="eastAsia" w:ascii="宋体" w:hAnsi="宋体" w:eastAsia="宋体" w:cs="宋体"/>
          <w:color w:val="000000" w:themeColor="text1"/>
          <w:sz w:val="24"/>
          <w:szCs w:val="24"/>
          <w:highlight w:val="none"/>
          <w:lang w:val="en-US" w:eastAsia="zh-CN"/>
          <w14:textFill>
            <w14:solidFill>
              <w14:schemeClr w14:val="tx1"/>
            </w14:solidFill>
          </w14:textFill>
        </w:rPr>
        <w:t>15</w:t>
      </w:r>
      <w:r>
        <w:rPr>
          <w:rFonts w:hint="eastAsia" w:ascii="宋体" w:hAnsi="宋体" w:eastAsia="宋体" w:cs="宋体"/>
          <w:color w:val="000000" w:themeColor="text1"/>
          <w:sz w:val="24"/>
          <w:szCs w:val="24"/>
          <w:highlight w:val="none"/>
          <w14:textFill>
            <w14:solidFill>
              <w14:schemeClr w14:val="tx1"/>
            </w14:solidFill>
          </w14:textFill>
        </w:rPr>
        <w:t>点</w:t>
      </w:r>
      <w:r>
        <w:rPr>
          <w:rFonts w:hint="eastAsia" w:ascii="宋体" w:hAnsi="宋体" w:eastAsia="宋体" w:cs="宋体"/>
          <w:color w:val="000000" w:themeColor="text1"/>
          <w:sz w:val="24"/>
          <w:szCs w:val="24"/>
          <w:highlight w:val="none"/>
          <w:lang w:val="en-US" w:eastAsia="zh-CN"/>
          <w14:textFill>
            <w14:solidFill>
              <w14:schemeClr w14:val="tx1"/>
            </w14:solidFill>
          </w14:textFill>
        </w:rPr>
        <w:t>00</w:t>
      </w:r>
      <w:r>
        <w:rPr>
          <w:rFonts w:hint="eastAsia" w:ascii="宋体" w:hAnsi="宋体" w:eastAsia="宋体" w:cs="宋体"/>
          <w:color w:val="000000" w:themeColor="text1"/>
          <w:sz w:val="24"/>
          <w:szCs w:val="24"/>
          <w:highlight w:val="none"/>
          <w14:textFill>
            <w14:solidFill>
              <w14:schemeClr w14:val="tx1"/>
            </w14:solidFill>
          </w14:textFill>
        </w:rPr>
        <w:t>分</w:t>
      </w:r>
      <w:r>
        <w:rPr>
          <w:rFonts w:hint="eastAsia" w:ascii="宋体" w:hAnsi="宋体" w:eastAsia="宋体" w:cs="宋体"/>
          <w:color w:val="000000" w:themeColor="text1"/>
          <w:sz w:val="24"/>
          <w:szCs w:val="24"/>
          <w:highlight w:val="none"/>
          <w14:textFill>
            <w14:solidFill>
              <w14:schemeClr w14:val="tx1"/>
            </w14:solidFill>
          </w14:textFill>
        </w:rPr>
        <w:t>（北京时间）</w:t>
      </w:r>
    </w:p>
    <w:p w14:paraId="032065F3">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开标时间：</w:t>
      </w:r>
      <w:r>
        <w:rPr>
          <w:rFonts w:hint="eastAsia" w:ascii="宋体" w:hAnsi="宋体" w:eastAsia="宋体" w:cs="宋体"/>
          <w:color w:val="000000" w:themeColor="text1"/>
          <w:sz w:val="24"/>
          <w:szCs w:val="24"/>
          <w:highlight w:val="none"/>
          <w:lang w:eastAsia="zh-CN"/>
          <w14:textFill>
            <w14:solidFill>
              <w14:schemeClr w14:val="tx1"/>
            </w14:solidFill>
          </w14:textFill>
        </w:rPr>
        <w:t>202</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lang w:eastAsia="zh-CN"/>
          <w14:textFill>
            <w14:solidFill>
              <w14:schemeClr w14:val="tx1"/>
            </w14:solidFill>
          </w14:textFill>
        </w:rPr>
        <w:t>年</w:t>
      </w:r>
      <w:r>
        <w:rPr>
          <w:rFonts w:hint="eastAsia" w:ascii="宋体" w:hAnsi="宋体" w:eastAsia="宋体" w:cs="宋体"/>
          <w:color w:val="000000" w:themeColor="text1"/>
          <w:sz w:val="24"/>
          <w:szCs w:val="24"/>
          <w:highlight w:val="non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lang w:eastAsia="zh-CN"/>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23</w:t>
      </w:r>
      <w:r>
        <w:rPr>
          <w:rFonts w:hint="eastAsia" w:ascii="宋体" w:hAnsi="宋体" w:eastAsia="宋体" w:cs="宋体"/>
          <w:color w:val="000000" w:themeColor="text1"/>
          <w:sz w:val="24"/>
          <w:szCs w:val="24"/>
          <w:highlight w:val="none"/>
          <w:lang w:eastAsia="zh-CN"/>
          <w14:textFill>
            <w14:solidFill>
              <w14:schemeClr w14:val="tx1"/>
            </w14:solidFill>
          </w14:textFill>
        </w:rPr>
        <w:t>日</w:t>
      </w:r>
      <w:r>
        <w:rPr>
          <w:rFonts w:hint="eastAsia" w:ascii="宋体" w:hAnsi="宋体" w:eastAsia="宋体" w:cs="宋体"/>
          <w:color w:val="000000" w:themeColor="text1"/>
          <w:sz w:val="24"/>
          <w:szCs w:val="24"/>
          <w:highlight w:val="none"/>
          <w:lang w:val="en-US" w:eastAsia="zh-CN"/>
          <w14:textFill>
            <w14:solidFill>
              <w14:schemeClr w14:val="tx1"/>
            </w14:solidFill>
          </w14:textFill>
        </w:rPr>
        <w:t>15</w:t>
      </w:r>
      <w:r>
        <w:rPr>
          <w:rFonts w:hint="eastAsia" w:ascii="宋体" w:hAnsi="宋体" w:eastAsia="宋体" w:cs="宋体"/>
          <w:color w:val="000000" w:themeColor="text1"/>
          <w:sz w:val="24"/>
          <w:szCs w:val="24"/>
          <w:highlight w:val="none"/>
          <w14:textFill>
            <w14:solidFill>
              <w14:schemeClr w14:val="tx1"/>
            </w14:solidFill>
          </w14:textFill>
        </w:rPr>
        <w:t>点</w:t>
      </w:r>
      <w:r>
        <w:rPr>
          <w:rFonts w:hint="eastAsia" w:ascii="宋体" w:hAnsi="宋体" w:eastAsia="宋体" w:cs="宋体"/>
          <w:color w:val="000000" w:themeColor="text1"/>
          <w:sz w:val="24"/>
          <w:szCs w:val="24"/>
          <w:highlight w:val="none"/>
          <w:lang w:val="en-US" w:eastAsia="zh-CN"/>
          <w14:textFill>
            <w14:solidFill>
              <w14:schemeClr w14:val="tx1"/>
            </w14:solidFill>
          </w14:textFill>
        </w:rPr>
        <w:t>00</w:t>
      </w:r>
      <w:r>
        <w:rPr>
          <w:rFonts w:hint="eastAsia" w:ascii="宋体" w:hAnsi="宋体" w:eastAsia="宋体" w:cs="宋体"/>
          <w:color w:val="000000" w:themeColor="text1"/>
          <w:sz w:val="24"/>
          <w:szCs w:val="24"/>
          <w:highlight w:val="none"/>
          <w14:textFill>
            <w14:solidFill>
              <w14:schemeClr w14:val="tx1"/>
            </w14:solidFill>
          </w14:textFill>
        </w:rPr>
        <w:t>分</w:t>
      </w:r>
      <w:r>
        <w:rPr>
          <w:rFonts w:hint="eastAsia" w:ascii="宋体" w:hAnsi="宋体" w:eastAsia="宋体" w:cs="宋体"/>
          <w:color w:val="000000" w:themeColor="text1"/>
          <w:sz w:val="24"/>
          <w:szCs w:val="24"/>
          <w:highlight w:val="none"/>
          <w14:textFill>
            <w14:solidFill>
              <w14:schemeClr w14:val="tx1"/>
            </w14:solidFill>
          </w14:textFill>
        </w:rPr>
        <w:t>（北京时间）</w:t>
      </w:r>
    </w:p>
    <w:p w14:paraId="73E6E1D3">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开标地点：</w:t>
      </w:r>
      <w:bookmarkStart w:id="21" w:name="_Toc35393794"/>
      <w:bookmarkStart w:id="22" w:name="_Toc28359084"/>
      <w:bookmarkStart w:id="23" w:name="_Toc28359007"/>
      <w:bookmarkStart w:id="24" w:name="_Toc35393625"/>
      <w:r>
        <w:rPr>
          <w:rFonts w:hint="eastAsia" w:ascii="宋体" w:hAnsi="宋体" w:eastAsia="宋体" w:cs="宋体"/>
          <w:color w:val="000000" w:themeColor="text1"/>
          <w:sz w:val="24"/>
          <w:szCs w:val="24"/>
          <w:highlight w:val="none"/>
          <w14:textFill>
            <w14:solidFill>
              <w14:schemeClr w14:val="tx1"/>
            </w14:solidFill>
          </w14:textFill>
        </w:rPr>
        <w:t>政采云平台http://www.zcygov.cn/</w:t>
      </w:r>
    </w:p>
    <w:p w14:paraId="1C2E5592">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五、公告期限</w:t>
      </w:r>
      <w:bookmarkEnd w:id="21"/>
      <w:bookmarkEnd w:id="22"/>
      <w:bookmarkEnd w:id="23"/>
      <w:bookmarkEnd w:id="24"/>
    </w:p>
    <w:p w14:paraId="43E4A403">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自本公告发布之日起5个工作日。</w:t>
      </w:r>
    </w:p>
    <w:p w14:paraId="5861A62D">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25" w:name="_Toc35393795"/>
      <w:bookmarkStart w:id="26" w:name="_Toc35393626"/>
      <w:r>
        <w:rPr>
          <w:rFonts w:hint="eastAsia" w:ascii="宋体" w:hAnsi="宋体" w:eastAsia="宋体" w:cs="宋体"/>
          <w:color w:val="000000" w:themeColor="text1"/>
          <w:sz w:val="24"/>
          <w:szCs w:val="24"/>
          <w:highlight w:val="none"/>
          <w14:textFill>
            <w14:solidFill>
              <w14:schemeClr w14:val="tx1"/>
            </w14:solidFill>
          </w14:textFill>
        </w:rPr>
        <w:t>六、其他补充事宜</w:t>
      </w:r>
      <w:bookmarkEnd w:id="25"/>
      <w:bookmarkEnd w:id="26"/>
    </w:p>
    <w:p w14:paraId="485292A2">
      <w:pPr>
        <w:pStyle w:val="60"/>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bookmarkStart w:id="27" w:name="_Toc35393796"/>
      <w:bookmarkStart w:id="28" w:name="_Toc28359008"/>
      <w:bookmarkStart w:id="29" w:name="_Toc28359085"/>
      <w:bookmarkStart w:id="30" w:name="_Toc35393627"/>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1、本项目实行电子招投标，投标人须登录政采云平台申请获取招标文件，并需要使用CA锁，登录政采云电子投标客户端制作投标文件，若投标人参与投标,自行承担与投标有关的一切费用。</w:t>
      </w:r>
    </w:p>
    <w:p w14:paraId="281092DD">
      <w:pPr>
        <w:pStyle w:val="60"/>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2.各投标人应在开标前确保是新疆维吾尔自治区政府采购网正式注册入库的投标人，并完成CA数字证书申领。因未注册入库、未办理CA数字证书等原因造成无法投标或投标失败等后果的由投标人自行承担</w:t>
      </w:r>
    </w:p>
    <w:p w14:paraId="6796ED20">
      <w:pPr>
        <w:pStyle w:val="60"/>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3.投标人可前往新疆政府采购网（http://www.ccgp-xinjiang.gov.cn/）下载专区，下载政采云电子投标客户端，安装完成后，可通过账号密码或CA登录客户端进行投标文件制作。</w:t>
      </w:r>
    </w:p>
    <w:p w14:paraId="59B648E8">
      <w:pPr>
        <w:pStyle w:val="60"/>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4.投标人在开标时须携带制作加密电子投标文件所使用的CA锁，电脑须提前配置好浏览器，以便开标时在线解密。</w:t>
      </w:r>
    </w:p>
    <w:p w14:paraId="13A6BE98">
      <w:pPr>
        <w:pStyle w:val="60"/>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360" w:lineRule="auto"/>
        <w:ind w:left="0" w:leftChars="0" w:right="0" w:rightChars="0" w:firstLine="480" w:firstLineChars="200"/>
        <w:jc w:val="left"/>
        <w:textAlignment w:val="auto"/>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5.投标投标人应当在投标截止时间前，将生成的“电子加密投标文件”上传递交至“政府采购云平台”，投标截止时间以后上传递交的投标文件将被“政府采购云平台”拒收。</w:t>
      </w:r>
    </w:p>
    <w:p w14:paraId="26D0A224">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七、对本次招标提出询问，请按以下方式联系</w:t>
      </w:r>
      <w:bookmarkEnd w:id="27"/>
      <w:bookmarkEnd w:id="28"/>
      <w:bookmarkEnd w:id="29"/>
      <w:bookmarkEnd w:id="30"/>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48CBDB52">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1.采购人信息</w:t>
      </w:r>
    </w:p>
    <w:p w14:paraId="57F5FF27">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名 称：</w:t>
      </w:r>
      <w:r>
        <w:rPr>
          <w:rStyle w:val="37"/>
          <w:rFonts w:hint="eastAsia" w:ascii="宋体" w:hAnsi="宋体" w:eastAsia="宋体" w:cs="宋体"/>
          <w:bCs/>
          <w:color w:val="000000" w:themeColor="text1"/>
          <w:sz w:val="24"/>
          <w:highlight w:val="none"/>
          <w:lang w:eastAsia="zh-CN"/>
          <w14:textFill>
            <w14:solidFill>
              <w14:schemeClr w14:val="tx1"/>
            </w14:solidFill>
          </w14:textFill>
        </w:rPr>
        <w:t>沙湾市中等职业技术学校</w:t>
      </w:r>
      <w:r>
        <w:rPr>
          <w:rFonts w:hint="eastAsia" w:ascii="宋体" w:hAnsi="宋体" w:eastAsia="宋体" w:cs="宋体"/>
          <w:color w:val="000000" w:themeColor="text1"/>
          <w:sz w:val="24"/>
          <w:szCs w:val="24"/>
          <w:highlight w:val="none"/>
          <w14:textFill>
            <w14:solidFill>
              <w14:schemeClr w14:val="tx1"/>
            </w14:solidFill>
          </w14:textFill>
        </w:rPr>
        <w:t>　　　　　　　　　　　</w:t>
      </w:r>
    </w:p>
    <w:p w14:paraId="6C5AD7C7">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址：</w:t>
      </w:r>
      <w:r>
        <w:rPr>
          <w:rFonts w:hint="eastAsia" w:ascii="宋体" w:hAnsi="宋体" w:eastAsia="宋体" w:cs="宋体"/>
          <w:color w:val="000000" w:themeColor="text1"/>
          <w:sz w:val="24"/>
          <w:szCs w:val="24"/>
          <w:highlight w:val="none"/>
          <w:lang w:eastAsia="zh-CN"/>
          <w14:textFill>
            <w14:solidFill>
              <w14:schemeClr w14:val="tx1"/>
            </w14:solidFill>
          </w14:textFill>
        </w:rPr>
        <w:t>沙湾市</w:t>
      </w:r>
      <w:r>
        <w:rPr>
          <w:rFonts w:hint="eastAsia" w:ascii="宋体" w:hAnsi="宋体" w:eastAsia="宋体" w:cs="宋体"/>
          <w:color w:val="000000" w:themeColor="text1"/>
          <w:sz w:val="24"/>
          <w:szCs w:val="24"/>
          <w:highlight w:val="none"/>
          <w14:textFill>
            <w14:solidFill>
              <w14:schemeClr w14:val="tx1"/>
            </w14:solidFill>
          </w14:textFill>
        </w:rPr>
        <w:t>　　　　　　　　　</w:t>
      </w:r>
    </w:p>
    <w:p w14:paraId="55B36CFB">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 xml:space="preserve">联系人：王素兰 </w:t>
      </w:r>
    </w:p>
    <w:p w14:paraId="1E8EC25C">
      <w:pPr>
        <w:keepNext w:val="0"/>
        <w:keepLines w:val="0"/>
        <w:pageBreakBefore w:val="0"/>
        <w:widowControl w:val="0"/>
        <w:kinsoku/>
        <w:wordWrap/>
        <w:overflowPunct/>
        <w:topLinePunct w:val="0"/>
        <w:autoSpaceDE/>
        <w:autoSpaceDN/>
        <w:bidi w:val="0"/>
        <w:adjustRightInd/>
        <w:snapToGrid/>
        <w:spacing w:line="360" w:lineRule="auto"/>
        <w:ind w:left="0" w:leftChars="0" w:firstLine="54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联系电话：</w:t>
      </w:r>
      <w:r>
        <w:rPr>
          <w:rFonts w:hint="eastAsia" w:ascii="宋体" w:hAnsi="宋体" w:eastAsia="宋体" w:cs="宋体"/>
          <w:color w:val="000000" w:themeColor="text1"/>
          <w:sz w:val="24"/>
          <w:szCs w:val="24"/>
          <w:highlight w:val="none"/>
          <w:lang w:val="en-US" w:eastAsia="zh-CN"/>
          <w14:textFill>
            <w14:solidFill>
              <w14:schemeClr w14:val="tx1"/>
            </w14:solidFill>
          </w14:textFill>
        </w:rPr>
        <w:t>15001633288</w:t>
      </w:r>
    </w:p>
    <w:p w14:paraId="707C77FD">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31" w:name="_Toc28359086"/>
      <w:bookmarkStart w:id="32" w:name="_Toc28359009"/>
      <w:r>
        <w:rPr>
          <w:rFonts w:hint="eastAsia" w:ascii="宋体" w:hAnsi="宋体" w:eastAsia="宋体" w:cs="宋体"/>
          <w:color w:val="000000" w:themeColor="text1"/>
          <w:sz w:val="24"/>
          <w:szCs w:val="24"/>
          <w:highlight w:val="none"/>
          <w14:textFill>
            <w14:solidFill>
              <w14:schemeClr w14:val="tx1"/>
            </w14:solidFill>
          </w14:textFill>
        </w:rPr>
        <w:t>2.采购代理机构信息</w:t>
      </w:r>
      <w:bookmarkEnd w:id="31"/>
      <w:bookmarkEnd w:id="32"/>
    </w:p>
    <w:p w14:paraId="6CE06CCF">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名 称：新疆拓源工程管理咨询有限公司　　　　　　　　　　　　</w:t>
      </w:r>
    </w:p>
    <w:p w14:paraId="42F04229">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　址：乌鲁木齐市水磨沟区龙盛街898号万科中央公园S6栋5层　　　　　　　　　　　　</w:t>
      </w:r>
    </w:p>
    <w:p w14:paraId="69535337">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项目联系人：</w:t>
      </w:r>
      <w:r>
        <w:rPr>
          <w:rFonts w:hint="eastAsia" w:ascii="宋体" w:hAnsi="宋体" w:eastAsia="宋体" w:cs="宋体"/>
          <w:color w:val="000000" w:themeColor="text1"/>
          <w:sz w:val="24"/>
          <w:szCs w:val="24"/>
          <w:highlight w:val="none"/>
          <w:lang w:val="en-US" w:eastAsia="zh-CN"/>
          <w14:textFill>
            <w14:solidFill>
              <w14:schemeClr w14:val="tx1"/>
            </w14:solidFill>
          </w14:textFill>
        </w:rPr>
        <w:t>杨工</w:t>
      </w:r>
    </w:p>
    <w:p w14:paraId="7A616324">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　话：</w:t>
      </w:r>
      <w:r>
        <w:rPr>
          <w:rFonts w:hint="eastAsia" w:ascii="宋体" w:hAnsi="宋体" w:eastAsia="宋体" w:cs="宋体"/>
          <w:color w:val="000000" w:themeColor="text1"/>
          <w:sz w:val="24"/>
          <w:szCs w:val="24"/>
          <w:highlight w:val="none"/>
          <w:lang w:val="en-US" w:eastAsia="zh-CN"/>
          <w14:textFill>
            <w14:solidFill>
              <w14:schemeClr w14:val="tx1"/>
            </w14:solidFill>
          </w14:textFill>
        </w:rPr>
        <w:t>15199586230、19999795598</w:t>
      </w:r>
    </w:p>
    <w:p w14:paraId="09F4B567">
      <w:pPr>
        <w:spacing w:line="480" w:lineRule="exact"/>
        <w:jc w:val="center"/>
        <w:rPr>
          <w:rFonts w:hint="eastAsia" w:ascii="宋体" w:hAnsi="宋体" w:eastAsia="宋体" w:cs="宋体"/>
          <w:color w:val="000000" w:themeColor="text1"/>
          <w:sz w:val="24"/>
          <w:szCs w:val="24"/>
          <w:highlight w:val="none"/>
          <w14:textFill>
            <w14:solidFill>
              <w14:schemeClr w14:val="tx1"/>
            </w14:solidFill>
          </w14:textFill>
        </w:rPr>
      </w:pPr>
      <w:bookmarkStart w:id="33" w:name="_Toc28983"/>
      <w:r>
        <w:rPr>
          <w:rFonts w:hint="eastAsia" w:ascii="宋体" w:hAnsi="宋体" w:eastAsia="宋体" w:cs="宋体"/>
          <w:color w:val="000000" w:themeColor="text1"/>
          <w:sz w:val="24"/>
          <w:szCs w:val="24"/>
          <w:highlight w:val="none"/>
          <w14:textFill>
            <w14:solidFill>
              <w14:schemeClr w14:val="tx1"/>
            </w14:solidFill>
          </w14:textFill>
        </w:rPr>
        <w:t>第二章  投标人须知</w:t>
      </w:r>
      <w:bookmarkEnd w:id="3"/>
      <w:bookmarkEnd w:id="4"/>
      <w:bookmarkEnd w:id="5"/>
      <w:bookmarkEnd w:id="6"/>
      <w:bookmarkEnd w:id="7"/>
      <w:bookmarkEnd w:id="8"/>
      <w:bookmarkEnd w:id="33"/>
    </w:p>
    <w:p w14:paraId="0BB409F2">
      <w:pPr>
        <w:keepNext/>
        <w:keepLines/>
        <w:pageBreakBefore w:val="0"/>
        <w:kinsoku/>
        <w:wordWrap/>
        <w:overflowPunct/>
        <w:topLinePunct w:val="0"/>
        <w:autoSpaceDE/>
        <w:autoSpaceDN/>
        <w:bidi w:val="0"/>
        <w:spacing w:line="420" w:lineRule="exact"/>
        <w:jc w:val="center"/>
        <w:textAlignment w:val="auto"/>
        <w:outlineLvl w:val="1"/>
        <w:rPr>
          <w:rFonts w:hint="eastAsia" w:ascii="宋体" w:hAnsi="宋体" w:eastAsia="宋体" w:cs="宋体"/>
          <w:b/>
          <w:bCs/>
          <w:color w:val="000000" w:themeColor="text1"/>
          <w:sz w:val="24"/>
          <w:szCs w:val="24"/>
          <w:highlight w:val="none"/>
          <w14:textFill>
            <w14:solidFill>
              <w14:schemeClr w14:val="tx1"/>
            </w14:solidFill>
          </w14:textFill>
        </w:rPr>
      </w:pPr>
      <w:bookmarkStart w:id="34" w:name="_Toc213496268"/>
      <w:bookmarkStart w:id="35" w:name="_Toc213396946"/>
      <w:bookmarkStart w:id="36" w:name="_Toc213397010"/>
      <w:bookmarkStart w:id="37" w:name="_Toc217446032"/>
      <w:bookmarkStart w:id="38" w:name="_Toc189727030"/>
      <w:bookmarkStart w:id="39" w:name="_Toc213396760"/>
      <w:r>
        <w:rPr>
          <w:rFonts w:hint="eastAsia" w:ascii="宋体" w:hAnsi="宋体" w:eastAsia="宋体" w:cs="宋体"/>
          <w:b/>
          <w:bCs/>
          <w:color w:val="000000" w:themeColor="text1"/>
          <w:sz w:val="24"/>
          <w:szCs w:val="24"/>
          <w:highlight w:val="none"/>
          <w14:textFill>
            <w14:solidFill>
              <w14:schemeClr w14:val="tx1"/>
            </w14:solidFill>
          </w14:textFill>
        </w:rPr>
        <w:t>一、投标人须知前附表</w:t>
      </w:r>
      <w:bookmarkEnd w:id="34"/>
      <w:bookmarkEnd w:id="35"/>
      <w:bookmarkEnd w:id="36"/>
      <w:bookmarkEnd w:id="37"/>
      <w:bookmarkEnd w:id="38"/>
      <w:bookmarkEnd w:id="39"/>
    </w:p>
    <w:tbl>
      <w:tblPr>
        <w:tblStyle w:val="29"/>
        <w:tblW w:w="5106"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9"/>
        <w:gridCol w:w="1476"/>
        <w:gridCol w:w="6398"/>
      </w:tblGrid>
      <w:tr w14:paraId="1D623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14:paraId="312B5E57">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序号</w:t>
            </w:r>
          </w:p>
        </w:tc>
        <w:tc>
          <w:tcPr>
            <w:tcW w:w="848" w:type="pct"/>
            <w:vAlign w:val="center"/>
          </w:tcPr>
          <w:p w14:paraId="3B3185F8">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名 称</w:t>
            </w:r>
          </w:p>
        </w:tc>
        <w:tc>
          <w:tcPr>
            <w:tcW w:w="3675" w:type="pct"/>
            <w:vAlign w:val="center"/>
          </w:tcPr>
          <w:p w14:paraId="3F575174">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内   容</w:t>
            </w:r>
          </w:p>
        </w:tc>
      </w:tr>
      <w:tr w14:paraId="0422C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0" w:hRule="atLeast"/>
          <w:jc w:val="center"/>
        </w:trPr>
        <w:tc>
          <w:tcPr>
            <w:tcW w:w="476" w:type="pct"/>
            <w:vAlign w:val="center"/>
          </w:tcPr>
          <w:p w14:paraId="373346C8">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p>
        </w:tc>
        <w:tc>
          <w:tcPr>
            <w:tcW w:w="848" w:type="pct"/>
            <w:vAlign w:val="center"/>
          </w:tcPr>
          <w:p w14:paraId="756E41F7">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采购人</w:t>
            </w:r>
          </w:p>
        </w:tc>
        <w:tc>
          <w:tcPr>
            <w:tcW w:w="3675" w:type="pct"/>
            <w:vAlign w:val="center"/>
          </w:tcPr>
          <w:p w14:paraId="6F0E897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名  称：</w:t>
            </w:r>
            <w:r>
              <w:rPr>
                <w:rStyle w:val="37"/>
                <w:rFonts w:hint="eastAsia" w:ascii="宋体" w:hAnsi="宋体" w:eastAsia="宋体" w:cs="宋体"/>
                <w:bCs/>
                <w:color w:val="000000" w:themeColor="text1"/>
                <w:sz w:val="24"/>
                <w:highlight w:val="none"/>
                <w:lang w:eastAsia="zh-CN"/>
                <w14:textFill>
                  <w14:solidFill>
                    <w14:schemeClr w14:val="tx1"/>
                  </w14:solidFill>
                </w14:textFill>
              </w:rPr>
              <w:t>沙湾市中等职业技术学校</w:t>
            </w:r>
            <w:r>
              <w:rPr>
                <w:rFonts w:hint="eastAsia" w:ascii="宋体" w:hAnsi="宋体" w:eastAsia="宋体" w:cs="宋体"/>
                <w:color w:val="000000" w:themeColor="text1"/>
                <w:sz w:val="24"/>
                <w:szCs w:val="24"/>
                <w:highlight w:val="none"/>
                <w14:textFill>
                  <w14:solidFill>
                    <w14:schemeClr w14:val="tx1"/>
                  </w14:solidFill>
                </w14:textFill>
              </w:rPr>
              <w:t>　</w:t>
            </w:r>
          </w:p>
          <w:p w14:paraId="512C22AA">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  址：</w:t>
            </w:r>
            <w:r>
              <w:rPr>
                <w:rStyle w:val="37"/>
                <w:rFonts w:hint="eastAsia" w:ascii="宋体" w:hAnsi="宋体" w:eastAsia="宋体" w:cs="宋体"/>
                <w:bCs/>
                <w:color w:val="000000" w:themeColor="text1"/>
                <w:sz w:val="24"/>
                <w:highlight w:val="none"/>
                <w:lang w:eastAsia="zh-CN"/>
                <w14:textFill>
                  <w14:solidFill>
                    <w14:schemeClr w14:val="tx1"/>
                  </w14:solidFill>
                </w14:textFill>
              </w:rPr>
              <w:t>沙湾市</w:t>
            </w:r>
          </w:p>
          <w:p w14:paraId="75B71FF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联系人：</w:t>
            </w:r>
            <w:r>
              <w:rPr>
                <w:rFonts w:hint="eastAsia" w:ascii="宋体" w:hAnsi="宋体" w:eastAsia="宋体" w:cs="宋体"/>
                <w:color w:val="000000" w:themeColor="text1"/>
                <w:sz w:val="24"/>
                <w:szCs w:val="24"/>
                <w:highlight w:val="none"/>
                <w:lang w:eastAsia="zh-CN"/>
                <w14:textFill>
                  <w14:solidFill>
                    <w14:schemeClr w14:val="tx1"/>
                  </w14:solidFill>
                </w14:textFill>
              </w:rPr>
              <w:t>王素兰</w:t>
            </w:r>
            <w:r>
              <w:rPr>
                <w:rFonts w:hint="eastAsia" w:ascii="宋体" w:hAnsi="宋体" w:eastAsia="宋体" w:cs="宋体"/>
                <w:color w:val="000000" w:themeColor="text1"/>
                <w:sz w:val="24"/>
                <w:highlight w:val="none"/>
                <w14:textFill>
                  <w14:solidFill>
                    <w14:schemeClr w14:val="tx1"/>
                  </w14:solidFill>
                </w14:textFill>
              </w:rPr>
              <w:t xml:space="preserve">  </w:t>
            </w:r>
          </w:p>
          <w:p w14:paraId="039F8D6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联系电话：</w:t>
            </w:r>
            <w:r>
              <w:rPr>
                <w:rFonts w:hint="eastAsia" w:ascii="宋体" w:hAnsi="宋体" w:eastAsia="宋体" w:cs="宋体"/>
                <w:color w:val="000000" w:themeColor="text1"/>
                <w:sz w:val="24"/>
                <w:szCs w:val="24"/>
                <w:highlight w:val="none"/>
                <w:lang w:val="en-US" w:eastAsia="zh-CN"/>
                <w14:textFill>
                  <w14:solidFill>
                    <w14:schemeClr w14:val="tx1"/>
                  </w14:solidFill>
                </w14:textFill>
              </w:rPr>
              <w:t>15001633288</w:t>
            </w:r>
          </w:p>
        </w:tc>
      </w:tr>
      <w:tr w14:paraId="38571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14:paraId="1EB97E36">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p>
        </w:tc>
        <w:tc>
          <w:tcPr>
            <w:tcW w:w="848" w:type="pct"/>
            <w:vAlign w:val="center"/>
          </w:tcPr>
          <w:p w14:paraId="14EF93BB">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采购代理机构</w:t>
            </w:r>
          </w:p>
        </w:tc>
        <w:tc>
          <w:tcPr>
            <w:tcW w:w="3675" w:type="pct"/>
            <w:vAlign w:val="center"/>
          </w:tcPr>
          <w:p w14:paraId="0329D41D">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名  称：新疆拓源工程管理咨询有限公司</w:t>
            </w:r>
          </w:p>
          <w:p w14:paraId="677E304D">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  址：</w:t>
            </w:r>
            <w:r>
              <w:rPr>
                <w:rFonts w:hint="eastAsia" w:ascii="宋体" w:hAnsi="宋体" w:eastAsia="宋体" w:cs="宋体"/>
                <w:color w:val="000000" w:themeColor="text1"/>
                <w:sz w:val="24"/>
                <w:szCs w:val="24"/>
                <w:highlight w:val="none"/>
                <w:lang w:val="zh-CN"/>
                <w14:textFill>
                  <w14:solidFill>
                    <w14:schemeClr w14:val="tx1"/>
                  </w14:solidFill>
                </w14:textFill>
              </w:rPr>
              <w:t>乌鲁木齐市水磨沟区龙盛街898号万科中央公园S6栋5层</w:t>
            </w:r>
          </w:p>
          <w:p w14:paraId="553BB309">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项目联系人：</w:t>
            </w:r>
            <w:r>
              <w:rPr>
                <w:rFonts w:hint="eastAsia" w:ascii="宋体" w:hAnsi="宋体" w:eastAsia="宋体" w:cs="宋体"/>
                <w:color w:val="000000" w:themeColor="text1"/>
                <w:sz w:val="24"/>
                <w:szCs w:val="24"/>
                <w:highlight w:val="none"/>
                <w:lang w:val="en-US" w:eastAsia="zh-CN"/>
                <w14:textFill>
                  <w14:solidFill>
                    <w14:schemeClr w14:val="tx1"/>
                  </w14:solidFill>
                </w14:textFill>
              </w:rPr>
              <w:t>杨工</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1EC094EE">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  话：</w:t>
            </w:r>
            <w:r>
              <w:rPr>
                <w:rFonts w:hint="eastAsia" w:ascii="宋体" w:hAnsi="宋体" w:eastAsia="宋体" w:cs="宋体"/>
                <w:color w:val="000000" w:themeColor="text1"/>
                <w:sz w:val="24"/>
                <w:szCs w:val="24"/>
                <w:highlight w:val="none"/>
                <w:lang w:val="en-US" w:eastAsia="zh-CN"/>
                <w14:textFill>
                  <w14:solidFill>
                    <w14:schemeClr w14:val="tx1"/>
                  </w14:solidFill>
                </w14:textFill>
              </w:rPr>
              <w:t>15199586230、19999795598</w:t>
            </w:r>
            <w:r>
              <w:rPr>
                <w:rFonts w:hint="eastAsia" w:ascii="宋体" w:hAnsi="宋体" w:eastAsia="宋体" w:cs="宋体"/>
                <w:color w:val="000000" w:themeColor="text1"/>
                <w:sz w:val="24"/>
                <w:szCs w:val="24"/>
                <w:highlight w:val="none"/>
                <w14:textFill>
                  <w14:solidFill>
                    <w14:schemeClr w14:val="tx1"/>
                  </w14:solidFill>
                </w14:textFill>
              </w:rPr>
              <w:t xml:space="preserve"> </w:t>
            </w:r>
          </w:p>
        </w:tc>
      </w:tr>
      <w:tr w14:paraId="6B999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476" w:type="pct"/>
            <w:vAlign w:val="center"/>
          </w:tcPr>
          <w:p w14:paraId="155508F0">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p>
        </w:tc>
        <w:tc>
          <w:tcPr>
            <w:tcW w:w="848" w:type="pct"/>
            <w:vAlign w:val="center"/>
          </w:tcPr>
          <w:p w14:paraId="3D9D9854">
            <w:pPr>
              <w:spacing w:line="36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项目名称</w:t>
            </w:r>
          </w:p>
        </w:tc>
        <w:tc>
          <w:tcPr>
            <w:tcW w:w="3675" w:type="pct"/>
            <w:vAlign w:val="center"/>
          </w:tcPr>
          <w:p w14:paraId="5C95DF4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沙湾市中等职业技术学校智能设备运行与维护实训基地新建实训室设备采购项目</w:t>
            </w:r>
          </w:p>
        </w:tc>
      </w:tr>
      <w:tr w14:paraId="6EC2E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476" w:type="pct"/>
            <w:vAlign w:val="center"/>
          </w:tcPr>
          <w:p w14:paraId="29863797">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w:t>
            </w:r>
          </w:p>
        </w:tc>
        <w:tc>
          <w:tcPr>
            <w:tcW w:w="848" w:type="pct"/>
            <w:vAlign w:val="center"/>
          </w:tcPr>
          <w:p w14:paraId="6258E07F">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项目编号</w:t>
            </w:r>
          </w:p>
        </w:tc>
        <w:tc>
          <w:tcPr>
            <w:tcW w:w="3675" w:type="pct"/>
            <w:vAlign w:val="center"/>
          </w:tcPr>
          <w:p w14:paraId="6E16EE30">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b w:val="0"/>
                <w:bCs/>
                <w:color w:val="000000" w:themeColor="text1"/>
                <w:sz w:val="24"/>
                <w:szCs w:val="24"/>
                <w:highlight w:val="none"/>
                <w:shd w:val="clear" w:color="auto" w:fill="auto"/>
                <w:lang w:eastAsia="zh-CN"/>
                <w14:textFill>
                  <w14:solidFill>
                    <w14:schemeClr w14:val="tx1"/>
                  </w14:solidFill>
                </w14:textFill>
              </w:rPr>
              <w:t>2025-0328-160725</w:t>
            </w: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 xml:space="preserve"> </w:t>
            </w:r>
          </w:p>
        </w:tc>
      </w:tr>
      <w:tr w14:paraId="688BA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0" w:hRule="atLeast"/>
          <w:jc w:val="center"/>
        </w:trPr>
        <w:tc>
          <w:tcPr>
            <w:tcW w:w="476" w:type="pct"/>
            <w:vAlign w:val="center"/>
          </w:tcPr>
          <w:p w14:paraId="110791F2">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p>
        </w:tc>
        <w:tc>
          <w:tcPr>
            <w:tcW w:w="1476" w:type="dxa"/>
            <w:vAlign w:val="center"/>
          </w:tcPr>
          <w:p w14:paraId="2E6DA3C0">
            <w:pPr>
              <w:spacing w:line="36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资金来源、预算金额</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最高限价</w:t>
            </w:r>
            <w:r>
              <w:rPr>
                <w:rFonts w:hint="eastAsia" w:ascii="宋体" w:hAnsi="宋体" w:eastAsia="宋体" w:cs="宋体"/>
                <w:color w:val="000000" w:themeColor="text1"/>
                <w:sz w:val="24"/>
                <w:szCs w:val="24"/>
                <w:highlight w:val="none"/>
                <w:lang w:eastAsia="zh-CN"/>
                <w14:textFill>
                  <w14:solidFill>
                    <w14:schemeClr w14:val="tx1"/>
                  </w14:solidFill>
                </w14:textFill>
              </w:rPr>
              <w:t>）</w:t>
            </w:r>
          </w:p>
        </w:tc>
        <w:tc>
          <w:tcPr>
            <w:tcW w:w="6398" w:type="dxa"/>
            <w:vAlign w:val="center"/>
          </w:tcPr>
          <w:p w14:paraId="52F7A152">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资金来源：财政</w:t>
            </w:r>
            <w:r>
              <w:rPr>
                <w:rFonts w:hint="eastAsia" w:ascii="宋体" w:hAnsi="宋体" w:eastAsia="宋体" w:cs="宋体"/>
                <w:color w:val="000000" w:themeColor="text1"/>
                <w:sz w:val="24"/>
                <w:szCs w:val="24"/>
                <w:highlight w:val="none"/>
                <w14:textFill>
                  <w14:solidFill>
                    <w14:schemeClr w14:val="tx1"/>
                  </w14:solidFill>
                </w14:textFill>
              </w:rPr>
              <w:t>资金</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3C48272D">
            <w:pPr>
              <w:pStyle w:val="7"/>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预算金额（最高限价）：</w:t>
            </w: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2000000</w:t>
            </w:r>
            <w:r>
              <w:rPr>
                <w:rFonts w:hint="eastAsia" w:ascii="宋体" w:hAnsi="宋体" w:eastAsia="宋体" w:cs="宋体"/>
                <w:color w:val="000000" w:themeColor="text1"/>
                <w:sz w:val="24"/>
                <w:szCs w:val="24"/>
                <w:highlight w:val="none"/>
                <w:lang w:val="en-US" w:eastAsia="zh-CN"/>
                <w14:textFill>
                  <w14:solidFill>
                    <w14:schemeClr w14:val="tx1"/>
                  </w14:solidFill>
                </w14:textFill>
              </w:rPr>
              <w:t>元</w:t>
            </w:r>
            <w:r>
              <w:rPr>
                <w:rFonts w:hint="eastAsia" w:ascii="宋体" w:hAnsi="宋体" w:eastAsia="宋体" w:cs="宋体"/>
                <w:color w:val="000000" w:themeColor="text1"/>
                <w:sz w:val="24"/>
                <w:szCs w:val="24"/>
                <w:highlight w:val="none"/>
                <w:lang w:val="en-US" w:eastAsia="zh-CN"/>
                <w14:textFill>
                  <w14:solidFill>
                    <w14:schemeClr w14:val="tx1"/>
                  </w14:solidFill>
                </w14:textFill>
              </w:rPr>
              <w:t>；此次报价包括货物到达采购人指定地点的全部费用，报价包括项目实施所需的货物费、安装费、包装运输费、装卸费、管理费、利润、税费及其他一切费用。</w:t>
            </w:r>
          </w:p>
          <w:p w14:paraId="0E952464">
            <w:pPr>
              <w:pStyle w:val="7"/>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投标人投标报价若超过最高限价，投标无效。</w:t>
            </w:r>
          </w:p>
        </w:tc>
      </w:tr>
      <w:tr w14:paraId="2E3D4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76" w:type="pct"/>
            <w:vAlign w:val="center"/>
          </w:tcPr>
          <w:p w14:paraId="10FD555B">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w:t>
            </w:r>
          </w:p>
        </w:tc>
        <w:tc>
          <w:tcPr>
            <w:tcW w:w="848" w:type="pct"/>
            <w:vAlign w:val="center"/>
          </w:tcPr>
          <w:p w14:paraId="5BC4643D">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采购需求</w:t>
            </w:r>
          </w:p>
        </w:tc>
        <w:tc>
          <w:tcPr>
            <w:tcW w:w="3675" w:type="pct"/>
            <w:vAlign w:val="center"/>
          </w:tcPr>
          <w:p w14:paraId="0ADDD959">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lang w:eastAsia="zh-CN"/>
                <w14:textFill>
                  <w14:solidFill>
                    <w14:schemeClr w14:val="tx1"/>
                  </w14:solidFill>
                </w14:textFill>
              </w:rPr>
              <w:t>本次项目拟建智能设备运行与维护实训室三间，包括：电工电子实训室一间，购置设备6套；plc实训室一间，购置设备10套；工业机器人实训室一间，购置设备4套；购置软件10套。包括以上采购内容的供货、运输保险、安装调试、验收及质保、售后服务等，具体内容详见招标文件及项目采购需求。</w:t>
            </w:r>
          </w:p>
        </w:tc>
      </w:tr>
      <w:tr w14:paraId="48DAA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476" w:type="pct"/>
            <w:vAlign w:val="center"/>
          </w:tcPr>
          <w:p w14:paraId="6C35F645">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w:t>
            </w:r>
          </w:p>
        </w:tc>
        <w:tc>
          <w:tcPr>
            <w:tcW w:w="848" w:type="pct"/>
            <w:vAlign w:val="center"/>
          </w:tcPr>
          <w:p w14:paraId="75A6AE6E">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质保期</w:t>
            </w:r>
          </w:p>
        </w:tc>
        <w:tc>
          <w:tcPr>
            <w:tcW w:w="3675" w:type="pct"/>
            <w:vAlign w:val="center"/>
          </w:tcPr>
          <w:p w14:paraId="091C922A">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自验收合格之日起质保三年。</w:t>
            </w:r>
          </w:p>
        </w:tc>
      </w:tr>
      <w:tr w14:paraId="69835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476" w:type="pct"/>
            <w:vAlign w:val="center"/>
          </w:tcPr>
          <w:p w14:paraId="4F853FC8">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w:t>
            </w:r>
          </w:p>
        </w:tc>
        <w:tc>
          <w:tcPr>
            <w:tcW w:w="848" w:type="pct"/>
            <w:vAlign w:val="center"/>
          </w:tcPr>
          <w:p w14:paraId="1463E48A">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合同履约期限</w:t>
            </w:r>
          </w:p>
        </w:tc>
        <w:tc>
          <w:tcPr>
            <w:tcW w:w="3675" w:type="pct"/>
            <w:vAlign w:val="center"/>
          </w:tcPr>
          <w:p w14:paraId="024BB204">
            <w:pPr>
              <w:keepNext w:val="0"/>
              <w:keepLines w:val="0"/>
              <w:pageBreakBefore w:val="0"/>
              <w:kinsoku/>
              <w:wordWrap/>
              <w:overflowPunct/>
              <w:topLinePunct w:val="0"/>
              <w:autoSpaceDE/>
              <w:autoSpaceDN/>
              <w:bidi w:val="0"/>
              <w:spacing w:line="400" w:lineRule="exact"/>
              <w:jc w:val="lef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合同签订后15日历天内完成。</w:t>
            </w:r>
          </w:p>
        </w:tc>
      </w:tr>
      <w:tr w14:paraId="2460C0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14:paraId="79001524">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w:t>
            </w:r>
          </w:p>
        </w:tc>
        <w:tc>
          <w:tcPr>
            <w:tcW w:w="848" w:type="pct"/>
            <w:vAlign w:val="center"/>
          </w:tcPr>
          <w:p w14:paraId="377AEE9C">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供货</w:t>
            </w:r>
            <w:r>
              <w:rPr>
                <w:rFonts w:hint="eastAsia" w:ascii="宋体" w:hAnsi="宋体" w:eastAsia="宋体" w:cs="宋体"/>
                <w:color w:val="000000" w:themeColor="text1"/>
                <w:sz w:val="24"/>
                <w:szCs w:val="24"/>
                <w:highlight w:val="none"/>
                <w14:textFill>
                  <w14:solidFill>
                    <w14:schemeClr w14:val="tx1"/>
                  </w14:solidFill>
                </w14:textFill>
              </w:rPr>
              <w:t>地点</w:t>
            </w:r>
          </w:p>
        </w:tc>
        <w:tc>
          <w:tcPr>
            <w:tcW w:w="3675" w:type="pct"/>
            <w:vAlign w:val="center"/>
          </w:tcPr>
          <w:p w14:paraId="726D0206">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沙湾市</w:t>
            </w:r>
          </w:p>
        </w:tc>
      </w:tr>
      <w:tr w14:paraId="1593B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 w:hRule="atLeast"/>
          <w:jc w:val="center"/>
        </w:trPr>
        <w:tc>
          <w:tcPr>
            <w:tcW w:w="476" w:type="pct"/>
            <w:vAlign w:val="center"/>
          </w:tcPr>
          <w:p w14:paraId="109F60E1">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w:t>
            </w:r>
          </w:p>
        </w:tc>
        <w:tc>
          <w:tcPr>
            <w:tcW w:w="848" w:type="pct"/>
            <w:vAlign w:val="center"/>
          </w:tcPr>
          <w:p w14:paraId="2BB85B02">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落实的政府采购政策</w:t>
            </w:r>
          </w:p>
        </w:tc>
        <w:tc>
          <w:tcPr>
            <w:tcW w:w="3675" w:type="pct"/>
            <w:vAlign w:val="center"/>
          </w:tcPr>
          <w:p w14:paraId="04488392">
            <w:pPr>
              <w:numPr>
                <w:ilvl w:val="0"/>
                <w:numId w:val="3"/>
              </w:num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符合促进中小企业（监狱企业、残疾人福利性单位）发展政策；</w:t>
            </w:r>
          </w:p>
          <w:p w14:paraId="5E44CFF7">
            <w:pPr>
              <w:numPr>
                <w:ilvl w:val="0"/>
                <w:numId w:val="3"/>
              </w:num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本项目为专门面向</w:t>
            </w:r>
            <w:r>
              <w:rPr>
                <w:rFonts w:hint="eastAsia" w:ascii="宋体" w:hAnsi="宋体" w:cs="宋体"/>
                <w:color w:val="000000" w:themeColor="text1"/>
                <w:sz w:val="24"/>
                <w:lang w:val="en-US" w:eastAsia="zh-CN"/>
                <w14:textFill>
                  <w14:solidFill>
                    <w14:schemeClr w14:val="tx1"/>
                  </w14:solidFill>
                </w14:textFill>
              </w:rPr>
              <w:t>中小</w:t>
            </w:r>
            <w:r>
              <w:rPr>
                <w:rFonts w:hint="eastAsia" w:ascii="宋体" w:hAnsi="宋体" w:eastAsia="宋体" w:cs="宋体"/>
                <w:color w:val="000000" w:themeColor="text1"/>
                <w:sz w:val="24"/>
                <w14:textFill>
                  <w14:solidFill>
                    <w14:schemeClr w14:val="tx1"/>
                  </w14:solidFill>
                </w14:textFill>
              </w:rPr>
              <w:t>企业（含</w:t>
            </w:r>
            <w:r>
              <w:rPr>
                <w:rFonts w:hint="eastAsia" w:ascii="宋体" w:hAnsi="宋体" w:cs="宋体"/>
                <w:color w:val="000000" w:themeColor="text1"/>
                <w:sz w:val="24"/>
                <w:lang w:val="en-US" w:eastAsia="zh-CN"/>
                <w14:textFill>
                  <w14:solidFill>
                    <w14:schemeClr w14:val="tx1"/>
                  </w14:solidFill>
                </w14:textFill>
              </w:rPr>
              <w:t>中型、</w:t>
            </w:r>
            <w:r>
              <w:rPr>
                <w:rFonts w:hint="eastAsia" w:ascii="宋体" w:hAnsi="宋体" w:eastAsia="宋体" w:cs="宋体"/>
                <w:color w:val="000000" w:themeColor="text1"/>
                <w:sz w:val="24"/>
                <w14:textFill>
                  <w14:solidFill>
                    <w14:schemeClr w14:val="tx1"/>
                  </w14:solidFill>
                </w14:textFill>
              </w:rPr>
              <w:t>小型、微型企业）采购项目，根据《政府采购促进中小企业发展管理办法》（财库[2020]46号）、《关于进一步加大政府采购支持中小企业力度的通知》（财库〔2022〕19号）、《财政部 司法部关于政府采购支持监狱企业发展有关问题的通知》（财库〔2014〕68号）和《三部门联合发布关于促进残疾人就业政府采购政策的通知》（财库〔2017〕141号）的规定，对满足价格扣除条件且在响应文件中提交了《中小企业声明函》、《残疾人福利性单位声明函》或省级以上监狱管理局、戒毒管理局（含新疆生产建设兵团）出具的属于监狱企业的证明文件的供应商。专门面向中小企业采购的项目或者采购标包，不再执行价格评审优惠的扶持政策；；</w:t>
            </w:r>
          </w:p>
          <w:p w14:paraId="4B7497F9">
            <w:pPr>
              <w:numPr>
                <w:ilvl w:val="0"/>
                <w:numId w:val="3"/>
              </w:num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财政部、国家发展改革委、生态环境部、市场监管总局《关于调整优化节能产品、环境标志产品政府采购执行机制的通知》（财库[2019]9号文）；</w:t>
            </w:r>
          </w:p>
          <w:p w14:paraId="215F266C">
            <w:pPr>
              <w:numPr>
                <w:ilvl w:val="0"/>
                <w:numId w:val="3"/>
              </w:num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财政部、生态环境部《关于印发环境标志产品政府采购品目清单的通知》（财库[2019]18号文）；</w:t>
            </w:r>
          </w:p>
          <w:p w14:paraId="41FA77F7">
            <w:pPr>
              <w:numPr>
                <w:ilvl w:val="0"/>
                <w:numId w:val="3"/>
              </w:num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财政部、发展改革委《关于印发节能产品政府采购品目清单的通知》（财库[2019]19号文）；</w:t>
            </w:r>
          </w:p>
          <w:p w14:paraId="68558004">
            <w:pPr>
              <w:numPr>
                <w:ilvl w:val="0"/>
                <w:numId w:val="3"/>
              </w:num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市场监管总局《市场监管总局关于发布参与实施政府采购节能产品、环境标志产品认证机构名录的公告》（2019年第16号）。</w:t>
            </w:r>
          </w:p>
          <w:p w14:paraId="35E54D54">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宋体" w:hAnsi="宋体" w:eastAsia="宋体" w:cs="宋体"/>
                <w:b/>
                <w:bCs/>
                <w:color w:val="000000" w:themeColor="text1"/>
                <w:sz w:val="24"/>
                <w:szCs w:val="24"/>
                <w:lang w:val="en-US" w:eastAsia="zh-CN"/>
                <w14:textFill>
                  <w14:solidFill>
                    <w14:schemeClr w14:val="tx1"/>
                  </w14:solidFill>
                </w14:textFill>
              </w:rPr>
            </w:pPr>
            <w:r>
              <w:rPr>
                <w:rFonts w:hint="eastAsia" w:ascii="宋体" w:hAnsi="宋体" w:eastAsia="宋体" w:cs="宋体"/>
                <w:b/>
                <w:bCs/>
                <w:color w:val="000000" w:themeColor="text1"/>
                <w:sz w:val="24"/>
                <w:szCs w:val="24"/>
                <w:lang w:val="en-US" w:eastAsia="zh-CN"/>
                <w14:textFill>
                  <w14:solidFill>
                    <w14:schemeClr w14:val="tx1"/>
                  </w14:solidFill>
                </w14:textFill>
              </w:rPr>
              <w:t>8、本次投标产品类别属于政府强制采购产品类别的，须按照要求提供依据国家确定的认证机构出具的节能产品或环境标志产品认证证书，否则投标无效。</w:t>
            </w:r>
          </w:p>
          <w:p w14:paraId="38B3A26D">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9</w:t>
            </w:r>
            <w:r>
              <w:rPr>
                <w:rFonts w:hint="eastAsia" w:ascii="宋体" w:hAnsi="宋体" w:eastAsia="宋体" w:cs="宋体"/>
                <w:color w:val="000000" w:themeColor="text1"/>
                <w:sz w:val="24"/>
                <w:szCs w:val="24"/>
                <w14:textFill>
                  <w14:solidFill>
                    <w14:schemeClr w14:val="tx1"/>
                  </w14:solidFill>
                </w14:textFill>
              </w:rPr>
              <w:t>、所属行业：工业。</w:t>
            </w:r>
          </w:p>
        </w:tc>
      </w:tr>
      <w:tr w14:paraId="27460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76" w:type="pct"/>
            <w:vAlign w:val="center"/>
          </w:tcPr>
          <w:p w14:paraId="53E11B99">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w:t>
            </w:r>
          </w:p>
        </w:tc>
        <w:tc>
          <w:tcPr>
            <w:tcW w:w="848" w:type="pct"/>
            <w:vAlign w:val="center"/>
          </w:tcPr>
          <w:p w14:paraId="3372EF91">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投标人资格要求</w:t>
            </w:r>
          </w:p>
        </w:tc>
        <w:tc>
          <w:tcPr>
            <w:tcW w:w="3675" w:type="pct"/>
            <w:vAlign w:val="center"/>
          </w:tcPr>
          <w:p w14:paraId="6448ADAF">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1.满足《中华人民共和国政府采购法》第二十二条规定；</w:t>
            </w:r>
          </w:p>
          <w:p w14:paraId="1720088E">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2.落实政府采购政策需满足的资格要求：本项目为专门面向中小企业（含中型、小型、微型企业）采购项目，根据《政府采购促进中小企业发展管理办法》（财库[2020]46 号）的规定，评审时不再执行价格评审优惠的扶持政策；</w:t>
            </w:r>
          </w:p>
          <w:p w14:paraId="797228CA">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（1）《政府采购促进中小企业发展管理办法》（财库〔2020〕46号）及《关于进一步加大政府采购支持中小企业力度的通知》（财库〔2022〕19号）；</w:t>
            </w:r>
          </w:p>
          <w:p w14:paraId="7D02CA9F">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（2）《财政部、司法部关于政府采购支持监狱企业发展有关问题的通知》（财库〔2014〕68号）；</w:t>
            </w:r>
          </w:p>
          <w:p w14:paraId="084E1B19">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（3）《财政部 民政部 中国残疾人联合会关于促进残疾人就业政府采购政策的通知》财库〔2017〕141号。</w:t>
            </w:r>
          </w:p>
          <w:p w14:paraId="72189CC1">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（4）财政部、国家发展改革委、生态环境部、市场监管总局《关于调整优化节能产品、环境标志产品政府采购执行机制的通知》（财库[2019]9号文）；</w:t>
            </w:r>
          </w:p>
          <w:p w14:paraId="252931CA">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（5）财政部、生态环境部《关于印发环境标志产品政府采购品目清单的通知》（财库[2019]18号文）；</w:t>
            </w:r>
          </w:p>
          <w:p w14:paraId="23C7F009">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（6）财政部、发展改革委《关于印发节能产品政府采购品目清单的通知》（财库[2019]19号文）；</w:t>
            </w:r>
          </w:p>
          <w:p w14:paraId="2A419E86">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（7）市场监管总局《市场监管总局关于发布参与实施政府采购节能产品、环境标志产品认证机构名录的公告》（2019年第16号）</w:t>
            </w:r>
            <w:r>
              <w:rPr>
                <w:rFonts w:hint="eastAsia" w:ascii="宋体" w:hAnsi="宋体" w:eastAsia="宋体" w:cs="宋体"/>
                <w:i w:val="0"/>
                <w:iCs w:val="0"/>
                <w:color w:val="000000" w:themeColor="text1"/>
                <w:sz w:val="24"/>
                <w:szCs w:val="24"/>
                <w:highlight w:val="none"/>
                <w14:textFill>
                  <w14:solidFill>
                    <w14:schemeClr w14:val="tx1"/>
                  </w14:solidFill>
                </w14:textFill>
              </w:rPr>
              <w:t>。</w:t>
            </w:r>
          </w:p>
          <w:p w14:paraId="079FE9EC">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.本项目的特定资格要求：</w:t>
            </w:r>
            <w:r>
              <w:rPr>
                <w:rFonts w:hint="eastAsia" w:ascii="宋体" w:hAnsi="宋体" w:eastAsia="宋体" w:cs="宋体"/>
                <w:color w:val="000000" w:themeColor="text1"/>
                <w:sz w:val="24"/>
                <w:szCs w:val="24"/>
                <w:highlight w:val="none"/>
                <w:lang w:val="en-US" w:eastAsia="zh-CN"/>
                <w14:textFill>
                  <w14:solidFill>
                    <w14:schemeClr w14:val="tx1"/>
                  </w14:solidFill>
                </w14:textFill>
              </w:rPr>
              <w:t>无</w:t>
            </w: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w:t>
            </w:r>
          </w:p>
        </w:tc>
      </w:tr>
      <w:tr w14:paraId="7CC018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76" w:type="pct"/>
            <w:vAlign w:val="center"/>
          </w:tcPr>
          <w:p w14:paraId="46678E54">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w:t>
            </w:r>
          </w:p>
        </w:tc>
        <w:tc>
          <w:tcPr>
            <w:tcW w:w="848" w:type="pct"/>
            <w:vAlign w:val="center"/>
          </w:tcPr>
          <w:p w14:paraId="4CB56192">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投标保证金</w:t>
            </w:r>
          </w:p>
        </w:tc>
        <w:tc>
          <w:tcPr>
            <w:tcW w:w="3675" w:type="pct"/>
            <w:vAlign w:val="center"/>
          </w:tcPr>
          <w:p w14:paraId="7D428B0B">
            <w:pPr>
              <w:pStyle w:val="28"/>
              <w:spacing w:line="360" w:lineRule="auto"/>
              <w:ind w:firstLine="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投标保证金的金额：</w:t>
            </w:r>
            <w:r>
              <w:rPr>
                <w:rFonts w:hint="eastAsia" w:ascii="宋体" w:hAnsi="宋体" w:eastAsia="宋体" w:cs="宋体"/>
                <w:color w:val="000000" w:themeColor="text1"/>
                <w:sz w:val="24"/>
                <w:szCs w:val="24"/>
                <w:highlight w:val="none"/>
                <w:lang w:eastAsia="zh-CN"/>
                <w14:textFill>
                  <w14:solidFill>
                    <w14:schemeClr w14:val="tx1"/>
                  </w14:solidFill>
                </w14:textFill>
              </w:rPr>
              <w:t>人民币</w:t>
            </w:r>
            <w:r>
              <w:rPr>
                <w:rFonts w:hint="eastAsia" w:ascii="宋体" w:hAnsi="宋体" w:eastAsia="宋体" w:cs="宋体"/>
                <w:color w:val="000000" w:themeColor="text1"/>
                <w:sz w:val="24"/>
                <w:szCs w:val="24"/>
                <w:highlight w:val="none"/>
                <w:lang w:val="en-US" w:eastAsia="zh-CN"/>
                <w14:textFill>
                  <w14:solidFill>
                    <w14:schemeClr w14:val="tx1"/>
                  </w14:solidFill>
                </w14:textFill>
              </w:rPr>
              <w:t>35</w:t>
            </w:r>
            <w:r>
              <w:rPr>
                <w:rFonts w:hint="eastAsia" w:ascii="宋体" w:hAnsi="宋体" w:eastAsia="宋体" w:cs="宋体"/>
                <w:color w:val="000000" w:themeColor="text1"/>
                <w:sz w:val="24"/>
                <w:szCs w:val="24"/>
                <w:highlight w:val="none"/>
                <w:lang w:eastAsia="zh-CN"/>
                <w14:textFill>
                  <w14:solidFill>
                    <w14:schemeClr w14:val="tx1"/>
                  </w14:solidFill>
                </w14:textFill>
              </w:rPr>
              <w:t>000.00元（大写：</w:t>
            </w:r>
            <w:r>
              <w:rPr>
                <w:rFonts w:hint="eastAsia" w:ascii="宋体" w:hAnsi="宋体" w:eastAsia="宋体" w:cs="宋体"/>
                <w:color w:val="000000" w:themeColor="text1"/>
                <w:sz w:val="24"/>
                <w:szCs w:val="24"/>
                <w:highlight w:val="none"/>
                <w:lang w:val="en-US" w:eastAsia="zh-CN"/>
                <w14:textFill>
                  <w14:solidFill>
                    <w14:schemeClr w14:val="tx1"/>
                  </w14:solidFill>
                </w14:textFill>
              </w:rPr>
              <w:t>叁万伍仟元整</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4B949637">
            <w:pPr>
              <w:pStyle w:val="28"/>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投标保证金由</w:t>
            </w:r>
            <w:r>
              <w:rPr>
                <w:rFonts w:hint="eastAsia" w:ascii="宋体" w:hAnsi="宋体" w:eastAsia="宋体" w:cs="宋体"/>
                <w:color w:val="000000" w:themeColor="text1"/>
                <w:sz w:val="24"/>
                <w:szCs w:val="24"/>
                <w:highlight w:val="none"/>
                <w:lang w:eastAsia="zh-CN"/>
                <w14:textFill>
                  <w14:solidFill>
                    <w14:schemeClr w14:val="tx1"/>
                  </w14:solidFill>
                </w14:textFill>
              </w:rPr>
              <w:t>采购人</w:t>
            </w:r>
            <w:r>
              <w:rPr>
                <w:rFonts w:hint="eastAsia" w:ascii="宋体" w:hAnsi="宋体" w:eastAsia="宋体" w:cs="宋体"/>
                <w:color w:val="000000" w:themeColor="text1"/>
                <w:sz w:val="24"/>
                <w:szCs w:val="24"/>
                <w:highlight w:val="none"/>
                <w14:textFill>
                  <w14:solidFill>
                    <w14:schemeClr w14:val="tx1"/>
                  </w14:solidFill>
                </w14:textFill>
              </w:rPr>
              <w:t>确认在投标截止时间前到账。</w:t>
            </w:r>
          </w:p>
          <w:p w14:paraId="4D6181F0">
            <w:pPr>
              <w:pStyle w:val="28"/>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一、投标保证金缴纳：</w:t>
            </w:r>
          </w:p>
          <w:p w14:paraId="4CA79ACF">
            <w:pPr>
              <w:pStyle w:val="28"/>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1.投标保证金应当以支票、汇票、本票或者金融机构、担保机构出具的保函等非现金形式提交；</w:t>
            </w:r>
          </w:p>
          <w:p w14:paraId="486D326C">
            <w:pPr>
              <w:pStyle w:val="28"/>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2.缴纳投标保证金时需备注项目名称；</w:t>
            </w:r>
          </w:p>
          <w:p w14:paraId="177E8382">
            <w:pPr>
              <w:pStyle w:val="28"/>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3.投标保证金递交截止时间：同投标文件递交截止时间；</w:t>
            </w:r>
          </w:p>
          <w:p w14:paraId="115984A6">
            <w:pPr>
              <w:pStyle w:val="28"/>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投标保证金缴纳账户：</w:t>
            </w:r>
          </w:p>
          <w:p w14:paraId="34742079">
            <w:pPr>
              <w:spacing w:line="312"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收款人名称：新疆拓源工程管理咨询有限公司沙湾分公司</w:t>
            </w:r>
          </w:p>
          <w:p w14:paraId="08BE7DF1">
            <w:pPr>
              <w:spacing w:line="312"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开户行：中国银行股份有限公司沙湾市支行</w:t>
            </w:r>
          </w:p>
          <w:p w14:paraId="7E35C648">
            <w:pPr>
              <w:spacing w:line="312"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帐号：107682161235</w:t>
            </w:r>
          </w:p>
          <w:p w14:paraId="70BFE1F3">
            <w:pPr>
              <w:spacing w:line="312"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行号：104901401016</w:t>
            </w:r>
          </w:p>
          <w:p w14:paraId="36F0A472">
            <w:pPr>
              <w:spacing w:line="312" w:lineRule="auto"/>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财务电话:</w:t>
            </w:r>
            <w:r>
              <w:rPr>
                <w:rFonts w:hint="eastAsia" w:ascii="宋体" w:hAnsi="宋体" w:eastAsia="宋体" w:cs="宋体"/>
                <w:color w:val="000000" w:themeColor="text1"/>
                <w:sz w:val="24"/>
                <w:highlight w:val="none"/>
                <w:lang w:eastAsia="zh-CN"/>
                <w14:textFill>
                  <w14:solidFill>
                    <w14:schemeClr w14:val="tx1"/>
                  </w14:solidFill>
                </w14:textFill>
              </w:rPr>
              <w:t>19999795598</w:t>
            </w:r>
          </w:p>
          <w:p w14:paraId="6F0B5876">
            <w:pPr>
              <w:pStyle w:val="28"/>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二、投标保证金退还：</w:t>
            </w:r>
          </w:p>
          <w:p w14:paraId="459CCCDD">
            <w:pPr>
              <w:pStyle w:val="28"/>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1.未中标人的投标保证金将在中标通知书发出后5个工作日内退还；</w:t>
            </w:r>
          </w:p>
          <w:p w14:paraId="543929F4">
            <w:pPr>
              <w:pStyle w:val="28"/>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2.中标人的投标保证金将在自采购合同签订之日起5个工作日内无息退还；</w:t>
            </w:r>
          </w:p>
          <w:p w14:paraId="568F4C5E">
            <w:pPr>
              <w:pStyle w:val="28"/>
              <w:spacing w:line="360" w:lineRule="auto"/>
              <w:ind w:firstLine="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3.有下列情形之一的，投标保证金不予退还：详见总则第1</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.5条</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753EB827">
            <w:pPr>
              <w:pStyle w:val="28"/>
              <w:spacing w:line="360" w:lineRule="auto"/>
              <w:ind w:firstLine="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三、加盖公章的投标保证金缴纳凭证复印件需装订在投标文件中相应位置。</w:t>
            </w:r>
          </w:p>
          <w:p w14:paraId="73578B21">
            <w:pPr>
              <w:pStyle w:val="28"/>
              <w:keepNext w:val="0"/>
              <w:keepLines w:val="0"/>
              <w:pageBreakBefore w:val="0"/>
              <w:kinsoku/>
              <w:wordWrap/>
              <w:overflowPunct/>
              <w:topLinePunct w:val="0"/>
              <w:autoSpaceDE/>
              <w:autoSpaceDN/>
              <w:bidi w:val="0"/>
              <w:spacing w:line="400" w:lineRule="exact"/>
              <w:ind w:firstLine="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注：投标人未按照</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的规定提交投标保证金的，将被视为</w:t>
            </w:r>
            <w:r>
              <w:rPr>
                <w:rFonts w:hint="eastAsia" w:ascii="宋体" w:hAnsi="宋体" w:eastAsia="宋体" w:cs="宋体"/>
                <w:b/>
                <w:bCs/>
                <w:color w:val="000000" w:themeColor="text1"/>
                <w:sz w:val="24"/>
                <w:szCs w:val="24"/>
                <w:highlight w:val="none"/>
                <w14:textFill>
                  <w14:solidFill>
                    <w14:schemeClr w14:val="tx1"/>
                  </w14:solidFill>
                </w14:textFill>
              </w:rPr>
              <w:t>投标无效</w:t>
            </w:r>
            <w:r>
              <w:rPr>
                <w:rFonts w:hint="eastAsia" w:ascii="宋体" w:hAnsi="宋体" w:eastAsia="宋体" w:cs="宋体"/>
                <w:color w:val="000000" w:themeColor="text1"/>
                <w:sz w:val="24"/>
                <w:szCs w:val="24"/>
                <w:highlight w:val="none"/>
                <w14:textFill>
                  <w14:solidFill>
                    <w14:schemeClr w14:val="tx1"/>
                  </w14:solidFill>
                </w14:textFill>
              </w:rPr>
              <w:t>。</w:t>
            </w:r>
          </w:p>
        </w:tc>
      </w:tr>
      <w:tr w14:paraId="270B3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14:paraId="7CAC6D00">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w:t>
            </w:r>
          </w:p>
        </w:tc>
        <w:tc>
          <w:tcPr>
            <w:tcW w:w="848" w:type="pct"/>
            <w:vAlign w:val="center"/>
          </w:tcPr>
          <w:p w14:paraId="1B9D35CE">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是否接受联合体投标</w:t>
            </w:r>
          </w:p>
        </w:tc>
        <w:tc>
          <w:tcPr>
            <w:tcW w:w="3675" w:type="pct"/>
            <w:vAlign w:val="center"/>
          </w:tcPr>
          <w:p w14:paraId="005A2B1A">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sym w:font="Wingdings" w:char="00FE"/>
            </w:r>
            <w:r>
              <w:rPr>
                <w:rFonts w:hint="eastAsia" w:ascii="宋体" w:hAnsi="宋体" w:eastAsia="宋体" w:cs="宋体"/>
                <w:color w:val="000000" w:themeColor="text1"/>
                <w:sz w:val="24"/>
                <w:szCs w:val="24"/>
                <w:highlight w:val="none"/>
                <w14:textFill>
                  <w14:solidFill>
                    <w14:schemeClr w14:val="tx1"/>
                  </w14:solidFill>
                </w14:textFill>
              </w:rPr>
              <w:t>不接受/</w:t>
            </w:r>
            <w:r>
              <w:rPr>
                <w:rFonts w:hint="eastAsia" w:ascii="宋体" w:hAnsi="宋体" w:eastAsia="宋体" w:cs="宋体"/>
                <w:color w:val="000000" w:themeColor="text1"/>
                <w:sz w:val="24"/>
                <w:szCs w:val="24"/>
                <w:highlight w:val="none"/>
                <w14:textFill>
                  <w14:solidFill>
                    <w14:schemeClr w14:val="tx1"/>
                  </w14:solidFill>
                </w14:textFill>
              </w:rPr>
              <w:sym w:font="Wingdings" w:char="00A8"/>
            </w:r>
            <w:r>
              <w:rPr>
                <w:rFonts w:hint="eastAsia" w:ascii="宋体" w:hAnsi="宋体" w:eastAsia="宋体" w:cs="宋体"/>
                <w:color w:val="000000" w:themeColor="text1"/>
                <w:sz w:val="24"/>
                <w:szCs w:val="24"/>
                <w:highlight w:val="none"/>
                <w14:textFill>
                  <w14:solidFill>
                    <w14:schemeClr w14:val="tx1"/>
                  </w14:solidFill>
                </w14:textFill>
              </w:rPr>
              <w:t>接受</w:t>
            </w:r>
          </w:p>
        </w:tc>
      </w:tr>
      <w:tr w14:paraId="41B3D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14:paraId="5B11C95E">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w:t>
            </w:r>
          </w:p>
        </w:tc>
        <w:tc>
          <w:tcPr>
            <w:tcW w:w="848" w:type="pct"/>
            <w:vAlign w:val="center"/>
          </w:tcPr>
          <w:p w14:paraId="60356284">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分包</w:t>
            </w:r>
          </w:p>
        </w:tc>
        <w:tc>
          <w:tcPr>
            <w:tcW w:w="3675" w:type="pct"/>
            <w:vAlign w:val="center"/>
          </w:tcPr>
          <w:p w14:paraId="1BB64045">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sym w:font="Wingdings" w:char="00FE"/>
            </w:r>
            <w:r>
              <w:rPr>
                <w:rFonts w:hint="eastAsia" w:ascii="宋体" w:hAnsi="宋体" w:eastAsia="宋体" w:cs="宋体"/>
                <w:color w:val="000000" w:themeColor="text1"/>
                <w:sz w:val="24"/>
                <w:szCs w:val="24"/>
                <w:highlight w:val="none"/>
                <w14:textFill>
                  <w14:solidFill>
                    <w14:schemeClr w14:val="tx1"/>
                  </w14:solidFill>
                </w14:textFill>
              </w:rPr>
              <w:t>不允许/</w:t>
            </w:r>
            <w:r>
              <w:rPr>
                <w:rFonts w:hint="eastAsia" w:ascii="宋体" w:hAnsi="宋体" w:eastAsia="宋体" w:cs="宋体"/>
                <w:color w:val="000000" w:themeColor="text1"/>
                <w:sz w:val="24"/>
                <w:szCs w:val="24"/>
                <w:highlight w:val="none"/>
                <w14:textFill>
                  <w14:solidFill>
                    <w14:schemeClr w14:val="tx1"/>
                  </w14:solidFill>
                </w14:textFill>
              </w:rPr>
              <w:sym w:font="Wingdings" w:char="00A8"/>
            </w:r>
            <w:r>
              <w:rPr>
                <w:rFonts w:hint="eastAsia" w:ascii="宋体" w:hAnsi="宋体" w:eastAsia="宋体" w:cs="宋体"/>
                <w:color w:val="000000" w:themeColor="text1"/>
                <w:sz w:val="24"/>
                <w:szCs w:val="24"/>
                <w:highlight w:val="none"/>
                <w14:textFill>
                  <w14:solidFill>
                    <w14:schemeClr w14:val="tx1"/>
                  </w14:solidFill>
                </w14:textFill>
              </w:rPr>
              <w:t>允许</w:t>
            </w:r>
          </w:p>
        </w:tc>
      </w:tr>
      <w:tr w14:paraId="56F52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14:paraId="03C2F472">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w:t>
            </w:r>
          </w:p>
        </w:tc>
        <w:tc>
          <w:tcPr>
            <w:tcW w:w="848" w:type="pct"/>
            <w:vAlign w:val="center"/>
          </w:tcPr>
          <w:p w14:paraId="5CC870AC">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投标文件</w:t>
            </w:r>
            <w:r>
              <w:rPr>
                <w:rFonts w:hint="eastAsia" w:ascii="宋体" w:hAnsi="宋体" w:eastAsia="宋体" w:cs="宋体"/>
                <w:color w:val="000000" w:themeColor="text1"/>
                <w:sz w:val="24"/>
                <w:szCs w:val="24"/>
                <w:highlight w:val="none"/>
                <w:lang w:eastAsia="zh-CN"/>
                <w14:textFill>
                  <w14:solidFill>
                    <w14:schemeClr w14:val="tx1"/>
                  </w14:solidFill>
                </w14:textFill>
              </w:rPr>
              <w:t>上传</w:t>
            </w:r>
            <w:r>
              <w:rPr>
                <w:rFonts w:hint="eastAsia" w:ascii="宋体" w:hAnsi="宋体" w:eastAsia="宋体" w:cs="宋体"/>
                <w:color w:val="000000" w:themeColor="text1"/>
                <w:sz w:val="24"/>
                <w:szCs w:val="24"/>
                <w:highlight w:val="none"/>
                <w14:textFill>
                  <w14:solidFill>
                    <w14:schemeClr w14:val="tx1"/>
                  </w14:solidFill>
                </w14:textFill>
              </w:rPr>
              <w:t>截止时间及地点</w:t>
            </w:r>
          </w:p>
        </w:tc>
        <w:tc>
          <w:tcPr>
            <w:tcW w:w="3675" w:type="pct"/>
            <w:vAlign w:val="center"/>
          </w:tcPr>
          <w:p w14:paraId="4F26F754">
            <w:pPr>
              <w:keepNext w:val="0"/>
              <w:keepLines w:val="0"/>
              <w:pageBreakBefore w:val="0"/>
              <w:widowControl w:val="0"/>
              <w:shd w:val="clear" w:color="auto" w:fill="auto"/>
              <w:kinsoku/>
              <w:wordWrap/>
              <w:overflowPunct/>
              <w:topLinePunct w:val="0"/>
              <w:autoSpaceDE/>
              <w:autoSpaceDN/>
              <w:bidi w:val="0"/>
              <w:adjustRightInd/>
              <w:snapToGrid/>
              <w:spacing w:line="300" w:lineRule="exact"/>
              <w:ind w:left="0" w:leftChars="0" w:right="0" w:rightChars="0" w:firstLine="0" w:firstLineChars="0"/>
              <w:textAlignment w:val="auto"/>
              <w:rPr>
                <w:rFonts w:hint="eastAsia" w:ascii="宋体" w:hAnsi="宋体" w:eastAsia="宋体" w:cs="宋体"/>
                <w:b w:val="0"/>
                <w:bCs/>
                <w:color w:val="000000" w:themeColor="text1"/>
                <w:kern w:val="0"/>
                <w:sz w:val="24"/>
                <w:szCs w:val="24"/>
                <w:highlight w:val="none"/>
                <w:u w:val="none"/>
                <w:shd w:val="clear" w:color="auto" w:fill="auto"/>
                <w:lang w:eastAsia="zh-CN"/>
                <w14:textFill>
                  <w14:solidFill>
                    <w14:schemeClr w14:val="tx1"/>
                  </w14:solidFill>
                </w14:textFill>
              </w:rPr>
            </w:pPr>
            <w:r>
              <w:rPr>
                <w:rFonts w:hint="eastAsia" w:ascii="宋体" w:hAnsi="宋体" w:eastAsia="宋体" w:cs="宋体"/>
                <w:b w:val="0"/>
                <w:bCs/>
                <w:color w:val="000000" w:themeColor="text1"/>
                <w:sz w:val="24"/>
                <w:szCs w:val="24"/>
                <w:highlight w:val="none"/>
                <w:u w:val="none"/>
                <w:shd w:val="clear" w:color="auto" w:fill="auto"/>
                <w:lang w:val="en-US" w:eastAsia="zh-CN"/>
                <w14:textFill>
                  <w14:solidFill>
                    <w14:schemeClr w14:val="tx1"/>
                  </w14:solidFill>
                </w14:textFill>
              </w:rPr>
              <w:t>投标</w:t>
            </w:r>
            <w:r>
              <w:rPr>
                <w:rFonts w:hint="eastAsia" w:ascii="宋体" w:hAnsi="宋体" w:eastAsia="宋体" w:cs="宋体"/>
                <w:b w:val="0"/>
                <w:bCs/>
                <w:color w:val="000000" w:themeColor="text1"/>
                <w:sz w:val="24"/>
                <w:szCs w:val="24"/>
                <w:highlight w:val="none"/>
                <w:u w:val="none"/>
                <w:shd w:val="clear" w:color="auto" w:fill="auto"/>
                <w14:textFill>
                  <w14:solidFill>
                    <w14:schemeClr w14:val="tx1"/>
                  </w14:solidFill>
                </w14:textFill>
              </w:rPr>
              <w:t>文件</w:t>
            </w:r>
            <w:r>
              <w:rPr>
                <w:rFonts w:hint="eastAsia" w:ascii="宋体" w:hAnsi="宋体" w:eastAsia="宋体" w:cs="宋体"/>
                <w:b w:val="0"/>
                <w:bCs/>
                <w:color w:val="000000" w:themeColor="text1"/>
                <w:sz w:val="24"/>
                <w:szCs w:val="24"/>
                <w:highlight w:val="none"/>
                <w:u w:val="none"/>
                <w:shd w:val="clear" w:color="auto" w:fill="auto"/>
                <w:lang w:val="en-US" w:eastAsia="zh-CN"/>
                <w14:textFill>
                  <w14:solidFill>
                    <w14:schemeClr w14:val="tx1"/>
                  </w14:solidFill>
                </w14:textFill>
              </w:rPr>
              <w:t>上传</w:t>
            </w:r>
            <w:r>
              <w:rPr>
                <w:rFonts w:hint="eastAsia" w:ascii="宋体" w:hAnsi="宋体" w:eastAsia="宋体" w:cs="宋体"/>
                <w:b w:val="0"/>
                <w:bCs/>
                <w:color w:val="000000" w:themeColor="text1"/>
                <w:sz w:val="24"/>
                <w:szCs w:val="24"/>
                <w:highlight w:val="none"/>
                <w:u w:val="none"/>
                <w:shd w:val="clear" w:color="auto" w:fill="auto"/>
                <w14:textFill>
                  <w14:solidFill>
                    <w14:schemeClr w14:val="tx1"/>
                  </w14:solidFill>
                </w14:textFill>
              </w:rPr>
              <w:t>截止时间</w:t>
            </w:r>
            <w:r>
              <w:rPr>
                <w:rFonts w:hint="eastAsia" w:ascii="宋体" w:hAnsi="宋体" w:eastAsia="宋体" w:cs="宋体"/>
                <w:b w:val="0"/>
                <w:bCs/>
                <w:color w:val="000000" w:themeColor="text1"/>
                <w:sz w:val="24"/>
                <w:szCs w:val="24"/>
                <w:highlight w:val="none"/>
                <w:u w:val="none"/>
                <w:shd w:val="clear" w:color="auto" w:fill="auto"/>
                <w:lang w:eastAsia="zh-CN"/>
                <w14:textFill>
                  <w14:solidFill>
                    <w14:schemeClr w14:val="tx1"/>
                  </w14:solidFill>
                </w14:textFill>
              </w:rPr>
              <w:t>：</w:t>
            </w:r>
            <w:r>
              <w:rPr>
                <w:rFonts w:hint="eastAsia" w:ascii="宋体" w:hAnsi="宋体" w:eastAsia="宋体" w:cs="宋体"/>
                <w:b w:val="0"/>
                <w:bCs/>
                <w:color w:val="000000" w:themeColor="text1"/>
                <w:sz w:val="24"/>
                <w:szCs w:val="24"/>
                <w:highlight w:val="none"/>
                <w:u w:val="none"/>
                <w:shd w:val="clear" w:color="auto" w:fill="auto"/>
                <w:lang w:eastAsia="zh-CN"/>
                <w14:textFill>
                  <w14:solidFill>
                    <w14:schemeClr w14:val="tx1"/>
                  </w14:solidFill>
                </w14:textFill>
              </w:rPr>
              <w:t>202</w:t>
            </w:r>
            <w:r>
              <w:rPr>
                <w:rFonts w:hint="eastAsia" w:ascii="宋体" w:hAnsi="宋体" w:eastAsia="宋体" w:cs="宋体"/>
                <w:b w:val="0"/>
                <w:bCs/>
                <w:color w:val="000000" w:themeColor="text1"/>
                <w:sz w:val="24"/>
                <w:szCs w:val="24"/>
                <w:highlight w:val="none"/>
                <w:u w:val="none"/>
                <w:shd w:val="clear" w:color="auto" w:fill="auto"/>
                <w:lang w:val="en-US" w:eastAsia="zh-CN"/>
                <w14:textFill>
                  <w14:solidFill>
                    <w14:schemeClr w14:val="tx1"/>
                  </w14:solidFill>
                </w14:textFill>
              </w:rPr>
              <w:t>5</w:t>
            </w:r>
            <w:r>
              <w:rPr>
                <w:rFonts w:hint="eastAsia" w:ascii="宋体" w:hAnsi="宋体" w:eastAsia="宋体" w:cs="宋体"/>
                <w:b w:val="0"/>
                <w:bCs/>
                <w:color w:val="000000" w:themeColor="text1"/>
                <w:sz w:val="24"/>
                <w:szCs w:val="24"/>
                <w:highlight w:val="none"/>
                <w:u w:val="none"/>
                <w:shd w:val="clear" w:color="auto" w:fill="auto"/>
                <w:lang w:eastAsia="zh-CN"/>
                <w14:textFill>
                  <w14:solidFill>
                    <w14:schemeClr w14:val="tx1"/>
                  </w14:solidFill>
                </w14:textFill>
              </w:rPr>
              <w:t>年</w:t>
            </w:r>
            <w:r>
              <w:rPr>
                <w:rFonts w:hint="eastAsia" w:ascii="宋体" w:hAnsi="宋体" w:eastAsia="宋体" w:cs="宋体"/>
                <w:b w:val="0"/>
                <w:bCs/>
                <w:color w:val="000000" w:themeColor="text1"/>
                <w:sz w:val="24"/>
                <w:szCs w:val="24"/>
                <w:highlight w:val="none"/>
                <w:u w:val="none"/>
                <w:shd w:val="clear" w:color="auto" w:fill="auto"/>
                <w:lang w:val="en-US" w:eastAsia="zh-CN"/>
                <w14:textFill>
                  <w14:solidFill>
                    <w14:schemeClr w14:val="tx1"/>
                  </w14:solidFill>
                </w14:textFill>
              </w:rPr>
              <w:t>04月</w:t>
            </w:r>
            <w:r>
              <w:rPr>
                <w:rFonts w:hint="eastAsia" w:ascii="宋体" w:hAnsi="宋体" w:cs="宋体"/>
                <w:b w:val="0"/>
                <w:bCs/>
                <w:color w:val="000000" w:themeColor="text1"/>
                <w:sz w:val="24"/>
                <w:szCs w:val="24"/>
                <w:highlight w:val="none"/>
                <w:u w:val="none"/>
                <w:shd w:val="clear" w:color="auto" w:fill="auto"/>
                <w:lang w:val="en-US" w:eastAsia="zh-CN"/>
                <w14:textFill>
                  <w14:solidFill>
                    <w14:schemeClr w14:val="tx1"/>
                  </w14:solidFill>
                </w14:textFill>
              </w:rPr>
              <w:t>23</w:t>
            </w:r>
            <w:r>
              <w:rPr>
                <w:rFonts w:hint="eastAsia" w:ascii="宋体" w:hAnsi="宋体" w:eastAsia="宋体" w:cs="宋体"/>
                <w:b w:val="0"/>
                <w:bCs/>
                <w:color w:val="000000" w:themeColor="text1"/>
                <w:sz w:val="24"/>
                <w:szCs w:val="24"/>
                <w:highlight w:val="none"/>
                <w:u w:val="none"/>
                <w:shd w:val="clear" w:color="auto" w:fill="auto"/>
                <w:lang w:eastAsia="zh-CN"/>
                <w14:textFill>
                  <w14:solidFill>
                    <w14:schemeClr w14:val="tx1"/>
                  </w14:solidFill>
                </w14:textFill>
              </w:rPr>
              <w:t>日</w:t>
            </w:r>
            <w:r>
              <w:rPr>
                <w:rFonts w:hint="eastAsia" w:ascii="宋体" w:hAnsi="宋体" w:eastAsia="宋体" w:cs="宋体"/>
                <w:b w:val="0"/>
                <w:bCs/>
                <w:color w:val="000000" w:themeColor="text1"/>
                <w:sz w:val="24"/>
                <w:szCs w:val="24"/>
                <w:highlight w:val="none"/>
                <w:u w:val="none"/>
                <w:shd w:val="clear" w:color="auto" w:fill="auto"/>
                <w:lang w:val="en-US" w:eastAsia="zh-CN"/>
                <w14:textFill>
                  <w14:solidFill>
                    <w14:schemeClr w14:val="tx1"/>
                  </w14:solidFill>
                </w14:textFill>
              </w:rPr>
              <w:t>15</w:t>
            </w:r>
            <w:r>
              <w:rPr>
                <w:rFonts w:hint="eastAsia" w:ascii="宋体" w:hAnsi="宋体" w:eastAsia="宋体" w:cs="宋体"/>
                <w:b w:val="0"/>
                <w:bCs/>
                <w:color w:val="000000" w:themeColor="text1"/>
                <w:sz w:val="24"/>
                <w:szCs w:val="24"/>
                <w:highlight w:val="none"/>
                <w:u w:val="none"/>
                <w:shd w:val="clear" w:color="auto" w:fill="auto"/>
                <w14:textFill>
                  <w14:solidFill>
                    <w14:schemeClr w14:val="tx1"/>
                  </w14:solidFill>
                </w14:textFill>
              </w:rPr>
              <w:t>时</w:t>
            </w:r>
            <w:r>
              <w:rPr>
                <w:rFonts w:hint="eastAsia" w:ascii="宋体" w:hAnsi="宋体" w:eastAsia="宋体" w:cs="宋体"/>
                <w:b w:val="0"/>
                <w:bCs/>
                <w:color w:val="000000" w:themeColor="text1"/>
                <w:sz w:val="24"/>
                <w:szCs w:val="24"/>
                <w:highlight w:val="none"/>
                <w:u w:val="none"/>
                <w:shd w:val="clear" w:color="auto" w:fill="auto"/>
                <w:lang w:val="en-US" w:eastAsia="zh-CN"/>
                <w14:textFill>
                  <w14:solidFill>
                    <w14:schemeClr w14:val="tx1"/>
                  </w14:solidFill>
                </w14:textFill>
              </w:rPr>
              <w:t>00</w:t>
            </w:r>
            <w:r>
              <w:rPr>
                <w:rFonts w:hint="eastAsia" w:ascii="宋体" w:hAnsi="宋体" w:eastAsia="宋体" w:cs="宋体"/>
                <w:b w:val="0"/>
                <w:bCs/>
                <w:color w:val="000000" w:themeColor="text1"/>
                <w:sz w:val="24"/>
                <w:szCs w:val="24"/>
                <w:highlight w:val="none"/>
                <w:u w:val="none"/>
                <w:shd w:val="clear" w:color="auto" w:fill="auto"/>
                <w14:textFill>
                  <w14:solidFill>
                    <w14:schemeClr w14:val="tx1"/>
                  </w14:solidFill>
                </w14:textFill>
              </w:rPr>
              <w:t>分</w:t>
            </w:r>
            <w:r>
              <w:rPr>
                <w:rFonts w:hint="eastAsia" w:ascii="宋体" w:hAnsi="宋体" w:eastAsia="宋体" w:cs="宋体"/>
                <w:b w:val="0"/>
                <w:bCs/>
                <w:color w:val="000000" w:themeColor="text1"/>
                <w:kern w:val="0"/>
                <w:sz w:val="24"/>
                <w:szCs w:val="24"/>
                <w:highlight w:val="none"/>
                <w:u w:val="none"/>
                <w:shd w:val="clear" w:color="auto" w:fill="auto"/>
                <w14:textFill>
                  <w14:solidFill>
                    <w14:schemeClr w14:val="tx1"/>
                  </w14:solidFill>
                </w14:textFill>
              </w:rPr>
              <w:t>（北京时间）</w:t>
            </w:r>
            <w:r>
              <w:rPr>
                <w:rFonts w:hint="eastAsia" w:ascii="宋体" w:hAnsi="宋体" w:eastAsia="宋体" w:cs="宋体"/>
                <w:b w:val="0"/>
                <w:bCs/>
                <w:color w:val="000000" w:themeColor="text1"/>
                <w:kern w:val="0"/>
                <w:sz w:val="24"/>
                <w:szCs w:val="24"/>
                <w:highlight w:val="none"/>
                <w:u w:val="none"/>
                <w:shd w:val="clear" w:color="auto" w:fill="auto"/>
                <w:lang w:eastAsia="zh-CN"/>
                <w14:textFill>
                  <w14:solidFill>
                    <w14:schemeClr w14:val="tx1"/>
                  </w14:solidFill>
                </w14:textFill>
              </w:rPr>
              <w:t>；</w:t>
            </w:r>
          </w:p>
          <w:p w14:paraId="682A8E31">
            <w:pPr>
              <w:keepNext w:val="0"/>
              <w:keepLines w:val="0"/>
              <w:pageBreakBefore w:val="0"/>
              <w:widowControl/>
              <w:kinsoku/>
              <w:wordWrap/>
              <w:overflowPunct/>
              <w:topLinePunct w:val="0"/>
              <w:autoSpaceDE/>
              <w:autoSpaceDN/>
              <w:bidi w:val="0"/>
              <w:spacing w:line="400" w:lineRule="exact"/>
              <w:jc w:val="left"/>
              <w:textAlignment w:val="auto"/>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应在投标截止时间前将“电子加密投标文件”成功上传</w:t>
            </w:r>
            <w:r>
              <w:rPr>
                <w:rFonts w:hint="eastAsia" w:ascii="宋体" w:hAnsi="宋体" w:eastAsia="宋体" w:cs="宋体"/>
                <w:color w:val="000000" w:themeColor="text1"/>
                <w:sz w:val="24"/>
                <w:szCs w:val="24"/>
                <w:highlight w:val="none"/>
                <w:lang w:eastAsia="zh-CN"/>
                <w14:textFill>
                  <w14:solidFill>
                    <w14:schemeClr w14:val="tx1"/>
                  </w14:solidFill>
                </w14:textFill>
              </w:rPr>
              <w:t>上传</w:t>
            </w:r>
            <w:r>
              <w:rPr>
                <w:rFonts w:hint="eastAsia" w:ascii="宋体" w:hAnsi="宋体" w:eastAsia="宋体" w:cs="宋体"/>
                <w:color w:val="000000" w:themeColor="text1"/>
                <w:sz w:val="24"/>
                <w:szCs w:val="24"/>
                <w:highlight w:val="none"/>
                <w14:textFill>
                  <w14:solidFill>
                    <w14:schemeClr w14:val="tx1"/>
                  </w14:solidFill>
                </w14:textFill>
              </w:rPr>
              <w:t>至“政府采购云平台”，否则投标无效。</w:t>
            </w:r>
          </w:p>
        </w:tc>
      </w:tr>
      <w:tr w14:paraId="23BE3A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14:paraId="7381EDBE">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w:t>
            </w:r>
          </w:p>
        </w:tc>
        <w:tc>
          <w:tcPr>
            <w:tcW w:w="848" w:type="pct"/>
            <w:vAlign w:val="center"/>
          </w:tcPr>
          <w:p w14:paraId="376BE346">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采用电子招标投标</w:t>
            </w:r>
          </w:p>
        </w:tc>
        <w:tc>
          <w:tcPr>
            <w:tcW w:w="3675" w:type="pct"/>
            <w:vAlign w:val="center"/>
          </w:tcPr>
          <w:p w14:paraId="356451C5">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具体要求：</w:t>
            </w:r>
          </w:p>
          <w:p w14:paraId="663E490B">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1、投标文件解密时间：</w:t>
            </w:r>
            <w:r>
              <w:rPr>
                <w:rFonts w:hint="eastAsia" w:ascii="宋体" w:hAnsi="宋体" w:eastAsia="宋体" w:cs="宋体"/>
                <w:color w:val="000000" w:themeColor="text1"/>
                <w:sz w:val="24"/>
                <w:szCs w:val="24"/>
                <w:highlight w:val="none"/>
                <w14:textFill>
                  <w14:solidFill>
                    <w14:schemeClr w14:val="tx1"/>
                  </w14:solidFill>
                </w14:textFill>
              </w:rPr>
              <w:t>投标文件解密时间30分钟，开标前需投标单位用CA证书登录政采云平台开标大厅签到，在30分钟解密时间内输入CA证书PIN码解密投标文件。在30分钟解密时间内未进行解密的投标单位将导致</w:t>
            </w:r>
            <w:r>
              <w:rPr>
                <w:rFonts w:hint="eastAsia" w:ascii="宋体" w:hAnsi="宋体" w:eastAsia="宋体" w:cs="宋体"/>
                <w:color w:val="000000" w:themeColor="text1"/>
                <w:sz w:val="24"/>
                <w:szCs w:val="24"/>
                <w:highlight w:val="none"/>
                <w:lang w:eastAsia="zh-CN"/>
                <w14:textFill>
                  <w14:solidFill>
                    <w14:schemeClr w14:val="tx1"/>
                  </w14:solidFill>
                </w14:textFill>
              </w:rPr>
              <w:t>投标无效</w:t>
            </w:r>
            <w:r>
              <w:rPr>
                <w:rFonts w:hint="eastAsia" w:ascii="宋体" w:hAnsi="宋体" w:eastAsia="宋体" w:cs="宋体"/>
                <w:color w:val="000000" w:themeColor="text1"/>
                <w:sz w:val="24"/>
                <w:szCs w:val="24"/>
                <w:highlight w:val="none"/>
                <w14:textFill>
                  <w14:solidFill>
                    <w14:schemeClr w14:val="tx1"/>
                  </w14:solidFill>
                </w14:textFill>
              </w:rPr>
              <w:t>。（解密时间开始时政采云平台将以短信形式向</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在政采云平台预留的手机号发送短信通知，请</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及时关注。）</w:t>
            </w:r>
          </w:p>
          <w:p w14:paraId="00E36575">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2、</w:t>
            </w:r>
            <w:r>
              <w:rPr>
                <w:rFonts w:hint="eastAsia" w:ascii="宋体" w:hAnsi="宋体" w:eastAsia="宋体" w:cs="宋体"/>
                <w:b/>
                <w:bCs/>
                <w:color w:val="000000" w:themeColor="text1"/>
                <w:sz w:val="24"/>
                <w:szCs w:val="24"/>
                <w:highlight w:val="none"/>
                <w:lang w:eastAsia="zh-CN"/>
                <w14:textFill>
                  <w14:solidFill>
                    <w14:schemeClr w14:val="tx1"/>
                  </w14:solidFill>
                </w14:textFill>
              </w:rPr>
              <w:t>投标人</w:t>
            </w:r>
            <w:r>
              <w:rPr>
                <w:rFonts w:hint="eastAsia" w:ascii="宋体" w:hAnsi="宋体" w:eastAsia="宋体" w:cs="宋体"/>
                <w:b/>
                <w:bCs/>
                <w:color w:val="000000" w:themeColor="text1"/>
                <w:sz w:val="24"/>
                <w:szCs w:val="24"/>
                <w:highlight w:val="none"/>
                <w14:textFill>
                  <w14:solidFill>
                    <w14:schemeClr w14:val="tx1"/>
                  </w14:solidFill>
                </w14:textFill>
              </w:rPr>
              <w:t>报价CA签字确认：</w:t>
            </w:r>
            <w:r>
              <w:rPr>
                <w:rFonts w:hint="eastAsia" w:ascii="宋体" w:hAnsi="宋体" w:eastAsia="宋体" w:cs="宋体"/>
                <w:color w:val="000000" w:themeColor="text1"/>
                <w:sz w:val="24"/>
                <w:szCs w:val="24"/>
                <w:highlight w:val="none"/>
                <w14:textFill>
                  <w14:solidFill>
                    <w14:schemeClr w14:val="tx1"/>
                  </w14:solidFill>
                </w14:textFill>
              </w:rPr>
              <w:t>报价文件开启后将开启签字时段，</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须在20分钟内用CA证书对报价进行签字确认。</w:t>
            </w:r>
          </w:p>
          <w:p w14:paraId="11EA755C">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3、备注:</w:t>
            </w:r>
          </w:p>
          <w:p w14:paraId="0082FCEA">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（1）本次采购采用电子交易方式，电子交易平台为“政府采购云平台（www.zcygov.cn）”。</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参与本项目电子交易活动前，应注册成为政府采购平台</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。编制电子投标文件前还需申领CA证书并绑定帐号.</w:t>
            </w:r>
          </w:p>
          <w:p w14:paraId="436FC783">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编制电子投标文件应安装“电子招投标</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客户端”软件，并按照本</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和电子招投标</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客户端的要求编制并加密投标文件。未按规定加密的投标文件，将被电子招投标</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客户端拒收。“电子招投标</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客户端”请</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自行前往“新疆政府采购网—下载专区—新疆维吾尔自治区全流程电子招投标项目管理系统--电子招投标</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客户端”版块获取。</w:t>
            </w:r>
          </w:p>
          <w:p w14:paraId="2EFB762C">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应当在投标截止时间前，将“电子招投标</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客户端”生成的“电子加密投标文件”上传电子交易平台。</w:t>
            </w:r>
          </w:p>
          <w:p w14:paraId="276BF293">
            <w:pPr>
              <w:keepNext w:val="0"/>
              <w:keepLines w:val="0"/>
              <w:pageBreakBefore w:val="0"/>
              <w:kinsoku/>
              <w:wordWrap/>
              <w:overflowPunct/>
              <w:topLinePunct w:val="0"/>
              <w:autoSpaceDE/>
              <w:autoSpaceDN/>
              <w:bidi w:val="0"/>
              <w:spacing w:line="400" w:lineRule="exact"/>
              <w:jc w:val="left"/>
              <w:textAlignment w:val="auto"/>
              <w:rPr>
                <w:rFonts w:hint="eastAsia" w:ascii="宋体" w:hAnsi="宋体" w:eastAsia="宋体" w:cs="宋体"/>
                <w:b/>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（5）服务与支持。各政府采购代理机构（含集采机构）及</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对不见面开评标系统的技术操作咨询，可通过</w:t>
            </w: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"https://edu.zcygov.cn/luban/xinjiang-e-biding"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https://edu.zcygov.cn/luban/xinjiang-e-biding</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t>自助查询，也可在政采云帮助中心常见问题解答和操作流程讲解视频中自助查询，网址为：</w:t>
            </w: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HYPERLINK "https://service.zcygov.cn/" \l "/help" </w:instrText>
            </w:r>
            <w:r>
              <w:rPr>
                <w:rFonts w:hint="eastAsia" w:ascii="宋体" w:hAnsi="宋体" w:eastAsia="宋体" w:cs="宋体"/>
                <w:color w:val="000000" w:themeColor="text1"/>
                <w:sz w:val="24"/>
                <w:szCs w:val="24"/>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https://service.zcygov.cn/#/help</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t>，“项目采购—操作流程—电子招投标—政府采购项目电子交易管理操作指南-</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”版面获取操作指南，同时对自助查询无法解决的问题可通过钉钉群及政采云在线客服获取服务支持。政采云热线人工号码：400-881-7190（工作时间：工作日08:00~20：00）</w:t>
            </w:r>
          </w:p>
        </w:tc>
      </w:tr>
      <w:tr w14:paraId="51505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14:paraId="69E243E5">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w:t>
            </w:r>
          </w:p>
        </w:tc>
        <w:tc>
          <w:tcPr>
            <w:tcW w:w="848" w:type="pct"/>
            <w:vAlign w:val="center"/>
          </w:tcPr>
          <w:p w14:paraId="34CE6207">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投标报价</w:t>
            </w:r>
          </w:p>
        </w:tc>
        <w:tc>
          <w:tcPr>
            <w:tcW w:w="3675" w:type="pct"/>
            <w:vAlign w:val="center"/>
          </w:tcPr>
          <w:p w14:paraId="319EE772">
            <w:pPr>
              <w:keepNext w:val="0"/>
              <w:keepLines w:val="0"/>
              <w:pageBreakBefore w:val="0"/>
              <w:numPr>
                <w:ilvl w:val="0"/>
                <w:numId w:val="4"/>
              </w:numPr>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的报价明显低于其他通过符合性审查投标人的报价，有可能影响货物质量或者不能诚信履约的，应当要求其在评标现场合理的时间内提供书面说明，必要时提交相关证明材料;投标人不能证明其报价合理性的，评标委员会将其作为无效投标处理，自行承担相关责任。</w:t>
            </w:r>
          </w:p>
          <w:p w14:paraId="3CB4C9FF">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2、投标人的报价包含提供的所有服务及相关工作范围内所有费用（包含接口费）的总价。</w:t>
            </w:r>
          </w:p>
        </w:tc>
      </w:tr>
      <w:tr w14:paraId="31B01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jc w:val="center"/>
        </w:trPr>
        <w:tc>
          <w:tcPr>
            <w:tcW w:w="476" w:type="pct"/>
            <w:vAlign w:val="center"/>
          </w:tcPr>
          <w:p w14:paraId="4694BC67">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w:t>
            </w:r>
          </w:p>
        </w:tc>
        <w:tc>
          <w:tcPr>
            <w:tcW w:w="848" w:type="pct"/>
            <w:vAlign w:val="center"/>
          </w:tcPr>
          <w:p w14:paraId="4948749D">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踏勘现场</w:t>
            </w:r>
          </w:p>
        </w:tc>
        <w:tc>
          <w:tcPr>
            <w:tcW w:w="3675" w:type="pct"/>
            <w:vAlign w:val="center"/>
          </w:tcPr>
          <w:p w14:paraId="5C555E01">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sym w:font="Wingdings" w:char="F0FE"/>
            </w:r>
            <w:r>
              <w:rPr>
                <w:rFonts w:hint="eastAsia" w:ascii="宋体" w:hAnsi="宋体" w:eastAsia="宋体" w:cs="宋体"/>
                <w:color w:val="000000" w:themeColor="text1"/>
                <w:sz w:val="24"/>
                <w:szCs w:val="24"/>
                <w:highlight w:val="none"/>
                <w14:textFill>
                  <w14:solidFill>
                    <w14:schemeClr w14:val="tx1"/>
                  </w14:solidFill>
                </w14:textFill>
              </w:rPr>
              <w:t>不组织，投标人自行踏勘，无论投标人对现场考察与否，都将被视为熟悉履行合同有关的一切情况，投标人现场踏勘发生的费用自理。</w:t>
            </w:r>
          </w:p>
        </w:tc>
      </w:tr>
      <w:tr w14:paraId="01AA1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14:paraId="52647580">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w:t>
            </w:r>
          </w:p>
        </w:tc>
        <w:tc>
          <w:tcPr>
            <w:tcW w:w="848" w:type="pct"/>
            <w:vAlign w:val="center"/>
          </w:tcPr>
          <w:p w14:paraId="04A0FCFA">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投标答疑会</w:t>
            </w:r>
          </w:p>
        </w:tc>
        <w:tc>
          <w:tcPr>
            <w:tcW w:w="3675" w:type="pct"/>
            <w:vAlign w:val="center"/>
          </w:tcPr>
          <w:p w14:paraId="4F8FE416">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sym w:font="Wingdings" w:char="F0FE"/>
            </w:r>
            <w:r>
              <w:rPr>
                <w:rFonts w:hint="eastAsia" w:ascii="宋体" w:hAnsi="宋体" w:eastAsia="宋体" w:cs="宋体"/>
                <w:color w:val="000000" w:themeColor="text1"/>
                <w:sz w:val="24"/>
                <w:szCs w:val="24"/>
                <w:highlight w:val="none"/>
                <w14:textFill>
                  <w14:solidFill>
                    <w14:schemeClr w14:val="tx1"/>
                  </w14:solidFill>
                </w14:textFill>
              </w:rPr>
              <w:t xml:space="preserve">不召开  </w:t>
            </w:r>
          </w:p>
        </w:tc>
      </w:tr>
      <w:tr w14:paraId="0B9C4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14:paraId="1D51CFA7">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20</w:t>
            </w:r>
          </w:p>
        </w:tc>
        <w:tc>
          <w:tcPr>
            <w:tcW w:w="848" w:type="pct"/>
            <w:vAlign w:val="center"/>
          </w:tcPr>
          <w:p w14:paraId="4A002143">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近年财务状况年份要求</w:t>
            </w:r>
          </w:p>
        </w:tc>
        <w:tc>
          <w:tcPr>
            <w:tcW w:w="3675" w:type="pct"/>
            <w:vAlign w:val="center"/>
          </w:tcPr>
          <w:p w14:paraId="71999BE3">
            <w:pPr>
              <w:pStyle w:val="23"/>
              <w:keepNext w:val="0"/>
              <w:keepLines w:val="0"/>
              <w:pageBreakBefore w:val="0"/>
              <w:kinsoku/>
              <w:wordWrap/>
              <w:overflowPunct/>
              <w:topLinePunct w:val="0"/>
              <w:autoSpaceDE/>
              <w:autoSpaceDN/>
              <w:bidi w:val="0"/>
              <w:spacing w:line="400" w:lineRule="exact"/>
              <w:ind w:left="0" w:firstLine="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202</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年度</w:t>
            </w:r>
            <w:r>
              <w:rPr>
                <w:rFonts w:hint="eastAsia" w:ascii="宋体" w:hAnsi="宋体" w:eastAsia="宋体" w:cs="宋体"/>
                <w:color w:val="000000" w:themeColor="text1"/>
                <w:sz w:val="24"/>
                <w:szCs w:val="24"/>
                <w:highlight w:val="none"/>
                <w:lang w:eastAsia="zh-CN"/>
                <w14:textFill>
                  <w14:solidFill>
                    <w14:schemeClr w14:val="tx1"/>
                  </w14:solidFill>
                </w14:textFill>
              </w:rPr>
              <w:t>或</w:t>
            </w:r>
            <w:r>
              <w:rPr>
                <w:rFonts w:hint="eastAsia" w:ascii="宋体" w:hAnsi="宋体" w:eastAsia="宋体" w:cs="宋体"/>
                <w:color w:val="000000" w:themeColor="text1"/>
                <w:sz w:val="24"/>
                <w:szCs w:val="24"/>
                <w:highlight w:val="none"/>
                <w:lang w:val="en-US" w:eastAsia="zh-CN"/>
                <w14:textFill>
                  <w14:solidFill>
                    <w14:schemeClr w14:val="tx1"/>
                  </w14:solidFill>
                </w14:textFill>
              </w:rPr>
              <w:t>2024年度</w:t>
            </w:r>
          </w:p>
        </w:tc>
      </w:tr>
      <w:tr w14:paraId="09251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14:paraId="50E6F2BC">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21</w:t>
            </w:r>
          </w:p>
        </w:tc>
        <w:tc>
          <w:tcPr>
            <w:tcW w:w="848" w:type="pct"/>
            <w:vAlign w:val="center"/>
          </w:tcPr>
          <w:p w14:paraId="2B18EE4A">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投标有效期</w:t>
            </w:r>
          </w:p>
        </w:tc>
        <w:tc>
          <w:tcPr>
            <w:tcW w:w="3675" w:type="pct"/>
            <w:vAlign w:val="center"/>
          </w:tcPr>
          <w:p w14:paraId="33E16AAD">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从提交投标文件的截止之日起60天</w:t>
            </w:r>
          </w:p>
        </w:tc>
      </w:tr>
      <w:tr w14:paraId="11E94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14:paraId="7FA5162B">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22</w:t>
            </w:r>
          </w:p>
        </w:tc>
        <w:tc>
          <w:tcPr>
            <w:tcW w:w="848" w:type="pct"/>
            <w:vAlign w:val="center"/>
          </w:tcPr>
          <w:p w14:paraId="570F89F8">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评标委员会的组建</w:t>
            </w:r>
          </w:p>
        </w:tc>
        <w:tc>
          <w:tcPr>
            <w:tcW w:w="3675" w:type="pct"/>
            <w:vAlign w:val="center"/>
          </w:tcPr>
          <w:p w14:paraId="1ABEEB90">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评标委员会构成：5人；</w:t>
            </w:r>
          </w:p>
          <w:p w14:paraId="63A2C682">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评标专家确定方式：经济、技术专家不少于评标委员会组成人员的三分之二，按相关规定从政府采购专家库中随机抽取。</w:t>
            </w:r>
          </w:p>
        </w:tc>
      </w:tr>
      <w:tr w14:paraId="698DD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14:paraId="0C3B3461">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23</w:t>
            </w:r>
          </w:p>
        </w:tc>
        <w:tc>
          <w:tcPr>
            <w:tcW w:w="848" w:type="pct"/>
            <w:vAlign w:val="center"/>
          </w:tcPr>
          <w:p w14:paraId="3DE00DDE">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评标办法</w:t>
            </w:r>
          </w:p>
        </w:tc>
        <w:tc>
          <w:tcPr>
            <w:tcW w:w="3675" w:type="pct"/>
            <w:vAlign w:val="center"/>
          </w:tcPr>
          <w:p w14:paraId="1AD69681">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综合评分法</w:t>
            </w:r>
          </w:p>
        </w:tc>
      </w:tr>
      <w:tr w14:paraId="2119B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14:paraId="29BBA22D">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w:t>
            </w:r>
          </w:p>
        </w:tc>
        <w:tc>
          <w:tcPr>
            <w:tcW w:w="848" w:type="pct"/>
            <w:vAlign w:val="center"/>
          </w:tcPr>
          <w:p w14:paraId="45E8180A">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是否授权评标委员会确定中标人</w:t>
            </w:r>
          </w:p>
        </w:tc>
        <w:tc>
          <w:tcPr>
            <w:tcW w:w="3675" w:type="pct"/>
            <w:vAlign w:val="center"/>
          </w:tcPr>
          <w:p w14:paraId="7B71F53B">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sym w:font="Wingdings" w:char="F0FE"/>
            </w:r>
            <w:r>
              <w:rPr>
                <w:rFonts w:hint="eastAsia" w:ascii="宋体" w:hAnsi="宋体" w:eastAsia="宋体" w:cs="宋体"/>
                <w:color w:val="000000" w:themeColor="text1"/>
                <w:sz w:val="24"/>
                <w:szCs w:val="24"/>
                <w:highlight w:val="none"/>
                <w14:textFill>
                  <w14:solidFill>
                    <w14:schemeClr w14:val="tx1"/>
                  </w14:solidFill>
                </w14:textFill>
              </w:rPr>
              <w:t>否，推荐3名中标候选人。</w:t>
            </w:r>
          </w:p>
        </w:tc>
      </w:tr>
      <w:tr w14:paraId="73E39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14:paraId="7CC5A861">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w:t>
            </w:r>
          </w:p>
        </w:tc>
        <w:tc>
          <w:tcPr>
            <w:tcW w:w="848" w:type="pct"/>
            <w:vAlign w:val="center"/>
          </w:tcPr>
          <w:p w14:paraId="69E3A1FE">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履约保证金</w:t>
            </w:r>
          </w:p>
        </w:tc>
        <w:tc>
          <w:tcPr>
            <w:tcW w:w="3675" w:type="pct"/>
            <w:vAlign w:val="center"/>
          </w:tcPr>
          <w:p w14:paraId="5315978E">
            <w:pPr>
              <w:pStyle w:val="45"/>
              <w:keepNext w:val="0"/>
              <w:keepLines w:val="0"/>
              <w:suppressLineNumbers w:val="0"/>
              <w:spacing w:before="0" w:beforeAutospacing="0" w:after="0" w:afterAutospacing="0" w:line="440" w:lineRule="exact"/>
              <w:ind w:right="0"/>
              <w:jc w:val="both"/>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本项目无需缴纳履约保证金</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tc>
      </w:tr>
      <w:tr w14:paraId="01574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476" w:type="pct"/>
            <w:vAlign w:val="center"/>
          </w:tcPr>
          <w:p w14:paraId="5C15D069">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26</w:t>
            </w:r>
          </w:p>
        </w:tc>
        <w:tc>
          <w:tcPr>
            <w:tcW w:w="848" w:type="pct"/>
            <w:vAlign w:val="center"/>
          </w:tcPr>
          <w:p w14:paraId="71D9157F">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招标代理服务费</w:t>
            </w:r>
          </w:p>
        </w:tc>
        <w:tc>
          <w:tcPr>
            <w:tcW w:w="3675" w:type="pct"/>
            <w:vAlign w:val="center"/>
          </w:tcPr>
          <w:p w14:paraId="504B6F75">
            <w:pPr>
              <w:keepNext w:val="0"/>
              <w:keepLines w:val="0"/>
              <w:pageBreakBefore w:val="0"/>
              <w:kinsoku/>
              <w:wordWrap/>
              <w:overflowPunct/>
              <w:topLinePunct w:val="0"/>
              <w:autoSpaceDE/>
              <w:autoSpaceDN/>
              <w:bidi w:val="0"/>
              <w:spacing w:line="400" w:lineRule="exact"/>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代理服务费参照国家计委计价格【2002】1980 号文和国家发改委发改办价格【2003】857 号文，成交通知书核发后三天内，由成交人一次性支付采购代理服务费</w:t>
            </w:r>
            <w:r>
              <w:rPr>
                <w:rFonts w:hint="eastAsia" w:ascii="宋体" w:hAnsi="宋体" w:eastAsia="宋体" w:cs="宋体"/>
                <w:bCs/>
                <w:color w:val="000000" w:themeColor="text1"/>
                <w:sz w:val="24"/>
                <w14:textFill>
                  <w14:solidFill>
                    <w14:schemeClr w14:val="tx1"/>
                  </w14:solidFill>
                </w14:textFill>
              </w:rPr>
              <w:t>。</w:t>
            </w:r>
          </w:p>
        </w:tc>
      </w:tr>
      <w:tr w14:paraId="361AF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476" w:type="pct"/>
            <w:vAlign w:val="center"/>
          </w:tcPr>
          <w:p w14:paraId="7E9CAEC1">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27</w:t>
            </w:r>
          </w:p>
        </w:tc>
        <w:tc>
          <w:tcPr>
            <w:tcW w:w="848" w:type="pct"/>
            <w:vAlign w:val="center"/>
          </w:tcPr>
          <w:p w14:paraId="050B89B5">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付款方式</w:t>
            </w:r>
          </w:p>
        </w:tc>
        <w:tc>
          <w:tcPr>
            <w:tcW w:w="3675" w:type="pct"/>
            <w:vAlign w:val="center"/>
          </w:tcPr>
          <w:p w14:paraId="51839AEB">
            <w:pPr>
              <w:pStyle w:val="57"/>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right="0" w:rightChars="0"/>
              <w:jc w:val="both"/>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合同签订后预付合同价款的30%，待供货安装完毕并验收合格后支付合同价款的67%，剩余合同价款的3%为质保金，质保期满后一次性无息付清</w:t>
            </w:r>
            <w:r>
              <w:rPr>
                <w:rFonts w:hint="eastAsia" w:ascii="宋体" w:hAnsi="宋体" w:eastAsia="宋体" w:cs="宋体"/>
                <w:color w:val="000000" w:themeColor="text1"/>
                <w:sz w:val="24"/>
                <w:szCs w:val="24"/>
                <w:highlight w:val="none"/>
                <w:lang w:eastAsia="zh-CN"/>
                <w14:textFill>
                  <w14:solidFill>
                    <w14:schemeClr w14:val="tx1"/>
                  </w14:solidFill>
                </w14:textFill>
              </w:rPr>
              <w:t>。</w:t>
            </w:r>
          </w:p>
        </w:tc>
      </w:tr>
      <w:tr w14:paraId="2933FC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476" w:type="pct"/>
            <w:vAlign w:val="center"/>
          </w:tcPr>
          <w:p w14:paraId="6B6AEAA8">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28</w:t>
            </w:r>
          </w:p>
        </w:tc>
        <w:tc>
          <w:tcPr>
            <w:tcW w:w="848" w:type="pct"/>
            <w:vAlign w:val="center"/>
          </w:tcPr>
          <w:p w14:paraId="286FACC8">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其他</w:t>
            </w:r>
          </w:p>
        </w:tc>
        <w:tc>
          <w:tcPr>
            <w:tcW w:w="3675" w:type="pct"/>
            <w:vAlign w:val="center"/>
          </w:tcPr>
          <w:p w14:paraId="4E8F5EC0">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本次招标如有变更、澄清或其他通知将在发布招标公告的网站上公布。</w:t>
            </w:r>
          </w:p>
        </w:tc>
      </w:tr>
    </w:tbl>
    <w:p w14:paraId="55E11D1A">
      <w:pPr>
        <w:pStyle w:val="4"/>
        <w:pageBreakBefore w:val="0"/>
        <w:widowControl w:val="0"/>
        <w:kinsoku/>
        <w:wordWrap/>
        <w:overflowPunct/>
        <w:topLinePunct w:val="0"/>
        <w:autoSpaceDE/>
        <w:autoSpaceDN/>
        <w:bidi w:val="0"/>
        <w:adjustRightInd/>
        <w:spacing w:before="156" w:after="156" w:line="480" w:lineRule="exact"/>
        <w:jc w:val="center"/>
        <w:textAlignment w:val="auto"/>
        <w:rPr>
          <w:rFonts w:hint="eastAsia" w:ascii="宋体" w:hAnsi="宋体" w:eastAsia="宋体" w:cs="宋体"/>
          <w:bCs w:val="0"/>
          <w:color w:val="000000" w:themeColor="text1"/>
          <w:sz w:val="24"/>
          <w:szCs w:val="24"/>
          <w:highlight w:val="none"/>
          <w14:textFill>
            <w14:solidFill>
              <w14:schemeClr w14:val="tx1"/>
            </w14:solidFill>
          </w14:textFill>
        </w:rPr>
      </w:pPr>
      <w:r>
        <w:rPr>
          <w:rFonts w:hint="eastAsia" w:ascii="宋体" w:hAnsi="宋体" w:eastAsia="宋体" w:cs="宋体"/>
          <w:bCs w:val="0"/>
          <w:color w:val="000000" w:themeColor="text1"/>
          <w:sz w:val="24"/>
          <w:szCs w:val="24"/>
          <w:highlight w:val="none"/>
          <w14:textFill>
            <w14:solidFill>
              <w14:schemeClr w14:val="tx1"/>
            </w14:solidFill>
          </w14:textFill>
        </w:rPr>
        <w:br w:type="page"/>
      </w:r>
      <w:r>
        <w:rPr>
          <w:rFonts w:hint="eastAsia" w:ascii="宋体" w:hAnsi="宋体" w:eastAsia="宋体" w:cs="宋体"/>
          <w:bCs w:val="0"/>
          <w:color w:val="000000" w:themeColor="text1"/>
          <w:sz w:val="24"/>
          <w:szCs w:val="24"/>
          <w:highlight w:val="none"/>
          <w14:textFill>
            <w14:solidFill>
              <w14:schemeClr w14:val="tx1"/>
            </w14:solidFill>
          </w14:textFill>
        </w:rPr>
        <w:t>二、总  则</w:t>
      </w:r>
    </w:p>
    <w:p w14:paraId="7B140DE4">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40" w:name="_Toc183582205"/>
      <w:bookmarkStart w:id="41" w:name="_Toc183682342"/>
      <w:bookmarkStart w:id="42" w:name="_Toc217446034"/>
      <w:r>
        <w:rPr>
          <w:rFonts w:hint="eastAsia" w:ascii="宋体" w:hAnsi="宋体" w:eastAsia="宋体" w:cs="宋体"/>
          <w:color w:val="000000" w:themeColor="text1"/>
          <w:sz w:val="24"/>
          <w:szCs w:val="24"/>
          <w:highlight w:val="none"/>
          <w14:textFill>
            <w14:solidFill>
              <w14:schemeClr w14:val="tx1"/>
            </w14:solidFill>
          </w14:textFill>
        </w:rPr>
        <w:t>1.</w:t>
      </w:r>
      <w:bookmarkEnd w:id="40"/>
      <w:bookmarkEnd w:id="41"/>
      <w:r>
        <w:rPr>
          <w:rFonts w:hint="eastAsia" w:ascii="宋体" w:hAnsi="宋体" w:eastAsia="宋体" w:cs="宋体"/>
          <w:color w:val="000000" w:themeColor="text1"/>
          <w:sz w:val="24"/>
          <w:szCs w:val="24"/>
          <w:highlight w:val="none"/>
          <w14:textFill>
            <w14:solidFill>
              <w14:schemeClr w14:val="tx1"/>
            </w14:solidFill>
          </w14:textFill>
        </w:rPr>
        <w:t xml:space="preserve"> 适用范围</w:t>
      </w:r>
      <w:bookmarkEnd w:id="42"/>
    </w:p>
    <w:p w14:paraId="3D795DC5">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 本</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仅适用于本次招标项目。</w:t>
      </w:r>
    </w:p>
    <w:p w14:paraId="3A576FFD">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43" w:name="_Toc183582206"/>
      <w:bookmarkStart w:id="44" w:name="_Toc183682343"/>
      <w:bookmarkStart w:id="45" w:name="_Toc217446035"/>
      <w:r>
        <w:rPr>
          <w:rFonts w:hint="eastAsia" w:ascii="宋体" w:hAnsi="宋体" w:eastAsia="宋体" w:cs="宋体"/>
          <w:color w:val="000000" w:themeColor="text1"/>
          <w:sz w:val="24"/>
          <w:szCs w:val="24"/>
          <w:highlight w:val="none"/>
          <w14:textFill>
            <w14:solidFill>
              <w14:schemeClr w14:val="tx1"/>
            </w14:solidFill>
          </w14:textFill>
        </w:rPr>
        <w:t xml:space="preserve">2. </w:t>
      </w:r>
      <w:bookmarkEnd w:id="43"/>
      <w:bookmarkEnd w:id="44"/>
      <w:r>
        <w:rPr>
          <w:rFonts w:hint="eastAsia" w:ascii="宋体" w:hAnsi="宋体" w:eastAsia="宋体" w:cs="宋体"/>
          <w:color w:val="000000" w:themeColor="text1"/>
          <w:sz w:val="24"/>
          <w:szCs w:val="24"/>
          <w:highlight w:val="none"/>
          <w14:textFill>
            <w14:solidFill>
              <w14:schemeClr w14:val="tx1"/>
            </w14:solidFill>
          </w14:textFill>
        </w:rPr>
        <w:t>有关定义</w:t>
      </w:r>
      <w:bookmarkEnd w:id="45"/>
    </w:p>
    <w:p w14:paraId="2473950C">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2.1 “采购人”系指依法进行政府采购的国家机关、事业单位、团体组织。本项目采购人是</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沙湾市中等职业技术学校</w:t>
      </w:r>
      <w:r>
        <w:rPr>
          <w:rFonts w:hint="eastAsia" w:ascii="宋体" w:hAnsi="宋体" w:eastAsia="宋体" w:cs="宋体"/>
          <w:color w:val="000000" w:themeColor="text1"/>
          <w:sz w:val="24"/>
          <w:szCs w:val="24"/>
          <w:highlight w:val="none"/>
          <w14:textFill>
            <w14:solidFill>
              <w14:schemeClr w14:val="tx1"/>
            </w14:solidFill>
          </w14:textFill>
        </w:rPr>
        <w:t>。</w:t>
      </w:r>
    </w:p>
    <w:p w14:paraId="0421C690">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2.2 “采购代理机构”系指根据采购人的委托依法办理招标事宜的采购机构。本次招标的采购代理机构是</w:t>
      </w:r>
      <w:r>
        <w:rPr>
          <w:rFonts w:hint="eastAsia" w:ascii="宋体" w:hAnsi="宋体" w:eastAsia="宋体" w:cs="宋体"/>
          <w:color w:val="000000" w:themeColor="text1"/>
          <w:sz w:val="24"/>
          <w:szCs w:val="24"/>
          <w:highlight w:val="none"/>
          <w:u w:val="single"/>
          <w14:textFill>
            <w14:solidFill>
              <w14:schemeClr w14:val="tx1"/>
            </w14:solidFill>
          </w14:textFill>
        </w:rPr>
        <w:t>新疆拓源工程管理咨询有限公司</w:t>
      </w:r>
      <w:r>
        <w:rPr>
          <w:rFonts w:hint="eastAsia" w:ascii="宋体" w:hAnsi="宋体" w:eastAsia="宋体" w:cs="宋体"/>
          <w:color w:val="000000" w:themeColor="text1"/>
          <w:sz w:val="24"/>
          <w:szCs w:val="24"/>
          <w:highlight w:val="none"/>
          <w14:textFill>
            <w14:solidFill>
              <w14:schemeClr w14:val="tx1"/>
            </w14:solidFill>
          </w14:textFill>
        </w:rPr>
        <w:t>。</w:t>
      </w:r>
    </w:p>
    <w:p w14:paraId="6A00A43C">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2.3 “采购单位”系指“采购人”和“采购代理机构”的统称。</w:t>
      </w:r>
    </w:p>
    <w:p w14:paraId="779F807E">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 “投标人”系指下载了</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拟参加投标和向采购人提供货物的投标人。</w:t>
      </w:r>
    </w:p>
    <w:p w14:paraId="522F3BA1">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46" w:name="_Toc217390843"/>
      <w:bookmarkStart w:id="47" w:name="_Toc183582207"/>
      <w:bookmarkStart w:id="48" w:name="_Toc183682344"/>
      <w:bookmarkStart w:id="49" w:name="_Toc217446036"/>
      <w:r>
        <w:rPr>
          <w:rFonts w:hint="eastAsia" w:ascii="宋体" w:hAnsi="宋体" w:eastAsia="宋体" w:cs="宋体"/>
          <w:color w:val="000000" w:themeColor="text1"/>
          <w:sz w:val="24"/>
          <w:szCs w:val="24"/>
          <w:highlight w:val="none"/>
          <w14:textFill>
            <w14:solidFill>
              <w14:schemeClr w14:val="tx1"/>
            </w14:solidFill>
          </w14:textFill>
        </w:rPr>
        <w:t>3. 合格的</w:t>
      </w:r>
      <w:bookmarkEnd w:id="46"/>
      <w:bookmarkEnd w:id="47"/>
      <w:bookmarkEnd w:id="48"/>
      <w:bookmarkEnd w:id="49"/>
      <w:r>
        <w:rPr>
          <w:rFonts w:hint="eastAsia" w:ascii="宋体" w:hAnsi="宋体" w:eastAsia="宋体" w:cs="宋体"/>
          <w:color w:val="000000" w:themeColor="text1"/>
          <w:sz w:val="24"/>
          <w:szCs w:val="24"/>
          <w:highlight w:val="none"/>
          <w14:textFill>
            <w14:solidFill>
              <w14:schemeClr w14:val="tx1"/>
            </w14:solidFill>
          </w14:textFill>
        </w:rPr>
        <w:t>投标人</w:t>
      </w:r>
    </w:p>
    <w:p w14:paraId="23DA29BD">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合格的投标人应具备以下条件：</w:t>
      </w:r>
    </w:p>
    <w:p w14:paraId="1A3B71A3">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pacing w:val="-4"/>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（1）本</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“招标公告”第二条规定的条件</w:t>
      </w:r>
      <w:r>
        <w:rPr>
          <w:rFonts w:hint="eastAsia" w:ascii="宋体" w:hAnsi="宋体" w:eastAsia="宋体" w:cs="宋体"/>
          <w:color w:val="000000" w:themeColor="text1"/>
          <w:spacing w:val="-4"/>
          <w:sz w:val="24"/>
          <w:szCs w:val="24"/>
          <w:highlight w:val="none"/>
          <w14:textFill>
            <w14:solidFill>
              <w14:schemeClr w14:val="tx1"/>
            </w14:solidFill>
          </w14:textFill>
        </w:rPr>
        <w:t>；</w:t>
      </w:r>
    </w:p>
    <w:p w14:paraId="53DACF41">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（2）遵守国家有关的法律、法规、规章和其他政策规定；</w:t>
      </w:r>
    </w:p>
    <w:p w14:paraId="14362B0F">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（3）下载</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并按要求缴纳投标保证金。</w:t>
      </w:r>
    </w:p>
    <w:p w14:paraId="33A05DBE">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50" w:name="_Toc183582208"/>
      <w:bookmarkStart w:id="51" w:name="_Toc217446037"/>
      <w:bookmarkStart w:id="52" w:name="_Toc183682345"/>
      <w:r>
        <w:rPr>
          <w:rFonts w:hint="eastAsia" w:ascii="宋体" w:hAnsi="宋体" w:eastAsia="宋体" w:cs="宋体"/>
          <w:color w:val="000000" w:themeColor="text1"/>
          <w:sz w:val="24"/>
          <w:szCs w:val="24"/>
          <w:highlight w:val="none"/>
          <w14:textFill>
            <w14:solidFill>
              <w14:schemeClr w14:val="tx1"/>
            </w14:solidFill>
          </w14:textFill>
        </w:rPr>
        <w:t>4. 投标费用</w:t>
      </w:r>
      <w:bookmarkEnd w:id="50"/>
      <w:bookmarkEnd w:id="51"/>
      <w:bookmarkEnd w:id="52"/>
    </w:p>
    <w:p w14:paraId="36CE5045">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投标人参加投标的有关费用由投标人自行承担。</w:t>
      </w:r>
    </w:p>
    <w:p w14:paraId="23DC28D8">
      <w:pPr>
        <w:pStyle w:val="4"/>
        <w:pageBreakBefore w:val="0"/>
        <w:widowControl w:val="0"/>
        <w:kinsoku/>
        <w:wordWrap/>
        <w:overflowPunct/>
        <w:topLinePunct w:val="0"/>
        <w:autoSpaceDE/>
        <w:autoSpaceDN/>
        <w:bidi w:val="0"/>
        <w:adjustRightInd/>
        <w:spacing w:before="156" w:after="156" w:line="480" w:lineRule="exact"/>
        <w:ind w:firstLine="480" w:firstLineChars="200"/>
        <w:textAlignment w:val="auto"/>
        <w:rPr>
          <w:rFonts w:hint="eastAsia" w:ascii="宋体" w:hAnsi="宋体" w:eastAsia="宋体" w:cs="宋体"/>
          <w:bCs w:val="0"/>
          <w:color w:val="000000" w:themeColor="text1"/>
          <w:sz w:val="24"/>
          <w:szCs w:val="24"/>
          <w:highlight w:val="none"/>
          <w:lang w:eastAsia="zh-CN"/>
          <w14:textFill>
            <w14:solidFill>
              <w14:schemeClr w14:val="tx1"/>
            </w14:solidFill>
          </w14:textFill>
        </w:rPr>
      </w:pPr>
      <w:bookmarkStart w:id="53" w:name="_Toc77400779"/>
      <w:bookmarkStart w:id="54" w:name="_Toc89075875"/>
      <w:bookmarkStart w:id="55" w:name="_Toc183582209"/>
      <w:bookmarkStart w:id="56" w:name="_Toc183682346"/>
      <w:bookmarkStart w:id="57" w:name="_Toc217446038"/>
      <w:r>
        <w:rPr>
          <w:rFonts w:hint="eastAsia" w:ascii="宋体" w:hAnsi="宋体" w:eastAsia="宋体" w:cs="宋体"/>
          <w:bCs w:val="0"/>
          <w:color w:val="000000" w:themeColor="text1"/>
          <w:sz w:val="24"/>
          <w:szCs w:val="24"/>
          <w:highlight w:val="none"/>
          <w14:textFill>
            <w14:solidFill>
              <w14:schemeClr w14:val="tx1"/>
            </w14:solidFill>
          </w14:textFill>
        </w:rPr>
        <w:t>三、</w:t>
      </w:r>
      <w:bookmarkEnd w:id="53"/>
      <w:bookmarkEnd w:id="54"/>
      <w:bookmarkEnd w:id="55"/>
      <w:bookmarkEnd w:id="56"/>
      <w:bookmarkEnd w:id="57"/>
      <w:r>
        <w:rPr>
          <w:rFonts w:hint="eastAsia" w:ascii="宋体" w:hAnsi="宋体" w:eastAsia="宋体" w:cs="宋体"/>
          <w:bCs w:val="0"/>
          <w:color w:val="000000" w:themeColor="text1"/>
          <w:sz w:val="24"/>
          <w:szCs w:val="24"/>
          <w:highlight w:val="none"/>
          <w:lang w:eastAsia="zh-CN"/>
          <w14:textFill>
            <w14:solidFill>
              <w14:schemeClr w14:val="tx1"/>
            </w14:solidFill>
          </w14:textFill>
        </w:rPr>
        <w:t>招标文件</w:t>
      </w:r>
    </w:p>
    <w:p w14:paraId="0F727AE8">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58" w:name="_Toc183682347"/>
      <w:bookmarkStart w:id="59" w:name="_Toc217446039"/>
      <w:bookmarkStart w:id="60" w:name="_Toc183582210"/>
      <w:r>
        <w:rPr>
          <w:rFonts w:hint="eastAsia" w:ascii="宋体" w:hAnsi="宋体" w:eastAsia="宋体" w:cs="宋体"/>
          <w:color w:val="000000" w:themeColor="text1"/>
          <w:sz w:val="24"/>
          <w:szCs w:val="24"/>
          <w:highlight w:val="none"/>
          <w14:textFill>
            <w14:solidFill>
              <w14:schemeClr w14:val="tx1"/>
            </w14:solidFill>
          </w14:textFill>
        </w:rPr>
        <w:t>5．</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的构成</w:t>
      </w:r>
      <w:bookmarkEnd w:id="58"/>
      <w:bookmarkEnd w:id="59"/>
      <w:bookmarkEnd w:id="60"/>
    </w:p>
    <w:p w14:paraId="4C6EF5B6">
      <w:pPr>
        <w:pageBreakBefore w:val="0"/>
        <w:widowControl w:val="0"/>
        <w:tabs>
          <w:tab w:val="left" w:pos="72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r>
        <w:rPr>
          <w:rFonts w:hint="eastAsia" w:ascii="宋体" w:hAnsi="宋体" w:eastAsia="宋体" w:cs="宋体"/>
          <w:b/>
          <w:bCs/>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1 </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是投标人准备投标文件和参加投标的依据，同时也是评标的重要依据，具有准法律文件性质。</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用以阐明招标项目所需的资质、技术、报价、招标程序、有关规定和注意事项以及拟签订的合同文本等。本</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包括以下内容：</w:t>
      </w:r>
    </w:p>
    <w:p w14:paraId="406E9E33">
      <w:pPr>
        <w:pageBreakBefore w:val="0"/>
        <w:widowControl w:val="0"/>
        <w:tabs>
          <w:tab w:val="left" w:pos="0"/>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（1）招标公告</w:t>
      </w:r>
      <w:r>
        <w:rPr>
          <w:rFonts w:hint="eastAsia" w:ascii="宋体" w:hAnsi="宋体" w:eastAsia="宋体" w:cs="宋体"/>
          <w:color w:val="000000" w:themeColor="text1"/>
          <w:sz w:val="24"/>
          <w:szCs w:val="24"/>
          <w:highlight w:val="none"/>
          <w14:textFill>
            <w14:solidFill>
              <w14:schemeClr w14:val="tx1"/>
            </w14:solidFill>
          </w14:textFill>
        </w:rPr>
        <w:tab/>
      </w:r>
    </w:p>
    <w:p w14:paraId="566E68C6">
      <w:pPr>
        <w:pageBreakBefore w:val="0"/>
        <w:widowControl w:val="0"/>
        <w:tabs>
          <w:tab w:val="left" w:pos="0"/>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（2）投标人须知</w:t>
      </w:r>
      <w:r>
        <w:rPr>
          <w:rFonts w:hint="eastAsia" w:ascii="宋体" w:hAnsi="宋体" w:eastAsia="宋体" w:cs="宋体"/>
          <w:color w:val="000000" w:themeColor="text1"/>
          <w:sz w:val="24"/>
          <w:szCs w:val="24"/>
          <w:highlight w:val="none"/>
          <w14:textFill>
            <w14:solidFill>
              <w14:schemeClr w14:val="tx1"/>
            </w14:solidFill>
          </w14:textFill>
        </w:rPr>
        <w:tab/>
      </w:r>
    </w:p>
    <w:p w14:paraId="7BCFCDE1">
      <w:pPr>
        <w:pageBreakBefore w:val="0"/>
        <w:widowControl w:val="0"/>
        <w:tabs>
          <w:tab w:val="left" w:pos="0"/>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（3）投标文件格式</w:t>
      </w:r>
      <w:r>
        <w:rPr>
          <w:rFonts w:hint="eastAsia" w:ascii="宋体" w:hAnsi="宋体" w:eastAsia="宋体" w:cs="宋体"/>
          <w:color w:val="000000" w:themeColor="text1"/>
          <w:sz w:val="24"/>
          <w:szCs w:val="24"/>
          <w:highlight w:val="none"/>
          <w14:textFill>
            <w14:solidFill>
              <w14:schemeClr w14:val="tx1"/>
            </w14:solidFill>
          </w14:textFill>
        </w:rPr>
        <w:tab/>
      </w:r>
    </w:p>
    <w:p w14:paraId="15E21961">
      <w:pPr>
        <w:pageBreakBefore w:val="0"/>
        <w:widowControl w:val="0"/>
        <w:tabs>
          <w:tab w:val="left" w:pos="0"/>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w:t>
      </w:r>
      <w:r>
        <w:rPr>
          <w:rFonts w:hint="eastAsia" w:ascii="宋体" w:hAnsi="宋体" w:eastAsia="宋体" w:cs="宋体"/>
          <w:color w:val="000000" w:themeColor="text1"/>
          <w:sz w:val="24"/>
          <w:szCs w:val="24"/>
          <w:highlight w:val="none"/>
          <w:lang w:eastAsia="zh-CN"/>
          <w14:textFill>
            <w14:solidFill>
              <w14:schemeClr w14:val="tx1"/>
            </w14:solidFill>
          </w14:textFill>
        </w:rPr>
        <w:t>项目采购需求</w:t>
      </w:r>
      <w:r>
        <w:rPr>
          <w:rFonts w:hint="eastAsia" w:ascii="宋体" w:hAnsi="宋体" w:eastAsia="宋体" w:cs="宋体"/>
          <w:color w:val="000000" w:themeColor="text1"/>
          <w:sz w:val="24"/>
          <w:szCs w:val="24"/>
          <w:highlight w:val="none"/>
          <w14:textFill>
            <w14:solidFill>
              <w14:schemeClr w14:val="tx1"/>
            </w14:solidFill>
          </w14:textFill>
        </w:rPr>
        <w:tab/>
      </w:r>
    </w:p>
    <w:p w14:paraId="00D18152">
      <w:pPr>
        <w:pageBreakBefore w:val="0"/>
        <w:widowControl w:val="0"/>
        <w:tabs>
          <w:tab w:val="left" w:pos="0"/>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（5）评标办法</w:t>
      </w:r>
      <w:r>
        <w:rPr>
          <w:rFonts w:hint="eastAsia" w:ascii="宋体" w:hAnsi="宋体" w:eastAsia="宋体" w:cs="宋体"/>
          <w:color w:val="000000" w:themeColor="text1"/>
          <w:sz w:val="24"/>
          <w:szCs w:val="24"/>
          <w:highlight w:val="none"/>
          <w14:textFill>
            <w14:solidFill>
              <w14:schemeClr w14:val="tx1"/>
            </w14:solidFill>
          </w14:textFill>
        </w:rPr>
        <w:tab/>
      </w:r>
    </w:p>
    <w:p w14:paraId="36F2CDD1">
      <w:pPr>
        <w:pageBreakBefore w:val="0"/>
        <w:widowControl w:val="0"/>
        <w:tabs>
          <w:tab w:val="left" w:pos="0"/>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（6）拟签订的合同文本</w:t>
      </w:r>
      <w:r>
        <w:rPr>
          <w:rFonts w:hint="eastAsia" w:ascii="宋体" w:hAnsi="宋体" w:eastAsia="宋体" w:cs="宋体"/>
          <w:color w:val="000000" w:themeColor="text1"/>
          <w:sz w:val="24"/>
          <w:szCs w:val="24"/>
          <w:highlight w:val="none"/>
          <w14:textFill>
            <w14:solidFill>
              <w14:schemeClr w14:val="tx1"/>
            </w14:solidFill>
          </w14:textFill>
        </w:rPr>
        <w:tab/>
      </w:r>
    </w:p>
    <w:p w14:paraId="5AB30981">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r>
        <w:rPr>
          <w:rFonts w:hint="eastAsia" w:ascii="宋体" w:hAnsi="宋体" w:eastAsia="宋体" w:cs="宋体"/>
          <w:b/>
          <w:bCs/>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2 投标人应认真阅读和充分理解</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中所有的事项、格式条款和规范要求。投标人没有对</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全面做出实质性响应是投标人的风险。没有按照</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要求作出实质性响应的投标文件，按</w:t>
      </w:r>
      <w:r>
        <w:rPr>
          <w:rFonts w:hint="eastAsia" w:ascii="宋体" w:hAnsi="宋体" w:eastAsia="宋体" w:cs="宋体"/>
          <w:b/>
          <w:bCs/>
          <w:color w:val="000000" w:themeColor="text1"/>
          <w:sz w:val="24"/>
          <w:szCs w:val="24"/>
          <w:highlight w:val="none"/>
          <w14:textFill>
            <w14:solidFill>
              <w14:schemeClr w14:val="tx1"/>
            </w14:solidFill>
          </w14:textFill>
        </w:rPr>
        <w:t>无效处理</w:t>
      </w:r>
      <w:r>
        <w:rPr>
          <w:rFonts w:hint="eastAsia" w:ascii="宋体" w:hAnsi="宋体" w:eastAsia="宋体" w:cs="宋体"/>
          <w:color w:val="000000" w:themeColor="text1"/>
          <w:sz w:val="24"/>
          <w:szCs w:val="24"/>
          <w:highlight w:val="none"/>
          <w14:textFill>
            <w14:solidFill>
              <w14:schemeClr w14:val="tx1"/>
            </w14:solidFill>
          </w14:textFill>
        </w:rPr>
        <w:t>。</w:t>
      </w:r>
    </w:p>
    <w:p w14:paraId="2D6968EF">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61" w:name="_Toc183682348"/>
      <w:bookmarkStart w:id="62" w:name="_Toc183582211"/>
      <w:bookmarkStart w:id="63" w:name="_Toc217446040"/>
      <w:r>
        <w:rPr>
          <w:rFonts w:hint="eastAsia" w:ascii="宋体" w:hAnsi="宋体" w:eastAsia="宋体" w:cs="宋体"/>
          <w:color w:val="000000" w:themeColor="text1"/>
          <w:sz w:val="24"/>
          <w:szCs w:val="24"/>
          <w:highlight w:val="none"/>
          <w14:textFill>
            <w14:solidFill>
              <w14:schemeClr w14:val="tx1"/>
            </w14:solidFill>
          </w14:textFill>
        </w:rPr>
        <w:t xml:space="preserve">6. </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的澄清</w:t>
      </w:r>
      <w:bookmarkEnd w:id="61"/>
      <w:bookmarkEnd w:id="62"/>
      <w:r>
        <w:rPr>
          <w:rFonts w:hint="eastAsia" w:ascii="宋体" w:hAnsi="宋体" w:eastAsia="宋体" w:cs="宋体"/>
          <w:color w:val="000000" w:themeColor="text1"/>
          <w:sz w:val="24"/>
          <w:szCs w:val="24"/>
          <w:highlight w:val="none"/>
          <w14:textFill>
            <w14:solidFill>
              <w14:schemeClr w14:val="tx1"/>
            </w14:solidFill>
          </w14:textFill>
        </w:rPr>
        <w:t>和修改</w:t>
      </w:r>
      <w:bookmarkEnd w:id="63"/>
    </w:p>
    <w:p w14:paraId="35D6DC6C">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6.1 </w:t>
      </w:r>
      <w:bookmarkStart w:id="64" w:name="_Toc217446041"/>
      <w:bookmarkStart w:id="65" w:name="_Toc208848971"/>
      <w:r>
        <w:rPr>
          <w:rFonts w:hint="eastAsia" w:ascii="宋体" w:hAnsi="宋体" w:eastAsia="宋体" w:cs="宋体"/>
          <w:color w:val="000000" w:themeColor="text1"/>
          <w:sz w:val="24"/>
          <w:szCs w:val="24"/>
          <w:highlight w:val="none"/>
          <w14:textFill>
            <w14:solidFill>
              <w14:schemeClr w14:val="tx1"/>
            </w14:solidFill>
          </w14:textFill>
        </w:rPr>
        <w:t>采购人或者采购代理机构可以对已发出的</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，进行必要的澄清或者修改，但不得改变采购标的和资格条件。澄清或者修改应当在原公告发布媒体上发布澄清公告。澄清或者修改的内容为</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的组成部分。</w:t>
      </w:r>
    </w:p>
    <w:p w14:paraId="27940D45">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6.2澄清或者修改的内容可能影响投标文件编制的，采购人或者采购代理机构应当在投标截止时间至少15日前，以书面形式通知所有获取</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的潜在投标人，不足15日的，采购人或者采购代理机构应当顺延提交投标文件的截止时间。</w:t>
      </w:r>
    </w:p>
    <w:p w14:paraId="50055D86">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 答疑会和现场考察</w:t>
      </w:r>
      <w:bookmarkEnd w:id="64"/>
      <w:bookmarkEnd w:id="65"/>
      <w:r>
        <w:rPr>
          <w:rFonts w:hint="eastAsia" w:ascii="宋体" w:hAnsi="宋体" w:eastAsia="宋体" w:cs="宋体"/>
          <w:color w:val="000000" w:themeColor="text1"/>
          <w:sz w:val="24"/>
          <w:szCs w:val="24"/>
          <w:highlight w:val="none"/>
          <w14:textFill>
            <w14:solidFill>
              <w14:schemeClr w14:val="tx1"/>
            </w14:solidFill>
          </w14:textFill>
        </w:rPr>
        <w:t>。</w:t>
      </w:r>
    </w:p>
    <w:p w14:paraId="641F93F4">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66" w:name="_Toc89075876"/>
      <w:bookmarkStart w:id="67" w:name="_Toc217446042"/>
      <w:bookmarkStart w:id="68" w:name="_Toc183582214"/>
      <w:bookmarkStart w:id="69" w:name="_Toc77400780"/>
      <w:bookmarkStart w:id="70" w:name="_Toc183682351"/>
      <w:r>
        <w:rPr>
          <w:rFonts w:hint="eastAsia" w:ascii="宋体" w:hAnsi="宋体" w:eastAsia="宋体" w:cs="宋体"/>
          <w:color w:val="000000" w:themeColor="text1"/>
          <w:sz w:val="24"/>
          <w:szCs w:val="24"/>
          <w:highlight w:val="none"/>
          <w14:textFill>
            <w14:solidFill>
              <w14:schemeClr w14:val="tx1"/>
            </w14:solidFill>
          </w14:textFill>
        </w:rPr>
        <w:t>7.1 本项目不组织答疑会和现场考察。</w:t>
      </w:r>
    </w:p>
    <w:p w14:paraId="28C3CCE8">
      <w:pPr>
        <w:pStyle w:val="4"/>
        <w:pageBreakBefore w:val="0"/>
        <w:widowControl w:val="0"/>
        <w:kinsoku/>
        <w:wordWrap/>
        <w:overflowPunct/>
        <w:topLinePunct w:val="0"/>
        <w:autoSpaceDE/>
        <w:autoSpaceDN/>
        <w:bidi w:val="0"/>
        <w:adjustRightInd/>
        <w:spacing w:before="156" w:after="156" w:line="480" w:lineRule="exact"/>
        <w:ind w:firstLine="480" w:firstLineChars="200"/>
        <w:textAlignment w:val="auto"/>
        <w:rPr>
          <w:rFonts w:hint="eastAsia" w:ascii="宋体" w:hAnsi="宋体" w:eastAsia="宋体" w:cs="宋体"/>
          <w:bCs w:val="0"/>
          <w:color w:val="000000" w:themeColor="text1"/>
          <w:sz w:val="24"/>
          <w:szCs w:val="24"/>
          <w:highlight w:val="none"/>
          <w14:textFill>
            <w14:solidFill>
              <w14:schemeClr w14:val="tx1"/>
            </w14:solidFill>
          </w14:textFill>
        </w:rPr>
      </w:pPr>
      <w:r>
        <w:rPr>
          <w:rFonts w:hint="eastAsia" w:ascii="宋体" w:hAnsi="宋体" w:eastAsia="宋体" w:cs="宋体"/>
          <w:bCs w:val="0"/>
          <w:color w:val="000000" w:themeColor="text1"/>
          <w:sz w:val="24"/>
          <w:szCs w:val="24"/>
          <w:highlight w:val="none"/>
          <w14:textFill>
            <w14:solidFill>
              <w14:schemeClr w14:val="tx1"/>
            </w14:solidFill>
          </w14:textFill>
        </w:rPr>
        <w:t>四、</w:t>
      </w:r>
      <w:bookmarkEnd w:id="66"/>
      <w:bookmarkEnd w:id="67"/>
      <w:bookmarkEnd w:id="68"/>
      <w:bookmarkEnd w:id="69"/>
      <w:bookmarkEnd w:id="70"/>
      <w:r>
        <w:rPr>
          <w:rFonts w:hint="eastAsia" w:ascii="宋体" w:hAnsi="宋体" w:eastAsia="宋体" w:cs="宋体"/>
          <w:bCs w:val="0"/>
          <w:color w:val="000000" w:themeColor="text1"/>
          <w:sz w:val="24"/>
          <w:szCs w:val="24"/>
          <w:highlight w:val="none"/>
          <w14:textFill>
            <w14:solidFill>
              <w14:schemeClr w14:val="tx1"/>
            </w14:solidFill>
          </w14:textFill>
        </w:rPr>
        <w:t>投标文件</w:t>
      </w:r>
    </w:p>
    <w:p w14:paraId="4A69E763">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71" w:name="_Toc183582215"/>
      <w:bookmarkStart w:id="72" w:name="_Toc217446043"/>
      <w:bookmarkStart w:id="73" w:name="_Toc183682352"/>
      <w:r>
        <w:rPr>
          <w:rFonts w:hint="eastAsia" w:ascii="宋体" w:hAnsi="宋体" w:eastAsia="宋体" w:cs="宋体"/>
          <w:color w:val="000000" w:themeColor="text1"/>
          <w:sz w:val="24"/>
          <w:szCs w:val="24"/>
          <w:highlight w:val="none"/>
          <w14:textFill>
            <w14:solidFill>
              <w14:schemeClr w14:val="tx1"/>
            </w14:solidFill>
          </w14:textFill>
        </w:rPr>
        <w:t>8．投标文件的语言</w:t>
      </w:r>
      <w:bookmarkEnd w:id="71"/>
      <w:bookmarkEnd w:id="72"/>
      <w:bookmarkEnd w:id="73"/>
    </w:p>
    <w:p w14:paraId="7A5AF760">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8.1 投标人提交的投标文件以及投标人与采购人就有关投标的所有来往书面文件均须使用中文。投标文件中如附有外文资料，必须逐一对应翻译成中文并加盖投标人公章后附在相关外文资料后面，否则，投标人的投标文件将作为</w:t>
      </w:r>
      <w:r>
        <w:rPr>
          <w:rFonts w:hint="eastAsia" w:ascii="宋体" w:hAnsi="宋体" w:eastAsia="宋体" w:cs="宋体"/>
          <w:b/>
          <w:bCs/>
          <w:color w:val="000000" w:themeColor="text1"/>
          <w:sz w:val="24"/>
          <w:szCs w:val="24"/>
          <w:highlight w:val="none"/>
          <w14:textFill>
            <w14:solidFill>
              <w14:schemeClr w14:val="tx1"/>
            </w14:solidFill>
          </w14:textFill>
        </w:rPr>
        <w:t>无效投标处理</w:t>
      </w:r>
      <w:r>
        <w:rPr>
          <w:rFonts w:hint="eastAsia" w:ascii="宋体" w:hAnsi="宋体" w:eastAsia="宋体" w:cs="宋体"/>
          <w:color w:val="000000" w:themeColor="text1"/>
          <w:sz w:val="24"/>
          <w:szCs w:val="24"/>
          <w:highlight w:val="none"/>
          <w14:textFill>
            <w14:solidFill>
              <w14:schemeClr w14:val="tx1"/>
            </w14:solidFill>
          </w14:textFill>
        </w:rPr>
        <w:t>。</w:t>
      </w:r>
    </w:p>
    <w:p w14:paraId="70A42353">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8.2 翻译的中文资料与外文资料如果出现差异和矛盾时，以中文为准。但不能故意错误翻译，否则，投标人的投标文件将作为</w:t>
      </w:r>
      <w:r>
        <w:rPr>
          <w:rFonts w:hint="eastAsia" w:ascii="宋体" w:hAnsi="宋体" w:eastAsia="宋体" w:cs="宋体"/>
          <w:b/>
          <w:bCs/>
          <w:color w:val="000000" w:themeColor="text1"/>
          <w:sz w:val="24"/>
          <w:szCs w:val="24"/>
          <w:highlight w:val="none"/>
          <w14:textFill>
            <w14:solidFill>
              <w14:schemeClr w14:val="tx1"/>
            </w14:solidFill>
          </w14:textFill>
        </w:rPr>
        <w:t>无效投标处理</w:t>
      </w:r>
      <w:r>
        <w:rPr>
          <w:rFonts w:hint="eastAsia" w:ascii="宋体" w:hAnsi="宋体" w:eastAsia="宋体" w:cs="宋体"/>
          <w:color w:val="000000" w:themeColor="text1"/>
          <w:sz w:val="24"/>
          <w:szCs w:val="24"/>
          <w:highlight w:val="none"/>
          <w14:textFill>
            <w14:solidFill>
              <w14:schemeClr w14:val="tx1"/>
            </w14:solidFill>
          </w14:textFill>
        </w:rPr>
        <w:t>。</w:t>
      </w:r>
    </w:p>
    <w:p w14:paraId="02517269">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74" w:name="_Toc217446044"/>
      <w:bookmarkStart w:id="75" w:name="_Toc183582216"/>
      <w:bookmarkStart w:id="76" w:name="_Toc183682353"/>
      <w:r>
        <w:rPr>
          <w:rFonts w:hint="eastAsia" w:ascii="宋体" w:hAnsi="宋体" w:eastAsia="宋体" w:cs="宋体"/>
          <w:color w:val="000000" w:themeColor="text1"/>
          <w:sz w:val="24"/>
          <w:szCs w:val="24"/>
          <w:highlight w:val="none"/>
          <w14:textFill>
            <w14:solidFill>
              <w14:schemeClr w14:val="tx1"/>
            </w14:solidFill>
          </w14:textFill>
        </w:rPr>
        <w:t>9．计量单位</w:t>
      </w:r>
      <w:bookmarkEnd w:id="74"/>
      <w:bookmarkEnd w:id="75"/>
      <w:bookmarkEnd w:id="76"/>
    </w:p>
    <w:p w14:paraId="10275DAC">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除</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中另有规定外，本招标项下的投标均采用国家法定的计量单位。</w:t>
      </w:r>
    </w:p>
    <w:p w14:paraId="0D0BF804">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77" w:name="_Toc217446045"/>
      <w:r>
        <w:rPr>
          <w:rFonts w:hint="eastAsia" w:ascii="宋体" w:hAnsi="宋体" w:eastAsia="宋体" w:cs="宋体"/>
          <w:color w:val="000000" w:themeColor="text1"/>
          <w:sz w:val="24"/>
          <w:szCs w:val="24"/>
          <w:highlight w:val="none"/>
          <w14:textFill>
            <w14:solidFill>
              <w14:schemeClr w14:val="tx1"/>
            </w14:solidFill>
          </w14:textFill>
        </w:rPr>
        <w:t>10. 投标货币</w:t>
      </w:r>
      <w:bookmarkEnd w:id="77"/>
    </w:p>
    <w:p w14:paraId="115C6215">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本次招标项目的投标均以人民币报价。</w:t>
      </w:r>
    </w:p>
    <w:p w14:paraId="3B93A511">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78" w:name="_Toc217446046"/>
      <w:r>
        <w:rPr>
          <w:rFonts w:hint="eastAsia" w:ascii="宋体" w:hAnsi="宋体" w:eastAsia="宋体" w:cs="宋体"/>
          <w:color w:val="000000" w:themeColor="text1"/>
          <w:sz w:val="24"/>
          <w:szCs w:val="24"/>
          <w:highlight w:val="none"/>
          <w14:textFill>
            <w14:solidFill>
              <w14:schemeClr w14:val="tx1"/>
            </w14:solidFill>
          </w14:textFill>
        </w:rPr>
        <w:t>11. 联合体投标</w:t>
      </w:r>
      <w:bookmarkEnd w:id="78"/>
    </w:p>
    <w:p w14:paraId="2EE0CEB2">
      <w:pPr>
        <w:pStyle w:val="12"/>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详见“投标人须知前附表”第13条。</w:t>
      </w:r>
    </w:p>
    <w:p w14:paraId="223C202D">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79" w:name="_Toc217446047"/>
      <w:r>
        <w:rPr>
          <w:rFonts w:hint="eastAsia" w:ascii="宋体" w:hAnsi="宋体" w:eastAsia="宋体" w:cs="宋体"/>
          <w:color w:val="000000" w:themeColor="text1"/>
          <w:sz w:val="24"/>
          <w:szCs w:val="24"/>
          <w:highlight w:val="none"/>
          <w14:textFill>
            <w14:solidFill>
              <w14:schemeClr w14:val="tx1"/>
            </w14:solidFill>
          </w14:textFill>
        </w:rPr>
        <w:t>12. 知识产权</w:t>
      </w:r>
      <w:bookmarkEnd w:id="79"/>
    </w:p>
    <w:p w14:paraId="0AB4BDFB">
      <w:pPr>
        <w:pStyle w:val="12"/>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12.1 投标人应保证在本项目使用的任何产品或服务（包括部分使用）时，不会产生因第三方提出侵犯其专利权、商标权或其它知识产权而引起的法律和经济纠纷，如因专利权、商标权或其它知识产权而引起法律和经济纠纷，由投标人承担所有相关责任。</w:t>
      </w:r>
    </w:p>
    <w:p w14:paraId="66871FC6">
      <w:pPr>
        <w:pStyle w:val="12"/>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12.2 采购人享有本项目实施过程中产生的知识成果及知识产权。</w:t>
      </w:r>
    </w:p>
    <w:p w14:paraId="5DECAFC3">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12.3 投标人如欲在项目实施过程中采用自有知识成果，需在投标文件中声明，并提供相关知识产权证明文件。使用该知识成果后，投标人需提供开发接口和开发手册等技术文档，并承诺提供无限期技术支持，采购人享有永久使用权。</w:t>
      </w:r>
    </w:p>
    <w:p w14:paraId="7199FEEE">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12.4 如采用投标人所不拥有的知识产权，则在投标报价中必须包括合法获取该知识产权的相关费用。 </w:t>
      </w:r>
    </w:p>
    <w:p w14:paraId="3042EEC3">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80" w:name="_Toc217446048"/>
      <w:bookmarkStart w:id="81" w:name="_Toc183682354"/>
      <w:bookmarkStart w:id="82" w:name="_Toc183582217"/>
      <w:r>
        <w:rPr>
          <w:rFonts w:hint="eastAsia" w:ascii="宋体" w:hAnsi="宋体" w:eastAsia="宋体" w:cs="宋体"/>
          <w:color w:val="000000" w:themeColor="text1"/>
          <w:sz w:val="24"/>
          <w:szCs w:val="24"/>
          <w:highlight w:val="none"/>
          <w14:textFill>
            <w14:solidFill>
              <w14:schemeClr w14:val="tx1"/>
            </w14:solidFill>
          </w14:textFill>
        </w:rPr>
        <w:t>13．投标文件的组成</w:t>
      </w:r>
      <w:bookmarkEnd w:id="80"/>
      <w:bookmarkEnd w:id="81"/>
      <w:bookmarkEnd w:id="82"/>
    </w:p>
    <w:p w14:paraId="7A75B49E">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投标人应按照</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的规定和要求编制投标文件。</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允许分包的，投标人拟在中标后将中标项目的非主体、非关键性工作交由他人完成的，应当在投标文件中载明。投标人编写的投标文件应包括下列部分：</w:t>
      </w:r>
    </w:p>
    <w:p w14:paraId="3F2A57E0">
      <w:pPr>
        <w:pageBreakBefore w:val="0"/>
        <w:widowControl w:val="0"/>
        <w:tabs>
          <w:tab w:val="left" w:pos="348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83" w:name="_Toc217446049"/>
      <w:bookmarkStart w:id="84" w:name="_Toc183582218"/>
      <w:bookmarkStart w:id="85" w:name="_Toc183682355"/>
      <w:r>
        <w:rPr>
          <w:rFonts w:hint="eastAsia" w:ascii="宋体" w:hAnsi="宋体" w:eastAsia="宋体" w:cs="宋体"/>
          <w:color w:val="000000" w:themeColor="text1"/>
          <w:sz w:val="24"/>
          <w:szCs w:val="24"/>
          <w:highlight w:val="none"/>
          <w14:textFill>
            <w14:solidFill>
              <w14:schemeClr w14:val="tx1"/>
            </w14:solidFill>
          </w14:textFill>
        </w:rPr>
        <w:t>一、投标函</w:t>
      </w:r>
    </w:p>
    <w:p w14:paraId="10CFC7A1">
      <w:pPr>
        <w:pageBreakBefore w:val="0"/>
        <w:widowControl w:val="0"/>
        <w:tabs>
          <w:tab w:val="left" w:pos="348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二、身份证明书及授权委托书</w:t>
      </w:r>
    </w:p>
    <w:p w14:paraId="70B4CFB6">
      <w:pPr>
        <w:pageBreakBefore w:val="0"/>
        <w:widowControl w:val="0"/>
        <w:tabs>
          <w:tab w:val="left" w:pos="348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三、投标报价明细表</w:t>
      </w:r>
    </w:p>
    <w:p w14:paraId="71A65D30">
      <w:pPr>
        <w:pageBreakBefore w:val="0"/>
        <w:widowControl w:val="0"/>
        <w:tabs>
          <w:tab w:val="left" w:pos="348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四、投标人基本情况表</w:t>
      </w:r>
    </w:p>
    <w:p w14:paraId="43E34BEF">
      <w:pPr>
        <w:pageBreakBefore w:val="0"/>
        <w:widowControl w:val="0"/>
        <w:tabs>
          <w:tab w:val="left" w:pos="348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五、投标人类似项目业绩一览表</w:t>
      </w:r>
    </w:p>
    <w:p w14:paraId="5CC09903">
      <w:pPr>
        <w:pageBreakBefore w:val="0"/>
        <w:widowControl w:val="0"/>
        <w:tabs>
          <w:tab w:val="left" w:pos="348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六、商务、技术</w:t>
      </w:r>
      <w:r>
        <w:rPr>
          <w:rFonts w:hint="eastAsia" w:ascii="宋体" w:hAnsi="宋体" w:eastAsia="宋体" w:cs="宋体"/>
          <w:color w:val="000000" w:themeColor="text1"/>
          <w:sz w:val="24"/>
          <w:szCs w:val="24"/>
          <w:highlight w:val="none"/>
          <w:lang w:eastAsia="zh-CN"/>
          <w14:textFill>
            <w14:solidFill>
              <w14:schemeClr w14:val="tx1"/>
            </w14:solidFill>
          </w14:textFill>
        </w:rPr>
        <w:t>需求</w:t>
      </w:r>
      <w:r>
        <w:rPr>
          <w:rFonts w:hint="eastAsia" w:ascii="宋体" w:hAnsi="宋体" w:eastAsia="宋体" w:cs="宋体"/>
          <w:color w:val="000000" w:themeColor="text1"/>
          <w:sz w:val="24"/>
          <w:szCs w:val="24"/>
          <w:highlight w:val="none"/>
          <w14:textFill>
            <w14:solidFill>
              <w14:schemeClr w14:val="tx1"/>
            </w14:solidFill>
          </w14:textFill>
        </w:rPr>
        <w:t>偏离表</w:t>
      </w:r>
    </w:p>
    <w:p w14:paraId="5628B668">
      <w:pPr>
        <w:pageBreakBefore w:val="0"/>
        <w:widowControl w:val="0"/>
        <w:tabs>
          <w:tab w:val="left" w:pos="348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七</w:t>
      </w:r>
      <w:r>
        <w:rPr>
          <w:rFonts w:hint="eastAsia" w:ascii="宋体" w:hAnsi="宋体" w:eastAsia="宋体" w:cs="宋体"/>
          <w:color w:val="000000" w:themeColor="text1"/>
          <w:sz w:val="24"/>
          <w:szCs w:val="24"/>
          <w:highlight w:val="none"/>
          <w14:textFill>
            <w14:solidFill>
              <w14:schemeClr w14:val="tx1"/>
            </w14:solidFill>
          </w14:textFill>
        </w:rPr>
        <w:t>、实施方案</w:t>
      </w:r>
    </w:p>
    <w:p w14:paraId="7CF0C352">
      <w:pPr>
        <w:pageBreakBefore w:val="0"/>
        <w:widowControl w:val="0"/>
        <w:tabs>
          <w:tab w:val="left" w:pos="348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八</w:t>
      </w:r>
      <w:r>
        <w:rPr>
          <w:rFonts w:hint="eastAsia" w:ascii="宋体" w:hAnsi="宋体" w:eastAsia="宋体" w:cs="宋体"/>
          <w:color w:val="000000" w:themeColor="text1"/>
          <w:sz w:val="24"/>
          <w:szCs w:val="24"/>
          <w:highlight w:val="none"/>
          <w14:textFill>
            <w14:solidFill>
              <w14:schemeClr w14:val="tx1"/>
            </w14:solidFill>
          </w14:textFill>
        </w:rPr>
        <w:t>、投标人认为需要提供的其他文件和资料</w:t>
      </w:r>
    </w:p>
    <w:p w14:paraId="2D36593B">
      <w:pPr>
        <w:pageBreakBefore w:val="0"/>
        <w:widowControl w:val="0"/>
        <w:tabs>
          <w:tab w:val="left" w:pos="348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14．投标文件格式</w:t>
      </w:r>
      <w:bookmarkEnd w:id="83"/>
      <w:bookmarkEnd w:id="84"/>
      <w:bookmarkEnd w:id="85"/>
      <w:r>
        <w:rPr>
          <w:rFonts w:hint="eastAsia" w:ascii="宋体" w:hAnsi="宋体" w:eastAsia="宋体" w:cs="宋体"/>
          <w:color w:val="000000" w:themeColor="text1"/>
          <w:sz w:val="24"/>
          <w:szCs w:val="24"/>
          <w:highlight w:val="none"/>
          <w14:textFill>
            <w14:solidFill>
              <w14:schemeClr w14:val="tx1"/>
            </w14:solidFill>
          </w14:textFill>
        </w:rPr>
        <w:tab/>
      </w:r>
    </w:p>
    <w:p w14:paraId="6B52E1D4">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14.1 投标人应严格按照</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第三章中提供的“投标文件格式”填写相关内容。除明确允许投标人可以自行编写的外，投标人不得以“投标文件格式”规定之外的方式填写相关内容。</w:t>
      </w:r>
    </w:p>
    <w:p w14:paraId="2A0D19F3">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14.2 对于没有格式要求的投标文件由投标人自行编写。</w:t>
      </w:r>
    </w:p>
    <w:p w14:paraId="686F7EE6">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86" w:name="_Toc217446050"/>
      <w:bookmarkStart w:id="87" w:name="_Toc183582223"/>
      <w:bookmarkStart w:id="88" w:name="_Toc183682360"/>
      <w:r>
        <w:rPr>
          <w:rFonts w:hint="eastAsia" w:ascii="宋体" w:hAnsi="宋体" w:eastAsia="宋体" w:cs="宋体"/>
          <w:color w:val="000000" w:themeColor="text1"/>
          <w:sz w:val="24"/>
          <w:szCs w:val="24"/>
          <w:highlight w:val="none"/>
          <w14:textFill>
            <w14:solidFill>
              <w14:schemeClr w14:val="tx1"/>
            </w14:solidFill>
          </w14:textFill>
        </w:rPr>
        <w:t>15．投标保证金</w:t>
      </w:r>
      <w:bookmarkEnd w:id="86"/>
      <w:bookmarkEnd w:id="87"/>
      <w:bookmarkEnd w:id="88"/>
    </w:p>
    <w:p w14:paraId="049E4D96">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15.1 投标人投标时，必须按</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规定数额和形式缴纳投标保证金，并作为其投标文件的一部分。</w:t>
      </w:r>
    </w:p>
    <w:p w14:paraId="7C07A9AA">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15.2未按</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要求在规定时间前缴纳规定数额和形式的投标保证金，将被视为</w:t>
      </w:r>
      <w:r>
        <w:rPr>
          <w:rFonts w:hint="eastAsia" w:ascii="宋体" w:hAnsi="宋体" w:eastAsia="宋体" w:cs="宋体"/>
          <w:b/>
          <w:bCs/>
          <w:color w:val="000000" w:themeColor="text1"/>
          <w:sz w:val="24"/>
          <w:szCs w:val="24"/>
          <w:highlight w:val="none"/>
          <w14:textFill>
            <w14:solidFill>
              <w14:schemeClr w14:val="tx1"/>
            </w14:solidFill>
          </w14:textFill>
        </w:rPr>
        <w:t>投标无效</w:t>
      </w:r>
      <w:r>
        <w:rPr>
          <w:rFonts w:hint="eastAsia" w:ascii="宋体" w:hAnsi="宋体" w:eastAsia="宋体" w:cs="宋体"/>
          <w:color w:val="000000" w:themeColor="text1"/>
          <w:sz w:val="24"/>
          <w:szCs w:val="24"/>
          <w:highlight w:val="none"/>
          <w14:textFill>
            <w14:solidFill>
              <w14:schemeClr w14:val="tx1"/>
            </w14:solidFill>
          </w14:textFill>
        </w:rPr>
        <w:t>。</w:t>
      </w:r>
    </w:p>
    <w:p w14:paraId="2C157205">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15.3 投标人所缴纳的投标保证金不计利息。</w:t>
      </w:r>
    </w:p>
    <w:p w14:paraId="01D87C6B">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15.4未中标人的投标保证金，将在中标通知书发出后五个工作日内全额退还。中标人的投标保证金，自采购合同签订之日起5个工作日内退还中标人的投标保证金。</w:t>
      </w:r>
    </w:p>
    <w:p w14:paraId="1B17E15B">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15.5发生下列情形之一的，采购代理机构将不予退还投标人缴纳的投标保证金：</w:t>
      </w:r>
    </w:p>
    <w:p w14:paraId="5185F5B1">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89" w:name="_Toc183682361"/>
      <w:bookmarkStart w:id="90" w:name="_Toc217446051"/>
      <w:bookmarkStart w:id="91" w:name="_Toc183582224"/>
      <w:r>
        <w:rPr>
          <w:rFonts w:hint="eastAsia" w:ascii="宋体" w:hAnsi="宋体" w:eastAsia="宋体" w:cs="宋体"/>
          <w:color w:val="000000" w:themeColor="text1"/>
          <w:sz w:val="24"/>
          <w:szCs w:val="24"/>
          <w:highlight w:val="none"/>
          <w14:textFill>
            <w14:solidFill>
              <w14:schemeClr w14:val="tx1"/>
            </w14:solidFill>
          </w14:textFill>
        </w:rPr>
        <w:t>（1）投标人在提交投标文件截止时间后撤回投标文件的；</w:t>
      </w:r>
    </w:p>
    <w:p w14:paraId="686AF978">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（2）投标人在投标文件中提供虚假材料的；</w:t>
      </w:r>
    </w:p>
    <w:p w14:paraId="0C5E895E">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（3）投标人不接受按投标文件规定对其投标报价进行修正的；</w:t>
      </w:r>
    </w:p>
    <w:p w14:paraId="23BB7889">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（4）除因不可抗力或投标文件认可的情形以外，中标人不履行与采购人签订合同的，在签订合同时向采购人提出附加条件；</w:t>
      </w:r>
    </w:p>
    <w:p w14:paraId="0C7E90C0">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（5）中标人未能在规定期限内与采购人签署合同协议书或提交履约保证金的；</w:t>
      </w:r>
    </w:p>
    <w:p w14:paraId="567B70B5">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（6）投标人与采购人、其他投标人或者采购代理机构恶意串通的；</w:t>
      </w:r>
    </w:p>
    <w:p w14:paraId="510D5A93">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规定的其他情形；</w:t>
      </w:r>
    </w:p>
    <w:p w14:paraId="0214A3AD">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（8）符合法律、法规规定的其他情形的。 </w:t>
      </w:r>
    </w:p>
    <w:p w14:paraId="31A7C79E">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16．投标有效期</w:t>
      </w:r>
      <w:bookmarkEnd w:id="89"/>
      <w:bookmarkEnd w:id="90"/>
      <w:bookmarkEnd w:id="91"/>
    </w:p>
    <w:p w14:paraId="198F55F0">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16.1 投标有效期详见投标人须知前附表。投标有效期短于此规定期限的，</w:t>
      </w:r>
      <w:r>
        <w:rPr>
          <w:rFonts w:hint="eastAsia" w:ascii="宋体" w:hAnsi="宋体" w:eastAsia="宋体" w:cs="宋体"/>
          <w:b/>
          <w:bCs/>
          <w:color w:val="000000" w:themeColor="text1"/>
          <w:sz w:val="24"/>
          <w:szCs w:val="24"/>
          <w:highlight w:val="none"/>
          <w14:textFill>
            <w14:solidFill>
              <w14:schemeClr w14:val="tx1"/>
            </w14:solidFill>
          </w14:textFill>
        </w:rPr>
        <w:t>投标无效</w:t>
      </w:r>
      <w:r>
        <w:rPr>
          <w:rFonts w:hint="eastAsia" w:ascii="宋体" w:hAnsi="宋体" w:eastAsia="宋体" w:cs="宋体"/>
          <w:color w:val="000000" w:themeColor="text1"/>
          <w:sz w:val="24"/>
          <w:szCs w:val="24"/>
          <w:highlight w:val="none"/>
          <w14:textFill>
            <w14:solidFill>
              <w14:schemeClr w14:val="tx1"/>
            </w14:solidFill>
          </w14:textFill>
        </w:rPr>
        <w:t>。</w:t>
      </w:r>
    </w:p>
    <w:p w14:paraId="49F802D5">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16.2 特殊情况下，采购人可于投标有效期满之前要求投标人同意延长有效期，要求与答复均应为书面形式。投标人可以拒绝上述要求，其投标保证金</w:t>
      </w:r>
      <w:r>
        <w:rPr>
          <w:rFonts w:hint="eastAsia" w:ascii="宋体" w:hAnsi="宋体" w:eastAsia="宋体" w:cs="宋体"/>
          <w:color w:val="000000" w:themeColor="text1"/>
          <w:spacing w:val="8"/>
          <w:sz w:val="24"/>
          <w:szCs w:val="24"/>
          <w:highlight w:val="none"/>
          <w14:textFill>
            <w14:solidFill>
              <w14:schemeClr w14:val="tx1"/>
            </w14:solidFill>
          </w14:textFill>
        </w:rPr>
        <w:t>不被没收。</w:t>
      </w:r>
      <w:r>
        <w:rPr>
          <w:rFonts w:hint="eastAsia" w:ascii="宋体" w:hAnsi="宋体" w:eastAsia="宋体" w:cs="宋体"/>
          <w:color w:val="000000" w:themeColor="text1"/>
          <w:sz w:val="24"/>
          <w:szCs w:val="24"/>
          <w:highlight w:val="none"/>
          <w14:textFill>
            <w14:solidFill>
              <w14:schemeClr w14:val="tx1"/>
            </w14:solidFill>
          </w14:textFill>
        </w:rPr>
        <w:t>拒绝延长投标有效期的投标人不得再参与该项目后续招标活动。同意延长投标有效期的投标人不能修改其投标文件，关于投标保证金的有关规定在延长的投标有效期内继续有效。</w:t>
      </w:r>
    </w:p>
    <w:p w14:paraId="5A020F43">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bookmarkStart w:id="92" w:name="_Toc183682362"/>
      <w:bookmarkStart w:id="93" w:name="_Toc217446052"/>
      <w:bookmarkStart w:id="94" w:name="_Toc183582225"/>
      <w:bookmarkStart w:id="95" w:name="_Toc77400782"/>
      <w:bookmarkStart w:id="96" w:name="_Toc89075878"/>
      <w:bookmarkStart w:id="97" w:name="_Toc183682368"/>
      <w:bookmarkStart w:id="98" w:name="_Toc217446056"/>
      <w:bookmarkStart w:id="99" w:name="_Toc183582231"/>
      <w:r>
        <w:rPr>
          <w:rFonts w:hint="eastAsia" w:ascii="宋体" w:hAnsi="宋体" w:eastAsia="宋体" w:cs="宋体"/>
          <w:b/>
          <w:bCs/>
          <w:color w:val="000000" w:themeColor="text1"/>
          <w:sz w:val="24"/>
          <w:szCs w:val="24"/>
          <w:highlight w:val="none"/>
          <w14:textFill>
            <w14:solidFill>
              <w14:schemeClr w14:val="tx1"/>
            </w14:solidFill>
          </w14:textFill>
        </w:rPr>
        <w:t>17．</w:t>
      </w:r>
      <w:bookmarkEnd w:id="92"/>
      <w:bookmarkEnd w:id="93"/>
      <w:bookmarkEnd w:id="94"/>
      <w:r>
        <w:rPr>
          <w:rFonts w:hint="eastAsia" w:ascii="宋体" w:hAnsi="宋体" w:eastAsia="宋体" w:cs="宋体"/>
          <w:b/>
          <w:bCs/>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b/>
          <w:bCs/>
          <w:color w:val="000000" w:themeColor="text1"/>
          <w:sz w:val="24"/>
          <w:szCs w:val="24"/>
          <w:highlight w:val="none"/>
          <w14:textFill>
            <w14:solidFill>
              <w14:schemeClr w14:val="tx1"/>
            </w14:solidFill>
          </w14:textFill>
        </w:rPr>
        <w:t>的签署</w:t>
      </w:r>
    </w:p>
    <w:p w14:paraId="244D9068">
      <w:pPr>
        <w:pageBreakBefore w:val="0"/>
        <w:widowControl w:val="0"/>
        <w:tabs>
          <w:tab w:val="left" w:pos="1080"/>
        </w:tabs>
        <w:kinsoku/>
        <w:wordWrap/>
        <w:overflowPunct/>
        <w:topLinePunct w:val="0"/>
        <w:autoSpaceDE/>
        <w:autoSpaceDN/>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bookmarkStart w:id="100" w:name="_Toc183582226"/>
      <w:bookmarkStart w:id="101" w:name="_Toc77400781"/>
      <w:bookmarkStart w:id="102" w:name="_Toc183682363"/>
      <w:bookmarkStart w:id="103" w:name="_Toc89075877"/>
      <w:bookmarkStart w:id="104" w:name="_Toc217446053"/>
      <w:r>
        <w:rPr>
          <w:rFonts w:hint="eastAsia" w:ascii="宋体" w:hAnsi="宋体" w:eastAsia="宋体" w:cs="宋体"/>
          <w:color w:val="000000" w:themeColor="text1"/>
          <w:sz w:val="24"/>
          <w:szCs w:val="24"/>
          <w:highlight w:val="none"/>
          <w14:textFill>
            <w14:solidFill>
              <w14:schemeClr w14:val="tx1"/>
            </w14:solidFill>
          </w14:textFill>
        </w:rPr>
        <w:t xml:space="preserve">17.1 </w:t>
      </w:r>
      <w:r>
        <w:rPr>
          <w:rFonts w:hint="eastAsia" w:ascii="宋体" w:hAnsi="宋体" w:eastAsia="宋体" w:cs="宋体"/>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sz w:val="24"/>
          <w:szCs w:val="24"/>
          <w:highlight w:val="none"/>
          <w14:textFill>
            <w14:solidFill>
              <w14:schemeClr w14:val="tx1"/>
            </w14:solidFill>
          </w14:textFill>
        </w:rPr>
        <w:t>应根据</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的要求制作、签署、盖章，内容应完整。</w:t>
      </w:r>
    </w:p>
    <w:p w14:paraId="26B39EC6">
      <w:pPr>
        <w:numPr>
          <w:ilvl w:val="0"/>
          <w:numId w:val="0"/>
        </w:numPr>
        <w:spacing w:line="480" w:lineRule="exact"/>
        <w:ind w:firstLine="482"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b/>
          <w:bCs/>
          <w:color w:val="000000" w:themeColor="text1"/>
          <w:sz w:val="24"/>
          <w:szCs w:val="24"/>
          <w:highlight w:val="none"/>
          <w14:textFill>
            <w14:solidFill>
              <w14:schemeClr w14:val="tx1"/>
            </w14:solidFill>
          </w14:textFill>
        </w:rPr>
        <w:t>．投标文件的</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加密</w:t>
      </w:r>
      <w:bookmarkEnd w:id="100"/>
      <w:bookmarkEnd w:id="101"/>
      <w:bookmarkEnd w:id="102"/>
      <w:bookmarkEnd w:id="103"/>
      <w:bookmarkEnd w:id="104"/>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和上传</w:t>
      </w:r>
    </w:p>
    <w:p w14:paraId="259F3E51">
      <w:pPr>
        <w:numPr>
          <w:ilvl w:val="0"/>
          <w:numId w:val="0"/>
        </w:numPr>
        <w:spacing w:line="480" w:lineRule="exact"/>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kern w:val="0"/>
          <w:sz w:val="24"/>
          <w:szCs w:val="24"/>
          <w:highlight w:val="none"/>
          <w:lang w:eastAsia="zh-CN"/>
          <w14:textFill>
            <w14:solidFill>
              <w14:schemeClr w14:val="tx1"/>
            </w14:solidFill>
          </w14:textFill>
        </w:rPr>
        <w:t>18.1</w:t>
      </w:r>
      <w:r>
        <w:rPr>
          <w:rFonts w:hint="eastAsia" w:ascii="宋体" w:hAnsi="宋体" w:eastAsia="宋体" w:cs="宋体"/>
          <w:color w:val="000000" w:themeColor="text1"/>
          <w:kern w:val="0"/>
          <w:sz w:val="24"/>
          <w:szCs w:val="24"/>
          <w:highlight w:val="none"/>
          <w14:textFill>
            <w14:solidFill>
              <w14:schemeClr w14:val="tx1"/>
            </w14:solidFill>
          </w14:textFill>
        </w:rPr>
        <w:t>本项目实行全流程</w:t>
      </w:r>
      <w:r>
        <w:rPr>
          <w:rFonts w:hint="eastAsia" w:ascii="宋体" w:hAnsi="宋体" w:eastAsia="宋体" w:cs="宋体"/>
          <w:color w:val="000000" w:themeColor="text1"/>
          <w:sz w:val="24"/>
          <w:szCs w:val="24"/>
          <w:highlight w:val="none"/>
          <w14:textFill>
            <w14:solidFill>
              <w14:schemeClr w14:val="tx1"/>
            </w14:solidFill>
          </w14:textFill>
        </w:rPr>
        <w:t>电子交易方式</w:t>
      </w:r>
      <w:r>
        <w:rPr>
          <w:rFonts w:hint="eastAsia" w:ascii="宋体" w:hAnsi="宋体" w:eastAsia="宋体" w:cs="宋体"/>
          <w:color w:val="000000" w:themeColor="text1"/>
          <w:kern w:val="0"/>
          <w:sz w:val="24"/>
          <w:szCs w:val="24"/>
          <w:highlight w:val="none"/>
          <w14:textFill>
            <w14:solidFill>
              <w14:schemeClr w14:val="tx1"/>
            </w14:solidFill>
          </w14:textFill>
        </w:rPr>
        <w:t>，采用电子加密</w:t>
      </w:r>
      <w:r>
        <w:rPr>
          <w:rFonts w:hint="eastAsia" w:ascii="宋体" w:hAnsi="宋体" w:eastAsia="宋体" w:cs="宋体"/>
          <w:color w:val="000000" w:themeColor="text1"/>
          <w:kern w:val="0"/>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kern w:val="0"/>
          <w:sz w:val="24"/>
          <w:szCs w:val="24"/>
          <w:highlight w:val="none"/>
          <w14:textFill>
            <w14:solidFill>
              <w14:schemeClr w14:val="tx1"/>
            </w14:solidFill>
          </w14:textFill>
        </w:rPr>
        <w:t>上传方式；</w:t>
      </w:r>
    </w:p>
    <w:p w14:paraId="7710FAA0">
      <w:pPr>
        <w:adjustRightInd w:val="0"/>
        <w:snapToGrid w:val="0"/>
        <w:spacing w:line="40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投标人应当在投标截止时间前，将“电子招投标投标人客户端”生成的“电子加密投标文件”上传电子交易平台。</w:t>
      </w:r>
    </w:p>
    <w:p w14:paraId="544E37FD">
      <w:pPr>
        <w:pStyle w:val="7"/>
        <w:spacing w:line="480" w:lineRule="exact"/>
        <w:ind w:firstLine="480"/>
        <w:rPr>
          <w:rFonts w:hint="eastAsia" w:ascii="宋体" w:hAnsi="宋体" w:eastAsia="宋体" w:cs="宋体"/>
          <w:b/>
          <w:bCs/>
          <w:color w:val="000000" w:themeColor="text1"/>
          <w:sz w:val="24"/>
          <w:szCs w:val="24"/>
          <w:highlight w:val="none"/>
          <w14:textFill>
            <w14:solidFill>
              <w14:schemeClr w14:val="tx1"/>
            </w14:solidFill>
          </w14:textFill>
        </w:rPr>
      </w:pPr>
      <w:bookmarkStart w:id="105" w:name="_Toc183582228"/>
      <w:bookmarkStart w:id="106" w:name="_Toc183682365"/>
      <w:bookmarkStart w:id="107" w:name="_Toc217446055"/>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19</w:t>
      </w:r>
      <w:r>
        <w:rPr>
          <w:rFonts w:hint="eastAsia" w:ascii="宋体" w:hAnsi="宋体" w:eastAsia="宋体" w:cs="宋体"/>
          <w:b/>
          <w:bCs/>
          <w:color w:val="000000" w:themeColor="text1"/>
          <w:sz w:val="24"/>
          <w:szCs w:val="24"/>
          <w:highlight w:val="none"/>
          <w14:textFill>
            <w14:solidFill>
              <w14:schemeClr w14:val="tx1"/>
            </w14:solidFill>
          </w14:textFill>
        </w:rPr>
        <w:t>．投标文件的修改和撤</w:t>
      </w:r>
      <w:bookmarkEnd w:id="105"/>
      <w:bookmarkEnd w:id="106"/>
      <w:r>
        <w:rPr>
          <w:rFonts w:hint="eastAsia" w:ascii="宋体" w:hAnsi="宋体" w:eastAsia="宋体" w:cs="宋体"/>
          <w:b/>
          <w:bCs/>
          <w:color w:val="000000" w:themeColor="text1"/>
          <w:sz w:val="24"/>
          <w:szCs w:val="24"/>
          <w:highlight w:val="none"/>
          <w14:textFill>
            <w14:solidFill>
              <w14:schemeClr w14:val="tx1"/>
            </w14:solidFill>
          </w14:textFill>
        </w:rPr>
        <w:t>回</w:t>
      </w:r>
      <w:bookmarkEnd w:id="107"/>
    </w:p>
    <w:p w14:paraId="36247E08">
      <w:pPr>
        <w:pageBreakBefore w:val="0"/>
        <w:widowControl w:val="0"/>
        <w:kinsoku/>
        <w:wordWrap/>
        <w:overflowPunct/>
        <w:topLinePunct w:val="0"/>
        <w:autoSpaceDE/>
        <w:autoSpaceDN/>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19.1 </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在</w:t>
      </w:r>
      <w:r>
        <w:rPr>
          <w:rFonts w:hint="eastAsia" w:ascii="宋体" w:hAnsi="宋体" w:eastAsia="宋体" w:cs="宋体"/>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sz w:val="24"/>
          <w:szCs w:val="24"/>
          <w:highlight w:val="none"/>
          <w14:textFill>
            <w14:solidFill>
              <w14:schemeClr w14:val="tx1"/>
            </w14:solidFill>
          </w14:textFill>
        </w:rPr>
        <w:t>上传截止时间前，可以对所上传的</w:t>
      </w:r>
      <w:r>
        <w:rPr>
          <w:rFonts w:hint="eastAsia" w:ascii="宋体" w:hAnsi="宋体" w:eastAsia="宋体" w:cs="宋体"/>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sz w:val="24"/>
          <w:szCs w:val="24"/>
          <w:highlight w:val="none"/>
          <w14:textFill>
            <w14:solidFill>
              <w14:schemeClr w14:val="tx1"/>
            </w14:solidFill>
          </w14:textFill>
        </w:rPr>
        <w:t>进行补充、修改或撤回。</w:t>
      </w:r>
    </w:p>
    <w:p w14:paraId="1F6F425E">
      <w:pPr>
        <w:pageBreakBefore w:val="0"/>
        <w:widowControl w:val="0"/>
        <w:kinsoku/>
        <w:wordWrap/>
        <w:overflowPunct/>
        <w:topLinePunct w:val="0"/>
        <w:autoSpaceDE/>
        <w:autoSpaceDN/>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19.2 在</w:t>
      </w:r>
      <w:r>
        <w:rPr>
          <w:rFonts w:hint="eastAsia" w:ascii="宋体" w:hAnsi="宋体" w:eastAsia="宋体" w:cs="宋体"/>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sz w:val="24"/>
          <w:szCs w:val="24"/>
          <w:highlight w:val="none"/>
          <w14:textFill>
            <w14:solidFill>
              <w14:schemeClr w14:val="tx1"/>
            </w14:solidFill>
          </w14:textFill>
        </w:rPr>
        <w:t>上传截止时间之后，</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不得对其上传的</w:t>
      </w:r>
      <w:r>
        <w:rPr>
          <w:rFonts w:hint="eastAsia" w:ascii="宋体" w:hAnsi="宋体" w:eastAsia="宋体" w:cs="宋体"/>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sz w:val="24"/>
          <w:szCs w:val="24"/>
          <w:highlight w:val="none"/>
          <w14:textFill>
            <w14:solidFill>
              <w14:schemeClr w14:val="tx1"/>
            </w14:solidFill>
          </w14:textFill>
        </w:rPr>
        <w:t>做任何修改、补充或撤回。</w:t>
      </w:r>
    </w:p>
    <w:p w14:paraId="6AEDCB23">
      <w:pPr>
        <w:pageBreakBefore w:val="0"/>
        <w:widowControl w:val="0"/>
        <w:kinsoku/>
        <w:wordWrap/>
        <w:overflowPunct/>
        <w:topLinePunct w:val="0"/>
        <w:autoSpaceDE/>
        <w:autoSpaceDN/>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19.3 </w:t>
      </w:r>
      <w:r>
        <w:rPr>
          <w:rFonts w:hint="eastAsia" w:ascii="宋体" w:hAnsi="宋体" w:eastAsia="宋体" w:cs="宋体"/>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sz w:val="24"/>
          <w:szCs w:val="24"/>
          <w:highlight w:val="none"/>
          <w14:textFill>
            <w14:solidFill>
              <w14:schemeClr w14:val="tx1"/>
            </w14:solidFill>
          </w14:textFill>
        </w:rPr>
        <w:t>中-如果出现计算上或累加上的算术错误，可按以下原则进行修改：</w:t>
      </w:r>
    </w:p>
    <w:p w14:paraId="00201C32">
      <w:pPr>
        <w:pageBreakBefore w:val="0"/>
        <w:widowControl w:val="0"/>
        <w:kinsoku/>
        <w:wordWrap/>
        <w:overflowPunct/>
        <w:topLinePunct w:val="0"/>
        <w:autoSpaceDE/>
        <w:autoSpaceDN/>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sz w:val="24"/>
          <w:szCs w:val="24"/>
          <w:highlight w:val="none"/>
          <w14:textFill>
            <w14:solidFill>
              <w14:schemeClr w14:val="tx1"/>
            </w14:solidFill>
          </w14:textFill>
        </w:rPr>
        <w:t>中</w:t>
      </w:r>
      <w:r>
        <w:rPr>
          <w:rFonts w:hint="eastAsia" w:ascii="宋体" w:hAnsi="宋体" w:eastAsia="宋体" w:cs="宋体"/>
          <w:color w:val="000000" w:themeColor="text1"/>
          <w:sz w:val="24"/>
          <w:szCs w:val="24"/>
          <w:highlight w:val="none"/>
          <w:lang w:eastAsia="zh-CN"/>
          <w14:textFill>
            <w14:solidFill>
              <w14:schemeClr w14:val="tx1"/>
            </w14:solidFill>
          </w14:textFill>
        </w:rPr>
        <w:t>投标函</w:t>
      </w:r>
      <w:r>
        <w:rPr>
          <w:rFonts w:hint="eastAsia" w:ascii="宋体" w:hAnsi="宋体" w:eastAsia="宋体" w:cs="宋体"/>
          <w:color w:val="000000" w:themeColor="text1"/>
          <w:sz w:val="24"/>
          <w:szCs w:val="24"/>
          <w:highlight w:val="none"/>
          <w14:textFill>
            <w14:solidFill>
              <w14:schemeClr w14:val="tx1"/>
            </w14:solidFill>
          </w14:textFill>
        </w:rPr>
        <w:t>内容与</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w:t>
      </w:r>
      <w:r>
        <w:rPr>
          <w:rFonts w:hint="eastAsia" w:ascii="宋体" w:hAnsi="宋体" w:eastAsia="宋体" w:cs="宋体"/>
          <w:color w:val="000000" w:themeColor="text1"/>
          <w:sz w:val="24"/>
          <w:szCs w:val="24"/>
          <w:highlight w:val="none"/>
          <w14:textFill>
            <w14:solidFill>
              <w14:schemeClr w14:val="tx1"/>
            </w14:solidFill>
          </w14:textFill>
        </w:rPr>
        <w:t>报价明细表不一致的，以</w:t>
      </w:r>
      <w:r>
        <w:rPr>
          <w:rFonts w:hint="eastAsia" w:ascii="宋体" w:hAnsi="宋体" w:eastAsia="宋体" w:cs="宋体"/>
          <w:color w:val="000000" w:themeColor="text1"/>
          <w:sz w:val="24"/>
          <w:szCs w:val="24"/>
          <w:highlight w:val="none"/>
          <w:lang w:eastAsia="zh-CN"/>
          <w14:textFill>
            <w14:solidFill>
              <w14:schemeClr w14:val="tx1"/>
            </w14:solidFill>
          </w14:textFill>
        </w:rPr>
        <w:t>投标函</w:t>
      </w:r>
      <w:r>
        <w:rPr>
          <w:rFonts w:hint="eastAsia" w:ascii="宋体" w:hAnsi="宋体" w:eastAsia="宋体" w:cs="宋体"/>
          <w:color w:val="000000" w:themeColor="text1"/>
          <w:sz w:val="24"/>
          <w:szCs w:val="24"/>
          <w:highlight w:val="none"/>
          <w14:textFill>
            <w14:solidFill>
              <w14:schemeClr w14:val="tx1"/>
            </w14:solidFill>
          </w14:textFill>
        </w:rPr>
        <w:t>为准;</w:t>
      </w:r>
    </w:p>
    <w:p w14:paraId="547F0EB5">
      <w:pPr>
        <w:pageBreakBefore w:val="0"/>
        <w:widowControl w:val="0"/>
        <w:kinsoku/>
        <w:wordWrap/>
        <w:overflowPunct/>
        <w:topLinePunct w:val="0"/>
        <w:autoSpaceDE/>
        <w:autoSpaceDN/>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（2）用小写金额和大写金额不一致，应以大写金额为准；</w:t>
      </w:r>
    </w:p>
    <w:p w14:paraId="1A9813F3">
      <w:pPr>
        <w:pageBreakBefore w:val="0"/>
        <w:widowControl w:val="0"/>
        <w:kinsoku/>
        <w:wordWrap/>
        <w:overflowPunct/>
        <w:topLinePunct w:val="0"/>
        <w:autoSpaceDE/>
        <w:autoSpaceDN/>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（3）总价金额与按单价汇总金额不一致的，以单价金额计算结果为准；</w:t>
      </w:r>
    </w:p>
    <w:p w14:paraId="06FD984F">
      <w:pPr>
        <w:pageBreakBefore w:val="0"/>
        <w:widowControl w:val="0"/>
        <w:kinsoku/>
        <w:wordWrap/>
        <w:overflowPunct/>
        <w:topLinePunct w:val="0"/>
        <w:autoSpaceDE/>
        <w:autoSpaceDN/>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（4）单价金额小数点或者百分比有明显错位的，以</w:t>
      </w:r>
      <w:r>
        <w:rPr>
          <w:rFonts w:hint="eastAsia" w:ascii="宋体" w:hAnsi="宋体" w:eastAsia="宋体" w:cs="宋体"/>
          <w:color w:val="000000" w:themeColor="text1"/>
          <w:sz w:val="24"/>
          <w:szCs w:val="24"/>
          <w:highlight w:val="none"/>
          <w:lang w:eastAsia="zh-CN"/>
          <w14:textFill>
            <w14:solidFill>
              <w14:schemeClr w14:val="tx1"/>
            </w14:solidFill>
          </w14:textFill>
        </w:rPr>
        <w:t>投标函</w:t>
      </w:r>
      <w:r>
        <w:rPr>
          <w:rFonts w:hint="eastAsia" w:ascii="宋体" w:hAnsi="宋体" w:eastAsia="宋体" w:cs="宋体"/>
          <w:color w:val="000000" w:themeColor="text1"/>
          <w:sz w:val="24"/>
          <w:szCs w:val="24"/>
          <w:highlight w:val="none"/>
          <w14:textFill>
            <w14:solidFill>
              <w14:schemeClr w14:val="tx1"/>
            </w14:solidFill>
          </w14:textFill>
        </w:rPr>
        <w:t>的总价为准，并修改单价。</w:t>
      </w:r>
    </w:p>
    <w:p w14:paraId="19431B0A">
      <w:pPr>
        <w:pageBreakBefore w:val="0"/>
        <w:widowControl w:val="0"/>
        <w:kinsoku/>
        <w:wordWrap/>
        <w:overflowPunct/>
        <w:topLinePunct w:val="0"/>
        <w:autoSpaceDE/>
        <w:autoSpaceDN/>
        <w:bidi w:val="0"/>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同时出现两种以上不一致的，按照前款规定的顺序修正。修正后的</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w:t>
      </w:r>
      <w:r>
        <w:rPr>
          <w:rFonts w:hint="eastAsia" w:ascii="宋体" w:hAnsi="宋体" w:eastAsia="宋体" w:cs="宋体"/>
          <w:color w:val="000000" w:themeColor="text1"/>
          <w:sz w:val="24"/>
          <w:szCs w:val="24"/>
          <w:highlight w:val="none"/>
          <w14:textFill>
            <w14:solidFill>
              <w14:schemeClr w14:val="tx1"/>
            </w14:solidFill>
          </w14:textFill>
        </w:rPr>
        <w:t>报价经</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确认后产生约束力，</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不确认的，其</w:t>
      </w:r>
      <w:r>
        <w:rPr>
          <w:rFonts w:hint="eastAsia" w:ascii="宋体" w:hAnsi="宋体" w:eastAsia="宋体" w:cs="宋体"/>
          <w:b/>
          <w:bCs/>
          <w:color w:val="000000" w:themeColor="text1"/>
          <w:sz w:val="24"/>
          <w:szCs w:val="24"/>
          <w:highlight w:val="none"/>
          <w14:textFill>
            <w14:solidFill>
              <w14:schemeClr w14:val="tx1"/>
            </w14:solidFill>
          </w14:textFill>
        </w:rPr>
        <w:t>响应无效</w:t>
      </w:r>
      <w:r>
        <w:rPr>
          <w:rFonts w:hint="eastAsia" w:ascii="宋体" w:hAnsi="宋体" w:eastAsia="宋体" w:cs="宋体"/>
          <w:color w:val="000000" w:themeColor="text1"/>
          <w:sz w:val="24"/>
          <w:szCs w:val="24"/>
          <w:highlight w:val="none"/>
          <w14:textFill>
            <w14:solidFill>
              <w14:schemeClr w14:val="tx1"/>
            </w14:solidFill>
          </w14:textFill>
        </w:rPr>
        <w:t>。</w:t>
      </w:r>
    </w:p>
    <w:p w14:paraId="7CC2E64A">
      <w:pPr>
        <w:pStyle w:val="4"/>
        <w:pageBreakBefore w:val="0"/>
        <w:widowControl w:val="0"/>
        <w:kinsoku/>
        <w:wordWrap/>
        <w:overflowPunct/>
        <w:topLinePunct w:val="0"/>
        <w:autoSpaceDE/>
        <w:autoSpaceDN/>
        <w:bidi w:val="0"/>
        <w:adjustRightInd/>
        <w:spacing w:before="156" w:after="156" w:line="480" w:lineRule="exact"/>
        <w:ind w:firstLine="482" w:firstLineChars="200"/>
        <w:jc w:val="center"/>
        <w:textAlignment w:val="auto"/>
        <w:rPr>
          <w:rFonts w:hint="eastAsia" w:ascii="宋体" w:hAnsi="宋体" w:eastAsia="宋体" w:cs="宋体"/>
          <w:b/>
          <w:bCs w:val="0"/>
          <w:color w:val="000000" w:themeColor="text1"/>
          <w:sz w:val="24"/>
          <w:szCs w:val="24"/>
          <w:highlight w:val="none"/>
          <w14:textFill>
            <w14:solidFill>
              <w14:schemeClr w14:val="tx1"/>
            </w14:solidFill>
          </w14:textFill>
        </w:rPr>
      </w:pPr>
      <w:r>
        <w:rPr>
          <w:rFonts w:hint="eastAsia" w:ascii="宋体" w:hAnsi="宋体" w:eastAsia="宋体" w:cs="宋体"/>
          <w:b/>
          <w:bCs w:val="0"/>
          <w:color w:val="000000" w:themeColor="text1"/>
          <w:sz w:val="24"/>
          <w:szCs w:val="24"/>
          <w:highlight w:val="none"/>
          <w14:textFill>
            <w14:solidFill>
              <w14:schemeClr w14:val="tx1"/>
            </w14:solidFill>
          </w14:textFill>
        </w:rPr>
        <w:t>五、开标和</w:t>
      </w:r>
      <w:bookmarkEnd w:id="95"/>
      <w:bookmarkEnd w:id="96"/>
      <w:bookmarkEnd w:id="97"/>
      <w:bookmarkEnd w:id="98"/>
      <w:bookmarkEnd w:id="99"/>
      <w:r>
        <w:rPr>
          <w:rFonts w:hint="eastAsia" w:ascii="宋体" w:hAnsi="宋体" w:eastAsia="宋体" w:cs="宋体"/>
          <w:b/>
          <w:bCs w:val="0"/>
          <w:color w:val="000000" w:themeColor="text1"/>
          <w:sz w:val="24"/>
          <w:szCs w:val="24"/>
          <w:highlight w:val="none"/>
          <w14:textFill>
            <w14:solidFill>
              <w14:schemeClr w14:val="tx1"/>
            </w14:solidFill>
          </w14:textFill>
        </w:rPr>
        <w:t>中标</w:t>
      </w:r>
    </w:p>
    <w:p w14:paraId="40081FF3">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bookmarkStart w:id="108" w:name="_Toc183682369"/>
      <w:bookmarkStart w:id="109" w:name="_Toc183582232"/>
      <w:bookmarkStart w:id="110" w:name="_Toc217446057"/>
      <w:bookmarkStart w:id="111" w:name="_Toc217446078"/>
      <w:bookmarkStart w:id="112" w:name="_Toc183582243"/>
      <w:bookmarkStart w:id="113" w:name="_Toc183682380"/>
      <w:r>
        <w:rPr>
          <w:rFonts w:hint="eastAsia" w:ascii="宋体" w:hAnsi="宋体" w:eastAsia="宋体" w:cs="宋体"/>
          <w:b/>
          <w:bCs/>
          <w:color w:val="000000" w:themeColor="text1"/>
          <w:sz w:val="24"/>
          <w:szCs w:val="24"/>
          <w:highlight w:val="none"/>
          <w:lang w:val="en-US" w:eastAsia="zh-CN"/>
          <w14:textFill>
            <w14:solidFill>
              <w14:schemeClr w14:val="tx1"/>
            </w14:solidFill>
          </w14:textFill>
        </w:rPr>
        <w:t>20</w:t>
      </w:r>
      <w:r>
        <w:rPr>
          <w:rFonts w:hint="eastAsia" w:ascii="宋体" w:hAnsi="宋体" w:eastAsia="宋体" w:cs="宋体"/>
          <w:b/>
          <w:bCs/>
          <w:color w:val="000000" w:themeColor="text1"/>
          <w:sz w:val="24"/>
          <w:szCs w:val="24"/>
          <w:highlight w:val="none"/>
          <w14:textFill>
            <w14:solidFill>
              <w14:schemeClr w14:val="tx1"/>
            </w14:solidFill>
          </w14:textFill>
        </w:rPr>
        <w:t>．开标</w:t>
      </w:r>
      <w:bookmarkEnd w:id="108"/>
      <w:bookmarkEnd w:id="109"/>
      <w:bookmarkEnd w:id="110"/>
    </w:p>
    <w:p w14:paraId="1DBB2F7A">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.1 采购代理机构在招标文件规定的时间和地点组织招标活动，邀请下载招标文件并参与竞争的投标人参加开标。</w:t>
      </w:r>
    </w:p>
    <w:p w14:paraId="461F2C30">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投标人不足3家的，不得开标。</w:t>
      </w:r>
    </w:p>
    <w:p w14:paraId="20DF44C0">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.2 开标时，采购代理机构可以邀请有关监督管理部门对开标进行现场监督。</w:t>
      </w:r>
    </w:p>
    <w:p w14:paraId="7D83CB4E">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 xml:space="preserve">.3 </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w:t>
      </w:r>
      <w:r>
        <w:rPr>
          <w:rFonts w:hint="eastAsia" w:ascii="宋体" w:hAnsi="宋体" w:eastAsia="宋体" w:cs="宋体"/>
          <w:color w:val="000000" w:themeColor="text1"/>
          <w:sz w:val="24"/>
          <w:szCs w:val="24"/>
          <w:highlight w:val="none"/>
          <w14:textFill>
            <w14:solidFill>
              <w14:schemeClr w14:val="tx1"/>
            </w14:solidFill>
          </w14:textFill>
        </w:rPr>
        <w:t>文件上传截止时间到，</w:t>
      </w:r>
      <w:r>
        <w:rPr>
          <w:rFonts w:hint="eastAsia" w:ascii="宋体" w:hAnsi="宋体" w:eastAsia="宋体" w:cs="宋体"/>
          <w:color w:val="000000" w:themeColor="text1"/>
          <w:sz w:val="24"/>
          <w:szCs w:val="24"/>
          <w:highlight w:val="none"/>
          <w:lang w:val="en-US" w:eastAsia="zh-CN"/>
          <w14:textFill>
            <w14:solidFill>
              <w14:schemeClr w14:val="tx1"/>
            </w14:solidFill>
          </w14:textFill>
        </w:rPr>
        <w:t>开标</w:t>
      </w:r>
      <w:r>
        <w:rPr>
          <w:rFonts w:hint="eastAsia" w:ascii="宋体" w:hAnsi="宋体" w:eastAsia="宋体" w:cs="宋体"/>
          <w:color w:val="000000" w:themeColor="text1"/>
          <w:sz w:val="24"/>
          <w:szCs w:val="24"/>
          <w:highlight w:val="none"/>
          <w14:textFill>
            <w14:solidFill>
              <w14:schemeClr w14:val="tx1"/>
            </w14:solidFill>
          </w14:textFill>
        </w:rPr>
        <w:t>会议开始，公布</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名单。</w:t>
      </w:r>
    </w:p>
    <w:p w14:paraId="27268AC6">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.4开启“</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w:t>
      </w:r>
      <w:r>
        <w:rPr>
          <w:rFonts w:hint="eastAsia" w:ascii="宋体" w:hAnsi="宋体" w:eastAsia="宋体" w:cs="宋体"/>
          <w:color w:val="000000" w:themeColor="text1"/>
          <w:sz w:val="24"/>
          <w:szCs w:val="24"/>
          <w:highlight w:val="none"/>
          <w14:textFill>
            <w14:solidFill>
              <w14:schemeClr w14:val="tx1"/>
            </w14:solidFill>
          </w14:textFill>
        </w:rPr>
        <w:t>文件解密”环节，</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在规定时间内进行解密。</w:t>
      </w:r>
    </w:p>
    <w:p w14:paraId="172B2291">
      <w:pPr>
        <w:spacing w:line="480" w:lineRule="exact"/>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.5</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投标文件解密完毕，公布投标报价，开启报价签字确认。</w:t>
      </w:r>
    </w:p>
    <w:p w14:paraId="1A7BDF4A">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6开标会议结束</w:t>
      </w:r>
      <w:r>
        <w:rPr>
          <w:rFonts w:hint="eastAsia" w:ascii="宋体" w:hAnsi="宋体" w:eastAsia="宋体" w:cs="宋体"/>
          <w:color w:val="000000" w:themeColor="text1"/>
          <w:sz w:val="24"/>
          <w:szCs w:val="24"/>
          <w:highlight w:val="none"/>
          <w14:textFill>
            <w14:solidFill>
              <w14:schemeClr w14:val="tx1"/>
            </w14:solidFill>
          </w14:textFill>
        </w:rPr>
        <w:t>。</w:t>
      </w:r>
    </w:p>
    <w:p w14:paraId="2801B4FA">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2</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1</w:t>
      </w:r>
      <w:r>
        <w:rPr>
          <w:rFonts w:hint="eastAsia" w:ascii="宋体" w:hAnsi="宋体" w:eastAsia="宋体" w:cs="宋体"/>
          <w:b/>
          <w:bCs/>
          <w:color w:val="000000" w:themeColor="text1"/>
          <w:sz w:val="24"/>
          <w:szCs w:val="24"/>
          <w:highlight w:val="none"/>
          <w14:textFill>
            <w14:solidFill>
              <w14:schemeClr w14:val="tx1"/>
            </w14:solidFill>
          </w14:textFill>
        </w:rPr>
        <w:t>.组建评标委员会</w:t>
      </w:r>
    </w:p>
    <w:p w14:paraId="287C0F6A">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.1公开招标采购项目开标结束后，</w:t>
      </w:r>
      <w:r>
        <w:rPr>
          <w:rFonts w:hint="eastAsia" w:ascii="宋体" w:hAnsi="宋体" w:eastAsia="宋体" w:cs="宋体"/>
          <w:color w:val="000000" w:themeColor="text1"/>
          <w:sz w:val="24"/>
          <w:szCs w:val="24"/>
          <w:highlight w:val="none"/>
          <w:lang w:val="en-US" w:eastAsia="zh-CN"/>
          <w14:textFill>
            <w14:solidFill>
              <w14:schemeClr w14:val="tx1"/>
            </w14:solidFill>
          </w14:textFill>
        </w:rPr>
        <w:t>采购人或采购人授权委托评标委员会对各投标人</w:t>
      </w:r>
      <w:r>
        <w:rPr>
          <w:rFonts w:hint="eastAsia" w:ascii="宋体" w:hAnsi="宋体" w:eastAsia="宋体" w:cs="宋体"/>
          <w:color w:val="000000" w:themeColor="text1"/>
          <w:sz w:val="24"/>
          <w:szCs w:val="24"/>
          <w:highlight w:val="none"/>
          <w14:textFill>
            <w14:solidFill>
              <w14:schemeClr w14:val="tx1"/>
            </w14:solidFill>
          </w14:textFill>
        </w:rPr>
        <w:t>依法对投标人的资格进行审查。合格投标人不足3家的，不得评标。</w:t>
      </w:r>
    </w:p>
    <w:p w14:paraId="2ABB264A">
      <w:pPr>
        <w:pStyle w:val="42"/>
        <w:spacing w:line="4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.2符合性审查。符合性审查是指依据招标文件的规定，从商务和技术角度对投标文件的有效性和完整性进行审查，以确定是否对招标文件的实质性要求做出响应。</w:t>
      </w:r>
    </w:p>
    <w:p w14:paraId="107932A7">
      <w:pPr>
        <w:pStyle w:val="42"/>
        <w:spacing w:line="4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.3评标委员会采用综合评分法对满足招标文件全部实质性要求的投标文件和投标报价进行综合评分。</w:t>
      </w:r>
    </w:p>
    <w:p w14:paraId="077F86C2">
      <w:pPr>
        <w:pStyle w:val="42"/>
        <w:spacing w:line="4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.4评标委员会根据综合评分情况，按照评标得分由高到低顺序推荐3名中标候选人，并编写评标报告。得分相同的，按投标报价由低到高顺序排列。得分且投标报价相同的，按照技术指标优劣顺序推荐。</w:t>
      </w:r>
    </w:p>
    <w:p w14:paraId="2E081D8A">
      <w:pPr>
        <w:pStyle w:val="42"/>
        <w:spacing w:line="4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.5采购代理机构在评标结果后2个工作日内将评标报告送采购人确认。</w:t>
      </w:r>
    </w:p>
    <w:p w14:paraId="7ECDE1E1">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bookmarkStart w:id="114" w:name="_Toc183582238"/>
      <w:bookmarkStart w:id="115" w:name="_Toc183682375"/>
      <w:bookmarkStart w:id="116" w:name="_Toc217446063"/>
      <w:r>
        <w:rPr>
          <w:rFonts w:hint="eastAsia" w:ascii="宋体" w:hAnsi="宋体" w:eastAsia="宋体" w:cs="宋体"/>
          <w:b/>
          <w:bCs/>
          <w:color w:val="000000" w:themeColor="text1"/>
          <w:sz w:val="24"/>
          <w:szCs w:val="24"/>
          <w:highlight w:val="none"/>
          <w14:textFill>
            <w14:solidFill>
              <w14:schemeClr w14:val="tx1"/>
            </w14:solidFill>
          </w14:textFill>
        </w:rPr>
        <w:t>2</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
          <w:bCs/>
          <w:color w:val="000000" w:themeColor="text1"/>
          <w:sz w:val="24"/>
          <w:szCs w:val="24"/>
          <w:highlight w:val="none"/>
          <w14:textFill>
            <w14:solidFill>
              <w14:schemeClr w14:val="tx1"/>
            </w14:solidFill>
          </w14:textFill>
        </w:rPr>
        <w:t>．中标通知</w:t>
      </w:r>
      <w:bookmarkEnd w:id="114"/>
      <w:bookmarkEnd w:id="115"/>
      <w:r>
        <w:rPr>
          <w:rFonts w:hint="eastAsia" w:ascii="宋体" w:hAnsi="宋体" w:eastAsia="宋体" w:cs="宋体"/>
          <w:b/>
          <w:bCs/>
          <w:color w:val="000000" w:themeColor="text1"/>
          <w:sz w:val="24"/>
          <w:szCs w:val="24"/>
          <w:highlight w:val="none"/>
          <w14:textFill>
            <w14:solidFill>
              <w14:schemeClr w14:val="tx1"/>
            </w14:solidFill>
          </w14:textFill>
        </w:rPr>
        <w:t>书</w:t>
      </w:r>
      <w:bookmarkEnd w:id="116"/>
    </w:p>
    <w:p w14:paraId="09269906">
      <w:pPr>
        <w:tabs>
          <w:tab w:val="left" w:pos="7665"/>
        </w:tabs>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
          <w:bCs/>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1 中标通知书为签订中标合同的依据，是合同的有效组成部分。</w:t>
      </w:r>
    </w:p>
    <w:p w14:paraId="27E38012">
      <w:pPr>
        <w:tabs>
          <w:tab w:val="left" w:pos="7665"/>
        </w:tabs>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.2 中标通知书对采购人和中标人均具有法律效力。中标通知书发出后，采购人改变中标结果，或者中标人无正当理由放弃中标的，应当承担相应的法律责任。</w:t>
      </w:r>
    </w:p>
    <w:p w14:paraId="1808B92E">
      <w:pPr>
        <w:tabs>
          <w:tab w:val="left" w:pos="7665"/>
        </w:tabs>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3中标人的投标文件本应作为无效投标处理或者有招投标法律法规规章制度规定的中标无效情形的，采购代理机构在取得有权主体的认定以后，应当宣布发出的中标通知书无效，并收回发出的中标通知书（中标人也应当缴回），依法重新确定中标人或者重新开展招标活动。</w:t>
      </w:r>
    </w:p>
    <w:p w14:paraId="5CF56C0A">
      <w:pPr>
        <w:pStyle w:val="4"/>
        <w:spacing w:before="156" w:after="156"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17" w:name="_Toc217446064"/>
      <w:bookmarkStart w:id="118" w:name="_Toc183682377"/>
      <w:bookmarkStart w:id="119" w:name="_Toc183582240"/>
      <w:r>
        <w:rPr>
          <w:rFonts w:hint="eastAsia" w:ascii="宋体" w:hAnsi="宋体" w:eastAsia="宋体" w:cs="宋体"/>
          <w:color w:val="000000" w:themeColor="text1"/>
          <w:sz w:val="24"/>
          <w:szCs w:val="24"/>
          <w:highlight w:val="none"/>
          <w14:textFill>
            <w14:solidFill>
              <w14:schemeClr w14:val="tx1"/>
            </w14:solidFill>
          </w14:textFill>
        </w:rPr>
        <w:t>六、签订及履行合同和验收</w:t>
      </w:r>
      <w:bookmarkEnd w:id="117"/>
    </w:p>
    <w:p w14:paraId="689A99CA">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bookmarkStart w:id="120" w:name="_Toc217446065"/>
      <w:r>
        <w:rPr>
          <w:rFonts w:hint="eastAsia" w:ascii="宋体" w:hAnsi="宋体" w:eastAsia="宋体" w:cs="宋体"/>
          <w:b/>
          <w:bCs/>
          <w:color w:val="000000" w:themeColor="text1"/>
          <w:sz w:val="24"/>
          <w:szCs w:val="24"/>
          <w:highlight w:val="none"/>
          <w14:textFill>
            <w14:solidFill>
              <w14:schemeClr w14:val="tx1"/>
            </w14:solidFill>
          </w14:textFill>
        </w:rPr>
        <w:t>2</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3</w:t>
      </w:r>
      <w:r>
        <w:rPr>
          <w:rFonts w:hint="eastAsia" w:ascii="宋体" w:hAnsi="宋体" w:eastAsia="宋体" w:cs="宋体"/>
          <w:b/>
          <w:bCs/>
          <w:color w:val="000000" w:themeColor="text1"/>
          <w:sz w:val="24"/>
          <w:szCs w:val="24"/>
          <w:highlight w:val="none"/>
          <w14:textFill>
            <w14:solidFill>
              <w14:schemeClr w14:val="tx1"/>
            </w14:solidFill>
          </w14:textFill>
        </w:rPr>
        <w:t>. 签订合同</w:t>
      </w:r>
      <w:bookmarkEnd w:id="120"/>
    </w:p>
    <w:p w14:paraId="79CE1079">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.1 中标人在收到采购人发出的《中标通知书》后，应在法律法规规定的时间内与采购人签订采购合同。由于中标人的原因逾期未与采购人签订采购合同的，将视为放弃中标，取消其中标资格并将按相关规定进行处理。</w:t>
      </w:r>
    </w:p>
    <w:p w14:paraId="361D8428">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.2 采购人不得向中标人提出任何不合理的要求，作为签订合同的条件，不得与中标人私下订立背离合同实质性内容的任何协议，所签订的合同不得对招标文件和中标人投标文件作实质性修改。</w:t>
      </w:r>
    </w:p>
    <w:p w14:paraId="5868525E">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.3 中标人因不可抗力原因不能履行招标合同或放弃中标的，采购人可以与排在中标人之后第一位的中标候选人签订采购合同，以此类推。</w:t>
      </w:r>
    </w:p>
    <w:p w14:paraId="395817CF">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.4 中标人在合同签订之后三个工作日内，将签订的合同（彩色扫描件）交至采购代理机构。</w:t>
      </w:r>
    </w:p>
    <w:p w14:paraId="7A8D0ECF">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bookmarkStart w:id="121" w:name="_Toc217446066"/>
      <w:r>
        <w:rPr>
          <w:rFonts w:hint="eastAsia" w:ascii="宋体" w:hAnsi="宋体" w:eastAsia="宋体" w:cs="宋体"/>
          <w:b/>
          <w:bCs/>
          <w:color w:val="000000" w:themeColor="text1"/>
          <w:sz w:val="24"/>
          <w:szCs w:val="24"/>
          <w:highlight w:val="none"/>
          <w14:textFill>
            <w14:solidFill>
              <w14:schemeClr w14:val="tx1"/>
            </w14:solidFill>
          </w14:textFill>
        </w:rPr>
        <w:t>2</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4</w:t>
      </w:r>
      <w:r>
        <w:rPr>
          <w:rFonts w:hint="eastAsia" w:ascii="宋体" w:hAnsi="宋体" w:eastAsia="宋体" w:cs="宋体"/>
          <w:b/>
          <w:bCs/>
          <w:color w:val="000000" w:themeColor="text1"/>
          <w:sz w:val="24"/>
          <w:szCs w:val="24"/>
          <w:highlight w:val="none"/>
          <w14:textFill>
            <w14:solidFill>
              <w14:schemeClr w14:val="tx1"/>
            </w14:solidFill>
          </w14:textFill>
        </w:rPr>
        <w:t>. 合同分包</w:t>
      </w:r>
      <w:bookmarkEnd w:id="121"/>
      <w:r>
        <w:rPr>
          <w:rFonts w:hint="eastAsia" w:ascii="宋体" w:hAnsi="宋体" w:eastAsia="宋体" w:cs="宋体"/>
          <w:b/>
          <w:bCs/>
          <w:color w:val="000000" w:themeColor="text1"/>
          <w:sz w:val="24"/>
          <w:szCs w:val="24"/>
          <w:highlight w:val="none"/>
          <w14:textFill>
            <w14:solidFill>
              <w14:schemeClr w14:val="tx1"/>
            </w14:solidFill>
          </w14:textFill>
        </w:rPr>
        <w:t>（如有）</w:t>
      </w:r>
    </w:p>
    <w:p w14:paraId="0F18FB47">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.1 若本项目允许分包的，经采购人同意，中标人可以依法采取分包方式履行合同。这种要求应当在合同签订之前征得采购人同意，并且分包人履行分包项目的服务及技术要求等，必须与中标的一致。</w:t>
      </w:r>
    </w:p>
    <w:p w14:paraId="3EC1DFB7">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.2 招标合同实行分包履行的，中标人就招标项目和分包项目向采购人负责，分包人就分包项目承担责任。</w:t>
      </w:r>
    </w:p>
    <w:p w14:paraId="0563B0E1">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bookmarkStart w:id="122" w:name="_Toc217446067"/>
      <w:r>
        <w:rPr>
          <w:rFonts w:hint="eastAsia" w:ascii="宋体" w:hAnsi="宋体" w:eastAsia="宋体" w:cs="宋体"/>
          <w:b/>
          <w:bCs/>
          <w:color w:val="000000" w:themeColor="text1"/>
          <w:sz w:val="24"/>
          <w:szCs w:val="24"/>
          <w:highlight w:val="none"/>
          <w14:textFill>
            <w14:solidFill>
              <w14:schemeClr w14:val="tx1"/>
            </w14:solidFill>
          </w14:textFill>
        </w:rPr>
        <w:t>2</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5</w:t>
      </w:r>
      <w:r>
        <w:rPr>
          <w:rFonts w:hint="eastAsia" w:ascii="宋体" w:hAnsi="宋体" w:eastAsia="宋体" w:cs="宋体"/>
          <w:b/>
          <w:bCs/>
          <w:color w:val="000000" w:themeColor="text1"/>
          <w:sz w:val="24"/>
          <w:szCs w:val="24"/>
          <w:highlight w:val="none"/>
          <w14:textFill>
            <w14:solidFill>
              <w14:schemeClr w14:val="tx1"/>
            </w14:solidFill>
          </w14:textFill>
        </w:rPr>
        <w:t>. 采购人增加合同标的权</w:t>
      </w:r>
      <w:bookmarkEnd w:id="122"/>
      <w:r>
        <w:rPr>
          <w:rFonts w:hint="eastAsia" w:ascii="宋体" w:hAnsi="宋体" w:eastAsia="宋体" w:cs="宋体"/>
          <w:b/>
          <w:bCs/>
          <w:color w:val="000000" w:themeColor="text1"/>
          <w:sz w:val="24"/>
          <w:szCs w:val="24"/>
          <w:highlight w:val="none"/>
          <w14:textFill>
            <w14:solidFill>
              <w14:schemeClr w14:val="tx1"/>
            </w14:solidFill>
          </w14:textFill>
        </w:rPr>
        <w:t>利</w:t>
      </w:r>
    </w:p>
    <w:p w14:paraId="278C5E14">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招标合同履行过程中，采购人需要追加与合同标的相同的货物或者服务的，在不改变合同其他条款的前提下，可以与中标投标人协商签订补充合同，但所有补充合同的招标金额不得超过原合同招标金额的百分之十。</w:t>
      </w:r>
    </w:p>
    <w:p w14:paraId="248DE854">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bookmarkStart w:id="123" w:name="_Toc217446068"/>
      <w:r>
        <w:rPr>
          <w:rFonts w:hint="eastAsia" w:ascii="宋体" w:hAnsi="宋体" w:eastAsia="宋体" w:cs="宋体"/>
          <w:b/>
          <w:bCs/>
          <w:color w:val="000000" w:themeColor="text1"/>
          <w:sz w:val="24"/>
          <w:szCs w:val="24"/>
          <w:highlight w:val="none"/>
          <w14:textFill>
            <w14:solidFill>
              <w14:schemeClr w14:val="tx1"/>
            </w14:solidFill>
          </w14:textFill>
        </w:rPr>
        <w:t>2</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6</w:t>
      </w:r>
      <w:r>
        <w:rPr>
          <w:rFonts w:hint="eastAsia" w:ascii="宋体" w:hAnsi="宋体" w:eastAsia="宋体" w:cs="宋体"/>
          <w:b/>
          <w:bCs/>
          <w:color w:val="000000" w:themeColor="text1"/>
          <w:sz w:val="24"/>
          <w:szCs w:val="24"/>
          <w:highlight w:val="none"/>
          <w14:textFill>
            <w14:solidFill>
              <w14:schemeClr w14:val="tx1"/>
            </w14:solidFill>
          </w14:textFill>
        </w:rPr>
        <w:t>. 履约保证金</w:t>
      </w:r>
      <w:bookmarkEnd w:id="123"/>
    </w:p>
    <w:p w14:paraId="71E2C230">
      <w:pPr>
        <w:spacing w:line="480" w:lineRule="exact"/>
        <w:ind w:firstLine="480" w:firstLineChars="200"/>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 xml:space="preserve">.1本项目无需缴纳履约保证金。 </w:t>
      </w:r>
    </w:p>
    <w:p w14:paraId="67F2ED6C">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bookmarkStart w:id="124" w:name="_Toc217446069"/>
      <w:r>
        <w:rPr>
          <w:rFonts w:hint="eastAsia" w:ascii="宋体" w:hAnsi="宋体" w:eastAsia="宋体" w:cs="宋体"/>
          <w:b/>
          <w:bCs/>
          <w:color w:val="000000" w:themeColor="text1"/>
          <w:sz w:val="24"/>
          <w:szCs w:val="24"/>
          <w:highlight w:val="none"/>
          <w14:textFill>
            <w14:solidFill>
              <w14:schemeClr w14:val="tx1"/>
            </w14:solidFill>
          </w14:textFill>
        </w:rPr>
        <w:t>2</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7</w:t>
      </w:r>
      <w:r>
        <w:rPr>
          <w:rFonts w:hint="eastAsia" w:ascii="宋体" w:hAnsi="宋体" w:eastAsia="宋体" w:cs="宋体"/>
          <w:b/>
          <w:bCs/>
          <w:color w:val="000000" w:themeColor="text1"/>
          <w:sz w:val="24"/>
          <w:szCs w:val="24"/>
          <w:highlight w:val="none"/>
          <w14:textFill>
            <w14:solidFill>
              <w14:schemeClr w14:val="tx1"/>
            </w14:solidFill>
          </w14:textFill>
        </w:rPr>
        <w:t>. 履行合同</w:t>
      </w:r>
      <w:bookmarkEnd w:id="124"/>
    </w:p>
    <w:p w14:paraId="4375122C">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.1 中标人与采购人签订合同后，合同双方应严格执行合同条款，履行合同规定的义务，保证合同的顺利完成。</w:t>
      </w:r>
    </w:p>
    <w:p w14:paraId="6988D54F">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.2 在合同履行过程中，如发生合同纠纷，合同双方应按照《中华人民共和国民法典》的有关规定进行处理。</w:t>
      </w:r>
    </w:p>
    <w:p w14:paraId="555473EF">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bookmarkStart w:id="125" w:name="_Toc217446070"/>
      <w:r>
        <w:rPr>
          <w:rFonts w:hint="eastAsia" w:ascii="宋体" w:hAnsi="宋体" w:eastAsia="宋体" w:cs="宋体"/>
          <w:b/>
          <w:bCs/>
          <w:color w:val="000000" w:themeColor="text1"/>
          <w:sz w:val="24"/>
          <w:szCs w:val="24"/>
          <w:highlight w:val="none"/>
          <w14:textFill>
            <w14:solidFill>
              <w14:schemeClr w14:val="tx1"/>
            </w14:solidFill>
          </w14:textFill>
        </w:rPr>
        <w:t>2</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8</w:t>
      </w:r>
      <w:r>
        <w:rPr>
          <w:rFonts w:hint="eastAsia" w:ascii="宋体" w:hAnsi="宋体" w:eastAsia="宋体" w:cs="宋体"/>
          <w:b/>
          <w:bCs/>
          <w:color w:val="000000" w:themeColor="text1"/>
          <w:sz w:val="24"/>
          <w:szCs w:val="24"/>
          <w:highlight w:val="none"/>
          <w14:textFill>
            <w14:solidFill>
              <w14:schemeClr w14:val="tx1"/>
            </w14:solidFill>
          </w14:textFill>
        </w:rPr>
        <w:t>. 验收</w:t>
      </w:r>
      <w:bookmarkEnd w:id="125"/>
    </w:p>
    <w:p w14:paraId="075B2D09">
      <w:pPr>
        <w:pStyle w:val="7"/>
        <w:spacing w:line="480" w:lineRule="exact"/>
        <w:ind w:firstLine="480"/>
        <w:rPr>
          <w:rFonts w:hint="eastAsia" w:ascii="宋体" w:hAnsi="宋体" w:eastAsia="宋体" w:cs="宋体"/>
          <w:color w:val="000000" w:themeColor="text1"/>
          <w:sz w:val="24"/>
          <w:szCs w:val="24"/>
          <w:highlight w:val="none"/>
          <w14:textFill>
            <w14:solidFill>
              <w14:schemeClr w14:val="tx1"/>
            </w14:solidFill>
          </w14:textFill>
        </w:rPr>
      </w:pPr>
      <w:bookmarkStart w:id="126" w:name="_Toc217446071"/>
      <w:r>
        <w:rPr>
          <w:rFonts w:hint="eastAsia" w:ascii="宋体" w:hAnsi="宋体" w:eastAsia="宋体" w:cs="宋体"/>
          <w:color w:val="000000" w:themeColor="text1"/>
          <w:sz w:val="24"/>
          <w:szCs w:val="24"/>
          <w:highlight w:val="none"/>
          <w14:textFill>
            <w14:solidFill>
              <w14:schemeClr w14:val="tx1"/>
            </w14:solidFill>
          </w14:textFill>
        </w:rPr>
        <w:t>采购人应严格按照国家财政部《关于进一步加强政府采购需求和履约验收管理的指导意见》（</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财库〔2016〕205号</w:t>
      </w:r>
      <w:r>
        <w:rPr>
          <w:rFonts w:hint="eastAsia" w:ascii="宋体" w:hAnsi="宋体" w:eastAsia="宋体" w:cs="宋体"/>
          <w:color w:val="000000" w:themeColor="text1"/>
          <w:sz w:val="24"/>
          <w:szCs w:val="24"/>
          <w:highlight w:val="none"/>
          <w14:textFill>
            <w14:solidFill>
              <w14:schemeClr w14:val="tx1"/>
            </w14:solidFill>
          </w14:textFill>
        </w:rPr>
        <w:t>）的要求</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i w:val="0"/>
          <w:iCs w:val="0"/>
          <w:caps w:val="0"/>
          <w:color w:val="000000" w:themeColor="text1"/>
          <w:spacing w:val="0"/>
          <w:sz w:val="24"/>
          <w:szCs w:val="24"/>
          <w:highlight w:val="none"/>
          <w:shd w:val="clear" w:fill="FFFFFF"/>
          <w14:textFill>
            <w14:solidFill>
              <w14:schemeClr w14:val="tx1"/>
            </w14:solidFill>
          </w14:textFill>
        </w:rPr>
        <w:t>根据采购项目的具体情况，自行组织项目验收或者委托采购代理机构邀请实际使用人</w:t>
      </w:r>
      <w:r>
        <w:rPr>
          <w:rFonts w:hint="eastAsia" w:ascii="宋体" w:hAnsi="宋体" w:eastAsia="宋体" w:cs="宋体"/>
          <w:i w:val="0"/>
          <w:iCs w:val="0"/>
          <w:caps w:val="0"/>
          <w:color w:val="000000" w:themeColor="text1"/>
          <w:spacing w:val="0"/>
          <w:sz w:val="24"/>
          <w:szCs w:val="24"/>
          <w:highlight w:val="none"/>
          <w:shd w:val="clear" w:fill="FFFFFF"/>
          <w:lang w:eastAsia="zh-CN"/>
          <w14:textFill>
            <w14:solidFill>
              <w14:schemeClr w14:val="tx1"/>
            </w14:solidFill>
          </w14:textFill>
        </w:rPr>
        <w:t>、</w:t>
      </w:r>
      <w:r>
        <w:rPr>
          <w:rFonts w:hint="eastAsia" w:ascii="宋体" w:hAnsi="宋体" w:eastAsia="宋体" w:cs="宋体"/>
          <w:i w:val="0"/>
          <w:iCs w:val="0"/>
          <w:caps w:val="0"/>
          <w:color w:val="000000" w:themeColor="text1"/>
          <w:spacing w:val="0"/>
          <w:sz w:val="24"/>
          <w:szCs w:val="24"/>
          <w:highlight w:val="none"/>
          <w:shd w:val="clear" w:fill="FFFFFF"/>
          <w14:textFill>
            <w14:solidFill>
              <w14:schemeClr w14:val="tx1"/>
            </w14:solidFill>
          </w14:textFill>
        </w:rPr>
        <w:t>参加本项目的其他</w:t>
      </w:r>
      <w:r>
        <w:rPr>
          <w:rFonts w:hint="eastAsia" w:ascii="宋体" w:hAnsi="宋体" w:eastAsia="宋体" w:cs="宋体"/>
          <w:i w:val="0"/>
          <w:iCs w:val="0"/>
          <w:caps w:val="0"/>
          <w:color w:val="000000" w:themeColor="text1"/>
          <w:spacing w:val="0"/>
          <w:sz w:val="24"/>
          <w:szCs w:val="24"/>
          <w:highlight w:val="none"/>
          <w:shd w:val="clear" w:fill="FFFFFF"/>
          <w:lang w:eastAsia="zh-CN"/>
          <w14:textFill>
            <w14:solidFill>
              <w14:schemeClr w14:val="tx1"/>
            </w14:solidFill>
          </w14:textFill>
        </w:rPr>
        <w:t>投标人</w:t>
      </w:r>
      <w:r>
        <w:rPr>
          <w:rFonts w:hint="eastAsia" w:ascii="宋体" w:hAnsi="宋体" w:eastAsia="宋体" w:cs="宋体"/>
          <w:i w:val="0"/>
          <w:iCs w:val="0"/>
          <w:caps w:val="0"/>
          <w:color w:val="000000" w:themeColor="text1"/>
          <w:spacing w:val="0"/>
          <w:sz w:val="24"/>
          <w:szCs w:val="24"/>
          <w:highlight w:val="none"/>
          <w:shd w:val="clear" w:fill="FFFFFF"/>
          <w14:textFill>
            <w14:solidFill>
              <w14:schemeClr w14:val="tx1"/>
            </w14:solidFill>
          </w14:textFill>
        </w:rPr>
        <w:t>或第三方专业机构及专家</w:t>
      </w:r>
      <w:r>
        <w:rPr>
          <w:rFonts w:hint="eastAsia" w:ascii="宋体" w:hAnsi="宋体" w:eastAsia="宋体" w:cs="宋体"/>
          <w:color w:val="000000" w:themeColor="text1"/>
          <w:sz w:val="24"/>
          <w:szCs w:val="24"/>
          <w:highlight w:val="none"/>
          <w14:textFill>
            <w14:solidFill>
              <w14:schemeClr w14:val="tx1"/>
            </w14:solidFill>
          </w14:textFill>
        </w:rPr>
        <w:t>进行验收。</w:t>
      </w:r>
    </w:p>
    <w:bookmarkEnd w:id="118"/>
    <w:bookmarkEnd w:id="119"/>
    <w:bookmarkEnd w:id="126"/>
    <w:p w14:paraId="6853947D">
      <w:pPr>
        <w:pStyle w:val="4"/>
        <w:spacing w:before="156" w:after="156"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27" w:name="_Toc217446074"/>
      <w:r>
        <w:rPr>
          <w:rFonts w:hint="eastAsia" w:ascii="宋体" w:hAnsi="宋体" w:eastAsia="宋体" w:cs="宋体"/>
          <w:color w:val="000000" w:themeColor="text1"/>
          <w:sz w:val="24"/>
          <w:szCs w:val="24"/>
          <w:highlight w:val="none"/>
          <w14:textFill>
            <w14:solidFill>
              <w14:schemeClr w14:val="tx1"/>
            </w14:solidFill>
          </w14:textFill>
        </w:rPr>
        <w:t>七、投标纪律要求</w:t>
      </w:r>
      <w:bookmarkEnd w:id="127"/>
    </w:p>
    <w:p w14:paraId="4EED21DA">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28" w:name="_Toc217446075"/>
      <w:r>
        <w:rPr>
          <w:rFonts w:hint="eastAsia" w:ascii="宋体" w:hAnsi="宋体" w:eastAsia="宋体" w:cs="宋体"/>
          <w:color w:val="000000" w:themeColor="text1"/>
          <w:sz w:val="24"/>
          <w:szCs w:val="24"/>
          <w:highlight w:val="none"/>
          <w:lang w:val="en-US" w:eastAsia="zh-CN"/>
          <w14:textFill>
            <w14:solidFill>
              <w14:schemeClr w14:val="tx1"/>
            </w14:solidFill>
          </w14:textFill>
        </w:rPr>
        <w:t>29</w:t>
      </w:r>
      <w:r>
        <w:rPr>
          <w:rFonts w:hint="eastAsia" w:ascii="宋体" w:hAnsi="宋体" w:eastAsia="宋体" w:cs="宋体"/>
          <w:color w:val="000000" w:themeColor="text1"/>
          <w:sz w:val="24"/>
          <w:szCs w:val="24"/>
          <w:highlight w:val="none"/>
          <w14:textFill>
            <w14:solidFill>
              <w14:schemeClr w14:val="tx1"/>
            </w14:solidFill>
          </w14:textFill>
        </w:rPr>
        <w:t>. 投标人不得具有的情形</w:t>
      </w:r>
      <w:bookmarkEnd w:id="128"/>
    </w:p>
    <w:p w14:paraId="0EF40E13">
      <w:pPr>
        <w:pStyle w:val="7"/>
        <w:spacing w:line="480" w:lineRule="exact"/>
        <w:ind w:firstLine="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投标人参加投标不得有下列情形：</w:t>
      </w:r>
    </w:p>
    <w:p w14:paraId="0398E2C5">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（1）提供虚假材料谋取中标；</w:t>
      </w:r>
    </w:p>
    <w:p w14:paraId="0350B3E4">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（2）采取不正当手段诋毁、排挤其他投标人；</w:t>
      </w:r>
    </w:p>
    <w:p w14:paraId="7CA75F56">
      <w:pPr>
        <w:spacing w:line="4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（3）与采购人、其他投标人恶意串通；</w:t>
      </w:r>
    </w:p>
    <w:p w14:paraId="3B9A4A5D">
      <w:pPr>
        <w:pStyle w:val="7"/>
        <w:spacing w:line="480" w:lineRule="exact"/>
        <w:ind w:firstLine="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（4）向采购人、评标委员会成员行贿或者提供其他不正当利益；</w:t>
      </w:r>
    </w:p>
    <w:p w14:paraId="2A8CC003">
      <w:pPr>
        <w:pStyle w:val="7"/>
        <w:spacing w:line="480" w:lineRule="exact"/>
        <w:ind w:firstLine="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（5）在招标过程中与采购人进行协商谈判；</w:t>
      </w:r>
    </w:p>
    <w:p w14:paraId="029526D9">
      <w:pPr>
        <w:pStyle w:val="7"/>
        <w:spacing w:line="480" w:lineRule="exact"/>
        <w:ind w:firstLine="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（6）拒绝有关部门的监督检查或者向监督检查部门提供虚假情况。</w:t>
      </w:r>
    </w:p>
    <w:p w14:paraId="0A2EB480">
      <w:pPr>
        <w:pStyle w:val="7"/>
        <w:spacing w:line="480" w:lineRule="exact"/>
        <w:ind w:firstLine="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有上述情形之一的投标人，属于不合格投标人，其投标或中标资格将被取消。</w:t>
      </w:r>
    </w:p>
    <w:p w14:paraId="51104DB7">
      <w:pPr>
        <w:pStyle w:val="4"/>
        <w:spacing w:before="156" w:after="156" w:line="480" w:lineRule="exact"/>
        <w:ind w:firstLine="480" w:firstLineChars="200"/>
        <w:rPr>
          <w:rFonts w:hint="eastAsia" w:ascii="宋体" w:hAnsi="宋体" w:eastAsia="宋体" w:cs="宋体"/>
          <w:b w:val="0"/>
          <w:bCs w:val="0"/>
          <w:color w:val="000000" w:themeColor="text1"/>
          <w:sz w:val="24"/>
          <w:szCs w:val="24"/>
          <w:highlight w:val="none"/>
          <w14:textFill>
            <w14:solidFill>
              <w14:schemeClr w14:val="tx1"/>
            </w14:solidFill>
          </w14:textFill>
        </w:rPr>
      </w:pPr>
      <w:bookmarkStart w:id="129" w:name="_Toc217446076"/>
      <w:r>
        <w:rPr>
          <w:rFonts w:hint="eastAsia" w:ascii="宋体" w:hAnsi="宋体" w:eastAsia="宋体" w:cs="宋体"/>
          <w:color w:val="000000" w:themeColor="text1"/>
          <w:sz w:val="24"/>
          <w:szCs w:val="24"/>
          <w:highlight w:val="none"/>
          <w14:textFill>
            <w14:solidFill>
              <w14:schemeClr w14:val="tx1"/>
            </w14:solidFill>
          </w14:textFill>
        </w:rPr>
        <w:t>八、</w:t>
      </w:r>
      <w:bookmarkEnd w:id="129"/>
      <w:r>
        <w:rPr>
          <w:rFonts w:hint="eastAsia" w:ascii="宋体" w:hAnsi="宋体" w:eastAsia="宋体" w:cs="宋体"/>
          <w:color w:val="000000" w:themeColor="text1"/>
          <w:sz w:val="24"/>
          <w:szCs w:val="24"/>
          <w:highlight w:val="none"/>
          <w14:textFill>
            <w14:solidFill>
              <w14:schemeClr w14:val="tx1"/>
            </w14:solidFill>
          </w14:textFill>
        </w:rPr>
        <w:t>合同价款支付</w:t>
      </w:r>
    </w:p>
    <w:p w14:paraId="3AB13724">
      <w:pPr>
        <w:spacing w:line="480" w:lineRule="exact"/>
        <w:ind w:firstLine="482" w:firstLineChars="200"/>
        <w:rPr>
          <w:rFonts w:hint="eastAsia" w:ascii="宋体" w:hAnsi="宋体" w:eastAsia="宋体" w:cs="宋体"/>
          <w:b/>
          <w:bCs/>
          <w:color w:val="000000" w:themeColor="text1"/>
          <w:sz w:val="24"/>
          <w:szCs w:val="24"/>
          <w:highlight w:val="none"/>
          <w14:textFill>
            <w14:solidFill>
              <w14:schemeClr w14:val="tx1"/>
            </w14:solidFill>
          </w14:textFill>
        </w:rPr>
      </w:pPr>
      <w:bookmarkStart w:id="130" w:name="_Toc217446077"/>
      <w:r>
        <w:rPr>
          <w:rFonts w:hint="eastAsia" w:ascii="宋体" w:hAnsi="宋体" w:eastAsia="宋体" w:cs="宋体"/>
          <w:b/>
          <w:bCs/>
          <w:color w:val="000000" w:themeColor="text1"/>
          <w:sz w:val="24"/>
          <w:szCs w:val="24"/>
          <w:highlight w:val="none"/>
          <w14:textFill>
            <w14:solidFill>
              <w14:schemeClr w14:val="tx1"/>
            </w14:solidFill>
          </w14:textFill>
        </w:rPr>
        <w:t>3</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0</w:t>
      </w:r>
      <w:r>
        <w:rPr>
          <w:rFonts w:hint="eastAsia" w:ascii="宋体" w:hAnsi="宋体" w:eastAsia="宋体" w:cs="宋体"/>
          <w:b/>
          <w:bCs/>
          <w:color w:val="000000" w:themeColor="text1"/>
          <w:sz w:val="24"/>
          <w:szCs w:val="24"/>
          <w:highlight w:val="none"/>
          <w14:textFill>
            <w14:solidFill>
              <w14:schemeClr w14:val="tx1"/>
            </w14:solidFill>
          </w14:textFill>
        </w:rPr>
        <w:t>. 申请支付</w:t>
      </w:r>
      <w:bookmarkEnd w:id="130"/>
    </w:p>
    <w:p w14:paraId="3B597F7B">
      <w:pPr>
        <w:pStyle w:val="7"/>
        <w:spacing w:line="480" w:lineRule="exact"/>
        <w:ind w:firstLine="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.1招标项目验收合格，采购人签署《验收结算书》后，向财政部门提出支付申请。采购人的自有资金，由采购人直接支付给中标人或者按照有关合同规定执行。</w:t>
      </w:r>
    </w:p>
    <w:p w14:paraId="38565134">
      <w:pPr>
        <w:pStyle w:val="7"/>
        <w:spacing w:line="480" w:lineRule="exact"/>
        <w:ind w:firstLine="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14:textFill>
            <w14:solidFill>
              <w14:schemeClr w14:val="tx1"/>
            </w14:solidFill>
          </w14:textFill>
        </w:rPr>
        <w:t>.2 财政部门根据采购人的支付申请，并对采购合同进行审核后，直接支付给中标人。</w:t>
      </w:r>
    </w:p>
    <w:p w14:paraId="0883F52A">
      <w:pPr>
        <w:pStyle w:val="4"/>
        <w:pageBreakBefore w:val="0"/>
        <w:widowControl w:val="0"/>
        <w:kinsoku/>
        <w:wordWrap/>
        <w:overflowPunct/>
        <w:topLinePunct w:val="0"/>
        <w:autoSpaceDE/>
        <w:autoSpaceDN/>
        <w:bidi w:val="0"/>
        <w:adjustRightInd/>
        <w:spacing w:before="156" w:after="156" w:line="480" w:lineRule="exact"/>
        <w:ind w:firstLine="482" w:firstLineChars="200"/>
        <w:jc w:val="center"/>
        <w:textAlignment w:val="auto"/>
        <w:rPr>
          <w:rFonts w:hint="eastAsia" w:ascii="宋体" w:hAnsi="宋体" w:eastAsia="宋体" w:cs="宋体"/>
          <w:b/>
          <w:bCs w:val="0"/>
          <w:color w:val="000000" w:themeColor="text1"/>
          <w:sz w:val="24"/>
          <w:szCs w:val="24"/>
          <w:highlight w:val="none"/>
          <w14:textFill>
            <w14:solidFill>
              <w14:schemeClr w14:val="tx1"/>
            </w14:solidFill>
          </w14:textFill>
        </w:rPr>
      </w:pPr>
      <w:r>
        <w:rPr>
          <w:rFonts w:hint="eastAsia" w:ascii="宋体" w:hAnsi="宋体" w:eastAsia="宋体" w:cs="宋体"/>
          <w:b/>
          <w:bCs w:val="0"/>
          <w:color w:val="000000" w:themeColor="text1"/>
          <w:sz w:val="24"/>
          <w:szCs w:val="24"/>
          <w:highlight w:val="none"/>
          <w14:textFill>
            <w14:solidFill>
              <w14:schemeClr w14:val="tx1"/>
            </w14:solidFill>
          </w14:textFill>
        </w:rPr>
        <w:t>九、质疑和投诉</w:t>
      </w:r>
      <w:bookmarkEnd w:id="111"/>
      <w:bookmarkStart w:id="131" w:name="_Toc217446079"/>
    </w:p>
    <w:bookmarkEnd w:id="131"/>
    <w:p w14:paraId="275CD736">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31</w:t>
      </w:r>
      <w:r>
        <w:rPr>
          <w:rFonts w:hint="eastAsia" w:ascii="宋体" w:hAnsi="宋体" w:eastAsia="宋体" w:cs="宋体"/>
          <w:color w:val="000000" w:themeColor="text1"/>
          <w:sz w:val="24"/>
          <w:szCs w:val="24"/>
          <w:highlight w:val="none"/>
          <w14:textFill>
            <w14:solidFill>
              <w14:schemeClr w14:val="tx1"/>
            </w14:solidFill>
          </w14:textFill>
        </w:rPr>
        <w:t>．质疑、投诉的接收和处理严格按照《中华人共和国政府采购法</w:t>
      </w:r>
      <w:bookmarkEnd w:id="112"/>
      <w:bookmarkEnd w:id="113"/>
      <w:r>
        <w:rPr>
          <w:rFonts w:hint="eastAsia" w:ascii="宋体" w:hAnsi="宋体" w:eastAsia="宋体" w:cs="宋体"/>
          <w:color w:val="000000" w:themeColor="text1"/>
          <w:sz w:val="24"/>
          <w:szCs w:val="24"/>
          <w:highlight w:val="none"/>
          <w14:textFill>
            <w14:solidFill>
              <w14:schemeClr w14:val="tx1"/>
            </w14:solidFill>
          </w14:textFill>
        </w:rPr>
        <w:t>》、《政府采购质疑和投诉办法》、《财政部关于加强政府采购投标人投诉受理审查工作的通知》的规定办理。</w:t>
      </w:r>
    </w:p>
    <w:p w14:paraId="1E64E059">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shd w:val="clear" w:color="auto" w:fill="FFFFFF"/>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.1投标人认为</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采购过程和中标、成交结果使自己的权益受到损害的，可以在知道或者应知其权益受到损害之日起七个工作日内，以书面形式向采购人提出质疑。针对同一采购环节的质疑应一次性提出，提出质疑的投标人应当是参与所质疑项目招标活动的投标人。</w:t>
      </w:r>
    </w:p>
    <w:p w14:paraId="4A7738D7">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.2潜在投标人已依法获取其可质疑的</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的，可以对该文件提出质疑。对</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提出质疑的，应当在获取</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或者</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公告期限届满之日起7个工作日内提出。</w:t>
      </w:r>
    </w:p>
    <w:p w14:paraId="7E0433C2">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3投标人可以委托代理人进行质疑和投诉。其授权委托书应当载明代理人的姓名或者名称、代理事项、具体权限、期限和相关事项。投标人为自然人的，应当由本人签字；投标人为法人或者其他组织的，应当由法定代表人、主要负责人签字或者</w:t>
      </w:r>
      <w:r>
        <w:rPr>
          <w:rFonts w:hint="eastAsia" w:ascii="宋体" w:hAnsi="宋体" w:eastAsia="宋体" w:cs="宋体"/>
          <w:color w:val="000000" w:themeColor="text1"/>
          <w:sz w:val="24"/>
          <w:szCs w:val="24"/>
          <w:highlight w:val="none"/>
          <w:lang w:eastAsia="zh-CN"/>
          <w14:textFill>
            <w14:solidFill>
              <w14:schemeClr w14:val="tx1"/>
            </w14:solidFill>
          </w14:textFill>
        </w:rPr>
        <w:t>盖公章</w:t>
      </w:r>
      <w:r>
        <w:rPr>
          <w:rFonts w:hint="eastAsia" w:ascii="宋体" w:hAnsi="宋体" w:eastAsia="宋体" w:cs="宋体"/>
          <w:color w:val="000000" w:themeColor="text1"/>
          <w:sz w:val="24"/>
          <w:szCs w:val="24"/>
          <w:highlight w:val="none"/>
          <w14:textFill>
            <w14:solidFill>
              <w14:schemeClr w14:val="tx1"/>
            </w14:solidFill>
          </w14:textFill>
        </w:rPr>
        <w:t>，并加盖公章。</w:t>
      </w:r>
    </w:p>
    <w:p w14:paraId="32AA1F81">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代理人提出质疑和投诉，应当提交投标人签署的授权委托书。</w:t>
      </w:r>
    </w:p>
    <w:p w14:paraId="07CE4441">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.4投标人提出质疑应当提交质疑函和必要的证明材料。质疑函应当包括下列内容：</w:t>
      </w:r>
    </w:p>
    <w:p w14:paraId="401A7C0A">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（一）投标人的姓名或者名称、地址、邮编、联系人及联系电话；</w:t>
      </w:r>
    </w:p>
    <w:p w14:paraId="56F309FE">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（二）质疑项目的名称、编号；</w:t>
      </w:r>
    </w:p>
    <w:p w14:paraId="21014638">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（三）具体、明确的质疑事项和与质疑事项相关的请求；</w:t>
      </w:r>
    </w:p>
    <w:p w14:paraId="54989A6F">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（四）事实依据；</w:t>
      </w:r>
    </w:p>
    <w:p w14:paraId="737D5283">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（五）必要的法律依据；</w:t>
      </w:r>
    </w:p>
    <w:p w14:paraId="79706797">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（六）提出质疑的日期。</w:t>
      </w:r>
    </w:p>
    <w:p w14:paraId="0E9FA72C">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投标人为自然人的，应当由本人签字；投标人为法人或者其他组织的，应当由法定代表人、主要负责人或者其被授权人</w:t>
      </w:r>
      <w:r>
        <w:rPr>
          <w:rFonts w:hint="eastAsia" w:ascii="宋体" w:hAnsi="宋体" w:eastAsia="宋体" w:cs="宋体"/>
          <w:color w:val="000000" w:themeColor="text1"/>
          <w:sz w:val="24"/>
          <w:szCs w:val="24"/>
          <w:highlight w:val="none"/>
          <w:lang w:eastAsia="zh-CN"/>
          <w14:textFill>
            <w14:solidFill>
              <w14:schemeClr w14:val="tx1"/>
            </w14:solidFill>
          </w14:textFill>
        </w:rPr>
        <w:t>签字或盖名章</w:t>
      </w:r>
      <w:r>
        <w:rPr>
          <w:rFonts w:hint="eastAsia" w:ascii="宋体" w:hAnsi="宋体" w:eastAsia="宋体" w:cs="宋体"/>
          <w:color w:val="000000" w:themeColor="text1"/>
          <w:sz w:val="24"/>
          <w:szCs w:val="24"/>
          <w:highlight w:val="none"/>
          <w14:textFill>
            <w14:solidFill>
              <w14:schemeClr w14:val="tx1"/>
            </w14:solidFill>
          </w14:textFill>
        </w:rPr>
        <w:t>，并加盖公章。</w:t>
      </w:r>
    </w:p>
    <w:p w14:paraId="4F3FD434">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接收质疑函的方式：书面形式</w:t>
      </w:r>
    </w:p>
    <w:p w14:paraId="7DD5AB91">
      <w:pPr>
        <w:pStyle w:val="7"/>
        <w:pageBreakBefore w:val="0"/>
        <w:widowControl w:val="0"/>
        <w:kinsoku/>
        <w:wordWrap/>
        <w:overflowPunct/>
        <w:topLinePunct w:val="0"/>
        <w:autoSpaceDE/>
        <w:autoSpaceDN/>
        <w:bidi w:val="0"/>
        <w:adjustRightInd/>
        <w:spacing w:line="480" w:lineRule="exact"/>
        <w:ind w:firstLine="48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联系部门：新疆拓源工程管理咨询有限公司</w:t>
      </w:r>
    </w:p>
    <w:p w14:paraId="6B38BEAE">
      <w:pPr>
        <w:pStyle w:val="7"/>
        <w:pageBreakBefore w:val="0"/>
        <w:widowControl w:val="0"/>
        <w:kinsoku/>
        <w:wordWrap/>
        <w:overflowPunct/>
        <w:topLinePunct w:val="0"/>
        <w:autoSpaceDE/>
        <w:autoSpaceDN/>
        <w:bidi w:val="0"/>
        <w:adjustRightInd/>
        <w:spacing w:line="480" w:lineRule="exact"/>
        <w:ind w:firstLine="480"/>
        <w:textAlignment w:val="auto"/>
        <w:rPr>
          <w:rStyle w:val="37"/>
          <w:rFonts w:hint="eastAsia" w:ascii="宋体" w:hAnsi="宋体" w:eastAsia="宋体" w:cs="宋体"/>
          <w:bCs/>
          <w:color w:val="000000" w:themeColor="text1"/>
          <w:sz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联系人及联系电话：</w:t>
      </w:r>
      <w:r>
        <w:rPr>
          <w:rFonts w:hint="eastAsia" w:ascii="宋体" w:hAnsi="宋体" w:eastAsia="宋体" w:cs="宋体"/>
          <w:color w:val="000000" w:themeColor="text1"/>
          <w:sz w:val="24"/>
          <w:szCs w:val="24"/>
          <w:highlight w:val="none"/>
          <w:lang w:val="en-US" w:eastAsia="zh-CN"/>
          <w14:textFill>
            <w14:solidFill>
              <w14:schemeClr w14:val="tx1"/>
            </w14:solidFill>
          </w14:textFill>
        </w:rPr>
        <w:t>杨工  15199586230、19999795598</w:t>
      </w:r>
    </w:p>
    <w:p w14:paraId="02BA47AD">
      <w:pPr>
        <w:pStyle w:val="7"/>
        <w:pageBreakBefore w:val="0"/>
        <w:widowControl w:val="0"/>
        <w:kinsoku/>
        <w:wordWrap/>
        <w:overflowPunct/>
        <w:topLinePunct w:val="0"/>
        <w:autoSpaceDE/>
        <w:autoSpaceDN/>
        <w:bidi w:val="0"/>
        <w:adjustRightInd/>
        <w:spacing w:line="480" w:lineRule="exact"/>
        <w:ind w:firstLine="48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通讯地址：</w:t>
      </w:r>
      <w:r>
        <w:rPr>
          <w:rFonts w:hint="eastAsia" w:ascii="宋体" w:hAnsi="宋体" w:eastAsia="宋体" w:cs="宋体"/>
          <w:color w:val="000000" w:themeColor="text1"/>
          <w:sz w:val="24"/>
          <w:szCs w:val="24"/>
          <w:highlight w:val="none"/>
          <w:lang w:eastAsia="zh-CN"/>
          <w14:textFill>
            <w14:solidFill>
              <w14:schemeClr w14:val="tx1"/>
            </w14:solidFill>
          </w14:textFill>
        </w:rPr>
        <w:t>沙湾市广场西路</w:t>
      </w:r>
      <w:r>
        <w:rPr>
          <w:rFonts w:hint="eastAsia" w:ascii="宋体" w:hAnsi="宋体" w:eastAsia="宋体" w:cs="宋体"/>
          <w:color w:val="000000" w:themeColor="text1"/>
          <w:sz w:val="24"/>
          <w:szCs w:val="24"/>
          <w:highlight w:val="none"/>
          <w:lang w:val="en-US" w:eastAsia="zh-CN"/>
          <w14:textFill>
            <w14:solidFill>
              <w14:schemeClr w14:val="tx1"/>
            </w14:solidFill>
          </w14:textFill>
        </w:rPr>
        <w:t>1号</w:t>
      </w:r>
    </w:p>
    <w:p w14:paraId="0B180D09">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.5质疑投标人对采购人、采购代理机构的答复不满意，或者采购人、采购代理机构未在规定时间内作出答复的，可以在答复期满后15个工作日内向本办法第六条规定的财政部门提起投诉。</w:t>
      </w:r>
    </w:p>
    <w:p w14:paraId="0616CE73">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.6投诉人投诉时，应当提交投诉书和必要的证明材料，并按照被投诉采购人、采购代理机构（以下简称被投诉人）和与投诉事项有关的投标人数量提供投诉书的副本。投诉书应当包括下列内容：</w:t>
      </w:r>
    </w:p>
    <w:p w14:paraId="01A34B79">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（一）投诉人和被投诉人的姓名或者名称、通讯地址、邮编、联系人及联系电话；</w:t>
      </w:r>
    </w:p>
    <w:p w14:paraId="3A1A0A0E">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（二）质疑和质疑答复情况说明及相关证明材料；</w:t>
      </w:r>
    </w:p>
    <w:p w14:paraId="73D6AC92">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（三）具体、明确的投诉事项和与投诉事项相关的投诉请求；</w:t>
      </w:r>
    </w:p>
    <w:p w14:paraId="1CD679D8">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（四）事实依据；</w:t>
      </w:r>
    </w:p>
    <w:p w14:paraId="3AAD4949">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（五）法律依据；</w:t>
      </w:r>
    </w:p>
    <w:p w14:paraId="0F07AE25">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（六）提起投诉的日期。</w:t>
      </w:r>
    </w:p>
    <w:p w14:paraId="5EC00E29">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投诉人为自然人的，应当由本人签字；投诉人为法人或者其他组织的，应当由法定代表人、主要负责人，或者其授权代表签字或者</w:t>
      </w:r>
      <w:r>
        <w:rPr>
          <w:rFonts w:hint="eastAsia" w:ascii="宋体" w:hAnsi="宋体" w:eastAsia="宋体" w:cs="宋体"/>
          <w:color w:val="000000" w:themeColor="text1"/>
          <w:sz w:val="24"/>
          <w:szCs w:val="24"/>
          <w:highlight w:val="none"/>
          <w:lang w:eastAsia="zh-CN"/>
          <w14:textFill>
            <w14:solidFill>
              <w14:schemeClr w14:val="tx1"/>
            </w14:solidFill>
          </w14:textFill>
        </w:rPr>
        <w:t>盖公章</w:t>
      </w:r>
      <w:r>
        <w:rPr>
          <w:rFonts w:hint="eastAsia" w:ascii="宋体" w:hAnsi="宋体" w:eastAsia="宋体" w:cs="宋体"/>
          <w:color w:val="000000" w:themeColor="text1"/>
          <w:sz w:val="24"/>
          <w:szCs w:val="24"/>
          <w:highlight w:val="none"/>
          <w14:textFill>
            <w14:solidFill>
              <w14:schemeClr w14:val="tx1"/>
            </w14:solidFill>
          </w14:textFill>
        </w:rPr>
        <w:t>，并加盖公章。</w:t>
      </w:r>
    </w:p>
    <w:p w14:paraId="2F5E3006">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.7投诉人应当根据《政府采购质疑和投诉办法》第七条第二款规定的信息内容，并按照其规定的方式提起投诉。</w:t>
      </w:r>
    </w:p>
    <w:p w14:paraId="76A54DFD">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投诉人提起投诉应当符合下列条件：</w:t>
      </w:r>
    </w:p>
    <w:p w14:paraId="5C618A24">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（一）提起投诉前已依法进行质疑；</w:t>
      </w:r>
    </w:p>
    <w:p w14:paraId="4791789E">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（二）投诉书内容符合本办法的规定；</w:t>
      </w:r>
    </w:p>
    <w:p w14:paraId="3D910A44">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（三）在投诉有效期限内提起投诉；</w:t>
      </w:r>
    </w:p>
    <w:p w14:paraId="081B6093">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（四）同一投诉事项未经财政部门投诉处理；</w:t>
      </w:r>
    </w:p>
    <w:p w14:paraId="3993F37C">
      <w:pPr>
        <w:pStyle w:val="15"/>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（五）财政部规定的其他条件。</w:t>
      </w:r>
    </w:p>
    <w:p w14:paraId="6721315B">
      <w:pPr>
        <w:pStyle w:val="28"/>
        <w:rPr>
          <w:rFonts w:hint="eastAsia" w:ascii="宋体" w:hAnsi="宋体" w:eastAsia="宋体" w:cs="宋体"/>
          <w:color w:val="000000" w:themeColor="text1"/>
          <w:sz w:val="24"/>
          <w:szCs w:val="24"/>
          <w:highlight w:val="none"/>
          <w14:textFill>
            <w14:solidFill>
              <w14:schemeClr w14:val="tx1"/>
            </w14:solidFill>
          </w14:textFill>
        </w:rPr>
      </w:pPr>
    </w:p>
    <w:p w14:paraId="450D65E3">
      <w:pPr>
        <w:spacing w:line="500" w:lineRule="exact"/>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br w:type="page"/>
      </w:r>
      <w:r>
        <w:rPr>
          <w:rFonts w:hint="eastAsia" w:ascii="宋体" w:hAnsi="宋体" w:eastAsia="宋体" w:cs="宋体"/>
          <w:b/>
          <w:bCs/>
          <w:color w:val="000000" w:themeColor="text1"/>
          <w:sz w:val="24"/>
          <w:szCs w:val="24"/>
          <w:highlight w:val="none"/>
          <w14:textFill>
            <w14:solidFill>
              <w14:schemeClr w14:val="tx1"/>
            </w14:solidFill>
          </w14:textFill>
        </w:rPr>
        <w:t>质疑函范本</w:t>
      </w:r>
    </w:p>
    <w:p w14:paraId="5C5C3C69">
      <w:pPr>
        <w:adjustRightInd w:val="0"/>
        <w:snapToGrid w:val="0"/>
        <w:spacing w:line="500" w:lineRule="exact"/>
        <w:ind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一、质疑</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投标人</w:t>
      </w:r>
      <w:r>
        <w:rPr>
          <w:rFonts w:hint="eastAsia" w:ascii="宋体" w:hAnsi="宋体" w:eastAsia="宋体" w:cs="宋体"/>
          <w:bCs/>
          <w:color w:val="000000" w:themeColor="text1"/>
          <w:sz w:val="24"/>
          <w:szCs w:val="24"/>
          <w:highlight w:val="none"/>
          <w14:textFill>
            <w14:solidFill>
              <w14:schemeClr w14:val="tx1"/>
            </w14:solidFill>
          </w14:textFill>
        </w:rPr>
        <w:t>基本信息</w:t>
      </w:r>
    </w:p>
    <w:p w14:paraId="1949FA22">
      <w:pPr>
        <w:adjustRightInd w:val="0"/>
        <w:snapToGrid w:val="0"/>
        <w:spacing w:line="500" w:lineRule="exact"/>
        <w:ind w:firstLine="480" w:firstLineChars="200"/>
        <w:rPr>
          <w:rFonts w:hint="eastAsia" w:ascii="宋体" w:hAnsi="宋体" w:eastAsia="宋体" w:cs="宋体"/>
          <w:color w:val="000000" w:themeColor="text1"/>
          <w:sz w:val="24"/>
          <w:szCs w:val="24"/>
          <w:highlight w:val="none"/>
          <w:u w:val="dotted"/>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质疑</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14:paraId="36A31F9A">
      <w:pPr>
        <w:adjustRightInd w:val="0"/>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地址：</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邮编：</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14:paraId="3CAF2814">
      <w:pPr>
        <w:adjustRightInd w:val="0"/>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联系电话：</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14:paraId="3BAFE664">
      <w:pPr>
        <w:adjustRightInd w:val="0"/>
        <w:snapToGrid w:val="0"/>
        <w:spacing w:line="500" w:lineRule="exact"/>
        <w:ind w:firstLine="480" w:firstLineChars="200"/>
        <w:rPr>
          <w:rFonts w:hint="eastAsia" w:ascii="宋体" w:hAnsi="宋体" w:eastAsia="宋体" w:cs="宋体"/>
          <w:color w:val="000000" w:themeColor="text1"/>
          <w:sz w:val="24"/>
          <w:szCs w:val="24"/>
          <w:highlight w:val="none"/>
          <w:u w:val="dotted"/>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被授权人：</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14:paraId="6C0A6007">
      <w:pPr>
        <w:adjustRightInd w:val="0"/>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联系电话：</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11D44908">
      <w:pPr>
        <w:adjustRightInd w:val="0"/>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地址： </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邮编：</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14:paraId="2D02872E">
      <w:pPr>
        <w:adjustRightInd w:val="0"/>
        <w:snapToGrid w:val="0"/>
        <w:spacing w:line="500" w:lineRule="exact"/>
        <w:ind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二、质疑项目基本情况</w:t>
      </w:r>
    </w:p>
    <w:p w14:paraId="67534A05">
      <w:pPr>
        <w:adjustRightInd w:val="0"/>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质疑项目的名称：</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14:paraId="32098D19">
      <w:pPr>
        <w:adjustRightInd w:val="0"/>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质疑项目的编号：</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包号：</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14:paraId="240CCCC0">
      <w:pPr>
        <w:adjustRightInd w:val="0"/>
        <w:snapToGrid w:val="0"/>
        <w:spacing w:line="500" w:lineRule="exact"/>
        <w:ind w:firstLine="480" w:firstLineChars="200"/>
        <w:rPr>
          <w:rFonts w:hint="eastAsia" w:ascii="宋体" w:hAnsi="宋体" w:eastAsia="宋体" w:cs="宋体"/>
          <w:color w:val="000000" w:themeColor="text1"/>
          <w:sz w:val="24"/>
          <w:szCs w:val="24"/>
          <w:highlight w:val="none"/>
          <w:u w:val="dotted"/>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采购人名称：</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14:paraId="789DC88F">
      <w:pPr>
        <w:adjustRightInd w:val="0"/>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获取日期：</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14:paraId="479C7697">
      <w:pPr>
        <w:adjustRightInd w:val="0"/>
        <w:snapToGrid w:val="0"/>
        <w:spacing w:line="500" w:lineRule="exact"/>
        <w:ind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三、质疑事项具体内容</w:t>
      </w:r>
    </w:p>
    <w:p w14:paraId="09BF0FD3">
      <w:pPr>
        <w:adjustRightInd w:val="0"/>
        <w:snapToGrid w:val="0"/>
        <w:spacing w:line="500" w:lineRule="exact"/>
        <w:ind w:firstLine="480" w:firstLineChars="200"/>
        <w:rPr>
          <w:rFonts w:hint="eastAsia" w:ascii="宋体" w:hAnsi="宋体" w:eastAsia="宋体" w:cs="宋体"/>
          <w:color w:val="000000" w:themeColor="text1"/>
          <w:sz w:val="24"/>
          <w:szCs w:val="24"/>
          <w:highlight w:val="none"/>
          <w:u w:val="dotted"/>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质疑事项1：</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14:paraId="33EB7AF3">
      <w:pPr>
        <w:adjustRightInd w:val="0"/>
        <w:snapToGrid w:val="0"/>
        <w:spacing w:line="500" w:lineRule="exact"/>
        <w:ind w:firstLine="480" w:firstLineChars="200"/>
        <w:rPr>
          <w:rFonts w:hint="eastAsia" w:ascii="宋体" w:hAnsi="宋体" w:eastAsia="宋体" w:cs="宋体"/>
          <w:color w:val="000000" w:themeColor="text1"/>
          <w:sz w:val="24"/>
          <w:szCs w:val="24"/>
          <w:highlight w:val="none"/>
          <w:u w:val="dotted"/>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事实依据：</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14:paraId="74B13F63">
      <w:pPr>
        <w:adjustRightInd w:val="0"/>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14:paraId="0ED51F2A">
      <w:pPr>
        <w:adjustRightInd w:val="0"/>
        <w:snapToGrid w:val="0"/>
        <w:spacing w:line="500" w:lineRule="exact"/>
        <w:ind w:firstLine="480" w:firstLineChars="200"/>
        <w:rPr>
          <w:rFonts w:hint="eastAsia" w:ascii="宋体" w:hAnsi="宋体" w:eastAsia="宋体" w:cs="宋体"/>
          <w:color w:val="000000" w:themeColor="text1"/>
          <w:sz w:val="24"/>
          <w:szCs w:val="24"/>
          <w:highlight w:val="none"/>
          <w:u w:val="dotted"/>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法律依据：</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14:paraId="188BA468">
      <w:pPr>
        <w:adjustRightInd w:val="0"/>
        <w:snapToGrid w:val="0"/>
        <w:spacing w:line="500" w:lineRule="exact"/>
        <w:ind w:firstLine="480" w:firstLineChars="200"/>
        <w:rPr>
          <w:rFonts w:hint="eastAsia" w:ascii="宋体" w:hAnsi="宋体" w:eastAsia="宋体" w:cs="宋体"/>
          <w:color w:val="000000" w:themeColor="text1"/>
          <w:sz w:val="24"/>
          <w:szCs w:val="24"/>
          <w:highlight w:val="none"/>
          <w:u w:val="dotted"/>
          <w14:textFill>
            <w14:solidFill>
              <w14:schemeClr w14:val="tx1"/>
            </w14:solidFill>
          </w14:textFill>
        </w:rPr>
      </w:pP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14:paraId="336BC717">
      <w:pPr>
        <w:adjustRightInd w:val="0"/>
        <w:snapToGrid w:val="0"/>
        <w:spacing w:line="500" w:lineRule="exact"/>
        <w:ind w:firstLine="480" w:firstLineChars="200"/>
        <w:rPr>
          <w:rFonts w:hint="eastAsia" w:ascii="宋体" w:hAnsi="宋体" w:eastAsia="宋体" w:cs="宋体"/>
          <w:color w:val="000000" w:themeColor="text1"/>
          <w:sz w:val="24"/>
          <w:szCs w:val="24"/>
          <w:highlight w:val="none"/>
          <w:u w:val="dotted"/>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质疑事项2</w:t>
      </w:r>
    </w:p>
    <w:p w14:paraId="19AED6B5">
      <w:pPr>
        <w:adjustRightInd w:val="0"/>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p>
    <w:p w14:paraId="57E024AC">
      <w:pPr>
        <w:adjustRightInd w:val="0"/>
        <w:snapToGrid w:val="0"/>
        <w:spacing w:line="500" w:lineRule="exact"/>
        <w:ind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四、与质疑事项相关的质疑请求</w:t>
      </w:r>
    </w:p>
    <w:p w14:paraId="16BAAEFA">
      <w:pPr>
        <w:adjustRightInd w:val="0"/>
        <w:snapToGrid w:val="0"/>
        <w:spacing w:line="500" w:lineRule="exact"/>
        <w:ind w:firstLine="480" w:firstLineChars="200"/>
        <w:rPr>
          <w:rFonts w:hint="eastAsia" w:ascii="宋体" w:hAnsi="宋体" w:eastAsia="宋体" w:cs="宋体"/>
          <w:color w:val="000000" w:themeColor="text1"/>
          <w:sz w:val="24"/>
          <w:szCs w:val="24"/>
          <w:highlight w:val="none"/>
          <w:u w:val="dotted"/>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请求：</w:t>
      </w:r>
      <w:r>
        <w:rPr>
          <w:rFonts w:hint="eastAsia" w:ascii="宋体" w:hAnsi="宋体" w:eastAsia="宋体" w:cs="宋体"/>
          <w:color w:val="000000" w:themeColor="text1"/>
          <w:sz w:val="24"/>
          <w:szCs w:val="24"/>
          <w:highlight w:val="none"/>
          <w:u w:val="dotted"/>
          <w14:textFill>
            <w14:solidFill>
              <w14:schemeClr w14:val="tx1"/>
            </w14:solidFill>
          </w14:textFill>
        </w:rPr>
        <w:t xml:space="preserve">                                               </w:t>
      </w:r>
    </w:p>
    <w:p w14:paraId="1334B437">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签字(签章)：                   公章：                      </w:t>
      </w:r>
    </w:p>
    <w:p w14:paraId="59C6F739">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日期：    </w:t>
      </w:r>
    </w:p>
    <w:p w14:paraId="77F3F1D5">
      <w:pPr>
        <w:adjustRightInd w:val="0"/>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0050CFE3">
      <w:pPr>
        <w:spacing w:line="500" w:lineRule="exact"/>
        <w:ind w:firstLine="482" w:firstLineChars="200"/>
        <w:jc w:val="center"/>
        <w:rPr>
          <w:rFonts w:hint="eastAsia" w:ascii="宋体" w:hAnsi="宋体" w:eastAsia="宋体" w:cs="宋体"/>
          <w:b/>
          <w:bCs/>
          <w:color w:val="000000" w:themeColor="text1"/>
          <w:sz w:val="24"/>
          <w:szCs w:val="24"/>
          <w:highlight w:val="none"/>
          <w14:textFill>
            <w14:solidFill>
              <w14:schemeClr w14:val="tx1"/>
            </w14:solidFill>
          </w14:textFill>
        </w:rPr>
      </w:pPr>
    </w:p>
    <w:p w14:paraId="60EEDCB6">
      <w:pPr>
        <w:spacing w:line="500" w:lineRule="exact"/>
        <w:ind w:firstLine="482" w:firstLineChars="200"/>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质疑函制作说明：</w:t>
      </w:r>
    </w:p>
    <w:p w14:paraId="4711F6E5">
      <w:pPr>
        <w:widowControl/>
        <w:spacing w:line="50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提出质疑时，应提交质疑函和必要的证明材料。</w:t>
      </w:r>
    </w:p>
    <w:p w14:paraId="266E3B9D">
      <w:pPr>
        <w:widowControl/>
        <w:spacing w:line="50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2.质疑</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若委托代理人进行质疑的，质疑函应按要求列明“被授权人”的有关内容，并在附件中提交由质疑</w:t>
      </w:r>
      <w:r>
        <w:rPr>
          <w:rFonts w:hint="eastAsia" w:ascii="宋体" w:hAnsi="宋体" w:eastAsia="宋体" w:cs="宋体"/>
          <w:color w:val="000000" w:themeColor="text1"/>
          <w:kern w:val="0"/>
          <w:sz w:val="24"/>
          <w:szCs w:val="24"/>
          <w:highlight w:val="none"/>
          <w14:textFill>
            <w14:solidFill>
              <w14:schemeClr w14:val="tx1"/>
            </w14:solidFill>
          </w14:textFill>
        </w:rPr>
        <w:t>投标人签署的授权委托书。授权委托书应载明代理人的姓名或者名称、代理事项、具体权限、期限和相关事项。</w:t>
      </w:r>
    </w:p>
    <w:p w14:paraId="23D8B9C7">
      <w:pPr>
        <w:widowControl/>
        <w:spacing w:line="50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3.质疑</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若对项目的某一分包进行质疑，质疑函中应列明具体分包号。</w:t>
      </w:r>
    </w:p>
    <w:p w14:paraId="18506E23">
      <w:pPr>
        <w:widowControl/>
        <w:spacing w:line="50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4.质疑函的质疑事项应具体、明确，并有必要的事实依据和法律依据。</w:t>
      </w:r>
    </w:p>
    <w:p w14:paraId="6125CDD3">
      <w:pPr>
        <w:widowControl/>
        <w:spacing w:line="50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5.质疑函的质疑请求应与质疑事项相关。</w:t>
      </w:r>
    </w:p>
    <w:p w14:paraId="74DBF818">
      <w:pPr>
        <w:widowControl/>
        <w:spacing w:line="50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6.质疑</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为自然人的，质疑函应由本人签字；质疑</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为法人或者其他组织的，质疑函应由法定代表人、主要负责人或者其被授权人签字或者</w:t>
      </w:r>
      <w:r>
        <w:rPr>
          <w:rFonts w:hint="eastAsia" w:ascii="宋体" w:hAnsi="宋体" w:eastAsia="宋体" w:cs="宋体"/>
          <w:color w:val="000000" w:themeColor="text1"/>
          <w:sz w:val="24"/>
          <w:szCs w:val="24"/>
          <w:highlight w:val="none"/>
          <w:lang w:eastAsia="zh-CN"/>
          <w14:textFill>
            <w14:solidFill>
              <w14:schemeClr w14:val="tx1"/>
            </w14:solidFill>
          </w14:textFill>
        </w:rPr>
        <w:t>盖公章</w:t>
      </w:r>
      <w:r>
        <w:rPr>
          <w:rFonts w:hint="eastAsia" w:ascii="宋体" w:hAnsi="宋体" w:eastAsia="宋体" w:cs="宋体"/>
          <w:color w:val="000000" w:themeColor="text1"/>
          <w:sz w:val="24"/>
          <w:szCs w:val="24"/>
          <w:highlight w:val="none"/>
          <w14:textFill>
            <w14:solidFill>
              <w14:schemeClr w14:val="tx1"/>
            </w14:solidFill>
          </w14:textFill>
        </w:rPr>
        <w:t>，并加盖公章。</w:t>
      </w:r>
    </w:p>
    <w:p w14:paraId="39BFA653">
      <w:pPr>
        <w:pStyle w:val="28"/>
        <w:rPr>
          <w:rFonts w:hint="eastAsia" w:ascii="宋体" w:hAnsi="宋体" w:eastAsia="宋体" w:cs="宋体"/>
          <w:color w:val="000000" w:themeColor="text1"/>
          <w:sz w:val="24"/>
          <w:szCs w:val="24"/>
          <w:highlight w:val="none"/>
          <w14:textFill>
            <w14:solidFill>
              <w14:schemeClr w14:val="tx1"/>
            </w14:solidFill>
          </w14:textFill>
        </w:rPr>
      </w:pPr>
    </w:p>
    <w:p w14:paraId="6610B6E6">
      <w:pPr>
        <w:pStyle w:val="28"/>
        <w:rPr>
          <w:rFonts w:hint="eastAsia" w:ascii="宋体" w:hAnsi="宋体" w:eastAsia="宋体" w:cs="宋体"/>
          <w:color w:val="000000" w:themeColor="text1"/>
          <w:sz w:val="24"/>
          <w:szCs w:val="24"/>
          <w:highlight w:val="none"/>
          <w14:textFill>
            <w14:solidFill>
              <w14:schemeClr w14:val="tx1"/>
            </w14:solidFill>
          </w14:textFill>
        </w:rPr>
      </w:pPr>
    </w:p>
    <w:p w14:paraId="1F2EE072">
      <w:pPr>
        <w:pStyle w:val="7"/>
        <w:spacing w:line="500" w:lineRule="exact"/>
        <w:ind w:firstLine="480"/>
        <w:rPr>
          <w:rFonts w:hint="eastAsia" w:ascii="宋体" w:hAnsi="宋体" w:eastAsia="宋体" w:cs="宋体"/>
          <w:color w:val="000000" w:themeColor="text1"/>
          <w:sz w:val="24"/>
          <w:szCs w:val="24"/>
          <w:highlight w:val="none"/>
          <w14:textFill>
            <w14:solidFill>
              <w14:schemeClr w14:val="tx1"/>
            </w14:solidFill>
          </w14:textFill>
        </w:rPr>
      </w:pPr>
    </w:p>
    <w:p w14:paraId="403B0633">
      <w:pPr>
        <w:spacing w:after="340" w:line="460" w:lineRule="exact"/>
        <w:jc w:val="center"/>
        <w:outlineLvl w:val="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br w:type="page"/>
      </w:r>
      <w:bookmarkStart w:id="132" w:name="_Toc21780"/>
      <w:bookmarkStart w:id="133" w:name="_Toc5850_WPSOffice_Level1"/>
      <w:r>
        <w:rPr>
          <w:rFonts w:hint="eastAsia" w:ascii="宋体" w:hAnsi="宋体" w:eastAsia="宋体" w:cs="宋体"/>
          <w:b/>
          <w:bCs/>
          <w:color w:val="000000" w:themeColor="text1"/>
          <w:sz w:val="24"/>
          <w:szCs w:val="24"/>
          <w:highlight w:val="none"/>
          <w14:textFill>
            <w14:solidFill>
              <w14:schemeClr w14:val="tx1"/>
            </w14:solidFill>
          </w14:textFill>
        </w:rPr>
        <w:t>第三章  投标文件格式</w:t>
      </w:r>
      <w:bookmarkEnd w:id="132"/>
      <w:bookmarkEnd w:id="133"/>
    </w:p>
    <w:p w14:paraId="766F75B7">
      <w:pPr>
        <w:spacing w:line="460" w:lineRule="exact"/>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投标文件封面示例</w:t>
      </w:r>
    </w:p>
    <w:p w14:paraId="500CEAAE">
      <w:pPr>
        <w:spacing w:line="460" w:lineRule="exact"/>
        <w:rPr>
          <w:rFonts w:hint="eastAsia" w:ascii="宋体" w:hAnsi="宋体" w:eastAsia="宋体" w:cs="宋体"/>
          <w:b/>
          <w:color w:val="000000" w:themeColor="text1"/>
          <w:sz w:val="24"/>
          <w:szCs w:val="24"/>
          <w:highlight w:val="none"/>
          <w14:textFill>
            <w14:solidFill>
              <w14:schemeClr w14:val="tx1"/>
            </w14:solidFill>
          </w14:textFill>
        </w:rPr>
      </w:pPr>
    </w:p>
    <w:p w14:paraId="30881066">
      <w:pPr>
        <w:spacing w:line="460" w:lineRule="exact"/>
        <w:jc w:val="center"/>
        <w:rPr>
          <w:rFonts w:hint="eastAsia" w:ascii="宋体" w:hAnsi="宋体" w:eastAsia="宋体" w:cs="宋体"/>
          <w:b/>
          <w:color w:val="000000" w:themeColor="text1"/>
          <w:sz w:val="24"/>
          <w:szCs w:val="24"/>
          <w:highlight w:val="none"/>
          <w14:textFill>
            <w14:solidFill>
              <w14:schemeClr w14:val="tx1"/>
            </w14:solidFill>
          </w14:textFill>
        </w:rPr>
      </w:pPr>
    </w:p>
    <w:p w14:paraId="733163FD">
      <w:pPr>
        <w:spacing w:line="460" w:lineRule="exact"/>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投标文件</w:t>
      </w:r>
    </w:p>
    <w:p w14:paraId="20BB9CD7">
      <w:pPr>
        <w:spacing w:line="460" w:lineRule="exact"/>
        <w:rPr>
          <w:rFonts w:hint="eastAsia" w:ascii="宋体" w:hAnsi="宋体" w:eastAsia="宋体" w:cs="宋体"/>
          <w:b/>
          <w:color w:val="000000" w:themeColor="text1"/>
          <w:sz w:val="24"/>
          <w:szCs w:val="24"/>
          <w:highlight w:val="none"/>
          <w14:textFill>
            <w14:solidFill>
              <w14:schemeClr w14:val="tx1"/>
            </w14:solidFill>
          </w14:textFill>
        </w:rPr>
      </w:pPr>
    </w:p>
    <w:p w14:paraId="58BB0F43">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p>
    <w:p w14:paraId="30F8F04D">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p>
    <w:p w14:paraId="4ADC98F4">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p>
    <w:p w14:paraId="0AB9E387">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p>
    <w:p w14:paraId="3411C25F">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p>
    <w:p w14:paraId="5BE17F4F">
      <w:pPr>
        <w:spacing w:line="460" w:lineRule="exact"/>
        <w:rPr>
          <w:rFonts w:hint="eastAsia" w:ascii="宋体" w:hAnsi="宋体" w:eastAsia="宋体" w:cs="宋体"/>
          <w:b/>
          <w:color w:val="000000" w:themeColor="text1"/>
          <w:sz w:val="24"/>
          <w:szCs w:val="24"/>
          <w:highlight w:val="none"/>
          <w14:textFill>
            <w14:solidFill>
              <w14:schemeClr w14:val="tx1"/>
            </w14:solidFill>
          </w14:textFill>
        </w:rPr>
      </w:pPr>
    </w:p>
    <w:p w14:paraId="285F306B">
      <w:pPr>
        <w:spacing w:line="460" w:lineRule="exact"/>
        <w:ind w:firstLine="482" w:firstLineChars="200"/>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项目名称：</w:t>
      </w:r>
    </w:p>
    <w:p w14:paraId="2D920349">
      <w:pPr>
        <w:pStyle w:val="28"/>
        <w:rPr>
          <w:rFonts w:hint="eastAsia" w:ascii="宋体" w:hAnsi="宋体" w:eastAsia="宋体" w:cs="宋体"/>
          <w:color w:val="000000" w:themeColor="text1"/>
          <w:sz w:val="24"/>
          <w:szCs w:val="24"/>
          <w:highlight w:val="none"/>
          <w14:textFill>
            <w14:solidFill>
              <w14:schemeClr w14:val="tx1"/>
            </w14:solidFill>
          </w14:textFill>
        </w:rPr>
      </w:pPr>
    </w:p>
    <w:p w14:paraId="47174016">
      <w:pPr>
        <w:spacing w:line="460" w:lineRule="exact"/>
        <w:ind w:firstLine="482" w:firstLineChars="200"/>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项目编号：</w:t>
      </w:r>
    </w:p>
    <w:p w14:paraId="26B3C026">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 xml:space="preserve">            </w:t>
      </w:r>
    </w:p>
    <w:p w14:paraId="3EB92D8D">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投标人名称（</w:t>
      </w:r>
      <w:r>
        <w:rPr>
          <w:rFonts w:hint="eastAsia" w:ascii="宋体" w:hAnsi="宋体" w:eastAsia="宋体" w:cs="宋体"/>
          <w:b/>
          <w:color w:val="000000" w:themeColor="text1"/>
          <w:sz w:val="24"/>
          <w:szCs w:val="24"/>
          <w:highlight w:val="none"/>
          <w:lang w:eastAsia="zh-CN"/>
          <w14:textFill>
            <w14:solidFill>
              <w14:schemeClr w14:val="tx1"/>
            </w14:solidFill>
          </w14:textFill>
        </w:rPr>
        <w:t>盖公章</w:t>
      </w:r>
      <w:r>
        <w:rPr>
          <w:rFonts w:hint="eastAsia" w:ascii="宋体" w:hAnsi="宋体" w:eastAsia="宋体" w:cs="宋体"/>
          <w:b/>
          <w:color w:val="000000" w:themeColor="text1"/>
          <w:sz w:val="24"/>
          <w:szCs w:val="24"/>
          <w:highlight w:val="none"/>
          <w14:textFill>
            <w14:solidFill>
              <w14:schemeClr w14:val="tx1"/>
            </w14:solidFill>
          </w14:textFill>
        </w:rPr>
        <w:t>）：</w:t>
      </w:r>
    </w:p>
    <w:p w14:paraId="2F6623D9">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p>
    <w:p w14:paraId="53E046A8">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被授权人（</w:t>
      </w:r>
      <w:r>
        <w:rPr>
          <w:rFonts w:hint="eastAsia" w:ascii="宋体" w:hAnsi="宋体" w:eastAsia="宋体" w:cs="宋体"/>
          <w:b/>
          <w:color w:val="000000" w:themeColor="text1"/>
          <w:sz w:val="24"/>
          <w:szCs w:val="24"/>
          <w:highlight w:val="none"/>
          <w:lang w:eastAsia="zh-CN"/>
          <w14:textFill>
            <w14:solidFill>
              <w14:schemeClr w14:val="tx1"/>
            </w14:solidFill>
          </w14:textFill>
        </w:rPr>
        <w:t>签字或盖名章</w:t>
      </w:r>
      <w:r>
        <w:rPr>
          <w:rFonts w:hint="eastAsia" w:ascii="宋体" w:hAnsi="宋体" w:eastAsia="宋体" w:cs="宋体"/>
          <w:b/>
          <w:color w:val="000000" w:themeColor="text1"/>
          <w:sz w:val="24"/>
          <w:szCs w:val="24"/>
          <w:highlight w:val="none"/>
          <w14:textFill>
            <w14:solidFill>
              <w14:schemeClr w14:val="tx1"/>
            </w14:solidFill>
          </w14:textFill>
        </w:rPr>
        <w:t>）：</w:t>
      </w:r>
    </w:p>
    <w:p w14:paraId="6C28EA93">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p>
    <w:p w14:paraId="7886D687">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 xml:space="preserve">项目联系人： </w:t>
      </w:r>
    </w:p>
    <w:p w14:paraId="6B6C9286">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p>
    <w:p w14:paraId="2B24C0DB">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联系电话：</w:t>
      </w:r>
    </w:p>
    <w:p w14:paraId="63319236">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p>
    <w:p w14:paraId="09C7D986">
      <w:pPr>
        <w:spacing w:line="460" w:lineRule="exact"/>
        <w:ind w:firstLine="504"/>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编制时间：</w:t>
      </w:r>
    </w:p>
    <w:p w14:paraId="13171D51">
      <w:pPr>
        <w:spacing w:line="460" w:lineRule="exact"/>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br w:type="page"/>
      </w:r>
      <w:r>
        <w:rPr>
          <w:rFonts w:hint="eastAsia" w:ascii="宋体" w:hAnsi="宋体" w:eastAsia="宋体" w:cs="宋体"/>
          <w:b/>
          <w:bCs/>
          <w:color w:val="000000" w:themeColor="text1"/>
          <w:sz w:val="24"/>
          <w:szCs w:val="24"/>
          <w:highlight w:val="none"/>
          <w14:textFill>
            <w14:solidFill>
              <w14:schemeClr w14:val="tx1"/>
            </w14:solidFill>
          </w14:textFill>
        </w:rPr>
        <w:t>目录</w:t>
      </w:r>
    </w:p>
    <w:p w14:paraId="6E115B0F">
      <w:pPr>
        <w:tabs>
          <w:tab w:val="left" w:pos="3480"/>
        </w:tabs>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34" w:name="_Toc217446082"/>
    </w:p>
    <w:p w14:paraId="13EBD643">
      <w:pPr>
        <w:tabs>
          <w:tab w:val="left" w:pos="3480"/>
        </w:tabs>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一、投标函</w:t>
      </w:r>
    </w:p>
    <w:p w14:paraId="3E233136">
      <w:pPr>
        <w:tabs>
          <w:tab w:val="left" w:pos="3480"/>
        </w:tabs>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二、身份证明书及授权委托书</w:t>
      </w:r>
    </w:p>
    <w:p w14:paraId="02EF8D56">
      <w:pPr>
        <w:tabs>
          <w:tab w:val="left" w:pos="3480"/>
        </w:tabs>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三、投标报价明细表</w:t>
      </w:r>
    </w:p>
    <w:p w14:paraId="5734D610">
      <w:pPr>
        <w:tabs>
          <w:tab w:val="left" w:pos="3480"/>
        </w:tabs>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四、投标人基本情况表</w:t>
      </w:r>
    </w:p>
    <w:p w14:paraId="1567FBE3">
      <w:pPr>
        <w:tabs>
          <w:tab w:val="left" w:pos="3480"/>
        </w:tabs>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五、投标人类似项目业绩一览表</w:t>
      </w:r>
    </w:p>
    <w:p w14:paraId="2CFAAFD0">
      <w:pPr>
        <w:tabs>
          <w:tab w:val="left" w:pos="3480"/>
        </w:tabs>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六、商务、</w:t>
      </w:r>
      <w:r>
        <w:rPr>
          <w:rFonts w:hint="eastAsia" w:ascii="宋体" w:hAnsi="宋体" w:eastAsia="宋体" w:cs="宋体"/>
          <w:color w:val="000000" w:themeColor="text1"/>
          <w:sz w:val="24"/>
          <w:szCs w:val="24"/>
          <w:highlight w:val="none"/>
          <w:lang w:eastAsia="zh-CN"/>
          <w14:textFill>
            <w14:solidFill>
              <w14:schemeClr w14:val="tx1"/>
            </w14:solidFill>
          </w14:textFill>
        </w:rPr>
        <w:t>技术</w:t>
      </w:r>
      <w:r>
        <w:rPr>
          <w:rFonts w:hint="eastAsia" w:ascii="宋体" w:hAnsi="宋体" w:eastAsia="宋体" w:cs="宋体"/>
          <w:color w:val="000000" w:themeColor="text1"/>
          <w:sz w:val="24"/>
          <w:szCs w:val="24"/>
          <w:highlight w:val="none"/>
          <w14:textFill>
            <w14:solidFill>
              <w14:schemeClr w14:val="tx1"/>
            </w14:solidFill>
          </w14:textFill>
        </w:rPr>
        <w:t>需求偏离表</w:t>
      </w:r>
    </w:p>
    <w:p w14:paraId="52EAB7BC">
      <w:pPr>
        <w:tabs>
          <w:tab w:val="left" w:pos="3480"/>
        </w:tabs>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七</w:t>
      </w:r>
      <w:r>
        <w:rPr>
          <w:rFonts w:hint="eastAsia" w:ascii="宋体" w:hAnsi="宋体" w:eastAsia="宋体" w:cs="宋体"/>
          <w:color w:val="000000" w:themeColor="text1"/>
          <w:sz w:val="24"/>
          <w:szCs w:val="24"/>
          <w:highlight w:val="none"/>
          <w14:textFill>
            <w14:solidFill>
              <w14:schemeClr w14:val="tx1"/>
            </w14:solidFill>
          </w14:textFill>
        </w:rPr>
        <w:t>、实施方案</w:t>
      </w:r>
    </w:p>
    <w:p w14:paraId="3724A664">
      <w:pPr>
        <w:tabs>
          <w:tab w:val="left" w:pos="3480"/>
        </w:tabs>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八</w:t>
      </w:r>
      <w:r>
        <w:rPr>
          <w:rFonts w:hint="eastAsia" w:ascii="宋体" w:hAnsi="宋体" w:eastAsia="宋体" w:cs="宋体"/>
          <w:color w:val="000000" w:themeColor="text1"/>
          <w:sz w:val="24"/>
          <w:szCs w:val="24"/>
          <w:highlight w:val="none"/>
          <w14:textFill>
            <w14:solidFill>
              <w14:schemeClr w14:val="tx1"/>
            </w14:solidFill>
          </w14:textFill>
        </w:rPr>
        <w:t>、投标人认为需要提供的其他文件和资料</w:t>
      </w:r>
    </w:p>
    <w:p w14:paraId="4385CED9">
      <w:pPr>
        <w:tabs>
          <w:tab w:val="left" w:pos="3480"/>
        </w:tabs>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7FDFDB4C">
      <w:pPr>
        <w:pStyle w:val="7"/>
        <w:spacing w:line="500" w:lineRule="exact"/>
        <w:ind w:firstLine="480"/>
        <w:rPr>
          <w:rFonts w:hint="eastAsia" w:ascii="宋体" w:hAnsi="宋体" w:eastAsia="宋体" w:cs="宋体"/>
          <w:color w:val="000000" w:themeColor="text1"/>
          <w:sz w:val="24"/>
          <w:szCs w:val="24"/>
          <w:highlight w:val="none"/>
          <w14:textFill>
            <w14:solidFill>
              <w14:schemeClr w14:val="tx1"/>
            </w14:solidFill>
          </w14:textFill>
        </w:rPr>
      </w:pPr>
    </w:p>
    <w:p w14:paraId="3AF1A750">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备注</w:t>
      </w:r>
      <w:r>
        <w:rPr>
          <w:rFonts w:hint="eastAsia" w:ascii="宋体" w:hAnsi="宋体" w:eastAsia="宋体" w:cs="宋体"/>
          <w:color w:val="000000" w:themeColor="text1"/>
          <w:sz w:val="24"/>
          <w:szCs w:val="24"/>
          <w:highlight w:val="none"/>
          <w14:textFill>
            <w14:solidFill>
              <w14:schemeClr w14:val="tx1"/>
            </w14:solidFill>
          </w14:textFill>
        </w:rPr>
        <w:t>：投标人应按以上目录顺序编排投标文件，并标注相应页码。）</w:t>
      </w:r>
    </w:p>
    <w:p w14:paraId="11B2097E">
      <w:pPr>
        <w:rPr>
          <w:rFonts w:hint="eastAsia" w:ascii="宋体" w:hAnsi="宋体" w:eastAsia="宋体" w:cs="宋体"/>
          <w:color w:val="000000" w:themeColor="text1"/>
          <w:sz w:val="24"/>
          <w:szCs w:val="24"/>
          <w:highlight w:val="none"/>
          <w14:textFill>
            <w14:solidFill>
              <w14:schemeClr w14:val="tx1"/>
            </w14:solidFill>
          </w14:textFill>
        </w:rPr>
      </w:pPr>
    </w:p>
    <w:p w14:paraId="1BEB7BBC">
      <w:pPr>
        <w:pStyle w:val="28"/>
        <w:rPr>
          <w:rFonts w:hint="eastAsia" w:ascii="宋体" w:hAnsi="宋体" w:eastAsia="宋体" w:cs="宋体"/>
          <w:color w:val="000000" w:themeColor="text1"/>
          <w:sz w:val="24"/>
          <w:szCs w:val="24"/>
          <w:highlight w:val="none"/>
          <w14:textFill>
            <w14:solidFill>
              <w14:schemeClr w14:val="tx1"/>
            </w14:solidFill>
          </w14:textFill>
        </w:rPr>
      </w:pPr>
    </w:p>
    <w:p w14:paraId="4ADA1589">
      <w:pPr>
        <w:rPr>
          <w:rFonts w:hint="eastAsia" w:ascii="宋体" w:hAnsi="宋体" w:eastAsia="宋体" w:cs="宋体"/>
          <w:color w:val="000000" w:themeColor="text1"/>
          <w:sz w:val="24"/>
          <w:szCs w:val="24"/>
          <w:highlight w:val="none"/>
          <w14:textFill>
            <w14:solidFill>
              <w14:schemeClr w14:val="tx1"/>
            </w14:solidFill>
          </w14:textFill>
        </w:rPr>
      </w:pPr>
    </w:p>
    <w:p w14:paraId="4A19D582">
      <w:pPr>
        <w:pStyle w:val="28"/>
        <w:rPr>
          <w:rFonts w:hint="eastAsia" w:ascii="宋体" w:hAnsi="宋体" w:eastAsia="宋体" w:cs="宋体"/>
          <w:color w:val="000000" w:themeColor="text1"/>
          <w:sz w:val="24"/>
          <w:szCs w:val="24"/>
          <w:highlight w:val="none"/>
          <w14:textFill>
            <w14:solidFill>
              <w14:schemeClr w14:val="tx1"/>
            </w14:solidFill>
          </w14:textFill>
        </w:rPr>
      </w:pPr>
    </w:p>
    <w:p w14:paraId="6C2FF33E">
      <w:pPr>
        <w:rPr>
          <w:rFonts w:hint="eastAsia" w:ascii="宋体" w:hAnsi="宋体" w:eastAsia="宋体" w:cs="宋体"/>
          <w:color w:val="000000" w:themeColor="text1"/>
          <w:sz w:val="24"/>
          <w:szCs w:val="24"/>
          <w:highlight w:val="none"/>
          <w14:textFill>
            <w14:solidFill>
              <w14:schemeClr w14:val="tx1"/>
            </w14:solidFill>
          </w14:textFill>
        </w:rPr>
      </w:pPr>
    </w:p>
    <w:p w14:paraId="7F218AB7">
      <w:pPr>
        <w:spacing w:line="500" w:lineRule="exact"/>
        <w:rPr>
          <w:rFonts w:hint="eastAsia" w:ascii="宋体" w:hAnsi="宋体" w:eastAsia="宋体" w:cs="宋体"/>
          <w:color w:val="000000" w:themeColor="text1"/>
          <w:sz w:val="24"/>
          <w:szCs w:val="24"/>
          <w:highlight w:val="none"/>
          <w14:textFill>
            <w14:solidFill>
              <w14:schemeClr w14:val="tx1"/>
            </w14:solidFill>
          </w14:textFill>
        </w:rPr>
      </w:pPr>
    </w:p>
    <w:p w14:paraId="1F2A4728">
      <w:pPr>
        <w:spacing w:line="500" w:lineRule="exact"/>
        <w:jc w:val="center"/>
        <w:rPr>
          <w:rFonts w:hint="eastAsia" w:ascii="宋体" w:hAnsi="宋体" w:eastAsia="宋体" w:cs="宋体"/>
          <w:color w:val="000000" w:themeColor="text1"/>
          <w:sz w:val="24"/>
          <w:szCs w:val="24"/>
          <w:highlight w:val="none"/>
          <w14:textFill>
            <w14:solidFill>
              <w14:schemeClr w14:val="tx1"/>
            </w14:solidFill>
          </w14:textFill>
        </w:rPr>
      </w:pPr>
    </w:p>
    <w:p w14:paraId="5E85B87A">
      <w:pPr>
        <w:rPr>
          <w:rFonts w:hint="eastAsia" w:ascii="宋体" w:hAnsi="宋体" w:eastAsia="宋体" w:cs="宋体"/>
          <w:color w:val="000000" w:themeColor="text1"/>
          <w:sz w:val="24"/>
          <w:szCs w:val="24"/>
          <w:highlight w:val="none"/>
          <w14:textFill>
            <w14:solidFill>
              <w14:schemeClr w14:val="tx1"/>
            </w14:solidFill>
          </w14:textFill>
        </w:rPr>
      </w:pPr>
    </w:p>
    <w:p w14:paraId="2E8572A6">
      <w:pPr>
        <w:pStyle w:val="28"/>
        <w:rPr>
          <w:rFonts w:hint="eastAsia" w:ascii="宋体" w:hAnsi="宋体" w:eastAsia="宋体" w:cs="宋体"/>
          <w:color w:val="000000" w:themeColor="text1"/>
          <w:sz w:val="24"/>
          <w:szCs w:val="24"/>
          <w:highlight w:val="none"/>
          <w14:textFill>
            <w14:solidFill>
              <w14:schemeClr w14:val="tx1"/>
            </w14:solidFill>
          </w14:textFill>
        </w:rPr>
      </w:pPr>
    </w:p>
    <w:p w14:paraId="34AA8B1C">
      <w:pPr>
        <w:rPr>
          <w:rFonts w:hint="eastAsia" w:ascii="宋体" w:hAnsi="宋体" w:eastAsia="宋体" w:cs="宋体"/>
          <w:color w:val="000000" w:themeColor="text1"/>
          <w:sz w:val="24"/>
          <w:szCs w:val="24"/>
          <w:highlight w:val="none"/>
          <w14:textFill>
            <w14:solidFill>
              <w14:schemeClr w14:val="tx1"/>
            </w14:solidFill>
          </w14:textFill>
        </w:rPr>
      </w:pPr>
    </w:p>
    <w:p w14:paraId="70445AF0">
      <w:pPr>
        <w:pStyle w:val="28"/>
        <w:rPr>
          <w:rFonts w:hint="eastAsia" w:ascii="宋体" w:hAnsi="宋体" w:eastAsia="宋体" w:cs="宋体"/>
          <w:color w:val="000000" w:themeColor="text1"/>
          <w:sz w:val="24"/>
          <w:szCs w:val="24"/>
          <w:highlight w:val="none"/>
          <w14:textFill>
            <w14:solidFill>
              <w14:schemeClr w14:val="tx1"/>
            </w14:solidFill>
          </w14:textFill>
        </w:rPr>
      </w:pPr>
    </w:p>
    <w:p w14:paraId="39389BF2">
      <w:pPr>
        <w:rPr>
          <w:rFonts w:hint="eastAsia" w:ascii="宋体" w:hAnsi="宋体" w:eastAsia="宋体" w:cs="宋体"/>
          <w:color w:val="000000" w:themeColor="text1"/>
          <w:sz w:val="24"/>
          <w:szCs w:val="24"/>
          <w:highlight w:val="none"/>
          <w14:textFill>
            <w14:solidFill>
              <w14:schemeClr w14:val="tx1"/>
            </w14:solidFill>
          </w14:textFill>
        </w:rPr>
      </w:pPr>
    </w:p>
    <w:p w14:paraId="21C2663F">
      <w:pPr>
        <w:pStyle w:val="28"/>
        <w:rPr>
          <w:rFonts w:hint="eastAsia" w:ascii="宋体" w:hAnsi="宋体" w:eastAsia="宋体" w:cs="宋体"/>
          <w:color w:val="000000" w:themeColor="text1"/>
          <w:sz w:val="24"/>
          <w:szCs w:val="24"/>
          <w:highlight w:val="none"/>
          <w14:textFill>
            <w14:solidFill>
              <w14:schemeClr w14:val="tx1"/>
            </w14:solidFill>
          </w14:textFill>
        </w:rPr>
      </w:pPr>
    </w:p>
    <w:p w14:paraId="592F5B40">
      <w:pPr>
        <w:spacing w:line="500" w:lineRule="exact"/>
        <w:jc w:val="center"/>
        <w:rPr>
          <w:rFonts w:hint="eastAsia" w:ascii="宋体" w:hAnsi="宋体" w:eastAsia="宋体" w:cs="宋体"/>
          <w:color w:val="000000" w:themeColor="text1"/>
          <w:sz w:val="24"/>
          <w:szCs w:val="24"/>
          <w:highlight w:val="none"/>
          <w14:textFill>
            <w14:solidFill>
              <w14:schemeClr w14:val="tx1"/>
            </w14:solidFill>
          </w14:textFill>
        </w:rPr>
      </w:pPr>
    </w:p>
    <w:p w14:paraId="0BE38E7D">
      <w:pPr>
        <w:spacing w:line="500" w:lineRule="exact"/>
        <w:jc w:val="center"/>
        <w:outlineLvl w:val="1"/>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br w:type="page"/>
      </w:r>
      <w:r>
        <w:rPr>
          <w:rFonts w:hint="eastAsia" w:ascii="宋体" w:hAnsi="宋体" w:eastAsia="宋体" w:cs="宋体"/>
          <w:b/>
          <w:bCs/>
          <w:color w:val="000000" w:themeColor="text1"/>
          <w:sz w:val="24"/>
          <w:szCs w:val="24"/>
          <w:highlight w:val="none"/>
          <w14:textFill>
            <w14:solidFill>
              <w14:schemeClr w14:val="tx1"/>
            </w14:solidFill>
          </w14:textFill>
        </w:rPr>
        <w:t>一、</w:t>
      </w:r>
      <w:bookmarkEnd w:id="134"/>
      <w:r>
        <w:rPr>
          <w:rFonts w:hint="eastAsia" w:ascii="宋体" w:hAnsi="宋体" w:eastAsia="宋体" w:cs="宋体"/>
          <w:b/>
          <w:bCs/>
          <w:color w:val="000000" w:themeColor="text1"/>
          <w:sz w:val="24"/>
          <w:szCs w:val="24"/>
          <w:highlight w:val="none"/>
          <w14:textFill>
            <w14:solidFill>
              <w14:schemeClr w14:val="tx1"/>
            </w14:solidFill>
          </w14:textFill>
        </w:rPr>
        <w:t>投标函</w:t>
      </w:r>
    </w:p>
    <w:p w14:paraId="19E84337">
      <w:pPr>
        <w:pStyle w:val="15"/>
        <w:spacing w:after="0" w:line="500" w:lineRule="exact"/>
        <w:ind w:left="0" w:leftChars="0"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bookmarkStart w:id="135" w:name="_Toc217446083"/>
      <w:r>
        <w:rPr>
          <w:rFonts w:hint="eastAsia" w:ascii="宋体" w:hAnsi="宋体" w:eastAsia="宋体" w:cs="宋体"/>
          <w:bCs/>
          <w:color w:val="000000" w:themeColor="text1"/>
          <w:sz w:val="24"/>
          <w:szCs w:val="24"/>
          <w:highlight w:val="none"/>
          <w14:textFill>
            <w14:solidFill>
              <w14:schemeClr w14:val="tx1"/>
            </w14:solidFill>
          </w14:textFill>
        </w:rPr>
        <w:t>__________（采购人）：</w:t>
      </w:r>
    </w:p>
    <w:p w14:paraId="12AFD90D">
      <w:pPr>
        <w:pStyle w:val="15"/>
        <w:spacing w:after="0" w:line="500" w:lineRule="exact"/>
        <w:ind w:left="0" w:leftChars="0"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我方全面研究了 “</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（项目名称</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项目编号）”项目</w:t>
      </w:r>
      <w:r>
        <w:rPr>
          <w:rFonts w:hint="eastAsia" w:ascii="宋体" w:hAnsi="宋体" w:eastAsia="宋体" w:cs="宋体"/>
          <w:bCs/>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bCs/>
          <w:color w:val="000000" w:themeColor="text1"/>
          <w:sz w:val="24"/>
          <w:szCs w:val="24"/>
          <w:highlight w:val="none"/>
          <w14:textFill>
            <w14:solidFill>
              <w14:schemeClr w14:val="tx1"/>
            </w14:solidFill>
          </w14:textFill>
        </w:rPr>
        <w:t>，决定参加贵单位组织的本项目投标。我方授权</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（姓名、职务）代表我方</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（投标人的名称）全权处理本项目投标的有关事宜。</w:t>
      </w:r>
    </w:p>
    <w:p w14:paraId="48FDD0E5">
      <w:pPr>
        <w:pStyle w:val="15"/>
        <w:spacing w:after="0" w:line="500" w:lineRule="exact"/>
        <w:ind w:left="0" w:leftChars="0"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1、我方自愿按照</w:t>
      </w:r>
      <w:r>
        <w:rPr>
          <w:rFonts w:hint="eastAsia" w:ascii="宋体" w:hAnsi="宋体" w:eastAsia="宋体" w:cs="宋体"/>
          <w:bCs/>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bCs/>
          <w:color w:val="000000" w:themeColor="text1"/>
          <w:sz w:val="24"/>
          <w:szCs w:val="24"/>
          <w:highlight w:val="none"/>
          <w14:textFill>
            <w14:solidFill>
              <w14:schemeClr w14:val="tx1"/>
            </w14:solidFill>
          </w14:textFill>
        </w:rPr>
        <w:t>规定的各项要求向采购人提供所需</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货物</w:t>
      </w:r>
      <w:r>
        <w:rPr>
          <w:rFonts w:hint="eastAsia" w:ascii="宋体" w:hAnsi="宋体" w:eastAsia="宋体" w:cs="宋体"/>
          <w:bCs/>
          <w:color w:val="000000" w:themeColor="text1"/>
          <w:sz w:val="24"/>
          <w:szCs w:val="24"/>
          <w:highlight w:val="none"/>
          <w14:textFill>
            <w14:solidFill>
              <w14:schemeClr w14:val="tx1"/>
            </w14:solidFill>
          </w14:textFill>
        </w:rPr>
        <w:t>，总投标价为人民币</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元（大写：</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），投标有效期</w:t>
      </w:r>
      <w:r>
        <w:rPr>
          <w:rFonts w:hint="eastAsia" w:ascii="宋体" w:hAnsi="宋体" w:eastAsia="宋体" w:cs="宋体"/>
          <w:bCs/>
          <w:color w:val="000000" w:themeColor="text1"/>
          <w:sz w:val="24"/>
          <w:szCs w:val="24"/>
          <w:highlight w:val="none"/>
          <w:lang w:eastAsia="zh-CN"/>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从提交投标文件的截止之日起</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天。</w:t>
      </w:r>
    </w:p>
    <w:p w14:paraId="71739316">
      <w:pPr>
        <w:pStyle w:val="15"/>
        <w:spacing w:after="0" w:line="500" w:lineRule="exact"/>
        <w:ind w:left="0" w:leftChars="0"/>
        <w:rPr>
          <w:rFonts w:hint="eastAsia" w:ascii="宋体" w:hAnsi="宋体" w:eastAsia="宋体" w:cs="宋体"/>
          <w:bCs/>
          <w:color w:val="000000" w:themeColor="text1"/>
          <w:sz w:val="24"/>
          <w:szCs w:val="24"/>
          <w:highlight w:val="none"/>
          <w:lang w:eastAsia="zh-CN"/>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2、</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一旦我方成交，我方将严格履行合同规定的责任和义务，</w:t>
      </w: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合同履约期限</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为</w:t>
      </w:r>
      <w:r>
        <w:rPr>
          <w:rFonts w:hint="eastAsia" w:ascii="宋体" w:hAnsi="宋体" w:eastAsia="宋体" w:cs="宋体"/>
          <w:b w:val="0"/>
          <w:bCs/>
          <w:color w:val="000000" w:themeColor="text1"/>
          <w:sz w:val="24"/>
          <w:szCs w:val="24"/>
          <w:highlight w:val="none"/>
          <w:u w:val="single"/>
          <w:shd w:val="clear" w:color="auto" w:fill="auto"/>
          <w14:textFill>
            <w14:solidFill>
              <w14:schemeClr w14:val="tx1"/>
            </w14:solidFill>
          </w14:textFill>
        </w:rPr>
        <w:t xml:space="preserve">      </w:t>
      </w:r>
      <w:r>
        <w:rPr>
          <w:rFonts w:hint="eastAsia" w:ascii="宋体" w:hAnsi="宋体" w:eastAsia="宋体" w:cs="宋体"/>
          <w:b w:val="0"/>
          <w:bCs/>
          <w:color w:val="000000" w:themeColor="text1"/>
          <w:sz w:val="24"/>
          <w:szCs w:val="24"/>
          <w:highlight w:val="none"/>
          <w:u w:val="none"/>
          <w:shd w:val="clear" w:color="auto" w:fill="auto"/>
          <w:lang w:val="en-US" w:eastAsia="zh-CN"/>
          <w14:textFill>
            <w14:solidFill>
              <w14:schemeClr w14:val="tx1"/>
            </w14:solidFill>
          </w14:textFill>
        </w:rPr>
        <w:t>，质保期</w:t>
      </w:r>
      <w:r>
        <w:rPr>
          <w:rFonts w:hint="eastAsia" w:ascii="宋体" w:hAnsi="宋体" w:eastAsia="宋体" w:cs="宋体"/>
          <w:b w:val="0"/>
          <w:bCs/>
          <w:color w:val="000000" w:themeColor="text1"/>
          <w:sz w:val="24"/>
          <w:szCs w:val="24"/>
          <w:highlight w:val="none"/>
          <w:u w:val="single"/>
          <w:shd w:val="clear" w:color="auto" w:fill="auto"/>
          <w:lang w:val="en-US" w:eastAsia="zh-CN"/>
          <w14:textFill>
            <w14:solidFill>
              <w14:schemeClr w14:val="tx1"/>
            </w14:solidFill>
          </w14:textFill>
        </w:rPr>
        <w:t xml:space="preserve">：      </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并达到采购人要</w:t>
      </w:r>
      <w:r>
        <w:rPr>
          <w:rFonts w:hint="eastAsia" w:ascii="宋体" w:hAnsi="宋体" w:eastAsia="宋体" w:cs="宋体"/>
          <w:b w:val="0"/>
          <w:bCs/>
          <w:color w:val="000000" w:themeColor="text1"/>
          <w:sz w:val="24"/>
          <w:szCs w:val="24"/>
          <w:highlight w:val="none"/>
          <w:u w:val="none"/>
          <w:shd w:val="clear" w:color="auto" w:fill="auto"/>
          <w14:textFill>
            <w14:solidFill>
              <w14:schemeClr w14:val="tx1"/>
            </w14:solidFill>
          </w14:textFill>
        </w:rPr>
        <w:t>求</w:t>
      </w:r>
      <w:r>
        <w:rPr>
          <w:rFonts w:hint="eastAsia" w:ascii="宋体" w:hAnsi="宋体" w:eastAsia="宋体" w:cs="宋体"/>
          <w:bCs/>
          <w:color w:val="000000" w:themeColor="text1"/>
          <w:sz w:val="24"/>
          <w:szCs w:val="24"/>
          <w:highlight w:val="none"/>
          <w:u w:val="none"/>
          <w:lang w:eastAsia="zh-CN"/>
          <w14:textFill>
            <w14:solidFill>
              <w14:schemeClr w14:val="tx1"/>
            </w14:solidFill>
          </w14:textFill>
        </w:rPr>
        <w:t>。</w:t>
      </w:r>
    </w:p>
    <w:p w14:paraId="6B99417D">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3、我方同意按照</w:t>
      </w:r>
      <w:r>
        <w:rPr>
          <w:rFonts w:hint="eastAsia" w:ascii="宋体" w:hAnsi="宋体" w:eastAsia="宋体" w:cs="宋体"/>
          <w:bCs/>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bCs/>
          <w:color w:val="000000" w:themeColor="text1"/>
          <w:sz w:val="24"/>
          <w:szCs w:val="24"/>
          <w:highlight w:val="none"/>
          <w14:textFill>
            <w14:solidFill>
              <w14:schemeClr w14:val="tx1"/>
            </w14:solidFill>
          </w14:textFill>
        </w:rPr>
        <w:t>的要求，向贵单位缴纳人民币</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元（大写：</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）的投标保证金，并承诺如发生符合“第二章投标人须知”第15.5条的任何情况时，我方将不要求退还投标保证金。</w:t>
      </w:r>
    </w:p>
    <w:p w14:paraId="79196512">
      <w:pPr>
        <w:pStyle w:val="15"/>
        <w:spacing w:after="0" w:line="500" w:lineRule="exact"/>
        <w:ind w:left="0" w:leftChars="0"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4、我方提交的投标文件满足</w:t>
      </w:r>
      <w:r>
        <w:rPr>
          <w:rFonts w:hint="eastAsia" w:ascii="宋体" w:hAnsi="宋体" w:eastAsia="宋体" w:cs="宋体"/>
          <w:bCs/>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bCs/>
          <w:color w:val="000000" w:themeColor="text1"/>
          <w:sz w:val="24"/>
          <w:szCs w:val="24"/>
          <w:highlight w:val="none"/>
          <w14:textFill>
            <w14:solidFill>
              <w14:schemeClr w14:val="tx1"/>
            </w14:solidFill>
          </w14:textFill>
        </w:rPr>
        <w:t>实质性要求。</w:t>
      </w:r>
    </w:p>
    <w:p w14:paraId="1653A990">
      <w:pPr>
        <w:pStyle w:val="15"/>
        <w:spacing w:after="0" w:line="500" w:lineRule="exact"/>
        <w:ind w:left="0" w:leftChars="0"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5、我方愿意提供采购人可能另外要求的，与投标有关的文件资料，并保证我方已提供和将要提供的文件资料是真实、准确的。</w:t>
      </w:r>
    </w:p>
    <w:p w14:paraId="70DFF9CC">
      <w:pPr>
        <w:pStyle w:val="15"/>
        <w:spacing w:after="0" w:line="500" w:lineRule="exact"/>
        <w:ind w:left="0" w:leftChars="0"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6、我方完全理解采购人不一定将合同授予最低报价的投标人。</w:t>
      </w:r>
    </w:p>
    <w:p w14:paraId="2A14E4AE">
      <w:pPr>
        <w:pStyle w:val="15"/>
        <w:spacing w:after="0" w:line="500" w:lineRule="exact"/>
        <w:ind w:left="0" w:leftChars="0" w:firstLine="480" w:firstLineChars="200"/>
        <w:jc w:val="center"/>
        <w:rPr>
          <w:rFonts w:hint="eastAsia" w:ascii="宋体" w:hAnsi="宋体" w:eastAsia="宋体" w:cs="宋体"/>
          <w:bCs/>
          <w:color w:val="000000" w:themeColor="text1"/>
          <w:sz w:val="24"/>
          <w:szCs w:val="24"/>
          <w:highlight w:val="none"/>
          <w14:textFill>
            <w14:solidFill>
              <w14:schemeClr w14:val="tx1"/>
            </w14:solidFill>
          </w14:textFill>
        </w:rPr>
      </w:pPr>
    </w:p>
    <w:p w14:paraId="5D653A5B">
      <w:pPr>
        <w:pStyle w:val="15"/>
        <w:spacing w:after="0" w:line="500" w:lineRule="exact"/>
        <w:ind w:firstLine="3360" w:firstLineChars="14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投标人名称（</w:t>
      </w:r>
      <w:r>
        <w:rPr>
          <w:rFonts w:hint="eastAsia" w:ascii="宋体" w:hAnsi="宋体" w:eastAsia="宋体" w:cs="宋体"/>
          <w:bCs/>
          <w:color w:val="000000" w:themeColor="text1"/>
          <w:sz w:val="24"/>
          <w:szCs w:val="24"/>
          <w:highlight w:val="none"/>
          <w:lang w:eastAsia="zh-CN"/>
          <w14:textFill>
            <w14:solidFill>
              <w14:schemeClr w14:val="tx1"/>
            </w14:solidFill>
          </w14:textFill>
        </w:rPr>
        <w:t>盖公章</w:t>
      </w:r>
      <w:r>
        <w:rPr>
          <w:rFonts w:hint="eastAsia" w:ascii="宋体" w:hAnsi="宋体" w:eastAsia="宋体" w:cs="宋体"/>
          <w:bCs/>
          <w:color w:val="000000" w:themeColor="text1"/>
          <w:sz w:val="24"/>
          <w:szCs w:val="24"/>
          <w:highlight w:val="none"/>
          <w14:textFill>
            <w14:solidFill>
              <w14:schemeClr w14:val="tx1"/>
            </w14:solidFill>
          </w14:textFill>
        </w:rPr>
        <w:t>）：</w:t>
      </w:r>
    </w:p>
    <w:p w14:paraId="3D81EA5A">
      <w:pPr>
        <w:pStyle w:val="15"/>
        <w:spacing w:after="0" w:line="500" w:lineRule="exact"/>
        <w:ind w:left="0" w:leftChars="0" w:firstLine="480" w:firstLineChars="200"/>
        <w:jc w:val="center"/>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授权人或被授权人（</w:t>
      </w:r>
      <w:r>
        <w:rPr>
          <w:rFonts w:hint="eastAsia" w:ascii="宋体" w:hAnsi="宋体" w:eastAsia="宋体" w:cs="宋体"/>
          <w:color w:val="000000" w:themeColor="text1"/>
          <w:sz w:val="24"/>
          <w:szCs w:val="24"/>
          <w:highlight w:val="none"/>
          <w:lang w:eastAsia="zh-CN"/>
          <w14:textFill>
            <w14:solidFill>
              <w14:schemeClr w14:val="tx1"/>
            </w14:solidFill>
          </w14:textFill>
        </w:rPr>
        <w:t>签字或盖名章</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w:t>
      </w:r>
    </w:p>
    <w:p w14:paraId="7F55CF66">
      <w:pPr>
        <w:pStyle w:val="15"/>
        <w:spacing w:after="0" w:line="500" w:lineRule="exact"/>
        <w:ind w:firstLine="3360" w:firstLineChars="14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通讯地址：</w:t>
      </w:r>
    </w:p>
    <w:p w14:paraId="3B7FF5F7">
      <w:pPr>
        <w:pStyle w:val="15"/>
        <w:spacing w:after="0" w:line="500" w:lineRule="exact"/>
        <w:ind w:firstLine="3360" w:firstLineChars="14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联系电话：</w:t>
      </w:r>
    </w:p>
    <w:p w14:paraId="6E2EC6B4">
      <w:pPr>
        <w:pStyle w:val="15"/>
        <w:spacing w:after="0" w:line="500" w:lineRule="exact"/>
        <w:ind w:firstLine="3360" w:firstLineChars="14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日    期：</w:t>
      </w:r>
    </w:p>
    <w:p w14:paraId="41634BF5">
      <w:pPr>
        <w:pStyle w:val="42"/>
        <w:spacing w:line="460" w:lineRule="exact"/>
        <w:ind w:firstLine="3360" w:firstLineChars="1400"/>
        <w:rPr>
          <w:rFonts w:hint="eastAsia" w:ascii="宋体" w:hAnsi="宋体" w:eastAsia="宋体" w:cs="宋体"/>
          <w:bCs/>
          <w:color w:val="000000" w:themeColor="text1"/>
          <w:sz w:val="24"/>
          <w:szCs w:val="24"/>
          <w:highlight w:val="none"/>
          <w14:textFill>
            <w14:solidFill>
              <w14:schemeClr w14:val="tx1"/>
            </w14:solidFill>
          </w14:textFill>
        </w:rPr>
      </w:pPr>
    </w:p>
    <w:p w14:paraId="726164FD">
      <w:pPr>
        <w:pStyle w:val="42"/>
        <w:spacing w:line="460" w:lineRule="exact"/>
        <w:ind w:firstLine="3360" w:firstLineChars="1400"/>
        <w:rPr>
          <w:rFonts w:hint="eastAsia" w:ascii="宋体" w:hAnsi="宋体" w:eastAsia="宋体" w:cs="宋体"/>
          <w:bCs/>
          <w:color w:val="000000" w:themeColor="text1"/>
          <w:sz w:val="24"/>
          <w:szCs w:val="24"/>
          <w:highlight w:val="none"/>
          <w14:textFill>
            <w14:solidFill>
              <w14:schemeClr w14:val="tx1"/>
            </w14:solidFill>
          </w14:textFill>
        </w:rPr>
      </w:pPr>
    </w:p>
    <w:p w14:paraId="1879E467">
      <w:pPr>
        <w:pStyle w:val="42"/>
        <w:spacing w:line="460" w:lineRule="exact"/>
        <w:ind w:firstLine="3360" w:firstLineChars="1400"/>
        <w:rPr>
          <w:rFonts w:hint="eastAsia" w:ascii="宋体" w:hAnsi="宋体" w:eastAsia="宋体" w:cs="宋体"/>
          <w:bCs/>
          <w:color w:val="000000" w:themeColor="text1"/>
          <w:sz w:val="24"/>
          <w:szCs w:val="24"/>
          <w:highlight w:val="none"/>
          <w14:textFill>
            <w14:solidFill>
              <w14:schemeClr w14:val="tx1"/>
            </w14:solidFill>
          </w14:textFill>
        </w:rPr>
      </w:pPr>
    </w:p>
    <w:p w14:paraId="08F1EF2E">
      <w:pPr>
        <w:pStyle w:val="42"/>
        <w:spacing w:line="460" w:lineRule="exact"/>
        <w:ind w:firstLine="3360" w:firstLineChars="1400"/>
        <w:rPr>
          <w:rFonts w:hint="eastAsia" w:ascii="宋体" w:hAnsi="宋体" w:eastAsia="宋体" w:cs="宋体"/>
          <w:bCs/>
          <w:color w:val="000000" w:themeColor="text1"/>
          <w:sz w:val="24"/>
          <w:szCs w:val="24"/>
          <w:highlight w:val="none"/>
          <w14:textFill>
            <w14:solidFill>
              <w14:schemeClr w14:val="tx1"/>
            </w14:solidFill>
          </w14:textFill>
        </w:rPr>
      </w:pPr>
    </w:p>
    <w:p w14:paraId="2D10A200">
      <w:pPr>
        <w:pStyle w:val="42"/>
        <w:spacing w:line="460" w:lineRule="exact"/>
        <w:ind w:firstLine="3360" w:firstLineChars="1400"/>
        <w:rPr>
          <w:rFonts w:hint="eastAsia" w:ascii="宋体" w:hAnsi="宋体" w:eastAsia="宋体" w:cs="宋体"/>
          <w:bCs/>
          <w:color w:val="000000" w:themeColor="text1"/>
          <w:sz w:val="24"/>
          <w:szCs w:val="24"/>
          <w:highlight w:val="none"/>
          <w14:textFill>
            <w14:solidFill>
              <w14:schemeClr w14:val="tx1"/>
            </w14:solidFill>
          </w14:textFill>
        </w:rPr>
      </w:pPr>
    </w:p>
    <w:p w14:paraId="29F4879A">
      <w:pPr>
        <w:pStyle w:val="42"/>
        <w:spacing w:line="460" w:lineRule="exact"/>
        <w:ind w:firstLine="3360" w:firstLineChars="1400"/>
        <w:rPr>
          <w:rFonts w:hint="eastAsia" w:ascii="宋体" w:hAnsi="宋体" w:eastAsia="宋体" w:cs="宋体"/>
          <w:bCs/>
          <w:color w:val="000000" w:themeColor="text1"/>
          <w:sz w:val="24"/>
          <w:szCs w:val="24"/>
          <w:highlight w:val="none"/>
          <w14:textFill>
            <w14:solidFill>
              <w14:schemeClr w14:val="tx1"/>
            </w14:solidFill>
          </w14:textFill>
        </w:rPr>
      </w:pPr>
    </w:p>
    <w:p w14:paraId="3D595698">
      <w:pPr>
        <w:pStyle w:val="4"/>
        <w:numPr>
          <w:ilvl w:val="0"/>
          <w:numId w:val="5"/>
        </w:numPr>
        <w:spacing w:before="156" w:after="156"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身份证明书及授权委托书</w:t>
      </w:r>
    </w:p>
    <w:p w14:paraId="70B6B4B1">
      <w:pPr>
        <w:spacing w:line="500" w:lineRule="exact"/>
        <w:ind w:firstLine="482" w:firstLineChars="200"/>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身份证明书（投标人为法人）</w:t>
      </w:r>
    </w:p>
    <w:p w14:paraId="3BA1B0EE">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单位名称：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 </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1F3CA353">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    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 </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38C4527A">
      <w:pPr>
        <w:spacing w:line="500" w:lineRule="exact"/>
        <w:ind w:firstLine="480" w:firstLineChars="200"/>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    名：</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性别：</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职务：</w:t>
      </w:r>
      <w:r>
        <w:rPr>
          <w:rFonts w:hint="eastAsia" w:ascii="宋体" w:hAnsi="宋体" w:eastAsia="宋体" w:cs="宋体"/>
          <w:color w:val="000000" w:themeColor="text1"/>
          <w:sz w:val="24"/>
          <w:szCs w:val="24"/>
          <w:highlight w:val="none"/>
          <w:u w:val="single"/>
          <w14:textFill>
            <w14:solidFill>
              <w14:schemeClr w14:val="tx1"/>
            </w14:solidFill>
          </w14:textFill>
        </w:rPr>
        <w:t xml:space="preserve">       。 </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4CA8804">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身份证号码：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 </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1D44EADB">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系</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的法定代表人，为具有参加</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（项目名称）的投标、签署上述投标文件、进行合同谈判、签署合同和处理与之有关的一切事务权利的投标人。 </w:t>
      </w:r>
    </w:p>
    <w:p w14:paraId="0D7DCA3B">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特此证明。</w:t>
      </w:r>
    </w:p>
    <w:p w14:paraId="4B3C41AE">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129E67EC">
      <w:pPr>
        <w:spacing w:line="500" w:lineRule="exact"/>
        <w:ind w:firstLine="482" w:firstLineChars="200"/>
        <w:rPr>
          <w:rFonts w:hint="eastAsia" w:ascii="宋体" w:hAnsi="宋体" w:eastAsia="宋体" w:cs="宋体"/>
          <w:b/>
          <w:bCs/>
          <w:color w:val="000000" w:themeColor="text1"/>
          <w:kern w:val="0"/>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附</w:t>
      </w:r>
      <w:r>
        <w:rPr>
          <w:rFonts w:hint="eastAsia" w:ascii="宋体" w:hAnsi="宋体" w:eastAsia="宋体" w:cs="宋体"/>
          <w:b/>
          <w:bCs/>
          <w:color w:val="000000" w:themeColor="text1"/>
          <w:sz w:val="24"/>
          <w:szCs w:val="24"/>
          <w:highlight w:val="none"/>
          <w:lang w:eastAsia="zh-CN"/>
          <w14:textFill>
            <w14:solidFill>
              <w14:schemeClr w14:val="tx1"/>
            </w14:solidFill>
          </w14:textFill>
        </w:rPr>
        <w:t>：</w:t>
      </w:r>
      <w:r>
        <w:rPr>
          <w:rFonts w:hint="eastAsia" w:ascii="宋体" w:hAnsi="宋体" w:eastAsia="宋体" w:cs="宋体"/>
          <w:b/>
          <w:bCs/>
          <w:color w:val="000000" w:themeColor="text1"/>
          <w:sz w:val="24"/>
          <w:szCs w:val="24"/>
          <w:highlight w:val="none"/>
          <w14:textFill>
            <w14:solidFill>
              <w14:schemeClr w14:val="tx1"/>
            </w14:solidFill>
          </w14:textFill>
        </w:rPr>
        <w:t>法定代表人身份证正反面</w:t>
      </w:r>
      <w:r>
        <w:rPr>
          <w:rFonts w:hint="eastAsia" w:ascii="宋体" w:hAnsi="宋体" w:eastAsia="宋体" w:cs="宋体"/>
          <w:b/>
          <w:bCs/>
          <w:color w:val="000000" w:themeColor="text1"/>
          <w:sz w:val="24"/>
          <w:szCs w:val="24"/>
          <w:highlight w:val="none"/>
          <w:lang w:eastAsia="zh-CN"/>
          <w14:textFill>
            <w14:solidFill>
              <w14:schemeClr w14:val="tx1"/>
            </w14:solidFill>
          </w14:textFill>
        </w:rPr>
        <w:t>复印件。</w:t>
      </w:r>
    </w:p>
    <w:p w14:paraId="6D0434D1">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p>
    <w:p w14:paraId="019E0E9A">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p>
    <w:p w14:paraId="0B4D0321">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p>
    <w:p w14:paraId="1036F89C">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 xml:space="preserve">                       投标人名称（</w:t>
      </w:r>
      <w:r>
        <w:rPr>
          <w:rFonts w:hint="eastAsia" w:ascii="宋体" w:hAnsi="宋体" w:eastAsia="宋体" w:cs="宋体"/>
          <w:bCs/>
          <w:color w:val="000000" w:themeColor="text1"/>
          <w:sz w:val="24"/>
          <w:szCs w:val="24"/>
          <w:highlight w:val="none"/>
          <w:lang w:eastAsia="zh-CN"/>
          <w14:textFill>
            <w14:solidFill>
              <w14:schemeClr w14:val="tx1"/>
            </w14:solidFill>
          </w14:textFill>
        </w:rPr>
        <w:t>盖公章</w:t>
      </w:r>
      <w:r>
        <w:rPr>
          <w:rFonts w:hint="eastAsia" w:ascii="宋体" w:hAnsi="宋体" w:eastAsia="宋体" w:cs="宋体"/>
          <w:bCs/>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28CDCF2">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日   期：  </w:t>
      </w:r>
      <w:r>
        <w:rPr>
          <w:rFonts w:hint="eastAsia" w:ascii="宋体" w:hAnsi="宋体" w:eastAsia="宋体" w:cs="宋体"/>
          <w:bCs/>
          <w:color w:val="000000" w:themeColor="text1"/>
          <w:sz w:val="24"/>
          <w:szCs w:val="24"/>
          <w:highlight w:val="none"/>
          <w14:textFill>
            <w14:solidFill>
              <w14:schemeClr w14:val="tx1"/>
            </w14:solidFill>
          </w14:textFill>
        </w:rPr>
        <w:t>年   月   日</w:t>
      </w:r>
    </w:p>
    <w:p w14:paraId="436E7E80">
      <w:pPr>
        <w:snapToGrid w:val="0"/>
        <w:spacing w:line="500" w:lineRule="exact"/>
        <w:ind w:firstLine="482" w:firstLineChars="200"/>
        <w:jc w:val="center"/>
        <w:rPr>
          <w:rFonts w:hint="eastAsia" w:ascii="宋体" w:hAnsi="宋体" w:eastAsia="宋体" w:cs="宋体"/>
          <w:b/>
          <w:bCs/>
          <w:color w:val="000000" w:themeColor="text1"/>
          <w:sz w:val="24"/>
          <w:szCs w:val="24"/>
          <w:highlight w:val="none"/>
          <w14:textFill>
            <w14:solidFill>
              <w14:schemeClr w14:val="tx1"/>
            </w14:solidFill>
          </w14:textFill>
        </w:rPr>
      </w:pPr>
    </w:p>
    <w:p w14:paraId="43E9397B">
      <w:pPr>
        <w:pStyle w:val="2"/>
        <w:rPr>
          <w:rFonts w:hint="eastAsia" w:ascii="宋体" w:hAnsi="宋体" w:eastAsia="宋体" w:cs="宋体"/>
          <w:b/>
          <w:bCs/>
          <w:color w:val="000000" w:themeColor="text1"/>
          <w:sz w:val="24"/>
          <w:szCs w:val="24"/>
          <w:highlight w:val="none"/>
          <w14:textFill>
            <w14:solidFill>
              <w14:schemeClr w14:val="tx1"/>
            </w14:solidFill>
          </w14:textFill>
        </w:rPr>
      </w:pPr>
    </w:p>
    <w:p w14:paraId="2651CAAE">
      <w:pPr>
        <w:spacing w:line="500" w:lineRule="exact"/>
        <w:ind w:firstLine="482" w:firstLineChars="200"/>
        <w:jc w:val="center"/>
        <w:rPr>
          <w:rFonts w:hint="eastAsia" w:ascii="宋体" w:hAnsi="宋体" w:eastAsia="宋体" w:cs="宋体"/>
          <w:b/>
          <w:bCs/>
          <w:color w:val="000000" w:themeColor="text1"/>
          <w:sz w:val="24"/>
          <w:szCs w:val="24"/>
          <w:highlight w:val="none"/>
          <w14:textFill>
            <w14:solidFill>
              <w14:schemeClr w14:val="tx1"/>
            </w14:solidFill>
          </w14:textFill>
        </w:rPr>
      </w:pPr>
    </w:p>
    <w:p w14:paraId="3B0BE19B">
      <w:pPr>
        <w:snapToGrid w:val="0"/>
        <w:spacing w:line="500" w:lineRule="exact"/>
        <w:ind w:firstLine="482" w:firstLineChars="200"/>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br w:type="page"/>
      </w:r>
      <w:r>
        <w:rPr>
          <w:rFonts w:hint="eastAsia" w:ascii="宋体" w:hAnsi="宋体" w:eastAsia="宋体" w:cs="宋体"/>
          <w:b/>
          <w:bCs/>
          <w:color w:val="000000" w:themeColor="text1"/>
          <w:sz w:val="24"/>
          <w:szCs w:val="24"/>
          <w:highlight w:val="none"/>
          <w14:textFill>
            <w14:solidFill>
              <w14:schemeClr w14:val="tx1"/>
            </w14:solidFill>
          </w14:textFill>
        </w:rPr>
        <w:t>身份证明书（投标人为非法人）</w:t>
      </w:r>
    </w:p>
    <w:p w14:paraId="1A8C0BCE">
      <w:pPr>
        <w:keepNext/>
        <w:keepLines/>
        <w:pageBreakBefore w:val="0"/>
        <w:widowControl w:val="0"/>
        <w:numPr>
          <w:ilvl w:val="0"/>
          <w:numId w:val="0"/>
        </w:numPr>
        <w:kinsoku/>
        <w:wordWrap/>
        <w:overflowPunct/>
        <w:topLinePunct w:val="0"/>
        <w:autoSpaceDE/>
        <w:autoSpaceDN/>
        <w:bidi w:val="0"/>
        <w:adjustRightInd/>
        <w:snapToGrid/>
        <w:ind w:leftChars="0"/>
        <w:textAlignment w:val="auto"/>
        <w:outlineLvl w:val="9"/>
        <w:rPr>
          <w:rFonts w:hint="eastAsia" w:ascii="宋体" w:hAnsi="宋体" w:eastAsia="宋体" w:cs="宋体"/>
          <w:color w:val="000000" w:themeColor="text1"/>
          <w:sz w:val="24"/>
          <w:szCs w:val="24"/>
          <w:highlight w:val="none"/>
          <w14:textFill>
            <w14:solidFill>
              <w14:schemeClr w14:val="tx1"/>
            </w14:solidFill>
          </w14:textFill>
        </w:rPr>
      </w:pPr>
    </w:p>
    <w:p w14:paraId="29B41918">
      <w:pPr>
        <w:snapToGrid w:val="0"/>
        <w:spacing w:line="500" w:lineRule="exact"/>
        <w:ind w:firstLine="480" w:firstLineChars="200"/>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    名：</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性别：</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职务：</w:t>
      </w:r>
      <w:r>
        <w:rPr>
          <w:rFonts w:hint="eastAsia" w:ascii="宋体" w:hAnsi="宋体" w:eastAsia="宋体" w:cs="宋体"/>
          <w:color w:val="000000" w:themeColor="text1"/>
          <w:sz w:val="24"/>
          <w:szCs w:val="24"/>
          <w:highlight w:val="none"/>
          <w:u w:val="single"/>
          <w14:textFill>
            <w14:solidFill>
              <w14:schemeClr w14:val="tx1"/>
            </w14:solidFill>
          </w14:textFill>
        </w:rPr>
        <w:t xml:space="preserve">      。       </w:t>
      </w:r>
    </w:p>
    <w:p w14:paraId="1FD3EAAC">
      <w:pPr>
        <w:snapToGrid w:val="0"/>
        <w:spacing w:line="500" w:lineRule="exact"/>
        <w:ind w:firstLine="480" w:firstLineChars="200"/>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    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29B07239">
      <w:pPr>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身份证号码：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                                           </w:t>
      </w:r>
    </w:p>
    <w:p w14:paraId="209D829F">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为具有参加</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（项目名称）的投标、签署上述投标文件、进行合同谈判、签署合同和处理与之有关的一切事务权利的投标人。 </w:t>
      </w:r>
    </w:p>
    <w:p w14:paraId="6F60D19C">
      <w:pPr>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0BB6A3B3">
      <w:pPr>
        <w:snapToGrid w:val="0"/>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特此证明。</w:t>
      </w:r>
    </w:p>
    <w:p w14:paraId="04FE6FE7">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629CE103">
      <w:pPr>
        <w:snapToGrid w:val="0"/>
        <w:spacing w:line="500" w:lineRule="exact"/>
        <w:ind w:firstLine="482" w:firstLineChars="200"/>
        <w:rPr>
          <w:rFonts w:hint="eastAsia" w:ascii="宋体" w:hAnsi="宋体" w:eastAsia="宋体" w:cs="宋体"/>
          <w:b/>
          <w:bCs/>
          <w:color w:val="000000" w:themeColor="text1"/>
          <w:kern w:val="0"/>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附</w:t>
      </w:r>
      <w:r>
        <w:rPr>
          <w:rFonts w:hint="eastAsia" w:ascii="宋体" w:hAnsi="宋体" w:eastAsia="宋体" w:cs="宋体"/>
          <w:b/>
          <w:bCs/>
          <w:color w:val="000000" w:themeColor="text1"/>
          <w:sz w:val="24"/>
          <w:szCs w:val="24"/>
          <w:highlight w:val="none"/>
          <w:lang w:eastAsia="zh-CN"/>
          <w14:textFill>
            <w14:solidFill>
              <w14:schemeClr w14:val="tx1"/>
            </w14:solidFill>
          </w14:textFill>
        </w:rPr>
        <w:t>：</w:t>
      </w:r>
      <w:r>
        <w:rPr>
          <w:rFonts w:hint="eastAsia" w:ascii="宋体" w:hAnsi="宋体" w:eastAsia="宋体" w:cs="宋体"/>
          <w:b/>
          <w:bCs/>
          <w:color w:val="000000" w:themeColor="text1"/>
          <w:sz w:val="24"/>
          <w:szCs w:val="24"/>
          <w:highlight w:val="none"/>
          <w14:textFill>
            <w14:solidFill>
              <w14:schemeClr w14:val="tx1"/>
            </w14:solidFill>
          </w14:textFill>
        </w:rPr>
        <w:t>身份证正反面</w:t>
      </w:r>
      <w:r>
        <w:rPr>
          <w:rFonts w:hint="eastAsia" w:ascii="宋体" w:hAnsi="宋体" w:eastAsia="宋体" w:cs="宋体"/>
          <w:b/>
          <w:bCs/>
          <w:color w:val="000000" w:themeColor="text1"/>
          <w:sz w:val="24"/>
          <w:szCs w:val="24"/>
          <w:highlight w:val="none"/>
          <w:lang w:eastAsia="zh-CN"/>
          <w14:textFill>
            <w14:solidFill>
              <w14:schemeClr w14:val="tx1"/>
            </w14:solidFill>
          </w14:textFill>
        </w:rPr>
        <w:t>复印件。</w:t>
      </w:r>
    </w:p>
    <w:p w14:paraId="1F3416B5">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p>
    <w:p w14:paraId="0FD37206">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p>
    <w:p w14:paraId="314DCD57">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p>
    <w:p w14:paraId="09ECE3F3">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p>
    <w:p w14:paraId="53E272D6">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投标人（</w:t>
      </w:r>
      <w:r>
        <w:rPr>
          <w:rFonts w:hint="eastAsia" w:ascii="宋体" w:hAnsi="宋体" w:eastAsia="宋体" w:cs="宋体"/>
          <w:bCs/>
          <w:color w:val="000000" w:themeColor="text1"/>
          <w:sz w:val="24"/>
          <w:szCs w:val="24"/>
          <w:highlight w:val="none"/>
          <w:lang w:eastAsia="zh-CN"/>
          <w14:textFill>
            <w14:solidFill>
              <w14:schemeClr w14:val="tx1"/>
            </w14:solidFill>
          </w14:textFill>
        </w:rPr>
        <w:t>签字或盖名章</w:t>
      </w:r>
      <w:r>
        <w:rPr>
          <w:rFonts w:hint="eastAsia" w:ascii="宋体" w:hAnsi="宋体" w:eastAsia="宋体" w:cs="宋体"/>
          <w:bCs/>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29EF46F2">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日   期：  </w:t>
      </w:r>
      <w:r>
        <w:rPr>
          <w:rFonts w:hint="eastAsia" w:ascii="宋体" w:hAnsi="宋体" w:eastAsia="宋体" w:cs="宋体"/>
          <w:bCs/>
          <w:color w:val="000000" w:themeColor="text1"/>
          <w:sz w:val="24"/>
          <w:szCs w:val="24"/>
          <w:highlight w:val="none"/>
          <w14:textFill>
            <w14:solidFill>
              <w14:schemeClr w14:val="tx1"/>
            </w14:solidFill>
          </w14:textFill>
        </w:rPr>
        <w:t>年   月   日</w:t>
      </w:r>
    </w:p>
    <w:p w14:paraId="0535451B">
      <w:pPr>
        <w:pStyle w:val="2"/>
        <w:rPr>
          <w:rFonts w:hint="eastAsia" w:ascii="宋体" w:hAnsi="宋体" w:eastAsia="宋体" w:cs="宋体"/>
          <w:b/>
          <w:bCs/>
          <w:color w:val="000000" w:themeColor="text1"/>
          <w:sz w:val="24"/>
          <w:szCs w:val="24"/>
          <w:highlight w:val="none"/>
          <w14:textFill>
            <w14:solidFill>
              <w14:schemeClr w14:val="tx1"/>
            </w14:solidFill>
          </w14:textFill>
        </w:rPr>
      </w:pPr>
    </w:p>
    <w:p w14:paraId="20825B49">
      <w:pPr>
        <w:pStyle w:val="2"/>
        <w:rPr>
          <w:rFonts w:hint="eastAsia" w:ascii="宋体" w:hAnsi="宋体" w:eastAsia="宋体" w:cs="宋体"/>
          <w:b/>
          <w:bCs/>
          <w:color w:val="000000" w:themeColor="text1"/>
          <w:sz w:val="24"/>
          <w:szCs w:val="24"/>
          <w:highlight w:val="none"/>
          <w14:textFill>
            <w14:solidFill>
              <w14:schemeClr w14:val="tx1"/>
            </w14:solidFill>
          </w14:textFill>
        </w:rPr>
      </w:pPr>
    </w:p>
    <w:p w14:paraId="4F547F03">
      <w:pPr>
        <w:pStyle w:val="2"/>
        <w:rPr>
          <w:rFonts w:hint="eastAsia" w:ascii="宋体" w:hAnsi="宋体" w:eastAsia="宋体" w:cs="宋体"/>
          <w:b/>
          <w:bCs/>
          <w:color w:val="000000" w:themeColor="text1"/>
          <w:sz w:val="24"/>
          <w:szCs w:val="24"/>
          <w:highlight w:val="none"/>
          <w14:textFill>
            <w14:solidFill>
              <w14:schemeClr w14:val="tx1"/>
            </w14:solidFill>
          </w14:textFill>
        </w:rPr>
      </w:pPr>
    </w:p>
    <w:p w14:paraId="43713D7E">
      <w:pPr>
        <w:pStyle w:val="2"/>
        <w:rPr>
          <w:rFonts w:hint="eastAsia" w:ascii="宋体" w:hAnsi="宋体" w:eastAsia="宋体" w:cs="宋体"/>
          <w:b/>
          <w:bCs/>
          <w:color w:val="000000" w:themeColor="text1"/>
          <w:sz w:val="24"/>
          <w:szCs w:val="24"/>
          <w:highlight w:val="none"/>
          <w14:textFill>
            <w14:solidFill>
              <w14:schemeClr w14:val="tx1"/>
            </w14:solidFill>
          </w14:textFill>
        </w:rPr>
      </w:pPr>
    </w:p>
    <w:p w14:paraId="0451FB0D">
      <w:pPr>
        <w:pStyle w:val="2"/>
        <w:rPr>
          <w:rFonts w:hint="eastAsia" w:ascii="宋体" w:hAnsi="宋体" w:eastAsia="宋体" w:cs="宋体"/>
          <w:b/>
          <w:bCs/>
          <w:color w:val="000000" w:themeColor="text1"/>
          <w:sz w:val="24"/>
          <w:szCs w:val="24"/>
          <w:highlight w:val="none"/>
          <w14:textFill>
            <w14:solidFill>
              <w14:schemeClr w14:val="tx1"/>
            </w14:solidFill>
          </w14:textFill>
        </w:rPr>
      </w:pPr>
    </w:p>
    <w:p w14:paraId="3EE6EAD8">
      <w:pPr>
        <w:spacing w:line="500" w:lineRule="exact"/>
        <w:ind w:firstLine="482" w:firstLineChars="200"/>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br w:type="page"/>
      </w:r>
      <w:r>
        <w:rPr>
          <w:rFonts w:hint="eastAsia" w:ascii="宋体" w:hAnsi="宋体" w:eastAsia="宋体" w:cs="宋体"/>
          <w:b/>
          <w:bCs/>
          <w:color w:val="000000" w:themeColor="text1"/>
          <w:sz w:val="24"/>
          <w:szCs w:val="24"/>
          <w:highlight w:val="none"/>
          <w14:textFill>
            <w14:solidFill>
              <w14:schemeClr w14:val="tx1"/>
            </w14:solidFill>
          </w14:textFill>
        </w:rPr>
        <w:t>法定代表人授权委托书（投标人为法人）</w:t>
      </w:r>
    </w:p>
    <w:p w14:paraId="18043CE9">
      <w:pPr>
        <w:pStyle w:val="28"/>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05E14D5E">
      <w:pPr>
        <w:spacing w:line="50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__________________（</w:t>
      </w:r>
      <w:r>
        <w:rPr>
          <w:rFonts w:hint="eastAsia" w:ascii="宋体" w:hAnsi="宋体" w:eastAsia="宋体" w:cs="宋体"/>
          <w:bCs/>
          <w:color w:val="000000" w:themeColor="text1"/>
          <w:sz w:val="24"/>
          <w:szCs w:val="24"/>
          <w:highlight w:val="none"/>
          <w14:textFill>
            <w14:solidFill>
              <w14:schemeClr w14:val="tx1"/>
            </w14:solidFill>
          </w14:textFill>
        </w:rPr>
        <w:t>采购人</w:t>
      </w:r>
      <w:r>
        <w:rPr>
          <w:rFonts w:hint="eastAsia" w:ascii="宋体" w:hAnsi="宋体" w:eastAsia="宋体" w:cs="宋体"/>
          <w:color w:val="000000" w:themeColor="text1"/>
          <w:sz w:val="24"/>
          <w:szCs w:val="24"/>
          <w:highlight w:val="none"/>
          <w14:textFill>
            <w14:solidFill>
              <w14:schemeClr w14:val="tx1"/>
            </w14:solidFill>
          </w14:textFill>
        </w:rPr>
        <w:t>）：</w:t>
      </w:r>
    </w:p>
    <w:p w14:paraId="757BA9E0">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本授权声明：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（投标人名称）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（法定代表人姓名、职务）授权</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（被授权人姓名、职务）为我方 “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（项目名称、项目编号）</w:t>
      </w:r>
      <w:r>
        <w:rPr>
          <w:rFonts w:hint="eastAsia" w:ascii="宋体" w:hAnsi="宋体" w:eastAsia="宋体" w:cs="宋体"/>
          <w:color w:val="000000" w:themeColor="text1"/>
          <w:sz w:val="24"/>
          <w:szCs w:val="24"/>
          <w:highlight w:val="none"/>
          <w14:textFill>
            <w14:solidFill>
              <w14:schemeClr w14:val="tx1"/>
            </w14:solidFill>
          </w14:textFill>
        </w:rPr>
        <w:t>” 项目投标活动的合法代表，以我方名义全权处理该项目有关投标、签订合同以及执行合同等一切事宜。</w:t>
      </w:r>
    </w:p>
    <w:p w14:paraId="55778425">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被授权人</w:t>
      </w:r>
      <w:r>
        <w:rPr>
          <w:rFonts w:hint="eastAsia" w:ascii="宋体" w:hAnsi="宋体" w:eastAsia="宋体" w:cs="宋体"/>
          <w:color w:val="000000" w:themeColor="text1"/>
          <w:sz w:val="24"/>
          <w:szCs w:val="24"/>
          <w:highlight w:val="none"/>
          <w14:textFill>
            <w14:solidFill>
              <w14:schemeClr w14:val="tx1"/>
            </w14:solidFill>
          </w14:textFill>
        </w:rPr>
        <w:t>无权转让本授权，特此声明。</w:t>
      </w:r>
    </w:p>
    <w:p w14:paraId="2BCFE3D1">
      <w:pPr>
        <w:spacing w:line="5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附：法定代表人及被授权人身份证正反面</w:t>
      </w:r>
      <w:r>
        <w:rPr>
          <w:rFonts w:hint="eastAsia" w:ascii="宋体" w:hAnsi="宋体" w:eastAsia="宋体" w:cs="宋体"/>
          <w:color w:val="000000" w:themeColor="text1"/>
          <w:sz w:val="24"/>
          <w:szCs w:val="24"/>
          <w:highlight w:val="none"/>
          <w:lang w:eastAsia="zh-CN"/>
          <w14:textFill>
            <w14:solidFill>
              <w14:schemeClr w14:val="tx1"/>
            </w14:solidFill>
          </w14:textFill>
        </w:rPr>
        <w:t>复印件</w:t>
      </w:r>
    </w:p>
    <w:p w14:paraId="077340B7">
      <w:pPr>
        <w:pStyle w:val="28"/>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19F1AF20">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65DAF6B7">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法定代表人（</w:t>
      </w:r>
      <w:r>
        <w:rPr>
          <w:rFonts w:hint="eastAsia" w:ascii="宋体" w:hAnsi="宋体" w:eastAsia="宋体" w:cs="宋体"/>
          <w:color w:val="000000" w:themeColor="text1"/>
          <w:sz w:val="24"/>
          <w:szCs w:val="24"/>
          <w:highlight w:val="none"/>
          <w:lang w:eastAsia="zh-CN"/>
          <w14:textFill>
            <w14:solidFill>
              <w14:schemeClr w14:val="tx1"/>
            </w14:solidFill>
          </w14:textFill>
        </w:rPr>
        <w:t>签字或盖名章</w:t>
      </w:r>
      <w:r>
        <w:rPr>
          <w:rFonts w:hint="eastAsia" w:ascii="宋体" w:hAnsi="宋体" w:eastAsia="宋体" w:cs="宋体"/>
          <w:color w:val="000000" w:themeColor="text1"/>
          <w:sz w:val="24"/>
          <w:szCs w:val="24"/>
          <w:highlight w:val="none"/>
          <w14:textFill>
            <w14:solidFill>
              <w14:schemeClr w14:val="tx1"/>
            </w14:solidFill>
          </w14:textFill>
        </w:rPr>
        <w:t>）：</w:t>
      </w:r>
    </w:p>
    <w:p w14:paraId="166C46C2">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被授权人（签字）：</w:t>
      </w:r>
    </w:p>
    <w:p w14:paraId="1BD2E901">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投标人名称（</w:t>
      </w:r>
      <w:r>
        <w:rPr>
          <w:rFonts w:hint="eastAsia" w:ascii="宋体" w:hAnsi="宋体" w:eastAsia="宋体" w:cs="宋体"/>
          <w:color w:val="000000" w:themeColor="text1"/>
          <w:sz w:val="24"/>
          <w:szCs w:val="24"/>
          <w:highlight w:val="none"/>
          <w:lang w:eastAsia="zh-CN"/>
          <w14:textFill>
            <w14:solidFill>
              <w14:schemeClr w14:val="tx1"/>
            </w14:solidFill>
          </w14:textFill>
        </w:rPr>
        <w:t>盖公章</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53C70BF5">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日    期：  年   月   日</w:t>
      </w:r>
    </w:p>
    <w:p w14:paraId="2CDE560C">
      <w:pPr>
        <w:spacing w:line="500" w:lineRule="exact"/>
        <w:ind w:firstLine="480" w:firstLineChars="200"/>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br w:type="page"/>
      </w:r>
      <w:r>
        <w:rPr>
          <w:rFonts w:hint="eastAsia" w:ascii="宋体" w:hAnsi="宋体" w:eastAsia="宋体" w:cs="宋体"/>
          <w:b/>
          <w:bCs/>
          <w:color w:val="000000" w:themeColor="text1"/>
          <w:sz w:val="24"/>
          <w:szCs w:val="24"/>
          <w:highlight w:val="none"/>
          <w14:textFill>
            <w14:solidFill>
              <w14:schemeClr w14:val="tx1"/>
            </w14:solidFill>
          </w14:textFill>
        </w:rPr>
        <w:t>授权委托书（投标人为非法人）</w:t>
      </w:r>
    </w:p>
    <w:p w14:paraId="2ED3E5AB">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309F1E3C">
      <w:pPr>
        <w:spacing w:line="50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__________________（</w:t>
      </w:r>
      <w:r>
        <w:rPr>
          <w:rFonts w:hint="eastAsia" w:ascii="宋体" w:hAnsi="宋体" w:eastAsia="宋体" w:cs="宋体"/>
          <w:bCs/>
          <w:color w:val="000000" w:themeColor="text1"/>
          <w:sz w:val="24"/>
          <w:szCs w:val="24"/>
          <w:highlight w:val="none"/>
          <w14:textFill>
            <w14:solidFill>
              <w14:schemeClr w14:val="tx1"/>
            </w14:solidFill>
          </w14:textFill>
        </w:rPr>
        <w:t>采购人</w:t>
      </w:r>
      <w:r>
        <w:rPr>
          <w:rFonts w:hint="eastAsia" w:ascii="宋体" w:hAnsi="宋体" w:eastAsia="宋体" w:cs="宋体"/>
          <w:color w:val="000000" w:themeColor="text1"/>
          <w:sz w:val="24"/>
          <w:szCs w:val="24"/>
          <w:highlight w:val="none"/>
          <w14:textFill>
            <w14:solidFill>
              <w14:schemeClr w14:val="tx1"/>
            </w14:solidFill>
          </w14:textFill>
        </w:rPr>
        <w:t>）：</w:t>
      </w:r>
    </w:p>
    <w:p w14:paraId="0F21B45D">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本授权声明：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（投标人名称）授权</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（被授权人姓名、职务）</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为我方 “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（项目名称、项目编号）</w:t>
      </w:r>
      <w:r>
        <w:rPr>
          <w:rFonts w:hint="eastAsia" w:ascii="宋体" w:hAnsi="宋体" w:eastAsia="宋体" w:cs="宋体"/>
          <w:color w:val="000000" w:themeColor="text1"/>
          <w:sz w:val="24"/>
          <w:szCs w:val="24"/>
          <w:highlight w:val="none"/>
          <w14:textFill>
            <w14:solidFill>
              <w14:schemeClr w14:val="tx1"/>
            </w14:solidFill>
          </w14:textFill>
        </w:rPr>
        <w:t>” 项目投标活动的合法代表，以我方名义全权处理该项目有关投标、签订合同以及执行合同等一切事宜。</w:t>
      </w:r>
    </w:p>
    <w:p w14:paraId="22F7D1EC">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被授权人</w:t>
      </w:r>
      <w:r>
        <w:rPr>
          <w:rFonts w:hint="eastAsia" w:ascii="宋体" w:hAnsi="宋体" w:eastAsia="宋体" w:cs="宋体"/>
          <w:color w:val="000000" w:themeColor="text1"/>
          <w:sz w:val="24"/>
          <w:szCs w:val="24"/>
          <w:highlight w:val="none"/>
          <w14:textFill>
            <w14:solidFill>
              <w14:schemeClr w14:val="tx1"/>
            </w14:solidFill>
          </w14:textFill>
        </w:rPr>
        <w:t>无权转让本授权，特此声明。</w:t>
      </w:r>
    </w:p>
    <w:p w14:paraId="77196BD4">
      <w:pPr>
        <w:spacing w:line="500" w:lineRule="exact"/>
        <w:ind w:firstLine="480" w:firstLineChars="20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附：授权人及被授权人身份证正反面</w:t>
      </w:r>
      <w:r>
        <w:rPr>
          <w:rFonts w:hint="eastAsia" w:ascii="宋体" w:hAnsi="宋体" w:eastAsia="宋体" w:cs="宋体"/>
          <w:color w:val="000000" w:themeColor="text1"/>
          <w:sz w:val="24"/>
          <w:szCs w:val="24"/>
          <w:highlight w:val="none"/>
          <w:lang w:eastAsia="zh-CN"/>
          <w14:textFill>
            <w14:solidFill>
              <w14:schemeClr w14:val="tx1"/>
            </w14:solidFill>
          </w14:textFill>
        </w:rPr>
        <w:t>复印件</w:t>
      </w:r>
    </w:p>
    <w:p w14:paraId="45043971">
      <w:pPr>
        <w:pStyle w:val="28"/>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53B62F80">
      <w:pPr>
        <w:spacing w:line="50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504EB160">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授权人（</w:t>
      </w:r>
      <w:r>
        <w:rPr>
          <w:rFonts w:hint="eastAsia" w:ascii="宋体" w:hAnsi="宋体" w:eastAsia="宋体" w:cs="宋体"/>
          <w:color w:val="000000" w:themeColor="text1"/>
          <w:sz w:val="24"/>
          <w:szCs w:val="24"/>
          <w:highlight w:val="none"/>
          <w:lang w:eastAsia="zh-CN"/>
          <w14:textFill>
            <w14:solidFill>
              <w14:schemeClr w14:val="tx1"/>
            </w14:solidFill>
          </w14:textFill>
        </w:rPr>
        <w:t>签字或盖名章</w:t>
      </w:r>
      <w:r>
        <w:rPr>
          <w:rFonts w:hint="eastAsia" w:ascii="宋体" w:hAnsi="宋体" w:eastAsia="宋体" w:cs="宋体"/>
          <w:color w:val="000000" w:themeColor="text1"/>
          <w:sz w:val="24"/>
          <w:szCs w:val="24"/>
          <w:highlight w:val="none"/>
          <w14:textFill>
            <w14:solidFill>
              <w14:schemeClr w14:val="tx1"/>
            </w14:solidFill>
          </w14:textFill>
        </w:rPr>
        <w:t>）：</w:t>
      </w:r>
    </w:p>
    <w:p w14:paraId="0392C0CD">
      <w:pPr>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被授权人（签字）：   </w:t>
      </w:r>
    </w:p>
    <w:p w14:paraId="41C489C2">
      <w:pPr>
        <w:pStyle w:val="2"/>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日    期：   年   月   日</w:t>
      </w:r>
    </w:p>
    <w:p w14:paraId="09839635">
      <w:pPr>
        <w:keepNext/>
        <w:keepLines/>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p>
    <w:p w14:paraId="617359E6">
      <w:pPr>
        <w:spacing w:line="500" w:lineRule="exact"/>
        <w:ind w:firstLine="482" w:firstLineChars="200"/>
        <w:jc w:val="center"/>
        <w:outlineLvl w:val="1"/>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br w:type="page"/>
      </w:r>
      <w:r>
        <w:rPr>
          <w:rFonts w:hint="eastAsia" w:ascii="宋体" w:hAnsi="宋体" w:eastAsia="宋体" w:cs="宋体"/>
          <w:b/>
          <w:bCs/>
          <w:color w:val="000000" w:themeColor="text1"/>
          <w:sz w:val="24"/>
          <w:szCs w:val="24"/>
          <w:highlight w:val="none"/>
          <w14:textFill>
            <w14:solidFill>
              <w14:schemeClr w14:val="tx1"/>
            </w14:solidFill>
          </w14:textFill>
        </w:rPr>
        <w:t>三、投标报价明细表</w:t>
      </w:r>
    </w:p>
    <w:p w14:paraId="2D4639BA">
      <w:pPr>
        <w:spacing w:line="500" w:lineRule="exact"/>
        <w:jc w:val="lef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项目名称：                                     </w:t>
      </w:r>
    </w:p>
    <w:p w14:paraId="0503E963">
      <w:pPr>
        <w:spacing w:line="500" w:lineRule="exact"/>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货币单位：人民币元</w:t>
      </w:r>
    </w:p>
    <w:p w14:paraId="0D9D55E5">
      <w:pPr>
        <w:pStyle w:val="2"/>
        <w:rPr>
          <w:rFonts w:hint="eastAsia" w:ascii="宋体" w:hAnsi="宋体" w:eastAsia="宋体" w:cs="宋体"/>
          <w:color w:val="000000" w:themeColor="text1"/>
          <w:highlight w:val="none"/>
          <w14:textFill>
            <w14:solidFill>
              <w14:schemeClr w14:val="tx1"/>
            </w14:solidFill>
          </w14:textFill>
        </w:rPr>
      </w:pPr>
    </w:p>
    <w:tbl>
      <w:tblPr>
        <w:tblStyle w:val="29"/>
        <w:tblW w:w="9230" w:type="dxa"/>
        <w:tblInd w:w="-27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0"/>
        <w:gridCol w:w="1295"/>
        <w:gridCol w:w="1419"/>
        <w:gridCol w:w="1293"/>
        <w:gridCol w:w="1477"/>
        <w:gridCol w:w="1130"/>
        <w:gridCol w:w="1006"/>
        <w:gridCol w:w="840"/>
      </w:tblGrid>
      <w:tr w14:paraId="4C38F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770" w:type="dxa"/>
            <w:tcBorders>
              <w:top w:val="single" w:color="auto" w:sz="4" w:space="0"/>
              <w:left w:val="single" w:color="auto" w:sz="4" w:space="0"/>
              <w:bottom w:val="single" w:color="auto" w:sz="4" w:space="0"/>
              <w:right w:val="single" w:color="auto" w:sz="4" w:space="0"/>
            </w:tcBorders>
            <w:noWrap w:val="0"/>
            <w:vAlign w:val="center"/>
          </w:tcPr>
          <w:p w14:paraId="2FC24661">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r>
              <w:rPr>
                <w:rFonts w:hint="eastAsia" w:ascii="宋体" w:hAnsi="宋体" w:eastAsia="宋体" w:cs="宋体"/>
                <w:color w:val="000000" w:themeColor="text1"/>
                <w:sz w:val="24"/>
                <w:highlight w:val="none"/>
                <w:lang w:bidi="ar-SA"/>
                <w14:textFill>
                  <w14:solidFill>
                    <w14:schemeClr w14:val="tx1"/>
                  </w14:solidFill>
                </w14:textFill>
              </w:rPr>
              <w:t>序号</w:t>
            </w:r>
          </w:p>
        </w:tc>
        <w:tc>
          <w:tcPr>
            <w:tcW w:w="1295" w:type="dxa"/>
            <w:tcBorders>
              <w:top w:val="single" w:color="auto" w:sz="4" w:space="0"/>
              <w:left w:val="single" w:color="auto" w:sz="4" w:space="0"/>
              <w:bottom w:val="single" w:color="auto" w:sz="4" w:space="0"/>
              <w:right w:val="single" w:color="auto" w:sz="4" w:space="0"/>
            </w:tcBorders>
            <w:noWrap w:val="0"/>
            <w:vAlign w:val="center"/>
          </w:tcPr>
          <w:p w14:paraId="2137E0D4">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r>
              <w:rPr>
                <w:rFonts w:hint="eastAsia" w:ascii="宋体" w:hAnsi="宋体" w:eastAsia="宋体" w:cs="宋体"/>
                <w:color w:val="000000" w:themeColor="text1"/>
                <w:sz w:val="24"/>
                <w:highlight w:val="none"/>
                <w:lang w:bidi="ar-SA"/>
                <w14:textFill>
                  <w14:solidFill>
                    <w14:schemeClr w14:val="tx1"/>
                  </w14:solidFill>
                </w14:textFill>
              </w:rPr>
              <w:t>名称</w:t>
            </w:r>
          </w:p>
        </w:tc>
        <w:tc>
          <w:tcPr>
            <w:tcW w:w="1419" w:type="dxa"/>
            <w:tcBorders>
              <w:top w:val="single" w:color="auto" w:sz="4" w:space="0"/>
              <w:left w:val="single" w:color="auto" w:sz="4" w:space="0"/>
              <w:bottom w:val="single" w:color="auto" w:sz="4" w:space="0"/>
              <w:right w:val="single" w:color="auto" w:sz="4" w:space="0"/>
            </w:tcBorders>
            <w:noWrap w:val="0"/>
            <w:vAlign w:val="center"/>
          </w:tcPr>
          <w:p w14:paraId="068A02E0">
            <w:pPr>
              <w:spacing w:line="360" w:lineRule="auto"/>
              <w:rPr>
                <w:rFonts w:hint="eastAsia" w:ascii="宋体" w:hAnsi="宋体" w:eastAsia="宋体" w:cs="宋体"/>
                <w:color w:val="000000" w:themeColor="text1"/>
                <w:sz w:val="24"/>
                <w:highlight w:val="none"/>
                <w:lang w:bidi="ar-SA"/>
                <w14:textFill>
                  <w14:solidFill>
                    <w14:schemeClr w14:val="tx1"/>
                  </w14:solidFill>
                </w14:textFill>
              </w:rPr>
            </w:pPr>
            <w:r>
              <w:rPr>
                <w:rFonts w:hint="eastAsia" w:ascii="宋体" w:hAnsi="宋体" w:eastAsia="宋体" w:cs="宋体"/>
                <w:color w:val="000000" w:themeColor="text1"/>
                <w:sz w:val="24"/>
                <w:highlight w:val="none"/>
                <w:lang w:bidi="ar-SA"/>
                <w14:textFill>
                  <w14:solidFill>
                    <w14:schemeClr w14:val="tx1"/>
                  </w14:solidFill>
                </w14:textFill>
              </w:rPr>
              <w:t>规格和型号</w:t>
            </w:r>
          </w:p>
        </w:tc>
        <w:tc>
          <w:tcPr>
            <w:tcW w:w="1293" w:type="dxa"/>
            <w:tcBorders>
              <w:top w:val="single" w:color="auto" w:sz="4" w:space="0"/>
              <w:left w:val="single" w:color="auto" w:sz="4" w:space="0"/>
              <w:bottom w:val="single" w:color="auto" w:sz="4" w:space="0"/>
              <w:right w:val="single" w:color="auto" w:sz="4" w:space="0"/>
            </w:tcBorders>
            <w:noWrap w:val="0"/>
            <w:vAlign w:val="center"/>
          </w:tcPr>
          <w:p w14:paraId="57841A53">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r>
              <w:rPr>
                <w:rFonts w:hint="eastAsia" w:ascii="宋体" w:hAnsi="宋体" w:eastAsia="宋体" w:cs="宋体"/>
                <w:color w:val="000000" w:themeColor="text1"/>
                <w:sz w:val="24"/>
                <w:highlight w:val="none"/>
                <w:lang w:bidi="ar-SA"/>
                <w14:textFill>
                  <w14:solidFill>
                    <w14:schemeClr w14:val="tx1"/>
                  </w14:solidFill>
                </w14:textFill>
              </w:rPr>
              <w:t>品牌</w:t>
            </w:r>
          </w:p>
        </w:tc>
        <w:tc>
          <w:tcPr>
            <w:tcW w:w="1477" w:type="dxa"/>
            <w:tcBorders>
              <w:top w:val="single" w:color="auto" w:sz="4" w:space="0"/>
              <w:left w:val="single" w:color="auto" w:sz="4" w:space="0"/>
              <w:bottom w:val="single" w:color="auto" w:sz="4" w:space="0"/>
              <w:right w:val="single" w:color="auto" w:sz="4" w:space="0"/>
            </w:tcBorders>
            <w:noWrap w:val="0"/>
            <w:vAlign w:val="center"/>
          </w:tcPr>
          <w:p w14:paraId="64F96890">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r>
              <w:rPr>
                <w:rFonts w:hint="eastAsia" w:ascii="宋体" w:hAnsi="宋体" w:eastAsia="宋体" w:cs="宋体"/>
                <w:color w:val="000000" w:themeColor="text1"/>
                <w:sz w:val="24"/>
                <w:highlight w:val="none"/>
                <w:lang w:bidi="ar-SA"/>
                <w14:textFill>
                  <w14:solidFill>
                    <w14:schemeClr w14:val="tx1"/>
                  </w14:solidFill>
                </w14:textFill>
              </w:rPr>
              <w:t>数量</w:t>
            </w:r>
          </w:p>
        </w:tc>
        <w:tc>
          <w:tcPr>
            <w:tcW w:w="1130" w:type="dxa"/>
            <w:tcBorders>
              <w:top w:val="single" w:color="auto" w:sz="4" w:space="0"/>
              <w:left w:val="single" w:color="auto" w:sz="4" w:space="0"/>
              <w:bottom w:val="single" w:color="auto" w:sz="4" w:space="0"/>
              <w:right w:val="single" w:color="auto" w:sz="4" w:space="0"/>
            </w:tcBorders>
            <w:noWrap w:val="0"/>
            <w:vAlign w:val="center"/>
          </w:tcPr>
          <w:p w14:paraId="38B42597">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r>
              <w:rPr>
                <w:rFonts w:hint="eastAsia" w:ascii="宋体" w:hAnsi="宋体" w:eastAsia="宋体" w:cs="宋体"/>
                <w:color w:val="000000" w:themeColor="text1"/>
                <w:sz w:val="24"/>
                <w:highlight w:val="none"/>
                <w:lang w:bidi="ar-SA"/>
                <w14:textFill>
                  <w14:solidFill>
                    <w14:schemeClr w14:val="tx1"/>
                  </w14:solidFill>
                </w14:textFill>
              </w:rPr>
              <w:t>单价</w:t>
            </w:r>
          </w:p>
        </w:tc>
        <w:tc>
          <w:tcPr>
            <w:tcW w:w="1006" w:type="dxa"/>
            <w:tcBorders>
              <w:top w:val="single" w:color="auto" w:sz="4" w:space="0"/>
              <w:left w:val="single" w:color="auto" w:sz="4" w:space="0"/>
              <w:bottom w:val="single" w:color="auto" w:sz="4" w:space="0"/>
              <w:right w:val="single" w:color="auto" w:sz="4" w:space="0"/>
            </w:tcBorders>
            <w:noWrap w:val="0"/>
            <w:vAlign w:val="center"/>
          </w:tcPr>
          <w:p w14:paraId="7C751B81">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r>
              <w:rPr>
                <w:rFonts w:hint="eastAsia" w:ascii="宋体" w:hAnsi="宋体" w:eastAsia="宋体" w:cs="宋体"/>
                <w:color w:val="000000" w:themeColor="text1"/>
                <w:sz w:val="24"/>
                <w:highlight w:val="none"/>
                <w:lang w:bidi="ar-SA"/>
                <w14:textFill>
                  <w14:solidFill>
                    <w14:schemeClr w14:val="tx1"/>
                  </w14:solidFill>
                </w14:textFill>
              </w:rPr>
              <w:t>总价</w:t>
            </w:r>
          </w:p>
        </w:tc>
        <w:tc>
          <w:tcPr>
            <w:tcW w:w="840" w:type="dxa"/>
            <w:tcBorders>
              <w:top w:val="single" w:color="auto" w:sz="4" w:space="0"/>
              <w:left w:val="single" w:color="auto" w:sz="4" w:space="0"/>
              <w:bottom w:val="single" w:color="auto" w:sz="4" w:space="0"/>
              <w:right w:val="single" w:color="auto" w:sz="4" w:space="0"/>
            </w:tcBorders>
            <w:noWrap w:val="0"/>
            <w:vAlign w:val="center"/>
          </w:tcPr>
          <w:p w14:paraId="3B15C3E0">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r>
              <w:rPr>
                <w:rFonts w:hint="eastAsia" w:ascii="宋体" w:hAnsi="宋体" w:eastAsia="宋体" w:cs="宋体"/>
                <w:color w:val="000000" w:themeColor="text1"/>
                <w:sz w:val="24"/>
                <w:highlight w:val="none"/>
                <w:lang w:bidi="ar-SA"/>
                <w14:textFill>
                  <w14:solidFill>
                    <w14:schemeClr w14:val="tx1"/>
                  </w14:solidFill>
                </w14:textFill>
              </w:rPr>
              <w:t>备注</w:t>
            </w:r>
          </w:p>
        </w:tc>
      </w:tr>
      <w:tr w14:paraId="15C80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770" w:type="dxa"/>
            <w:tcBorders>
              <w:top w:val="single" w:color="auto" w:sz="4" w:space="0"/>
              <w:left w:val="single" w:color="auto" w:sz="4" w:space="0"/>
              <w:bottom w:val="single" w:color="auto" w:sz="4" w:space="0"/>
              <w:right w:val="single" w:color="auto" w:sz="4" w:space="0"/>
            </w:tcBorders>
            <w:noWrap w:val="0"/>
            <w:vAlign w:val="center"/>
          </w:tcPr>
          <w:p w14:paraId="430956E4">
            <w:pPr>
              <w:spacing w:line="360" w:lineRule="auto"/>
              <w:jc w:val="center"/>
              <w:rPr>
                <w:rFonts w:hint="eastAsia" w:ascii="宋体" w:hAnsi="宋体" w:eastAsia="宋体" w:cs="宋体"/>
                <w:color w:val="000000" w:themeColor="text1"/>
                <w:sz w:val="24"/>
                <w:highlight w:val="none"/>
                <w:lang w:val="en-US" w:eastAsia="zh-CN" w:bidi="ar-SA"/>
                <w14:textFill>
                  <w14:solidFill>
                    <w14:schemeClr w14:val="tx1"/>
                  </w14:solidFill>
                </w14:textFill>
              </w:rPr>
            </w:pPr>
            <w:r>
              <w:rPr>
                <w:rFonts w:hint="eastAsia" w:ascii="宋体" w:hAnsi="宋体" w:eastAsia="宋体" w:cs="宋体"/>
                <w:color w:val="000000" w:themeColor="text1"/>
                <w:sz w:val="24"/>
                <w:highlight w:val="none"/>
                <w:lang w:val="en-US" w:eastAsia="zh-CN" w:bidi="ar-SA"/>
                <w14:textFill>
                  <w14:solidFill>
                    <w14:schemeClr w14:val="tx1"/>
                  </w14:solidFill>
                </w14:textFill>
              </w:rPr>
              <w:t>1</w:t>
            </w:r>
          </w:p>
        </w:tc>
        <w:tc>
          <w:tcPr>
            <w:tcW w:w="1295" w:type="dxa"/>
            <w:tcBorders>
              <w:top w:val="single" w:color="auto" w:sz="4" w:space="0"/>
              <w:left w:val="single" w:color="auto" w:sz="4" w:space="0"/>
              <w:bottom w:val="single" w:color="auto" w:sz="4" w:space="0"/>
              <w:right w:val="single" w:color="auto" w:sz="4" w:space="0"/>
            </w:tcBorders>
            <w:noWrap w:val="0"/>
            <w:vAlign w:val="center"/>
          </w:tcPr>
          <w:p w14:paraId="510E75C3">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419" w:type="dxa"/>
            <w:tcBorders>
              <w:top w:val="single" w:color="auto" w:sz="4" w:space="0"/>
              <w:left w:val="single" w:color="auto" w:sz="4" w:space="0"/>
              <w:bottom w:val="single" w:color="auto" w:sz="4" w:space="0"/>
              <w:right w:val="single" w:color="auto" w:sz="4" w:space="0"/>
            </w:tcBorders>
            <w:noWrap w:val="0"/>
            <w:vAlign w:val="top"/>
          </w:tcPr>
          <w:p w14:paraId="12C71115">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293" w:type="dxa"/>
            <w:tcBorders>
              <w:top w:val="single" w:color="auto" w:sz="4" w:space="0"/>
              <w:left w:val="single" w:color="auto" w:sz="4" w:space="0"/>
              <w:bottom w:val="single" w:color="auto" w:sz="4" w:space="0"/>
              <w:right w:val="single" w:color="auto" w:sz="4" w:space="0"/>
            </w:tcBorders>
            <w:noWrap w:val="0"/>
            <w:vAlign w:val="center"/>
          </w:tcPr>
          <w:p w14:paraId="5625DE19">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477" w:type="dxa"/>
            <w:tcBorders>
              <w:top w:val="single" w:color="auto" w:sz="4" w:space="0"/>
              <w:left w:val="single" w:color="auto" w:sz="4" w:space="0"/>
              <w:bottom w:val="single" w:color="auto" w:sz="4" w:space="0"/>
              <w:right w:val="single" w:color="auto" w:sz="4" w:space="0"/>
            </w:tcBorders>
            <w:noWrap w:val="0"/>
            <w:vAlign w:val="center"/>
          </w:tcPr>
          <w:p w14:paraId="51432A99">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130" w:type="dxa"/>
            <w:tcBorders>
              <w:top w:val="single" w:color="auto" w:sz="4" w:space="0"/>
              <w:left w:val="single" w:color="auto" w:sz="4" w:space="0"/>
              <w:bottom w:val="single" w:color="auto" w:sz="4" w:space="0"/>
              <w:right w:val="single" w:color="auto" w:sz="4" w:space="0"/>
            </w:tcBorders>
            <w:noWrap w:val="0"/>
            <w:vAlign w:val="center"/>
          </w:tcPr>
          <w:p w14:paraId="7FDD0542">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006" w:type="dxa"/>
            <w:tcBorders>
              <w:top w:val="single" w:color="auto" w:sz="4" w:space="0"/>
              <w:left w:val="single" w:color="auto" w:sz="4" w:space="0"/>
              <w:bottom w:val="single" w:color="auto" w:sz="4" w:space="0"/>
              <w:right w:val="single" w:color="auto" w:sz="4" w:space="0"/>
            </w:tcBorders>
            <w:noWrap w:val="0"/>
            <w:vAlign w:val="center"/>
          </w:tcPr>
          <w:p w14:paraId="48129131">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840" w:type="dxa"/>
            <w:tcBorders>
              <w:top w:val="single" w:color="auto" w:sz="4" w:space="0"/>
              <w:left w:val="single" w:color="auto" w:sz="4" w:space="0"/>
              <w:bottom w:val="single" w:color="auto" w:sz="4" w:space="0"/>
              <w:right w:val="single" w:color="auto" w:sz="4" w:space="0"/>
            </w:tcBorders>
            <w:noWrap w:val="0"/>
            <w:vAlign w:val="center"/>
          </w:tcPr>
          <w:p w14:paraId="33A7192A">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r>
      <w:tr w14:paraId="02A874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770" w:type="dxa"/>
            <w:tcBorders>
              <w:top w:val="single" w:color="auto" w:sz="4" w:space="0"/>
              <w:left w:val="single" w:color="auto" w:sz="4" w:space="0"/>
              <w:bottom w:val="single" w:color="auto" w:sz="4" w:space="0"/>
              <w:right w:val="single" w:color="auto" w:sz="4" w:space="0"/>
            </w:tcBorders>
            <w:noWrap w:val="0"/>
            <w:vAlign w:val="center"/>
          </w:tcPr>
          <w:p w14:paraId="43473064">
            <w:pPr>
              <w:spacing w:line="360" w:lineRule="auto"/>
              <w:jc w:val="center"/>
              <w:rPr>
                <w:rFonts w:hint="eastAsia" w:ascii="宋体" w:hAnsi="宋体" w:eastAsia="宋体" w:cs="宋体"/>
                <w:color w:val="000000" w:themeColor="text1"/>
                <w:sz w:val="24"/>
                <w:highlight w:val="none"/>
                <w:lang w:val="en-US" w:eastAsia="zh-CN" w:bidi="ar-SA"/>
                <w14:textFill>
                  <w14:solidFill>
                    <w14:schemeClr w14:val="tx1"/>
                  </w14:solidFill>
                </w14:textFill>
              </w:rPr>
            </w:pPr>
            <w:r>
              <w:rPr>
                <w:rFonts w:hint="eastAsia" w:ascii="宋体" w:hAnsi="宋体" w:eastAsia="宋体" w:cs="宋体"/>
                <w:color w:val="000000" w:themeColor="text1"/>
                <w:sz w:val="24"/>
                <w:highlight w:val="none"/>
                <w:lang w:val="en-US" w:eastAsia="zh-CN" w:bidi="ar-SA"/>
                <w14:textFill>
                  <w14:solidFill>
                    <w14:schemeClr w14:val="tx1"/>
                  </w14:solidFill>
                </w14:textFill>
              </w:rPr>
              <w:t>2</w:t>
            </w:r>
          </w:p>
        </w:tc>
        <w:tc>
          <w:tcPr>
            <w:tcW w:w="1295" w:type="dxa"/>
            <w:tcBorders>
              <w:top w:val="single" w:color="auto" w:sz="4" w:space="0"/>
              <w:left w:val="single" w:color="auto" w:sz="4" w:space="0"/>
              <w:bottom w:val="single" w:color="auto" w:sz="4" w:space="0"/>
              <w:right w:val="single" w:color="auto" w:sz="4" w:space="0"/>
            </w:tcBorders>
            <w:noWrap w:val="0"/>
            <w:vAlign w:val="center"/>
          </w:tcPr>
          <w:p w14:paraId="38C1CD45">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419" w:type="dxa"/>
            <w:tcBorders>
              <w:top w:val="single" w:color="auto" w:sz="4" w:space="0"/>
              <w:left w:val="single" w:color="auto" w:sz="4" w:space="0"/>
              <w:bottom w:val="single" w:color="auto" w:sz="4" w:space="0"/>
              <w:right w:val="single" w:color="auto" w:sz="4" w:space="0"/>
            </w:tcBorders>
            <w:noWrap w:val="0"/>
            <w:vAlign w:val="top"/>
          </w:tcPr>
          <w:p w14:paraId="36DF7BED">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293" w:type="dxa"/>
            <w:tcBorders>
              <w:top w:val="single" w:color="auto" w:sz="4" w:space="0"/>
              <w:left w:val="single" w:color="auto" w:sz="4" w:space="0"/>
              <w:bottom w:val="single" w:color="auto" w:sz="4" w:space="0"/>
              <w:right w:val="single" w:color="auto" w:sz="4" w:space="0"/>
            </w:tcBorders>
            <w:noWrap w:val="0"/>
            <w:vAlign w:val="center"/>
          </w:tcPr>
          <w:p w14:paraId="0AB9CB09">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477" w:type="dxa"/>
            <w:tcBorders>
              <w:top w:val="single" w:color="auto" w:sz="4" w:space="0"/>
              <w:left w:val="single" w:color="auto" w:sz="4" w:space="0"/>
              <w:bottom w:val="single" w:color="auto" w:sz="4" w:space="0"/>
              <w:right w:val="single" w:color="auto" w:sz="4" w:space="0"/>
            </w:tcBorders>
            <w:noWrap w:val="0"/>
            <w:vAlign w:val="center"/>
          </w:tcPr>
          <w:p w14:paraId="1AB8A368">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130" w:type="dxa"/>
            <w:tcBorders>
              <w:top w:val="single" w:color="auto" w:sz="4" w:space="0"/>
              <w:left w:val="single" w:color="auto" w:sz="4" w:space="0"/>
              <w:bottom w:val="single" w:color="auto" w:sz="4" w:space="0"/>
              <w:right w:val="single" w:color="auto" w:sz="4" w:space="0"/>
            </w:tcBorders>
            <w:noWrap w:val="0"/>
            <w:vAlign w:val="center"/>
          </w:tcPr>
          <w:p w14:paraId="6C0D4D02">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006" w:type="dxa"/>
            <w:tcBorders>
              <w:top w:val="single" w:color="auto" w:sz="4" w:space="0"/>
              <w:left w:val="single" w:color="auto" w:sz="4" w:space="0"/>
              <w:bottom w:val="single" w:color="auto" w:sz="4" w:space="0"/>
              <w:right w:val="single" w:color="auto" w:sz="4" w:space="0"/>
            </w:tcBorders>
            <w:noWrap w:val="0"/>
            <w:vAlign w:val="center"/>
          </w:tcPr>
          <w:p w14:paraId="5362AF91">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840" w:type="dxa"/>
            <w:tcBorders>
              <w:top w:val="single" w:color="auto" w:sz="4" w:space="0"/>
              <w:left w:val="single" w:color="auto" w:sz="4" w:space="0"/>
              <w:bottom w:val="single" w:color="auto" w:sz="4" w:space="0"/>
              <w:right w:val="single" w:color="auto" w:sz="4" w:space="0"/>
            </w:tcBorders>
            <w:noWrap w:val="0"/>
            <w:vAlign w:val="center"/>
          </w:tcPr>
          <w:p w14:paraId="1B1DFE4C">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r>
      <w:tr w14:paraId="2F454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770" w:type="dxa"/>
            <w:tcBorders>
              <w:top w:val="single" w:color="auto" w:sz="4" w:space="0"/>
              <w:left w:val="single" w:color="auto" w:sz="4" w:space="0"/>
              <w:bottom w:val="single" w:color="auto" w:sz="4" w:space="0"/>
              <w:right w:val="single" w:color="auto" w:sz="4" w:space="0"/>
            </w:tcBorders>
            <w:noWrap w:val="0"/>
            <w:vAlign w:val="center"/>
          </w:tcPr>
          <w:p w14:paraId="093BA4A5">
            <w:pPr>
              <w:spacing w:line="360" w:lineRule="auto"/>
              <w:jc w:val="center"/>
              <w:rPr>
                <w:rFonts w:hint="eastAsia" w:ascii="宋体" w:hAnsi="宋体" w:eastAsia="宋体" w:cs="宋体"/>
                <w:color w:val="000000" w:themeColor="text1"/>
                <w:sz w:val="24"/>
                <w:highlight w:val="none"/>
                <w:lang w:val="en-US" w:eastAsia="zh-CN" w:bidi="ar-SA"/>
                <w14:textFill>
                  <w14:solidFill>
                    <w14:schemeClr w14:val="tx1"/>
                  </w14:solidFill>
                </w14:textFill>
              </w:rPr>
            </w:pPr>
            <w:r>
              <w:rPr>
                <w:rFonts w:hint="eastAsia" w:ascii="宋体" w:hAnsi="宋体" w:eastAsia="宋体" w:cs="宋体"/>
                <w:color w:val="000000" w:themeColor="text1"/>
                <w:sz w:val="24"/>
                <w:highlight w:val="none"/>
                <w:lang w:val="en-US" w:eastAsia="zh-CN" w:bidi="ar-SA"/>
                <w14:textFill>
                  <w14:solidFill>
                    <w14:schemeClr w14:val="tx1"/>
                  </w14:solidFill>
                </w14:textFill>
              </w:rPr>
              <w:t>3</w:t>
            </w:r>
          </w:p>
        </w:tc>
        <w:tc>
          <w:tcPr>
            <w:tcW w:w="1295" w:type="dxa"/>
            <w:tcBorders>
              <w:top w:val="single" w:color="auto" w:sz="4" w:space="0"/>
              <w:left w:val="single" w:color="auto" w:sz="4" w:space="0"/>
              <w:bottom w:val="single" w:color="auto" w:sz="4" w:space="0"/>
              <w:right w:val="single" w:color="auto" w:sz="4" w:space="0"/>
            </w:tcBorders>
            <w:noWrap w:val="0"/>
            <w:vAlign w:val="center"/>
          </w:tcPr>
          <w:p w14:paraId="600F5C45">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419" w:type="dxa"/>
            <w:tcBorders>
              <w:top w:val="single" w:color="auto" w:sz="4" w:space="0"/>
              <w:left w:val="single" w:color="auto" w:sz="4" w:space="0"/>
              <w:bottom w:val="single" w:color="auto" w:sz="4" w:space="0"/>
              <w:right w:val="single" w:color="auto" w:sz="4" w:space="0"/>
            </w:tcBorders>
            <w:noWrap w:val="0"/>
            <w:vAlign w:val="top"/>
          </w:tcPr>
          <w:p w14:paraId="3A7AEB6F">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293" w:type="dxa"/>
            <w:tcBorders>
              <w:top w:val="single" w:color="auto" w:sz="4" w:space="0"/>
              <w:left w:val="single" w:color="auto" w:sz="4" w:space="0"/>
              <w:bottom w:val="single" w:color="auto" w:sz="4" w:space="0"/>
              <w:right w:val="single" w:color="auto" w:sz="4" w:space="0"/>
            </w:tcBorders>
            <w:noWrap w:val="0"/>
            <w:vAlign w:val="center"/>
          </w:tcPr>
          <w:p w14:paraId="4DE81FD6">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477" w:type="dxa"/>
            <w:tcBorders>
              <w:top w:val="single" w:color="auto" w:sz="4" w:space="0"/>
              <w:left w:val="single" w:color="auto" w:sz="4" w:space="0"/>
              <w:bottom w:val="single" w:color="auto" w:sz="4" w:space="0"/>
              <w:right w:val="single" w:color="auto" w:sz="4" w:space="0"/>
            </w:tcBorders>
            <w:noWrap w:val="0"/>
            <w:vAlign w:val="center"/>
          </w:tcPr>
          <w:p w14:paraId="0458EF7A">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130" w:type="dxa"/>
            <w:tcBorders>
              <w:top w:val="single" w:color="auto" w:sz="4" w:space="0"/>
              <w:left w:val="single" w:color="auto" w:sz="4" w:space="0"/>
              <w:bottom w:val="single" w:color="auto" w:sz="4" w:space="0"/>
              <w:right w:val="single" w:color="auto" w:sz="4" w:space="0"/>
            </w:tcBorders>
            <w:noWrap w:val="0"/>
            <w:vAlign w:val="center"/>
          </w:tcPr>
          <w:p w14:paraId="1E28EE98">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006" w:type="dxa"/>
            <w:tcBorders>
              <w:top w:val="single" w:color="auto" w:sz="4" w:space="0"/>
              <w:left w:val="single" w:color="auto" w:sz="4" w:space="0"/>
              <w:bottom w:val="single" w:color="auto" w:sz="4" w:space="0"/>
              <w:right w:val="single" w:color="auto" w:sz="4" w:space="0"/>
            </w:tcBorders>
            <w:noWrap w:val="0"/>
            <w:vAlign w:val="center"/>
          </w:tcPr>
          <w:p w14:paraId="750271BF">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840" w:type="dxa"/>
            <w:tcBorders>
              <w:top w:val="single" w:color="auto" w:sz="4" w:space="0"/>
              <w:left w:val="single" w:color="auto" w:sz="4" w:space="0"/>
              <w:bottom w:val="single" w:color="auto" w:sz="4" w:space="0"/>
              <w:right w:val="single" w:color="auto" w:sz="4" w:space="0"/>
            </w:tcBorders>
            <w:noWrap w:val="0"/>
            <w:vAlign w:val="center"/>
          </w:tcPr>
          <w:p w14:paraId="57DEE6F3">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r>
      <w:tr w14:paraId="3BF9D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770" w:type="dxa"/>
            <w:tcBorders>
              <w:top w:val="single" w:color="auto" w:sz="4" w:space="0"/>
              <w:left w:val="single" w:color="auto" w:sz="4" w:space="0"/>
              <w:bottom w:val="single" w:color="auto" w:sz="4" w:space="0"/>
              <w:right w:val="single" w:color="auto" w:sz="4" w:space="0"/>
            </w:tcBorders>
            <w:noWrap w:val="0"/>
            <w:vAlign w:val="center"/>
          </w:tcPr>
          <w:p w14:paraId="5585B8CF">
            <w:pPr>
              <w:spacing w:line="360" w:lineRule="auto"/>
              <w:jc w:val="center"/>
              <w:rPr>
                <w:rFonts w:hint="eastAsia" w:ascii="宋体" w:hAnsi="宋体" w:eastAsia="宋体" w:cs="宋体"/>
                <w:color w:val="000000" w:themeColor="text1"/>
                <w:sz w:val="24"/>
                <w:highlight w:val="none"/>
                <w:lang w:val="en-US" w:eastAsia="zh-CN" w:bidi="ar-SA"/>
                <w14:textFill>
                  <w14:solidFill>
                    <w14:schemeClr w14:val="tx1"/>
                  </w14:solidFill>
                </w14:textFill>
              </w:rPr>
            </w:pPr>
            <w:r>
              <w:rPr>
                <w:rFonts w:hint="eastAsia" w:ascii="宋体" w:hAnsi="宋体" w:eastAsia="宋体" w:cs="宋体"/>
                <w:color w:val="000000" w:themeColor="text1"/>
                <w:sz w:val="24"/>
                <w:highlight w:val="none"/>
                <w:lang w:val="en-US" w:eastAsia="zh-CN" w:bidi="ar-SA"/>
                <w14:textFill>
                  <w14:solidFill>
                    <w14:schemeClr w14:val="tx1"/>
                  </w14:solidFill>
                </w14:textFill>
              </w:rPr>
              <w:t>...</w:t>
            </w:r>
          </w:p>
        </w:tc>
        <w:tc>
          <w:tcPr>
            <w:tcW w:w="1295" w:type="dxa"/>
            <w:tcBorders>
              <w:top w:val="single" w:color="auto" w:sz="4" w:space="0"/>
              <w:left w:val="single" w:color="auto" w:sz="4" w:space="0"/>
              <w:bottom w:val="single" w:color="auto" w:sz="4" w:space="0"/>
              <w:right w:val="single" w:color="auto" w:sz="4" w:space="0"/>
            </w:tcBorders>
            <w:noWrap w:val="0"/>
            <w:vAlign w:val="center"/>
          </w:tcPr>
          <w:p w14:paraId="28EBAD8E">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419" w:type="dxa"/>
            <w:tcBorders>
              <w:top w:val="single" w:color="auto" w:sz="4" w:space="0"/>
              <w:left w:val="single" w:color="auto" w:sz="4" w:space="0"/>
              <w:bottom w:val="single" w:color="auto" w:sz="4" w:space="0"/>
              <w:right w:val="single" w:color="auto" w:sz="4" w:space="0"/>
            </w:tcBorders>
            <w:noWrap w:val="0"/>
            <w:vAlign w:val="top"/>
          </w:tcPr>
          <w:p w14:paraId="285B2E0C">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293" w:type="dxa"/>
            <w:tcBorders>
              <w:top w:val="single" w:color="auto" w:sz="4" w:space="0"/>
              <w:left w:val="single" w:color="auto" w:sz="4" w:space="0"/>
              <w:bottom w:val="single" w:color="auto" w:sz="4" w:space="0"/>
              <w:right w:val="single" w:color="auto" w:sz="4" w:space="0"/>
            </w:tcBorders>
            <w:noWrap w:val="0"/>
            <w:vAlign w:val="center"/>
          </w:tcPr>
          <w:p w14:paraId="2F2A0FBF">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477" w:type="dxa"/>
            <w:tcBorders>
              <w:top w:val="single" w:color="auto" w:sz="4" w:space="0"/>
              <w:left w:val="single" w:color="auto" w:sz="4" w:space="0"/>
              <w:bottom w:val="single" w:color="auto" w:sz="4" w:space="0"/>
              <w:right w:val="single" w:color="auto" w:sz="4" w:space="0"/>
            </w:tcBorders>
            <w:noWrap w:val="0"/>
            <w:vAlign w:val="center"/>
          </w:tcPr>
          <w:p w14:paraId="35B4E0A8">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130" w:type="dxa"/>
            <w:tcBorders>
              <w:top w:val="single" w:color="auto" w:sz="4" w:space="0"/>
              <w:left w:val="single" w:color="auto" w:sz="4" w:space="0"/>
              <w:bottom w:val="single" w:color="auto" w:sz="4" w:space="0"/>
              <w:right w:val="single" w:color="auto" w:sz="4" w:space="0"/>
            </w:tcBorders>
            <w:noWrap w:val="0"/>
            <w:vAlign w:val="center"/>
          </w:tcPr>
          <w:p w14:paraId="06AD7C16">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1006" w:type="dxa"/>
            <w:tcBorders>
              <w:top w:val="single" w:color="auto" w:sz="4" w:space="0"/>
              <w:left w:val="single" w:color="auto" w:sz="4" w:space="0"/>
              <w:bottom w:val="single" w:color="auto" w:sz="4" w:space="0"/>
              <w:right w:val="single" w:color="auto" w:sz="4" w:space="0"/>
            </w:tcBorders>
            <w:noWrap w:val="0"/>
            <w:vAlign w:val="center"/>
          </w:tcPr>
          <w:p w14:paraId="175B1172">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c>
          <w:tcPr>
            <w:tcW w:w="840" w:type="dxa"/>
            <w:tcBorders>
              <w:top w:val="single" w:color="auto" w:sz="4" w:space="0"/>
              <w:left w:val="single" w:color="auto" w:sz="4" w:space="0"/>
              <w:bottom w:val="single" w:color="auto" w:sz="4" w:space="0"/>
              <w:right w:val="single" w:color="auto" w:sz="4" w:space="0"/>
            </w:tcBorders>
            <w:noWrap w:val="0"/>
            <w:vAlign w:val="center"/>
          </w:tcPr>
          <w:p w14:paraId="3896A026">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r>
      <w:tr w14:paraId="57350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2065" w:type="dxa"/>
            <w:gridSpan w:val="2"/>
            <w:tcBorders>
              <w:top w:val="single" w:color="auto" w:sz="4" w:space="0"/>
              <w:left w:val="single" w:color="auto" w:sz="4" w:space="0"/>
              <w:bottom w:val="single" w:color="auto" w:sz="4" w:space="0"/>
              <w:right w:val="single" w:color="auto" w:sz="4" w:space="0"/>
            </w:tcBorders>
            <w:noWrap w:val="0"/>
            <w:vAlign w:val="center"/>
          </w:tcPr>
          <w:p w14:paraId="5B32752E">
            <w:pPr>
              <w:spacing w:line="360" w:lineRule="auto"/>
              <w:jc w:val="center"/>
              <w:rPr>
                <w:rFonts w:hint="eastAsia" w:ascii="宋体" w:hAnsi="宋体" w:eastAsia="宋体" w:cs="宋体"/>
                <w:color w:val="000000" w:themeColor="text1"/>
                <w:sz w:val="24"/>
                <w:highlight w:val="none"/>
                <w:lang w:eastAsia="zh-CN" w:bidi="ar-SA"/>
                <w14:textFill>
                  <w14:solidFill>
                    <w14:schemeClr w14:val="tx1"/>
                  </w14:solidFill>
                </w14:textFill>
              </w:rPr>
            </w:pPr>
            <w:r>
              <w:rPr>
                <w:rFonts w:hint="eastAsia" w:ascii="宋体" w:hAnsi="宋体" w:eastAsia="宋体" w:cs="宋体"/>
                <w:color w:val="000000" w:themeColor="text1"/>
                <w:sz w:val="24"/>
                <w:highlight w:val="none"/>
                <w:lang w:eastAsia="zh-CN" w:bidi="ar-SA"/>
                <w14:textFill>
                  <w14:solidFill>
                    <w14:schemeClr w14:val="tx1"/>
                  </w14:solidFill>
                </w14:textFill>
              </w:rPr>
              <w:t>总投标报价</w:t>
            </w:r>
          </w:p>
        </w:tc>
        <w:tc>
          <w:tcPr>
            <w:tcW w:w="7165" w:type="dxa"/>
            <w:gridSpan w:val="6"/>
            <w:tcBorders>
              <w:top w:val="single" w:color="auto" w:sz="4" w:space="0"/>
              <w:left w:val="single" w:color="auto" w:sz="4" w:space="0"/>
              <w:bottom w:val="single" w:color="auto" w:sz="4" w:space="0"/>
              <w:right w:val="single" w:color="auto" w:sz="4" w:space="0"/>
            </w:tcBorders>
            <w:noWrap w:val="0"/>
            <w:vAlign w:val="top"/>
          </w:tcPr>
          <w:p w14:paraId="1728684A">
            <w:pPr>
              <w:spacing w:line="360" w:lineRule="auto"/>
              <w:jc w:val="center"/>
              <w:rPr>
                <w:rFonts w:hint="eastAsia" w:ascii="宋体" w:hAnsi="宋体" w:eastAsia="宋体" w:cs="宋体"/>
                <w:color w:val="000000" w:themeColor="text1"/>
                <w:sz w:val="24"/>
                <w:highlight w:val="none"/>
                <w:lang w:bidi="ar-SA"/>
                <w14:textFill>
                  <w14:solidFill>
                    <w14:schemeClr w14:val="tx1"/>
                  </w14:solidFill>
                </w14:textFill>
              </w:rPr>
            </w:pPr>
          </w:p>
        </w:tc>
      </w:tr>
    </w:tbl>
    <w:p w14:paraId="591A18AC">
      <w:pPr>
        <w:spacing w:line="500" w:lineRule="exact"/>
        <w:jc w:val="left"/>
        <w:rPr>
          <w:rFonts w:hint="eastAsia" w:ascii="宋体" w:hAnsi="宋体" w:eastAsia="宋体" w:cs="宋体"/>
          <w:color w:val="000000" w:themeColor="text1"/>
          <w:sz w:val="24"/>
          <w:szCs w:val="24"/>
          <w:highlight w:val="none"/>
          <w14:textFill>
            <w14:solidFill>
              <w14:schemeClr w14:val="tx1"/>
            </w14:solidFill>
          </w14:textFill>
        </w:rPr>
      </w:pPr>
    </w:p>
    <w:p w14:paraId="1CBA19C9">
      <w:pPr>
        <w:spacing w:line="500" w:lineRule="exact"/>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备注：</w:t>
      </w:r>
    </w:p>
    <w:p w14:paraId="26CC4DC1">
      <w:pPr>
        <w:spacing w:line="500" w:lineRule="exact"/>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1、投标</w:t>
      </w:r>
      <w:r>
        <w:rPr>
          <w:rFonts w:hint="eastAsia" w:ascii="宋体" w:hAnsi="宋体" w:eastAsia="宋体" w:cs="宋体"/>
          <w:color w:val="000000" w:themeColor="text1"/>
          <w:kern w:val="0"/>
          <w:sz w:val="24"/>
          <w:highlight w:val="none"/>
          <w14:textFill>
            <w14:solidFill>
              <w14:schemeClr w14:val="tx1"/>
            </w14:solidFill>
          </w14:textFill>
        </w:rPr>
        <w:t>项目</w:t>
      </w:r>
      <w:r>
        <w:rPr>
          <w:rFonts w:hint="eastAsia" w:ascii="宋体" w:hAnsi="宋体" w:eastAsia="宋体" w:cs="宋体"/>
          <w:color w:val="000000" w:themeColor="text1"/>
          <w:sz w:val="24"/>
          <w:highlight w:val="none"/>
          <w14:textFill>
            <w14:solidFill>
              <w14:schemeClr w14:val="tx1"/>
            </w14:solidFill>
          </w14:textFill>
        </w:rPr>
        <w:t>和数量满足本项目招标范围，内容由投标人结合自身情况填写。</w:t>
      </w:r>
    </w:p>
    <w:p w14:paraId="28746548">
      <w:pPr>
        <w:spacing w:line="500" w:lineRule="exact"/>
        <w:jc w:val="left"/>
        <w:rPr>
          <w:rFonts w:hint="eastAsia" w:ascii="宋体" w:hAnsi="宋体" w:eastAsia="宋体" w:cs="宋体"/>
          <w:strike/>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2、投标人填报价格总价应与投标函载明价格一致，若不一致，以投标函为准。</w:t>
      </w:r>
    </w:p>
    <w:p w14:paraId="0D24EC91">
      <w:pPr>
        <w:spacing w:line="500" w:lineRule="exact"/>
        <w:jc w:val="left"/>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3、投标报价包含货物到达采购人指定地点的全部费用，报价包括项目实施所需的货物费、安装费、包装运输费、装卸费、管理费、利润、税费及其他一切费用。</w:t>
      </w:r>
    </w:p>
    <w:p w14:paraId="3B5A7305">
      <w:pPr>
        <w:spacing w:line="500" w:lineRule="exact"/>
        <w:rPr>
          <w:rFonts w:hint="eastAsia" w:ascii="宋体" w:hAnsi="宋体" w:eastAsia="宋体" w:cs="宋体"/>
          <w:color w:val="000000" w:themeColor="text1"/>
          <w:sz w:val="24"/>
          <w:szCs w:val="24"/>
          <w:highlight w:val="none"/>
          <w14:textFill>
            <w14:solidFill>
              <w14:schemeClr w14:val="tx1"/>
            </w14:solidFill>
          </w14:textFill>
        </w:rPr>
      </w:pPr>
    </w:p>
    <w:p w14:paraId="37B9B9FA">
      <w:pPr>
        <w:pStyle w:val="2"/>
        <w:rPr>
          <w:rFonts w:hint="eastAsia" w:ascii="宋体" w:hAnsi="宋体" w:eastAsia="宋体" w:cs="宋体"/>
          <w:color w:val="000000" w:themeColor="text1"/>
          <w:highlight w:val="none"/>
          <w14:textFill>
            <w14:solidFill>
              <w14:schemeClr w14:val="tx1"/>
            </w14:solidFill>
          </w14:textFill>
        </w:rPr>
      </w:pPr>
    </w:p>
    <w:p w14:paraId="7281F728">
      <w:pPr>
        <w:adjustRightInd w:val="0"/>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投标人名称（</w:t>
      </w:r>
      <w:r>
        <w:rPr>
          <w:rFonts w:hint="eastAsia" w:ascii="宋体" w:hAnsi="宋体" w:eastAsia="宋体" w:cs="宋体"/>
          <w:color w:val="000000" w:themeColor="text1"/>
          <w:sz w:val="24"/>
          <w:szCs w:val="24"/>
          <w:highlight w:val="none"/>
          <w:lang w:eastAsia="zh-CN"/>
          <w14:textFill>
            <w14:solidFill>
              <w14:schemeClr w14:val="tx1"/>
            </w14:solidFill>
          </w14:textFill>
        </w:rPr>
        <w:t>盖公章</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207EDFFA">
      <w:pPr>
        <w:adjustRightInd w:val="0"/>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授权人或被授权人（</w:t>
      </w:r>
      <w:r>
        <w:rPr>
          <w:rFonts w:hint="eastAsia" w:ascii="宋体" w:hAnsi="宋体" w:eastAsia="宋体" w:cs="宋体"/>
          <w:color w:val="000000" w:themeColor="text1"/>
          <w:sz w:val="24"/>
          <w:szCs w:val="24"/>
          <w:highlight w:val="none"/>
          <w:lang w:eastAsia="zh-CN"/>
          <w14:textFill>
            <w14:solidFill>
              <w14:schemeClr w14:val="tx1"/>
            </w14:solidFill>
          </w14:textFill>
        </w:rPr>
        <w:t>签字或盖名章</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w:t>
      </w:r>
    </w:p>
    <w:p w14:paraId="546C5972">
      <w:pPr>
        <w:adjustRightInd w:val="0"/>
        <w:spacing w:line="5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日    期：   年   月   日</w:t>
      </w:r>
    </w:p>
    <w:p w14:paraId="4417B478">
      <w:pPr>
        <w:spacing w:line="500" w:lineRule="exact"/>
        <w:jc w:val="left"/>
        <w:rPr>
          <w:rFonts w:hint="eastAsia" w:ascii="宋体" w:hAnsi="宋体" w:eastAsia="宋体" w:cs="宋体"/>
          <w:color w:val="000000" w:themeColor="text1"/>
          <w:sz w:val="24"/>
          <w:szCs w:val="24"/>
          <w:highlight w:val="none"/>
          <w:lang w:eastAsia="zh-CN"/>
          <w14:textFill>
            <w14:solidFill>
              <w14:schemeClr w14:val="tx1"/>
            </w14:solidFill>
          </w14:textFill>
        </w:rPr>
      </w:pPr>
    </w:p>
    <w:p w14:paraId="2413206E">
      <w:pPr>
        <w:spacing w:line="500" w:lineRule="exact"/>
        <w:jc w:val="left"/>
        <w:rPr>
          <w:rFonts w:hint="eastAsia" w:ascii="宋体" w:hAnsi="宋体" w:eastAsia="宋体" w:cs="宋体"/>
          <w:color w:val="000000" w:themeColor="text1"/>
          <w:sz w:val="24"/>
          <w:szCs w:val="24"/>
          <w:highlight w:val="none"/>
          <w:lang w:eastAsia="zh-CN"/>
          <w14:textFill>
            <w14:solidFill>
              <w14:schemeClr w14:val="tx1"/>
            </w14:solidFill>
          </w14:textFill>
        </w:rPr>
      </w:pPr>
    </w:p>
    <w:p w14:paraId="0EC55C8E">
      <w:pPr>
        <w:spacing w:line="500" w:lineRule="exact"/>
        <w:jc w:val="left"/>
        <w:rPr>
          <w:rFonts w:hint="eastAsia" w:ascii="宋体" w:hAnsi="宋体" w:eastAsia="宋体" w:cs="宋体"/>
          <w:color w:val="000000" w:themeColor="text1"/>
          <w:sz w:val="24"/>
          <w:szCs w:val="24"/>
          <w:highlight w:val="none"/>
          <w:lang w:eastAsia="zh-CN"/>
          <w14:textFill>
            <w14:solidFill>
              <w14:schemeClr w14:val="tx1"/>
            </w14:solidFill>
          </w14:textFill>
        </w:rPr>
      </w:pPr>
    </w:p>
    <w:p w14:paraId="2CC7E271">
      <w:pPr>
        <w:spacing w:line="500" w:lineRule="exact"/>
        <w:jc w:val="left"/>
        <w:rPr>
          <w:rFonts w:hint="eastAsia" w:ascii="宋体" w:hAnsi="宋体" w:eastAsia="宋体" w:cs="宋体"/>
          <w:color w:val="000000" w:themeColor="text1"/>
          <w:sz w:val="24"/>
          <w:szCs w:val="24"/>
          <w:highlight w:val="none"/>
          <w:lang w:eastAsia="zh-CN"/>
          <w14:textFill>
            <w14:solidFill>
              <w14:schemeClr w14:val="tx1"/>
            </w14:solidFill>
          </w14:textFill>
        </w:rPr>
      </w:pPr>
    </w:p>
    <w:p w14:paraId="51DCE859">
      <w:pPr>
        <w:spacing w:line="500" w:lineRule="exact"/>
        <w:jc w:val="left"/>
        <w:rPr>
          <w:rFonts w:hint="eastAsia" w:ascii="宋体" w:hAnsi="宋体" w:eastAsia="宋体" w:cs="宋体"/>
          <w:color w:val="000000" w:themeColor="text1"/>
          <w:sz w:val="24"/>
          <w:szCs w:val="24"/>
          <w:highlight w:val="none"/>
          <w:lang w:eastAsia="zh-CN"/>
          <w14:textFill>
            <w14:solidFill>
              <w14:schemeClr w14:val="tx1"/>
            </w14:solidFill>
          </w14:textFill>
        </w:rPr>
      </w:pPr>
    </w:p>
    <w:p w14:paraId="34652E97">
      <w:pPr>
        <w:pStyle w:val="4"/>
        <w:rPr>
          <w:rFonts w:hint="eastAsia" w:ascii="宋体" w:hAnsi="宋体" w:eastAsia="宋体" w:cs="宋体"/>
          <w:color w:val="000000" w:themeColor="text1"/>
          <w:highlight w:val="none"/>
          <w:lang w:eastAsia="zh-CN"/>
          <w14:textFill>
            <w14:solidFill>
              <w14:schemeClr w14:val="tx1"/>
            </w14:solidFill>
          </w14:textFill>
        </w:rPr>
      </w:pPr>
    </w:p>
    <w:p w14:paraId="3454D4C5">
      <w:pPr>
        <w:pStyle w:val="4"/>
        <w:spacing w:before="156" w:after="156" w:line="320" w:lineRule="exact"/>
        <w:ind w:firstLine="480" w:firstLineChars="200"/>
        <w:jc w:val="center"/>
        <w:rPr>
          <w:rFonts w:hint="eastAsia" w:ascii="宋体" w:hAnsi="宋体" w:eastAsia="宋体" w:cs="宋体"/>
          <w:bCs w:val="0"/>
          <w:color w:val="000000" w:themeColor="text1"/>
          <w:kern w:val="0"/>
          <w:sz w:val="24"/>
          <w:szCs w:val="24"/>
          <w:highlight w:val="none"/>
          <w14:textFill>
            <w14:solidFill>
              <w14:schemeClr w14:val="tx1"/>
            </w14:solidFill>
          </w14:textFill>
        </w:rPr>
      </w:pPr>
      <w:bookmarkStart w:id="136" w:name="_Toc217446088"/>
      <w:r>
        <w:rPr>
          <w:rFonts w:hint="eastAsia" w:ascii="宋体" w:hAnsi="宋体" w:eastAsia="宋体" w:cs="宋体"/>
          <w:bCs w:val="0"/>
          <w:color w:val="000000" w:themeColor="text1"/>
          <w:kern w:val="0"/>
          <w:sz w:val="24"/>
          <w:szCs w:val="24"/>
          <w:highlight w:val="none"/>
          <w14:textFill>
            <w14:solidFill>
              <w14:schemeClr w14:val="tx1"/>
            </w14:solidFill>
          </w14:textFill>
        </w:rPr>
        <w:t>四、投标人基本情况表</w:t>
      </w:r>
      <w:bookmarkEnd w:id="136"/>
    </w:p>
    <w:tbl>
      <w:tblPr>
        <w:tblStyle w:val="29"/>
        <w:tblW w:w="9104" w:type="dxa"/>
        <w:jc w:val="center"/>
        <w:tblLayout w:type="fixed"/>
        <w:tblCellMar>
          <w:top w:w="0" w:type="dxa"/>
          <w:left w:w="108" w:type="dxa"/>
          <w:bottom w:w="0" w:type="dxa"/>
          <w:right w:w="108" w:type="dxa"/>
        </w:tblCellMar>
      </w:tblPr>
      <w:tblGrid>
        <w:gridCol w:w="1853"/>
        <w:gridCol w:w="1050"/>
        <w:gridCol w:w="2525"/>
        <w:gridCol w:w="1537"/>
        <w:gridCol w:w="2139"/>
      </w:tblGrid>
      <w:tr w14:paraId="666AC112">
        <w:tblPrEx>
          <w:tblCellMar>
            <w:top w:w="0" w:type="dxa"/>
            <w:left w:w="108" w:type="dxa"/>
            <w:bottom w:w="0" w:type="dxa"/>
            <w:right w:w="108" w:type="dxa"/>
          </w:tblCellMar>
        </w:tblPrEx>
        <w:trPr>
          <w:trHeight w:val="1080" w:hRule="atLeast"/>
          <w:jc w:val="center"/>
        </w:trPr>
        <w:tc>
          <w:tcPr>
            <w:tcW w:w="1853" w:type="dxa"/>
            <w:tcBorders>
              <w:top w:val="single" w:color="auto" w:sz="4" w:space="0"/>
              <w:left w:val="single" w:color="auto" w:sz="4" w:space="0"/>
              <w:bottom w:val="single" w:color="auto" w:sz="4" w:space="0"/>
              <w:right w:val="single" w:color="auto" w:sz="4" w:space="0"/>
            </w:tcBorders>
            <w:vAlign w:val="center"/>
          </w:tcPr>
          <w:p w14:paraId="484A18B6">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投标人名称</w:t>
            </w:r>
          </w:p>
        </w:tc>
        <w:tc>
          <w:tcPr>
            <w:tcW w:w="7251" w:type="dxa"/>
            <w:gridSpan w:val="4"/>
            <w:tcBorders>
              <w:top w:val="single" w:color="auto" w:sz="4" w:space="0"/>
              <w:left w:val="nil"/>
              <w:bottom w:val="single" w:color="auto" w:sz="4" w:space="0"/>
              <w:right w:val="single" w:color="auto" w:sz="4" w:space="0"/>
            </w:tcBorders>
            <w:vAlign w:val="center"/>
          </w:tcPr>
          <w:p w14:paraId="2E9FB2D3">
            <w:pPr>
              <w:jc w:val="center"/>
              <w:rPr>
                <w:rFonts w:hint="eastAsia" w:ascii="宋体" w:hAnsi="宋体" w:eastAsia="宋体" w:cs="宋体"/>
                <w:strike/>
                <w:color w:val="000000" w:themeColor="text1"/>
                <w:sz w:val="24"/>
                <w:szCs w:val="24"/>
                <w:highlight w:val="none"/>
                <w14:textFill>
                  <w14:solidFill>
                    <w14:schemeClr w14:val="tx1"/>
                  </w14:solidFill>
                </w14:textFill>
              </w:rPr>
            </w:pPr>
          </w:p>
        </w:tc>
      </w:tr>
      <w:tr w14:paraId="77273E1D">
        <w:tblPrEx>
          <w:tblCellMar>
            <w:top w:w="0" w:type="dxa"/>
            <w:left w:w="108" w:type="dxa"/>
            <w:bottom w:w="0" w:type="dxa"/>
            <w:right w:w="108" w:type="dxa"/>
          </w:tblCellMar>
        </w:tblPrEx>
        <w:trPr>
          <w:trHeight w:val="930" w:hRule="atLeast"/>
          <w:jc w:val="center"/>
        </w:trPr>
        <w:tc>
          <w:tcPr>
            <w:tcW w:w="1853" w:type="dxa"/>
            <w:tcBorders>
              <w:top w:val="nil"/>
              <w:left w:val="single" w:color="auto" w:sz="4" w:space="0"/>
              <w:bottom w:val="single" w:color="auto" w:sz="4" w:space="0"/>
              <w:right w:val="single" w:color="auto" w:sz="4" w:space="0"/>
            </w:tcBorders>
            <w:vAlign w:val="center"/>
          </w:tcPr>
          <w:p w14:paraId="5C52148D">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注册地址</w:t>
            </w:r>
          </w:p>
        </w:tc>
        <w:tc>
          <w:tcPr>
            <w:tcW w:w="3575" w:type="dxa"/>
            <w:gridSpan w:val="2"/>
            <w:tcBorders>
              <w:top w:val="single" w:color="auto" w:sz="4" w:space="0"/>
              <w:left w:val="nil"/>
              <w:bottom w:val="single" w:color="auto" w:sz="4" w:space="0"/>
              <w:right w:val="single" w:color="000000" w:sz="4" w:space="0"/>
            </w:tcBorders>
            <w:vAlign w:val="center"/>
          </w:tcPr>
          <w:p w14:paraId="31316064">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537" w:type="dxa"/>
            <w:tcBorders>
              <w:top w:val="nil"/>
              <w:left w:val="nil"/>
              <w:bottom w:val="single" w:color="auto" w:sz="4" w:space="0"/>
              <w:right w:val="single" w:color="auto" w:sz="4" w:space="0"/>
            </w:tcBorders>
            <w:vAlign w:val="center"/>
          </w:tcPr>
          <w:p w14:paraId="187C675D">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邮政编码</w:t>
            </w:r>
          </w:p>
        </w:tc>
        <w:tc>
          <w:tcPr>
            <w:tcW w:w="2139" w:type="dxa"/>
            <w:tcBorders>
              <w:top w:val="nil"/>
              <w:left w:val="nil"/>
              <w:bottom w:val="single" w:color="auto" w:sz="4" w:space="0"/>
              <w:right w:val="single" w:color="auto" w:sz="4" w:space="0"/>
            </w:tcBorders>
            <w:vAlign w:val="center"/>
          </w:tcPr>
          <w:p w14:paraId="05299FAB">
            <w:pPr>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62E2F1AD">
        <w:tblPrEx>
          <w:tblCellMar>
            <w:top w:w="0" w:type="dxa"/>
            <w:left w:w="108" w:type="dxa"/>
            <w:bottom w:w="0" w:type="dxa"/>
            <w:right w:w="108" w:type="dxa"/>
          </w:tblCellMar>
        </w:tblPrEx>
        <w:trPr>
          <w:trHeight w:val="930" w:hRule="atLeast"/>
          <w:jc w:val="center"/>
        </w:trPr>
        <w:tc>
          <w:tcPr>
            <w:tcW w:w="1853" w:type="dxa"/>
            <w:tcBorders>
              <w:top w:val="nil"/>
              <w:left w:val="single" w:color="auto" w:sz="4" w:space="0"/>
              <w:bottom w:val="single" w:color="auto" w:sz="4" w:space="0"/>
              <w:right w:val="single" w:color="auto" w:sz="4" w:space="0"/>
            </w:tcBorders>
            <w:vAlign w:val="center"/>
          </w:tcPr>
          <w:p w14:paraId="24715E77">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成立时间</w:t>
            </w:r>
          </w:p>
        </w:tc>
        <w:tc>
          <w:tcPr>
            <w:tcW w:w="3575" w:type="dxa"/>
            <w:gridSpan w:val="2"/>
            <w:tcBorders>
              <w:top w:val="single" w:color="auto" w:sz="4" w:space="0"/>
              <w:left w:val="nil"/>
              <w:bottom w:val="single" w:color="auto" w:sz="4" w:space="0"/>
              <w:right w:val="single" w:color="000000" w:sz="4" w:space="0"/>
            </w:tcBorders>
            <w:vAlign w:val="center"/>
          </w:tcPr>
          <w:p w14:paraId="257CA14B">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537" w:type="dxa"/>
            <w:tcBorders>
              <w:top w:val="nil"/>
              <w:left w:val="nil"/>
              <w:bottom w:val="single" w:color="auto" w:sz="4" w:space="0"/>
              <w:right w:val="single" w:color="auto" w:sz="4" w:space="0"/>
            </w:tcBorders>
            <w:vAlign w:val="center"/>
          </w:tcPr>
          <w:p w14:paraId="391EFCC6">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企业性质</w:t>
            </w:r>
          </w:p>
        </w:tc>
        <w:tc>
          <w:tcPr>
            <w:tcW w:w="2139" w:type="dxa"/>
            <w:tcBorders>
              <w:top w:val="nil"/>
              <w:left w:val="nil"/>
              <w:bottom w:val="single" w:color="auto" w:sz="4" w:space="0"/>
              <w:right w:val="single" w:color="auto" w:sz="4" w:space="0"/>
            </w:tcBorders>
            <w:vAlign w:val="center"/>
          </w:tcPr>
          <w:p w14:paraId="06DC52CF">
            <w:pPr>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7A887A73">
        <w:tblPrEx>
          <w:tblCellMar>
            <w:top w:w="0" w:type="dxa"/>
            <w:left w:w="108" w:type="dxa"/>
            <w:bottom w:w="0" w:type="dxa"/>
            <w:right w:w="108" w:type="dxa"/>
          </w:tblCellMar>
        </w:tblPrEx>
        <w:trPr>
          <w:trHeight w:val="930" w:hRule="atLeast"/>
          <w:jc w:val="center"/>
        </w:trPr>
        <w:tc>
          <w:tcPr>
            <w:tcW w:w="1853" w:type="dxa"/>
            <w:tcBorders>
              <w:top w:val="nil"/>
              <w:left w:val="single" w:color="auto" w:sz="4" w:space="0"/>
              <w:bottom w:val="single" w:color="auto" w:sz="4" w:space="0"/>
              <w:right w:val="single" w:color="auto" w:sz="4" w:space="0"/>
            </w:tcBorders>
            <w:vAlign w:val="center"/>
          </w:tcPr>
          <w:p w14:paraId="6664E505">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社会统一信用代码</w:t>
            </w:r>
          </w:p>
        </w:tc>
        <w:tc>
          <w:tcPr>
            <w:tcW w:w="3575" w:type="dxa"/>
            <w:gridSpan w:val="2"/>
            <w:tcBorders>
              <w:top w:val="single" w:color="auto" w:sz="4" w:space="0"/>
              <w:left w:val="nil"/>
              <w:bottom w:val="single" w:color="auto" w:sz="4" w:space="0"/>
              <w:right w:val="single" w:color="000000" w:sz="4" w:space="0"/>
            </w:tcBorders>
            <w:vAlign w:val="center"/>
          </w:tcPr>
          <w:p w14:paraId="6895F615">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537" w:type="dxa"/>
            <w:tcBorders>
              <w:top w:val="nil"/>
              <w:left w:val="nil"/>
              <w:bottom w:val="single" w:color="auto" w:sz="4" w:space="0"/>
              <w:right w:val="single" w:color="auto" w:sz="4" w:space="0"/>
            </w:tcBorders>
            <w:vAlign w:val="center"/>
          </w:tcPr>
          <w:p w14:paraId="59D26CB4">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注册资金</w:t>
            </w:r>
          </w:p>
        </w:tc>
        <w:tc>
          <w:tcPr>
            <w:tcW w:w="2139" w:type="dxa"/>
            <w:tcBorders>
              <w:top w:val="nil"/>
              <w:left w:val="nil"/>
              <w:bottom w:val="single" w:color="auto" w:sz="4" w:space="0"/>
              <w:right w:val="single" w:color="auto" w:sz="4" w:space="0"/>
            </w:tcBorders>
            <w:vAlign w:val="center"/>
          </w:tcPr>
          <w:p w14:paraId="554DD8FD">
            <w:pPr>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322A7D31">
        <w:tblPrEx>
          <w:tblCellMar>
            <w:top w:w="0" w:type="dxa"/>
            <w:left w:w="108" w:type="dxa"/>
            <w:bottom w:w="0" w:type="dxa"/>
            <w:right w:w="108" w:type="dxa"/>
          </w:tblCellMar>
        </w:tblPrEx>
        <w:trPr>
          <w:trHeight w:val="930" w:hRule="atLeast"/>
          <w:jc w:val="center"/>
        </w:trPr>
        <w:tc>
          <w:tcPr>
            <w:tcW w:w="1853" w:type="dxa"/>
            <w:tcBorders>
              <w:top w:val="nil"/>
              <w:left w:val="single" w:color="auto" w:sz="4" w:space="0"/>
              <w:bottom w:val="single" w:color="auto" w:sz="4" w:space="0"/>
              <w:right w:val="single" w:color="auto" w:sz="4" w:space="0"/>
            </w:tcBorders>
            <w:vAlign w:val="center"/>
          </w:tcPr>
          <w:p w14:paraId="0DE3009B">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w:t>
            </w:r>
          </w:p>
        </w:tc>
        <w:tc>
          <w:tcPr>
            <w:tcW w:w="1050" w:type="dxa"/>
            <w:tcBorders>
              <w:top w:val="nil"/>
              <w:left w:val="nil"/>
              <w:bottom w:val="single" w:color="auto" w:sz="4" w:space="0"/>
              <w:right w:val="single" w:color="auto" w:sz="4" w:space="0"/>
            </w:tcBorders>
            <w:vAlign w:val="center"/>
          </w:tcPr>
          <w:p w14:paraId="012DD23C">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姓名</w:t>
            </w:r>
          </w:p>
        </w:tc>
        <w:tc>
          <w:tcPr>
            <w:tcW w:w="2525" w:type="dxa"/>
            <w:tcBorders>
              <w:top w:val="nil"/>
              <w:left w:val="nil"/>
              <w:bottom w:val="single" w:color="auto" w:sz="4" w:space="0"/>
              <w:right w:val="single" w:color="auto" w:sz="4" w:space="0"/>
            </w:tcBorders>
            <w:vAlign w:val="center"/>
          </w:tcPr>
          <w:p w14:paraId="63A03AD1">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537" w:type="dxa"/>
            <w:tcBorders>
              <w:top w:val="nil"/>
              <w:left w:val="nil"/>
              <w:bottom w:val="single" w:color="auto" w:sz="4" w:space="0"/>
              <w:right w:val="single" w:color="auto" w:sz="4" w:space="0"/>
            </w:tcBorders>
            <w:vAlign w:val="center"/>
          </w:tcPr>
          <w:p w14:paraId="59F89F3D">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电话</w:t>
            </w:r>
          </w:p>
        </w:tc>
        <w:tc>
          <w:tcPr>
            <w:tcW w:w="2139" w:type="dxa"/>
            <w:tcBorders>
              <w:top w:val="nil"/>
              <w:left w:val="nil"/>
              <w:bottom w:val="single" w:color="auto" w:sz="4" w:space="0"/>
              <w:right w:val="single" w:color="auto" w:sz="4" w:space="0"/>
            </w:tcBorders>
            <w:vAlign w:val="center"/>
          </w:tcPr>
          <w:p w14:paraId="3193DB2A">
            <w:pPr>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4C4F4D50">
        <w:tblPrEx>
          <w:tblCellMar>
            <w:top w:w="0" w:type="dxa"/>
            <w:left w:w="108" w:type="dxa"/>
            <w:bottom w:w="0" w:type="dxa"/>
            <w:right w:w="108" w:type="dxa"/>
          </w:tblCellMar>
        </w:tblPrEx>
        <w:trPr>
          <w:trHeight w:val="930" w:hRule="atLeast"/>
          <w:jc w:val="center"/>
        </w:trPr>
        <w:tc>
          <w:tcPr>
            <w:tcW w:w="1853" w:type="dxa"/>
            <w:vMerge w:val="restart"/>
            <w:tcBorders>
              <w:top w:val="nil"/>
              <w:left w:val="single" w:color="auto" w:sz="4" w:space="0"/>
              <w:bottom w:val="single" w:color="auto" w:sz="4" w:space="0"/>
              <w:right w:val="single" w:color="auto" w:sz="4" w:space="0"/>
            </w:tcBorders>
            <w:vAlign w:val="center"/>
          </w:tcPr>
          <w:p w14:paraId="5FC55011">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联系方式</w:t>
            </w:r>
          </w:p>
        </w:tc>
        <w:tc>
          <w:tcPr>
            <w:tcW w:w="1050" w:type="dxa"/>
            <w:tcBorders>
              <w:top w:val="nil"/>
              <w:left w:val="nil"/>
              <w:bottom w:val="single" w:color="auto" w:sz="4" w:space="0"/>
              <w:right w:val="single" w:color="auto" w:sz="4" w:space="0"/>
            </w:tcBorders>
            <w:vAlign w:val="center"/>
          </w:tcPr>
          <w:p w14:paraId="683BB141">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w:t>
            </w:r>
          </w:p>
        </w:tc>
        <w:tc>
          <w:tcPr>
            <w:tcW w:w="2525" w:type="dxa"/>
            <w:tcBorders>
              <w:top w:val="single" w:color="auto" w:sz="4" w:space="0"/>
              <w:left w:val="nil"/>
              <w:bottom w:val="single" w:color="auto" w:sz="4" w:space="0"/>
              <w:right w:val="single" w:color="000000" w:sz="4" w:space="0"/>
            </w:tcBorders>
            <w:vAlign w:val="center"/>
          </w:tcPr>
          <w:p w14:paraId="5321ECC7">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537" w:type="dxa"/>
            <w:tcBorders>
              <w:top w:val="nil"/>
              <w:left w:val="nil"/>
              <w:bottom w:val="single" w:color="auto" w:sz="4" w:space="0"/>
              <w:right w:val="single" w:color="auto" w:sz="4" w:space="0"/>
            </w:tcBorders>
            <w:vAlign w:val="center"/>
          </w:tcPr>
          <w:p w14:paraId="7276EF32">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电话</w:t>
            </w:r>
          </w:p>
        </w:tc>
        <w:tc>
          <w:tcPr>
            <w:tcW w:w="2139" w:type="dxa"/>
            <w:tcBorders>
              <w:top w:val="nil"/>
              <w:left w:val="nil"/>
              <w:bottom w:val="single" w:color="auto" w:sz="4" w:space="0"/>
              <w:right w:val="single" w:color="auto" w:sz="4" w:space="0"/>
            </w:tcBorders>
            <w:vAlign w:val="center"/>
          </w:tcPr>
          <w:p w14:paraId="2ADFF6D1">
            <w:pPr>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341CD272">
        <w:tblPrEx>
          <w:tblCellMar>
            <w:top w:w="0" w:type="dxa"/>
            <w:left w:w="108" w:type="dxa"/>
            <w:bottom w:w="0" w:type="dxa"/>
            <w:right w:w="108" w:type="dxa"/>
          </w:tblCellMar>
        </w:tblPrEx>
        <w:trPr>
          <w:trHeight w:val="930" w:hRule="atLeast"/>
          <w:jc w:val="center"/>
        </w:trPr>
        <w:tc>
          <w:tcPr>
            <w:tcW w:w="1853" w:type="dxa"/>
            <w:vMerge w:val="continue"/>
            <w:tcBorders>
              <w:top w:val="nil"/>
              <w:left w:val="single" w:color="auto" w:sz="4" w:space="0"/>
              <w:bottom w:val="single" w:color="auto" w:sz="4" w:space="0"/>
              <w:right w:val="single" w:color="auto" w:sz="4" w:space="0"/>
            </w:tcBorders>
            <w:vAlign w:val="center"/>
          </w:tcPr>
          <w:p w14:paraId="1221A17B">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50" w:type="dxa"/>
            <w:tcBorders>
              <w:top w:val="nil"/>
              <w:left w:val="nil"/>
              <w:bottom w:val="single" w:color="auto" w:sz="4" w:space="0"/>
              <w:right w:val="single" w:color="auto" w:sz="4" w:space="0"/>
            </w:tcBorders>
            <w:vAlign w:val="center"/>
          </w:tcPr>
          <w:p w14:paraId="3DD4E026">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邮箱</w:t>
            </w:r>
          </w:p>
        </w:tc>
        <w:tc>
          <w:tcPr>
            <w:tcW w:w="2525" w:type="dxa"/>
            <w:tcBorders>
              <w:top w:val="single" w:color="auto" w:sz="4" w:space="0"/>
              <w:left w:val="nil"/>
              <w:bottom w:val="single" w:color="auto" w:sz="4" w:space="0"/>
              <w:right w:val="single" w:color="000000" w:sz="4" w:space="0"/>
            </w:tcBorders>
            <w:vAlign w:val="center"/>
          </w:tcPr>
          <w:p w14:paraId="2B952EB6">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537" w:type="dxa"/>
            <w:tcBorders>
              <w:top w:val="nil"/>
              <w:left w:val="nil"/>
              <w:bottom w:val="single" w:color="auto" w:sz="4" w:space="0"/>
              <w:right w:val="single" w:color="auto" w:sz="4" w:space="0"/>
            </w:tcBorders>
            <w:vAlign w:val="center"/>
          </w:tcPr>
          <w:p w14:paraId="08279ED7">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网址</w:t>
            </w:r>
          </w:p>
        </w:tc>
        <w:tc>
          <w:tcPr>
            <w:tcW w:w="2139" w:type="dxa"/>
            <w:tcBorders>
              <w:top w:val="nil"/>
              <w:left w:val="nil"/>
              <w:bottom w:val="single" w:color="auto" w:sz="4" w:space="0"/>
              <w:right w:val="single" w:color="auto" w:sz="4" w:space="0"/>
            </w:tcBorders>
            <w:vAlign w:val="center"/>
          </w:tcPr>
          <w:p w14:paraId="729F9D0E">
            <w:pPr>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2B2E2CD6">
        <w:tblPrEx>
          <w:tblCellMar>
            <w:top w:w="0" w:type="dxa"/>
            <w:left w:w="108" w:type="dxa"/>
            <w:bottom w:w="0" w:type="dxa"/>
            <w:right w:w="108" w:type="dxa"/>
          </w:tblCellMar>
        </w:tblPrEx>
        <w:trPr>
          <w:trHeight w:val="930" w:hRule="atLeast"/>
          <w:jc w:val="center"/>
        </w:trPr>
        <w:tc>
          <w:tcPr>
            <w:tcW w:w="1853" w:type="dxa"/>
            <w:tcBorders>
              <w:top w:val="nil"/>
              <w:left w:val="single" w:color="auto" w:sz="4" w:space="0"/>
              <w:bottom w:val="single" w:color="auto" w:sz="4" w:space="0"/>
              <w:right w:val="single" w:color="auto" w:sz="4" w:space="0"/>
            </w:tcBorders>
            <w:vAlign w:val="center"/>
          </w:tcPr>
          <w:p w14:paraId="064AFF3C">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开户银行</w:t>
            </w:r>
          </w:p>
        </w:tc>
        <w:tc>
          <w:tcPr>
            <w:tcW w:w="3575" w:type="dxa"/>
            <w:gridSpan w:val="2"/>
            <w:tcBorders>
              <w:top w:val="single" w:color="auto" w:sz="4" w:space="0"/>
              <w:left w:val="nil"/>
              <w:bottom w:val="single" w:color="auto" w:sz="4" w:space="0"/>
              <w:right w:val="single" w:color="000000" w:sz="4" w:space="0"/>
            </w:tcBorders>
            <w:vAlign w:val="center"/>
          </w:tcPr>
          <w:p w14:paraId="0741F9DC">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537" w:type="dxa"/>
            <w:tcBorders>
              <w:top w:val="nil"/>
              <w:left w:val="nil"/>
              <w:bottom w:val="single" w:color="auto" w:sz="4" w:space="0"/>
              <w:right w:val="single" w:color="auto" w:sz="4" w:space="0"/>
            </w:tcBorders>
            <w:vAlign w:val="center"/>
          </w:tcPr>
          <w:p w14:paraId="28C87579">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账号</w:t>
            </w:r>
          </w:p>
        </w:tc>
        <w:tc>
          <w:tcPr>
            <w:tcW w:w="2139" w:type="dxa"/>
            <w:tcBorders>
              <w:top w:val="nil"/>
              <w:left w:val="nil"/>
              <w:bottom w:val="single" w:color="auto" w:sz="4" w:space="0"/>
              <w:right w:val="single" w:color="auto" w:sz="4" w:space="0"/>
            </w:tcBorders>
            <w:vAlign w:val="center"/>
          </w:tcPr>
          <w:p w14:paraId="2843BB4C">
            <w:pPr>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6509934E">
        <w:tblPrEx>
          <w:tblCellMar>
            <w:top w:w="0" w:type="dxa"/>
            <w:left w:w="108" w:type="dxa"/>
            <w:bottom w:w="0" w:type="dxa"/>
            <w:right w:w="108" w:type="dxa"/>
          </w:tblCellMar>
        </w:tblPrEx>
        <w:trPr>
          <w:trHeight w:val="930" w:hRule="atLeast"/>
          <w:jc w:val="center"/>
        </w:trPr>
        <w:tc>
          <w:tcPr>
            <w:tcW w:w="1853" w:type="dxa"/>
            <w:tcBorders>
              <w:top w:val="nil"/>
              <w:left w:val="single" w:color="auto" w:sz="4" w:space="0"/>
              <w:bottom w:val="single" w:color="auto" w:sz="4" w:space="0"/>
              <w:right w:val="single" w:color="auto" w:sz="4" w:space="0"/>
            </w:tcBorders>
            <w:vAlign w:val="center"/>
          </w:tcPr>
          <w:p w14:paraId="2CC9ED96">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经营范围</w:t>
            </w:r>
          </w:p>
        </w:tc>
        <w:tc>
          <w:tcPr>
            <w:tcW w:w="7251" w:type="dxa"/>
            <w:gridSpan w:val="4"/>
            <w:tcBorders>
              <w:top w:val="single" w:color="auto" w:sz="4" w:space="0"/>
              <w:left w:val="nil"/>
              <w:bottom w:val="single" w:color="auto" w:sz="4" w:space="0"/>
              <w:right w:val="single" w:color="000000" w:sz="4" w:space="0"/>
            </w:tcBorders>
            <w:vAlign w:val="center"/>
          </w:tcPr>
          <w:p w14:paraId="3607D1E6">
            <w:pPr>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4CD13831">
        <w:tblPrEx>
          <w:tblCellMar>
            <w:top w:w="0" w:type="dxa"/>
            <w:left w:w="108" w:type="dxa"/>
            <w:bottom w:w="0" w:type="dxa"/>
            <w:right w:w="108" w:type="dxa"/>
          </w:tblCellMar>
        </w:tblPrEx>
        <w:trPr>
          <w:trHeight w:val="930" w:hRule="atLeast"/>
          <w:jc w:val="center"/>
        </w:trPr>
        <w:tc>
          <w:tcPr>
            <w:tcW w:w="1853" w:type="dxa"/>
            <w:tcBorders>
              <w:top w:val="nil"/>
              <w:left w:val="single" w:color="auto" w:sz="4" w:space="0"/>
              <w:bottom w:val="single" w:color="auto" w:sz="4" w:space="0"/>
              <w:right w:val="single" w:color="auto" w:sz="4" w:space="0"/>
            </w:tcBorders>
            <w:vAlign w:val="center"/>
          </w:tcPr>
          <w:p w14:paraId="336D0FE6">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w:t>
            </w:r>
          </w:p>
        </w:tc>
        <w:tc>
          <w:tcPr>
            <w:tcW w:w="7251" w:type="dxa"/>
            <w:gridSpan w:val="4"/>
            <w:tcBorders>
              <w:top w:val="single" w:color="auto" w:sz="4" w:space="0"/>
              <w:left w:val="nil"/>
              <w:bottom w:val="single" w:color="auto" w:sz="4" w:space="0"/>
              <w:right w:val="single" w:color="000000" w:sz="4" w:space="0"/>
            </w:tcBorders>
            <w:vAlign w:val="center"/>
          </w:tcPr>
          <w:p w14:paraId="4BC6D416">
            <w:pPr>
              <w:jc w:val="center"/>
              <w:rPr>
                <w:rFonts w:hint="eastAsia" w:ascii="宋体" w:hAnsi="宋体" w:eastAsia="宋体" w:cs="宋体"/>
                <w:color w:val="000000" w:themeColor="text1"/>
                <w:sz w:val="24"/>
                <w:szCs w:val="24"/>
                <w:highlight w:val="none"/>
                <w14:textFill>
                  <w14:solidFill>
                    <w14:schemeClr w14:val="tx1"/>
                  </w14:solidFill>
                </w14:textFill>
              </w:rPr>
            </w:pPr>
          </w:p>
        </w:tc>
      </w:tr>
    </w:tbl>
    <w:p w14:paraId="00C7F3B1">
      <w:pPr>
        <w:adjustRightInd w:val="0"/>
        <w:spacing w:line="320" w:lineRule="exact"/>
        <w:ind w:firstLine="480" w:firstLineChars="200"/>
        <w:jc w:val="left"/>
        <w:rPr>
          <w:rFonts w:hint="eastAsia" w:ascii="宋体" w:hAnsi="宋体" w:eastAsia="宋体" w:cs="宋体"/>
          <w:bCs/>
          <w:color w:val="000000" w:themeColor="text1"/>
          <w:sz w:val="24"/>
          <w:szCs w:val="24"/>
          <w:highlight w:val="none"/>
          <w14:textFill>
            <w14:solidFill>
              <w14:schemeClr w14:val="tx1"/>
            </w14:solidFill>
          </w14:textFill>
        </w:rPr>
      </w:pPr>
    </w:p>
    <w:p w14:paraId="017AB09F">
      <w:pPr>
        <w:spacing w:line="360" w:lineRule="auto"/>
        <w:ind w:firstLine="240" w:firstLineChars="1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w:t>
      </w:r>
    </w:p>
    <w:p w14:paraId="75CE046A">
      <w:pPr>
        <w:spacing w:line="360" w:lineRule="auto"/>
        <w:ind w:firstLine="240" w:firstLineChars="1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1、投标人为法人时，后附营业执照等相关资料</w:t>
      </w:r>
      <w:r>
        <w:rPr>
          <w:rFonts w:hint="eastAsia" w:ascii="宋体" w:hAnsi="宋体" w:eastAsia="宋体" w:cs="宋体"/>
          <w:color w:val="000000" w:themeColor="text1"/>
          <w:sz w:val="24"/>
          <w:szCs w:val="24"/>
          <w:highlight w:val="none"/>
          <w:lang w:eastAsia="zh-CN"/>
          <w14:textFill>
            <w14:solidFill>
              <w14:schemeClr w14:val="tx1"/>
            </w14:solidFill>
          </w14:textFill>
        </w:rPr>
        <w:t>复印件</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57052527">
      <w:pPr>
        <w:spacing w:line="360" w:lineRule="auto"/>
        <w:ind w:firstLine="240" w:firstLineChars="1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2、投标人为非法人时，格式自拟，后附相关资料</w:t>
      </w:r>
      <w:r>
        <w:rPr>
          <w:rFonts w:hint="eastAsia" w:ascii="宋体" w:hAnsi="宋体" w:eastAsia="宋体" w:cs="宋体"/>
          <w:color w:val="000000" w:themeColor="text1"/>
          <w:sz w:val="24"/>
          <w:szCs w:val="24"/>
          <w:highlight w:val="none"/>
          <w:lang w:eastAsia="zh-CN"/>
          <w14:textFill>
            <w14:solidFill>
              <w14:schemeClr w14:val="tx1"/>
            </w14:solidFill>
          </w14:textFill>
        </w:rPr>
        <w:t>复印件</w:t>
      </w:r>
      <w:r>
        <w:rPr>
          <w:rFonts w:hint="eastAsia" w:ascii="宋体" w:hAnsi="宋体" w:eastAsia="宋体" w:cs="宋体"/>
          <w:color w:val="000000" w:themeColor="text1"/>
          <w:sz w:val="24"/>
          <w:szCs w:val="24"/>
          <w:highlight w:val="none"/>
          <w14:textFill>
            <w14:solidFill>
              <w14:schemeClr w14:val="tx1"/>
            </w14:solidFill>
          </w14:textFill>
        </w:rPr>
        <w:t>。</w:t>
      </w:r>
    </w:p>
    <w:p w14:paraId="6C3530CD">
      <w:pPr>
        <w:adjustRightInd w:val="0"/>
        <w:spacing w:line="500" w:lineRule="exact"/>
        <w:ind w:firstLine="480" w:firstLineChars="200"/>
        <w:jc w:val="center"/>
        <w:rPr>
          <w:rFonts w:hint="eastAsia" w:ascii="宋体" w:hAnsi="宋体" w:eastAsia="宋体" w:cs="宋体"/>
          <w:bCs/>
          <w:color w:val="000000" w:themeColor="text1"/>
          <w:sz w:val="24"/>
          <w:szCs w:val="24"/>
          <w:highlight w:val="none"/>
          <w14:textFill>
            <w14:solidFill>
              <w14:schemeClr w14:val="tx1"/>
            </w14:solidFill>
          </w14:textFill>
        </w:rPr>
      </w:pPr>
      <w:bookmarkStart w:id="137" w:name="_Toc217446089"/>
    </w:p>
    <w:p w14:paraId="32055B46">
      <w:pPr>
        <w:adjustRightInd w:val="0"/>
        <w:spacing w:line="500" w:lineRule="exact"/>
        <w:ind w:firstLine="480" w:firstLineChars="200"/>
        <w:jc w:val="center"/>
        <w:rPr>
          <w:rFonts w:hint="eastAsia" w:ascii="宋体" w:hAnsi="宋体" w:eastAsia="宋体" w:cs="宋体"/>
          <w:bCs/>
          <w:color w:val="000000" w:themeColor="text1"/>
          <w:sz w:val="24"/>
          <w:szCs w:val="24"/>
          <w:highlight w:val="none"/>
          <w14:textFill>
            <w14:solidFill>
              <w14:schemeClr w14:val="tx1"/>
            </w14:solidFill>
          </w14:textFill>
        </w:rPr>
      </w:pPr>
    </w:p>
    <w:p w14:paraId="563CFF00">
      <w:pPr>
        <w:adjustRightInd w:val="0"/>
        <w:spacing w:line="500" w:lineRule="exact"/>
        <w:ind w:firstLine="480" w:firstLineChars="200"/>
        <w:jc w:val="center"/>
        <w:outlineLvl w:val="1"/>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br w:type="page"/>
      </w:r>
      <w:r>
        <w:rPr>
          <w:rFonts w:hint="eastAsia" w:ascii="宋体" w:hAnsi="宋体" w:eastAsia="宋体" w:cs="宋体"/>
          <w:b/>
          <w:color w:val="000000" w:themeColor="text1"/>
          <w:sz w:val="24"/>
          <w:szCs w:val="24"/>
          <w:highlight w:val="none"/>
          <w14:textFill>
            <w14:solidFill>
              <w14:schemeClr w14:val="tx1"/>
            </w14:solidFill>
          </w14:textFill>
        </w:rPr>
        <w:t>五、投标人类似项目业绩一览表</w:t>
      </w:r>
      <w:bookmarkEnd w:id="137"/>
    </w:p>
    <w:p w14:paraId="76FAA06B">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bl>
      <w:tblPr>
        <w:tblStyle w:val="29"/>
        <w:tblW w:w="4997" w:type="pct"/>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54" w:type="dxa"/>
          <w:bottom w:w="0" w:type="dxa"/>
          <w:right w:w="54" w:type="dxa"/>
        </w:tblCellMar>
      </w:tblPr>
      <w:tblGrid>
        <w:gridCol w:w="606"/>
        <w:gridCol w:w="960"/>
        <w:gridCol w:w="1113"/>
        <w:gridCol w:w="1151"/>
        <w:gridCol w:w="1162"/>
        <w:gridCol w:w="1180"/>
        <w:gridCol w:w="1158"/>
        <w:gridCol w:w="1069"/>
        <w:gridCol w:w="10"/>
      </w:tblGrid>
      <w:tr w14:paraId="0380729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360" w:type="pct"/>
            <w:tcBorders>
              <w:top w:val="single" w:color="auto" w:sz="4" w:space="0"/>
            </w:tcBorders>
            <w:vAlign w:val="center"/>
          </w:tcPr>
          <w:p w14:paraId="650DDD35">
            <w:pPr>
              <w:spacing w:line="400" w:lineRule="exact"/>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序号</w:t>
            </w:r>
          </w:p>
        </w:tc>
        <w:tc>
          <w:tcPr>
            <w:tcW w:w="570" w:type="pct"/>
            <w:vAlign w:val="center"/>
          </w:tcPr>
          <w:p w14:paraId="55A7B561">
            <w:pPr>
              <w:spacing w:line="400" w:lineRule="exact"/>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采购人</w:t>
            </w:r>
          </w:p>
        </w:tc>
        <w:tc>
          <w:tcPr>
            <w:tcW w:w="661" w:type="pct"/>
            <w:vAlign w:val="center"/>
          </w:tcPr>
          <w:p w14:paraId="1EB68A86">
            <w:pPr>
              <w:spacing w:line="400" w:lineRule="exact"/>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联系人</w:t>
            </w:r>
          </w:p>
        </w:tc>
        <w:tc>
          <w:tcPr>
            <w:tcW w:w="684" w:type="pct"/>
            <w:vAlign w:val="center"/>
          </w:tcPr>
          <w:p w14:paraId="69A2CF92">
            <w:pPr>
              <w:spacing w:line="400" w:lineRule="exact"/>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联系电话</w:t>
            </w:r>
          </w:p>
        </w:tc>
        <w:tc>
          <w:tcPr>
            <w:tcW w:w="690" w:type="pct"/>
            <w:vAlign w:val="center"/>
          </w:tcPr>
          <w:p w14:paraId="78BEB096">
            <w:pPr>
              <w:spacing w:line="400" w:lineRule="exact"/>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项目名称</w:t>
            </w:r>
          </w:p>
        </w:tc>
        <w:tc>
          <w:tcPr>
            <w:tcW w:w="701" w:type="pct"/>
            <w:vAlign w:val="center"/>
          </w:tcPr>
          <w:p w14:paraId="2A3386D3">
            <w:pPr>
              <w:spacing w:line="400" w:lineRule="exact"/>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完成时间</w:t>
            </w:r>
          </w:p>
        </w:tc>
        <w:tc>
          <w:tcPr>
            <w:tcW w:w="688" w:type="pct"/>
            <w:vAlign w:val="center"/>
          </w:tcPr>
          <w:p w14:paraId="2085C726">
            <w:pPr>
              <w:spacing w:line="400" w:lineRule="exact"/>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合同金额</w:t>
            </w:r>
          </w:p>
        </w:tc>
        <w:tc>
          <w:tcPr>
            <w:tcW w:w="641" w:type="pct"/>
            <w:gridSpan w:val="2"/>
            <w:tcBorders>
              <w:right w:val="single" w:color="auto" w:sz="4" w:space="0"/>
            </w:tcBorders>
            <w:vAlign w:val="center"/>
          </w:tcPr>
          <w:p w14:paraId="1179AEA8">
            <w:pPr>
              <w:spacing w:line="400" w:lineRule="exact"/>
              <w:jc w:val="center"/>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项目描述</w:t>
            </w:r>
          </w:p>
        </w:tc>
      </w:tr>
      <w:tr w14:paraId="56E249D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360" w:type="pct"/>
            <w:vAlign w:val="center"/>
          </w:tcPr>
          <w:p w14:paraId="10EF0B63">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vAlign w:val="center"/>
          </w:tcPr>
          <w:p w14:paraId="5E1EF9C3">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vAlign w:val="center"/>
          </w:tcPr>
          <w:p w14:paraId="39418716">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vAlign w:val="center"/>
          </w:tcPr>
          <w:p w14:paraId="01A7521D">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vAlign w:val="center"/>
          </w:tcPr>
          <w:p w14:paraId="1AA08E22">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vAlign w:val="center"/>
          </w:tcPr>
          <w:p w14:paraId="3A80486B">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vAlign w:val="center"/>
          </w:tcPr>
          <w:p w14:paraId="6E18489A">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41" w:type="pct"/>
            <w:gridSpan w:val="2"/>
            <w:tcBorders>
              <w:right w:val="single" w:color="auto" w:sz="4" w:space="0"/>
            </w:tcBorders>
            <w:vAlign w:val="center"/>
          </w:tcPr>
          <w:p w14:paraId="0F0D1FC8">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33C9E1D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360" w:type="pct"/>
            <w:vAlign w:val="center"/>
          </w:tcPr>
          <w:p w14:paraId="00746CBE">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vAlign w:val="center"/>
          </w:tcPr>
          <w:p w14:paraId="1686543E">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vAlign w:val="center"/>
          </w:tcPr>
          <w:p w14:paraId="0B5812C6">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vAlign w:val="center"/>
          </w:tcPr>
          <w:p w14:paraId="04AECD26">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vAlign w:val="center"/>
          </w:tcPr>
          <w:p w14:paraId="2981DF94">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vAlign w:val="center"/>
          </w:tcPr>
          <w:p w14:paraId="5F7A4E0D">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vAlign w:val="center"/>
          </w:tcPr>
          <w:p w14:paraId="6299CFE2">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41" w:type="pct"/>
            <w:gridSpan w:val="2"/>
            <w:tcBorders>
              <w:right w:val="single" w:color="auto" w:sz="4" w:space="0"/>
            </w:tcBorders>
            <w:vAlign w:val="center"/>
          </w:tcPr>
          <w:p w14:paraId="596471B2">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1C8114F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360" w:type="pct"/>
            <w:vAlign w:val="center"/>
          </w:tcPr>
          <w:p w14:paraId="0D240147">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vAlign w:val="center"/>
          </w:tcPr>
          <w:p w14:paraId="52773818">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vAlign w:val="center"/>
          </w:tcPr>
          <w:p w14:paraId="39BF77CB">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vAlign w:val="center"/>
          </w:tcPr>
          <w:p w14:paraId="449F4043">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vAlign w:val="center"/>
          </w:tcPr>
          <w:p w14:paraId="15764237">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vAlign w:val="center"/>
          </w:tcPr>
          <w:p w14:paraId="4821F7C7">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vAlign w:val="center"/>
          </w:tcPr>
          <w:p w14:paraId="57A02AB8">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41" w:type="pct"/>
            <w:gridSpan w:val="2"/>
            <w:tcBorders>
              <w:right w:val="single" w:color="auto" w:sz="4" w:space="0"/>
            </w:tcBorders>
            <w:vAlign w:val="center"/>
          </w:tcPr>
          <w:p w14:paraId="40561485">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4857FB1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360" w:type="pct"/>
            <w:vAlign w:val="center"/>
          </w:tcPr>
          <w:p w14:paraId="14B2E9B6">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tcBorders>
              <w:right w:val="single" w:color="auto" w:sz="4" w:space="0"/>
            </w:tcBorders>
            <w:vAlign w:val="center"/>
          </w:tcPr>
          <w:p w14:paraId="5C0F502E">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tcBorders>
              <w:left w:val="single" w:color="auto" w:sz="4" w:space="0"/>
            </w:tcBorders>
            <w:vAlign w:val="center"/>
          </w:tcPr>
          <w:p w14:paraId="51E163D6">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left w:val="single" w:color="auto" w:sz="4" w:space="0"/>
            </w:tcBorders>
            <w:vAlign w:val="center"/>
          </w:tcPr>
          <w:p w14:paraId="21963BFE">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tcBorders>
              <w:left w:val="single" w:color="auto" w:sz="4" w:space="0"/>
            </w:tcBorders>
            <w:vAlign w:val="center"/>
          </w:tcPr>
          <w:p w14:paraId="015F46ED">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vAlign w:val="center"/>
          </w:tcPr>
          <w:p w14:paraId="2D432305">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vAlign w:val="center"/>
          </w:tcPr>
          <w:p w14:paraId="0C69A581">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41" w:type="pct"/>
            <w:gridSpan w:val="2"/>
            <w:tcBorders>
              <w:right w:val="single" w:color="auto" w:sz="4" w:space="0"/>
            </w:tcBorders>
            <w:vAlign w:val="center"/>
          </w:tcPr>
          <w:p w14:paraId="5F4C9FAF">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18E8296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360" w:type="pct"/>
            <w:tcBorders>
              <w:right w:val="single" w:color="auto" w:sz="4" w:space="0"/>
            </w:tcBorders>
            <w:vAlign w:val="center"/>
          </w:tcPr>
          <w:p w14:paraId="63FA7C0E">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tcBorders>
              <w:left w:val="single" w:color="auto" w:sz="4" w:space="0"/>
              <w:right w:val="single" w:color="auto" w:sz="4" w:space="0"/>
            </w:tcBorders>
            <w:vAlign w:val="center"/>
          </w:tcPr>
          <w:p w14:paraId="36F02A26">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tcBorders>
              <w:left w:val="single" w:color="auto" w:sz="4" w:space="0"/>
              <w:right w:val="single" w:color="auto" w:sz="4" w:space="0"/>
            </w:tcBorders>
            <w:vAlign w:val="center"/>
          </w:tcPr>
          <w:p w14:paraId="4C17FACC">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left w:val="single" w:color="auto" w:sz="4" w:space="0"/>
              <w:right w:val="single" w:color="auto" w:sz="4" w:space="0"/>
            </w:tcBorders>
            <w:vAlign w:val="center"/>
          </w:tcPr>
          <w:p w14:paraId="3F5BF461">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tcBorders>
              <w:left w:val="single" w:color="auto" w:sz="4" w:space="0"/>
              <w:right w:val="single" w:color="auto" w:sz="4" w:space="0"/>
            </w:tcBorders>
            <w:vAlign w:val="center"/>
          </w:tcPr>
          <w:p w14:paraId="3C06F4CD">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tcBorders>
              <w:left w:val="single" w:color="auto" w:sz="4" w:space="0"/>
              <w:right w:val="single" w:color="auto" w:sz="4" w:space="0"/>
            </w:tcBorders>
            <w:vAlign w:val="center"/>
          </w:tcPr>
          <w:p w14:paraId="46E0D9AC">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tcBorders>
              <w:left w:val="single" w:color="auto" w:sz="4" w:space="0"/>
              <w:right w:val="single" w:color="auto" w:sz="4" w:space="0"/>
            </w:tcBorders>
            <w:vAlign w:val="center"/>
          </w:tcPr>
          <w:p w14:paraId="7439B57B">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641" w:type="pct"/>
            <w:gridSpan w:val="2"/>
            <w:tcBorders>
              <w:left w:val="single" w:color="auto" w:sz="4" w:space="0"/>
              <w:right w:val="single" w:color="auto" w:sz="4" w:space="0"/>
            </w:tcBorders>
            <w:vAlign w:val="center"/>
          </w:tcPr>
          <w:p w14:paraId="6C70DD99">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r>
      <w:tr w14:paraId="50C28E0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600" w:hRule="atLeast"/>
          <w:jc w:val="center"/>
        </w:trPr>
        <w:tc>
          <w:tcPr>
            <w:tcW w:w="360" w:type="pct"/>
            <w:vAlign w:val="center"/>
          </w:tcPr>
          <w:p w14:paraId="13D89805">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vAlign w:val="center"/>
          </w:tcPr>
          <w:p w14:paraId="4E178924">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vAlign w:val="center"/>
          </w:tcPr>
          <w:p w14:paraId="1BF4F13E">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vAlign w:val="center"/>
          </w:tcPr>
          <w:p w14:paraId="5CD08477">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vAlign w:val="center"/>
          </w:tcPr>
          <w:p w14:paraId="2E9E139E">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vAlign w:val="center"/>
          </w:tcPr>
          <w:p w14:paraId="3DC8D12B">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tcBorders>
              <w:right w:val="single" w:color="auto" w:sz="4" w:space="0"/>
            </w:tcBorders>
            <w:vAlign w:val="center"/>
          </w:tcPr>
          <w:p w14:paraId="733927F2">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635" w:type="pct"/>
            <w:tcBorders>
              <w:left w:val="single" w:color="auto" w:sz="4" w:space="0"/>
              <w:right w:val="single" w:color="auto" w:sz="4" w:space="0"/>
            </w:tcBorders>
            <w:vAlign w:val="center"/>
          </w:tcPr>
          <w:p w14:paraId="6494F82F">
            <w:pPr>
              <w:spacing w:line="400" w:lineRule="exact"/>
              <w:rPr>
                <w:rFonts w:hint="eastAsia" w:ascii="宋体" w:hAnsi="宋体" w:eastAsia="宋体" w:cs="宋体"/>
                <w:color w:val="000000" w:themeColor="text1"/>
                <w:sz w:val="24"/>
                <w:szCs w:val="24"/>
                <w:highlight w:val="none"/>
                <w14:textFill>
                  <w14:solidFill>
                    <w14:schemeClr w14:val="tx1"/>
                  </w14:solidFill>
                </w14:textFill>
              </w:rPr>
            </w:pPr>
          </w:p>
        </w:tc>
      </w:tr>
      <w:tr w14:paraId="11A2DCD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600" w:hRule="atLeast"/>
          <w:jc w:val="center"/>
        </w:trPr>
        <w:tc>
          <w:tcPr>
            <w:tcW w:w="360" w:type="pct"/>
            <w:vAlign w:val="center"/>
          </w:tcPr>
          <w:p w14:paraId="3B71BBDB">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vAlign w:val="center"/>
          </w:tcPr>
          <w:p w14:paraId="217F18C6">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vAlign w:val="center"/>
          </w:tcPr>
          <w:p w14:paraId="7F17D28E">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vAlign w:val="center"/>
          </w:tcPr>
          <w:p w14:paraId="7F10EC2B">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vAlign w:val="center"/>
          </w:tcPr>
          <w:p w14:paraId="2ABA3646">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vAlign w:val="center"/>
          </w:tcPr>
          <w:p w14:paraId="066C3801">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tcBorders>
              <w:right w:val="single" w:color="auto" w:sz="4" w:space="0"/>
            </w:tcBorders>
            <w:vAlign w:val="center"/>
          </w:tcPr>
          <w:p w14:paraId="1E272DF2">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35" w:type="pct"/>
            <w:tcBorders>
              <w:left w:val="single" w:color="auto" w:sz="4" w:space="0"/>
              <w:right w:val="single" w:color="auto" w:sz="4" w:space="0"/>
            </w:tcBorders>
            <w:vAlign w:val="center"/>
          </w:tcPr>
          <w:p w14:paraId="42D885DE">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6287A86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600" w:hRule="atLeast"/>
          <w:jc w:val="center"/>
        </w:trPr>
        <w:tc>
          <w:tcPr>
            <w:tcW w:w="360" w:type="pct"/>
            <w:vAlign w:val="center"/>
          </w:tcPr>
          <w:p w14:paraId="67177A7C">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vAlign w:val="center"/>
          </w:tcPr>
          <w:p w14:paraId="6B5B8BEE">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vAlign w:val="center"/>
          </w:tcPr>
          <w:p w14:paraId="40F646D7">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vAlign w:val="center"/>
          </w:tcPr>
          <w:p w14:paraId="52758D2D">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vAlign w:val="center"/>
          </w:tcPr>
          <w:p w14:paraId="0306355B">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vAlign w:val="center"/>
          </w:tcPr>
          <w:p w14:paraId="60BACD57">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tcBorders>
              <w:right w:val="single" w:color="auto" w:sz="4" w:space="0"/>
            </w:tcBorders>
            <w:vAlign w:val="center"/>
          </w:tcPr>
          <w:p w14:paraId="5E6617FC">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35" w:type="pct"/>
            <w:tcBorders>
              <w:left w:val="single" w:color="auto" w:sz="4" w:space="0"/>
              <w:right w:val="single" w:color="auto" w:sz="4" w:space="0"/>
            </w:tcBorders>
            <w:vAlign w:val="center"/>
          </w:tcPr>
          <w:p w14:paraId="7EE69AD2">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272AD56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510" w:hRule="atLeast"/>
          <w:jc w:val="center"/>
        </w:trPr>
        <w:tc>
          <w:tcPr>
            <w:tcW w:w="360" w:type="pct"/>
            <w:tcBorders>
              <w:bottom w:val="single" w:color="auto" w:sz="4" w:space="0"/>
            </w:tcBorders>
            <w:vAlign w:val="center"/>
          </w:tcPr>
          <w:p w14:paraId="2FB5B247">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tcBorders>
              <w:bottom w:val="single" w:color="auto" w:sz="4" w:space="0"/>
            </w:tcBorders>
            <w:vAlign w:val="center"/>
          </w:tcPr>
          <w:p w14:paraId="3372EE02">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tcBorders>
              <w:bottom w:val="single" w:color="auto" w:sz="4" w:space="0"/>
            </w:tcBorders>
            <w:vAlign w:val="center"/>
          </w:tcPr>
          <w:p w14:paraId="6A72C2AA">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bottom w:val="single" w:color="auto" w:sz="4" w:space="0"/>
            </w:tcBorders>
            <w:vAlign w:val="center"/>
          </w:tcPr>
          <w:p w14:paraId="118F550D">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tcBorders>
              <w:bottom w:val="single" w:color="auto" w:sz="4" w:space="0"/>
            </w:tcBorders>
            <w:vAlign w:val="center"/>
          </w:tcPr>
          <w:p w14:paraId="3C47C8AB">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tcBorders>
              <w:bottom w:val="single" w:color="auto" w:sz="4" w:space="0"/>
            </w:tcBorders>
            <w:vAlign w:val="center"/>
          </w:tcPr>
          <w:p w14:paraId="5812A98A">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tcBorders>
              <w:bottom w:val="single" w:color="auto" w:sz="4" w:space="0"/>
              <w:right w:val="single" w:color="auto" w:sz="4" w:space="0"/>
            </w:tcBorders>
            <w:vAlign w:val="center"/>
          </w:tcPr>
          <w:p w14:paraId="0E5DD917">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35" w:type="pct"/>
            <w:tcBorders>
              <w:left w:val="single" w:color="auto" w:sz="4" w:space="0"/>
              <w:bottom w:val="single" w:color="auto" w:sz="4" w:space="0"/>
              <w:right w:val="single" w:color="auto" w:sz="4" w:space="0"/>
            </w:tcBorders>
            <w:vAlign w:val="center"/>
          </w:tcPr>
          <w:p w14:paraId="5799AB95">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227B80E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615" w:hRule="atLeast"/>
          <w:jc w:val="center"/>
        </w:trPr>
        <w:tc>
          <w:tcPr>
            <w:tcW w:w="360" w:type="pct"/>
            <w:tcBorders>
              <w:top w:val="single" w:color="auto" w:sz="4" w:space="0"/>
              <w:bottom w:val="single" w:color="auto" w:sz="4" w:space="0"/>
            </w:tcBorders>
            <w:vAlign w:val="center"/>
          </w:tcPr>
          <w:p w14:paraId="492BC052">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tcBorders>
              <w:top w:val="single" w:color="auto" w:sz="4" w:space="0"/>
              <w:bottom w:val="single" w:color="auto" w:sz="4" w:space="0"/>
            </w:tcBorders>
            <w:vAlign w:val="center"/>
          </w:tcPr>
          <w:p w14:paraId="0096FFB8">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tcBorders>
              <w:top w:val="single" w:color="auto" w:sz="4" w:space="0"/>
              <w:bottom w:val="single" w:color="auto" w:sz="4" w:space="0"/>
            </w:tcBorders>
            <w:vAlign w:val="center"/>
          </w:tcPr>
          <w:p w14:paraId="7FEDE0B9">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top w:val="single" w:color="auto" w:sz="4" w:space="0"/>
              <w:bottom w:val="single" w:color="auto" w:sz="4" w:space="0"/>
            </w:tcBorders>
            <w:vAlign w:val="center"/>
          </w:tcPr>
          <w:p w14:paraId="02B7757E">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tcBorders>
              <w:top w:val="single" w:color="auto" w:sz="4" w:space="0"/>
              <w:bottom w:val="single" w:color="auto" w:sz="4" w:space="0"/>
            </w:tcBorders>
            <w:vAlign w:val="center"/>
          </w:tcPr>
          <w:p w14:paraId="551EFA1E">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tcBorders>
              <w:top w:val="single" w:color="auto" w:sz="4" w:space="0"/>
              <w:bottom w:val="single" w:color="auto" w:sz="4" w:space="0"/>
            </w:tcBorders>
            <w:vAlign w:val="center"/>
          </w:tcPr>
          <w:p w14:paraId="7CE71A1D">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tcBorders>
              <w:top w:val="single" w:color="auto" w:sz="4" w:space="0"/>
              <w:bottom w:val="single" w:color="auto" w:sz="4" w:space="0"/>
              <w:right w:val="single" w:color="auto" w:sz="4" w:space="0"/>
            </w:tcBorders>
            <w:vAlign w:val="center"/>
          </w:tcPr>
          <w:p w14:paraId="4FE0E7F3">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35" w:type="pct"/>
            <w:tcBorders>
              <w:top w:val="single" w:color="auto" w:sz="4" w:space="0"/>
              <w:left w:val="single" w:color="auto" w:sz="4" w:space="0"/>
              <w:bottom w:val="single" w:color="auto" w:sz="4" w:space="0"/>
              <w:right w:val="single" w:color="auto" w:sz="4" w:space="0"/>
            </w:tcBorders>
            <w:vAlign w:val="center"/>
          </w:tcPr>
          <w:p w14:paraId="7A9D2414">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20B137D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615" w:hRule="atLeast"/>
          <w:jc w:val="center"/>
        </w:trPr>
        <w:tc>
          <w:tcPr>
            <w:tcW w:w="360" w:type="pct"/>
            <w:tcBorders>
              <w:top w:val="single" w:color="auto" w:sz="4" w:space="0"/>
              <w:bottom w:val="single" w:color="auto" w:sz="4" w:space="0"/>
            </w:tcBorders>
            <w:vAlign w:val="center"/>
          </w:tcPr>
          <w:p w14:paraId="53EE08F2">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tcBorders>
              <w:top w:val="single" w:color="auto" w:sz="4" w:space="0"/>
              <w:bottom w:val="single" w:color="auto" w:sz="4" w:space="0"/>
            </w:tcBorders>
            <w:vAlign w:val="center"/>
          </w:tcPr>
          <w:p w14:paraId="285D5AF7">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tcBorders>
              <w:top w:val="single" w:color="auto" w:sz="4" w:space="0"/>
              <w:bottom w:val="single" w:color="auto" w:sz="4" w:space="0"/>
            </w:tcBorders>
            <w:vAlign w:val="center"/>
          </w:tcPr>
          <w:p w14:paraId="55ABED4F">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top w:val="single" w:color="auto" w:sz="4" w:space="0"/>
              <w:bottom w:val="single" w:color="auto" w:sz="4" w:space="0"/>
            </w:tcBorders>
            <w:vAlign w:val="center"/>
          </w:tcPr>
          <w:p w14:paraId="125E9F6F">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tcBorders>
              <w:top w:val="single" w:color="auto" w:sz="4" w:space="0"/>
              <w:bottom w:val="single" w:color="auto" w:sz="4" w:space="0"/>
            </w:tcBorders>
            <w:vAlign w:val="center"/>
          </w:tcPr>
          <w:p w14:paraId="7CB34B2D">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tcBorders>
              <w:top w:val="single" w:color="auto" w:sz="4" w:space="0"/>
              <w:bottom w:val="single" w:color="auto" w:sz="4" w:space="0"/>
            </w:tcBorders>
            <w:vAlign w:val="center"/>
          </w:tcPr>
          <w:p w14:paraId="152ED94A">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tcBorders>
              <w:top w:val="single" w:color="auto" w:sz="4" w:space="0"/>
              <w:bottom w:val="single" w:color="auto" w:sz="4" w:space="0"/>
              <w:right w:val="single" w:color="auto" w:sz="4" w:space="0"/>
            </w:tcBorders>
            <w:vAlign w:val="center"/>
          </w:tcPr>
          <w:p w14:paraId="74D56E01">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35" w:type="pct"/>
            <w:tcBorders>
              <w:top w:val="single" w:color="auto" w:sz="4" w:space="0"/>
              <w:left w:val="single" w:color="auto" w:sz="4" w:space="0"/>
              <w:bottom w:val="single" w:color="auto" w:sz="4" w:space="0"/>
              <w:right w:val="single" w:color="auto" w:sz="4" w:space="0"/>
            </w:tcBorders>
            <w:vAlign w:val="center"/>
          </w:tcPr>
          <w:p w14:paraId="7293CD42">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40B3D14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450" w:hRule="atLeast"/>
          <w:jc w:val="center"/>
        </w:trPr>
        <w:tc>
          <w:tcPr>
            <w:tcW w:w="360" w:type="pct"/>
            <w:tcBorders>
              <w:top w:val="single" w:color="auto" w:sz="4" w:space="0"/>
              <w:bottom w:val="single" w:color="auto" w:sz="4" w:space="0"/>
            </w:tcBorders>
            <w:vAlign w:val="center"/>
          </w:tcPr>
          <w:p w14:paraId="70651BF4">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tcBorders>
              <w:top w:val="single" w:color="auto" w:sz="4" w:space="0"/>
              <w:bottom w:val="single" w:color="auto" w:sz="4" w:space="0"/>
            </w:tcBorders>
            <w:vAlign w:val="center"/>
          </w:tcPr>
          <w:p w14:paraId="1F4A9732">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tcBorders>
              <w:top w:val="single" w:color="auto" w:sz="4" w:space="0"/>
              <w:bottom w:val="single" w:color="auto" w:sz="4" w:space="0"/>
            </w:tcBorders>
            <w:vAlign w:val="center"/>
          </w:tcPr>
          <w:p w14:paraId="67FCE4C6">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top w:val="single" w:color="auto" w:sz="4" w:space="0"/>
              <w:bottom w:val="single" w:color="auto" w:sz="4" w:space="0"/>
            </w:tcBorders>
            <w:vAlign w:val="center"/>
          </w:tcPr>
          <w:p w14:paraId="57B58771">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tcBorders>
              <w:top w:val="single" w:color="auto" w:sz="4" w:space="0"/>
              <w:bottom w:val="single" w:color="auto" w:sz="4" w:space="0"/>
            </w:tcBorders>
            <w:vAlign w:val="center"/>
          </w:tcPr>
          <w:p w14:paraId="3B3C0977">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tcBorders>
              <w:top w:val="single" w:color="auto" w:sz="4" w:space="0"/>
              <w:bottom w:val="single" w:color="auto" w:sz="4" w:space="0"/>
            </w:tcBorders>
            <w:vAlign w:val="center"/>
          </w:tcPr>
          <w:p w14:paraId="573BD71E">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tcBorders>
              <w:top w:val="single" w:color="auto" w:sz="4" w:space="0"/>
              <w:bottom w:val="single" w:color="auto" w:sz="4" w:space="0"/>
              <w:right w:val="single" w:color="auto" w:sz="4" w:space="0"/>
            </w:tcBorders>
            <w:vAlign w:val="center"/>
          </w:tcPr>
          <w:p w14:paraId="23126EF9">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35" w:type="pct"/>
            <w:tcBorders>
              <w:top w:val="single" w:color="auto" w:sz="4" w:space="0"/>
              <w:left w:val="single" w:color="auto" w:sz="4" w:space="0"/>
              <w:bottom w:val="single" w:color="auto" w:sz="4" w:space="0"/>
              <w:right w:val="single" w:color="auto" w:sz="4" w:space="0"/>
            </w:tcBorders>
            <w:vAlign w:val="center"/>
          </w:tcPr>
          <w:p w14:paraId="434AABF6">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1CFDC00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5" w:type="pct"/>
          <w:cantSplit/>
          <w:trHeight w:val="435" w:hRule="atLeast"/>
          <w:jc w:val="center"/>
        </w:trPr>
        <w:tc>
          <w:tcPr>
            <w:tcW w:w="360" w:type="pct"/>
            <w:tcBorders>
              <w:top w:val="single" w:color="auto" w:sz="4" w:space="0"/>
            </w:tcBorders>
            <w:vAlign w:val="center"/>
          </w:tcPr>
          <w:p w14:paraId="298A7E38">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70" w:type="pct"/>
            <w:tcBorders>
              <w:top w:val="single" w:color="auto" w:sz="4" w:space="0"/>
            </w:tcBorders>
            <w:vAlign w:val="center"/>
          </w:tcPr>
          <w:p w14:paraId="2F17440C">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61" w:type="pct"/>
            <w:tcBorders>
              <w:top w:val="single" w:color="auto" w:sz="4" w:space="0"/>
            </w:tcBorders>
            <w:vAlign w:val="center"/>
          </w:tcPr>
          <w:p w14:paraId="02BE1C5C">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top w:val="single" w:color="auto" w:sz="4" w:space="0"/>
            </w:tcBorders>
            <w:vAlign w:val="center"/>
          </w:tcPr>
          <w:p w14:paraId="03BEF774">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90" w:type="pct"/>
            <w:tcBorders>
              <w:top w:val="single" w:color="auto" w:sz="4" w:space="0"/>
            </w:tcBorders>
            <w:vAlign w:val="center"/>
          </w:tcPr>
          <w:p w14:paraId="0D77CB79">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01" w:type="pct"/>
            <w:tcBorders>
              <w:top w:val="single" w:color="auto" w:sz="4" w:space="0"/>
            </w:tcBorders>
            <w:vAlign w:val="center"/>
          </w:tcPr>
          <w:p w14:paraId="3E77D87F">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8" w:type="pct"/>
            <w:tcBorders>
              <w:top w:val="single" w:color="auto" w:sz="4" w:space="0"/>
              <w:right w:val="single" w:color="auto" w:sz="4" w:space="0"/>
            </w:tcBorders>
            <w:vAlign w:val="center"/>
          </w:tcPr>
          <w:p w14:paraId="1CDECEE4">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35" w:type="pct"/>
            <w:tcBorders>
              <w:top w:val="single" w:color="auto" w:sz="4" w:space="0"/>
              <w:left w:val="single" w:color="auto" w:sz="4" w:space="0"/>
              <w:right w:val="single" w:color="auto" w:sz="4" w:space="0"/>
            </w:tcBorders>
            <w:vAlign w:val="center"/>
          </w:tcPr>
          <w:p w14:paraId="45F63389">
            <w:pPr>
              <w:spacing w:line="4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bl>
    <w:p w14:paraId="5C78CEBE">
      <w:pPr>
        <w:spacing w:line="360" w:lineRule="auto"/>
        <w:jc w:val="left"/>
        <w:rPr>
          <w:rFonts w:hint="eastAsia" w:ascii="宋体" w:hAnsi="宋体" w:eastAsia="宋体" w:cs="宋体"/>
          <w:bCs/>
          <w:color w:val="000000" w:themeColor="text1"/>
          <w:sz w:val="24"/>
          <w:szCs w:val="24"/>
          <w:highlight w:val="none"/>
          <w14:textFill>
            <w14:solidFill>
              <w14:schemeClr w14:val="tx1"/>
            </w14:solidFill>
          </w14:textFill>
        </w:rPr>
      </w:pPr>
    </w:p>
    <w:p w14:paraId="3B6987BD">
      <w:pPr>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w:t>
      </w:r>
    </w:p>
    <w:p w14:paraId="5E6B07B6">
      <w:pPr>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1.本表后附</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近三年完成的类似业绩</w:t>
      </w:r>
      <w:r>
        <w:rPr>
          <w:rFonts w:hint="eastAsia" w:ascii="宋体" w:hAnsi="宋体" w:eastAsia="宋体" w:cs="宋体"/>
          <w:bCs/>
          <w:color w:val="000000" w:themeColor="text1"/>
          <w:sz w:val="24"/>
          <w:szCs w:val="24"/>
          <w:highlight w:val="none"/>
          <w14:textFill>
            <w14:solidFill>
              <w14:schemeClr w14:val="tx1"/>
            </w14:solidFill>
          </w14:textFill>
        </w:rPr>
        <w:t>，须提供中标通知书和</w:t>
      </w:r>
      <w:r>
        <w:rPr>
          <w:rFonts w:hint="eastAsia" w:ascii="宋体" w:hAnsi="宋体" w:eastAsia="宋体" w:cs="宋体"/>
          <w:color w:val="000000" w:themeColor="text1"/>
          <w:spacing w:val="6"/>
          <w:kern w:val="0"/>
          <w:sz w:val="24"/>
          <w:szCs w:val="24"/>
          <w:highlight w:val="none"/>
          <w14:textFill>
            <w14:solidFill>
              <w14:schemeClr w14:val="tx1"/>
            </w14:solidFill>
          </w14:textFill>
        </w:rPr>
        <w:t>合同</w:t>
      </w:r>
      <w:r>
        <w:rPr>
          <w:rFonts w:hint="eastAsia" w:ascii="宋体" w:hAnsi="宋体" w:eastAsia="宋体" w:cs="宋体"/>
          <w:color w:val="000000" w:themeColor="text1"/>
          <w:spacing w:val="6"/>
          <w:kern w:val="0"/>
          <w:sz w:val="24"/>
          <w:szCs w:val="24"/>
          <w:highlight w:val="none"/>
          <w:lang w:eastAsia="zh-CN"/>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合同至少包含合同首页、关键页、签订时间、双方签章页</w:t>
      </w:r>
      <w:r>
        <w:rPr>
          <w:rFonts w:hint="eastAsia" w:ascii="宋体" w:hAnsi="宋体" w:eastAsia="宋体" w:cs="宋体"/>
          <w:bCs/>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复印件并加盖投标人公章</w:t>
      </w:r>
      <w:r>
        <w:rPr>
          <w:rFonts w:hint="eastAsia" w:ascii="宋体" w:hAnsi="宋体" w:eastAsia="宋体" w:cs="宋体"/>
          <w:color w:val="000000" w:themeColor="text1"/>
          <w:sz w:val="24"/>
          <w:szCs w:val="24"/>
          <w:highlight w:val="none"/>
          <w14:textFill>
            <w14:solidFill>
              <w14:schemeClr w14:val="tx1"/>
            </w14:solidFill>
          </w14:textFill>
        </w:rPr>
        <w:t>；</w:t>
      </w:r>
    </w:p>
    <w:p w14:paraId="757DCE72">
      <w:pPr>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2.具体年份要求：</w:t>
      </w:r>
      <w:r>
        <w:rPr>
          <w:rFonts w:hint="eastAsia" w:ascii="宋体" w:hAnsi="宋体" w:eastAsia="宋体" w:cs="宋体"/>
          <w:color w:val="000000" w:themeColor="text1"/>
          <w:sz w:val="24"/>
          <w:szCs w:val="24"/>
          <w:highlight w:val="none"/>
          <w:lang w:eastAsia="zh-CN"/>
          <w14:textFill>
            <w14:solidFill>
              <w14:schemeClr w14:val="tx1"/>
            </w14:solidFill>
          </w14:textFill>
        </w:rPr>
        <w:t>自上传投标文件截止时间向前推算三年</w:t>
      </w:r>
      <w:r>
        <w:rPr>
          <w:rFonts w:hint="eastAsia" w:ascii="宋体" w:hAnsi="宋体" w:eastAsia="宋体" w:cs="宋体"/>
          <w:color w:val="000000" w:themeColor="text1"/>
          <w:sz w:val="24"/>
          <w:szCs w:val="24"/>
          <w:highlight w:val="none"/>
          <w14:textFill>
            <w14:solidFill>
              <w14:schemeClr w14:val="tx1"/>
            </w14:solidFill>
          </w14:textFill>
        </w:rPr>
        <w:t>，业绩认定日期以</w:t>
      </w:r>
      <w:r>
        <w:rPr>
          <w:rFonts w:hint="eastAsia" w:ascii="宋体" w:hAnsi="宋体" w:eastAsia="宋体" w:cs="宋体"/>
          <w:color w:val="000000" w:themeColor="text1"/>
          <w:sz w:val="24"/>
          <w:szCs w:val="24"/>
          <w:highlight w:val="none"/>
          <w:lang w:val="en-US" w:eastAsia="zh-CN"/>
          <w14:textFill>
            <w14:solidFill>
              <w14:schemeClr w14:val="tx1"/>
            </w14:solidFill>
          </w14:textFill>
        </w:rPr>
        <w:t>合同签订日期</w:t>
      </w:r>
      <w:r>
        <w:rPr>
          <w:rFonts w:hint="eastAsia" w:ascii="宋体" w:hAnsi="宋体" w:eastAsia="宋体" w:cs="宋体"/>
          <w:color w:val="000000" w:themeColor="text1"/>
          <w:sz w:val="24"/>
          <w:szCs w:val="24"/>
          <w:highlight w:val="none"/>
          <w14:textFill>
            <w14:solidFill>
              <w14:schemeClr w14:val="tx1"/>
            </w14:solidFill>
          </w14:textFill>
        </w:rPr>
        <w:t>为准。</w:t>
      </w:r>
    </w:p>
    <w:p w14:paraId="09F1F53E">
      <w:pPr>
        <w:spacing w:line="400" w:lineRule="exact"/>
        <w:ind w:left="360"/>
        <w:jc w:val="center"/>
        <w:rPr>
          <w:rFonts w:hint="eastAsia" w:ascii="宋体" w:hAnsi="宋体" w:eastAsia="宋体" w:cs="宋体"/>
          <w:color w:val="000000" w:themeColor="text1"/>
          <w:sz w:val="24"/>
          <w:szCs w:val="24"/>
          <w:highlight w:val="none"/>
          <w14:textFill>
            <w14:solidFill>
              <w14:schemeClr w14:val="tx1"/>
            </w14:solidFill>
          </w14:textFill>
        </w:rPr>
      </w:pPr>
    </w:p>
    <w:p w14:paraId="5D9E05A4">
      <w:pPr>
        <w:adjustRightInd w:val="0"/>
        <w:spacing w:line="4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投标人名称（</w:t>
      </w:r>
      <w:r>
        <w:rPr>
          <w:rFonts w:hint="eastAsia" w:ascii="宋体" w:hAnsi="宋体" w:eastAsia="宋体" w:cs="宋体"/>
          <w:color w:val="000000" w:themeColor="text1"/>
          <w:sz w:val="24"/>
          <w:szCs w:val="24"/>
          <w:highlight w:val="none"/>
          <w:lang w:eastAsia="zh-CN"/>
          <w14:textFill>
            <w14:solidFill>
              <w14:schemeClr w14:val="tx1"/>
            </w14:solidFill>
          </w14:textFill>
        </w:rPr>
        <w:t>盖公章</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4A417FC0">
      <w:pPr>
        <w:adjustRightInd w:val="0"/>
        <w:spacing w:line="4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授权人或被授权人（</w:t>
      </w:r>
      <w:r>
        <w:rPr>
          <w:rFonts w:hint="eastAsia" w:ascii="宋体" w:hAnsi="宋体" w:eastAsia="宋体" w:cs="宋体"/>
          <w:color w:val="000000" w:themeColor="text1"/>
          <w:sz w:val="24"/>
          <w:szCs w:val="24"/>
          <w:highlight w:val="none"/>
          <w:lang w:eastAsia="zh-CN"/>
          <w14:textFill>
            <w14:solidFill>
              <w14:schemeClr w14:val="tx1"/>
            </w14:solidFill>
          </w14:textFill>
        </w:rPr>
        <w:t>签字或盖名章</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bCs/>
          <w:color w:val="000000" w:themeColor="text1"/>
          <w:sz w:val="24"/>
          <w:szCs w:val="24"/>
          <w:highlight w:val="none"/>
          <w14:textFill>
            <w14:solidFill>
              <w14:schemeClr w14:val="tx1"/>
            </w14:solidFill>
          </w14:textFill>
        </w:rPr>
        <w:t>：</w:t>
      </w:r>
    </w:p>
    <w:p w14:paraId="6C18A1A3">
      <w:pPr>
        <w:adjustRightInd w:val="0"/>
        <w:spacing w:line="40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日期： 年 月 日</w:t>
      </w:r>
    </w:p>
    <w:p w14:paraId="18440B71">
      <w:pPr>
        <w:pStyle w:val="4"/>
        <w:numPr>
          <w:ilvl w:val="0"/>
          <w:numId w:val="6"/>
        </w:numPr>
        <w:spacing w:before="156" w:after="156" w:line="400" w:lineRule="exact"/>
        <w:rPr>
          <w:rFonts w:hint="eastAsia" w:ascii="宋体" w:hAnsi="宋体" w:eastAsia="宋体" w:cs="宋体"/>
          <w:color w:val="000000" w:themeColor="text1"/>
          <w:sz w:val="24"/>
          <w:szCs w:val="24"/>
          <w:highlight w:val="none"/>
          <w14:textFill>
            <w14:solidFill>
              <w14:schemeClr w14:val="tx1"/>
            </w14:solidFill>
          </w14:textFill>
        </w:rPr>
      </w:pPr>
      <w:bookmarkStart w:id="138" w:name="_Toc217446090"/>
      <w:bookmarkStart w:id="139" w:name="_Toc217446091"/>
      <w:r>
        <w:rPr>
          <w:rFonts w:hint="eastAsia" w:ascii="宋体" w:hAnsi="宋体" w:eastAsia="宋体" w:cs="宋体"/>
          <w:bCs w:val="0"/>
          <w:color w:val="000000" w:themeColor="text1"/>
          <w:kern w:val="0"/>
          <w:sz w:val="24"/>
          <w:szCs w:val="24"/>
          <w:highlight w:val="none"/>
          <w14:textFill>
            <w14:solidFill>
              <w14:schemeClr w14:val="tx1"/>
            </w14:solidFill>
          </w14:textFill>
        </w:rPr>
        <w:br w:type="page"/>
      </w:r>
      <w:bookmarkEnd w:id="138"/>
      <w:r>
        <w:rPr>
          <w:rFonts w:hint="eastAsia" w:ascii="宋体" w:hAnsi="宋体" w:eastAsia="宋体" w:cs="宋体"/>
          <w:color w:val="000000" w:themeColor="text1"/>
          <w:sz w:val="24"/>
          <w:szCs w:val="24"/>
          <w:highlight w:val="none"/>
          <w14:textFill>
            <w14:solidFill>
              <w14:schemeClr w14:val="tx1"/>
            </w14:solidFill>
          </w14:textFill>
        </w:rPr>
        <w:t>商务、技术需求偏离表</w:t>
      </w:r>
    </w:p>
    <w:p w14:paraId="473365A2">
      <w:pPr>
        <w:spacing w:line="360" w:lineRule="auto"/>
        <w:jc w:val="center"/>
        <w:rPr>
          <w:rFonts w:hint="eastAsia" w:ascii="宋体" w:hAnsi="宋体" w:eastAsia="宋体" w:cs="宋体"/>
          <w:b/>
          <w:color w:val="000000" w:themeColor="text1"/>
          <w:sz w:val="30"/>
          <w:szCs w:val="30"/>
          <w:highlight w:val="none"/>
          <w14:textFill>
            <w14:solidFill>
              <w14:schemeClr w14:val="tx1"/>
            </w14:solidFill>
          </w14:textFill>
        </w:rPr>
      </w:pPr>
      <w:r>
        <w:rPr>
          <w:rFonts w:hint="eastAsia" w:ascii="宋体" w:hAnsi="宋体" w:eastAsia="宋体" w:cs="宋体"/>
          <w:b/>
          <w:color w:val="000000" w:themeColor="text1"/>
          <w:sz w:val="30"/>
          <w:szCs w:val="30"/>
          <w:highlight w:val="none"/>
          <w:lang w:eastAsia="zh-CN"/>
          <w14:textFill>
            <w14:solidFill>
              <w14:schemeClr w14:val="tx1"/>
            </w14:solidFill>
          </w14:textFill>
        </w:rPr>
        <w:t>（一）</w:t>
      </w:r>
      <w:r>
        <w:rPr>
          <w:rFonts w:hint="eastAsia" w:ascii="宋体" w:hAnsi="宋体" w:eastAsia="宋体" w:cs="宋体"/>
          <w:b/>
          <w:color w:val="000000" w:themeColor="text1"/>
          <w:sz w:val="30"/>
          <w:szCs w:val="30"/>
          <w:highlight w:val="none"/>
          <w14:textFill>
            <w14:solidFill>
              <w14:schemeClr w14:val="tx1"/>
            </w14:solidFill>
          </w14:textFill>
        </w:rPr>
        <w:t>商务条款偏离表</w:t>
      </w:r>
    </w:p>
    <w:p w14:paraId="6AE42A50">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项目名称：           </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 xml:space="preserve">        </w:t>
      </w:r>
    </w:p>
    <w:p w14:paraId="2A3B4E08">
      <w:pPr>
        <w:spacing w:line="360" w:lineRule="auto"/>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项目编号：</w:t>
      </w:r>
    </w:p>
    <w:tbl>
      <w:tblPr>
        <w:tblStyle w:val="29"/>
        <w:tblW w:w="86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5850"/>
        <w:gridCol w:w="1008"/>
        <w:gridCol w:w="1164"/>
      </w:tblGrid>
      <w:tr w14:paraId="6CA68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673" w:type="dxa"/>
            <w:shd w:val="clear" w:color="auto" w:fill="F3F3F3"/>
            <w:noWrap w:val="0"/>
            <w:vAlign w:val="center"/>
          </w:tcPr>
          <w:p w14:paraId="629A55BA">
            <w:pPr>
              <w:jc w:val="center"/>
              <w:rPr>
                <w:rFonts w:hint="eastAsia"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序号</w:t>
            </w:r>
          </w:p>
        </w:tc>
        <w:tc>
          <w:tcPr>
            <w:tcW w:w="5850" w:type="dxa"/>
            <w:shd w:val="clear" w:color="auto" w:fill="F3F3F3"/>
            <w:noWrap w:val="0"/>
            <w:vAlign w:val="center"/>
          </w:tcPr>
          <w:p w14:paraId="2BB7E8ED">
            <w:pPr>
              <w:jc w:val="center"/>
              <w:rPr>
                <w:rFonts w:hint="eastAsia"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主要商务条款</w:t>
            </w:r>
          </w:p>
        </w:tc>
        <w:tc>
          <w:tcPr>
            <w:tcW w:w="1008" w:type="dxa"/>
            <w:shd w:val="clear" w:color="auto" w:fill="F3F3F3"/>
            <w:noWrap w:val="0"/>
            <w:vAlign w:val="center"/>
          </w:tcPr>
          <w:p w14:paraId="7FD1A3BD">
            <w:pPr>
              <w:jc w:val="center"/>
              <w:rPr>
                <w:rFonts w:hint="eastAsia"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是否</w:t>
            </w:r>
          </w:p>
          <w:p w14:paraId="7368451B">
            <w:pPr>
              <w:jc w:val="center"/>
              <w:rPr>
                <w:rFonts w:hint="eastAsia"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响应</w:t>
            </w:r>
          </w:p>
        </w:tc>
        <w:tc>
          <w:tcPr>
            <w:tcW w:w="1164" w:type="dxa"/>
            <w:shd w:val="clear" w:color="auto" w:fill="F3F3F3"/>
            <w:noWrap w:val="0"/>
            <w:vAlign w:val="center"/>
          </w:tcPr>
          <w:p w14:paraId="1143F5D3">
            <w:pPr>
              <w:jc w:val="center"/>
              <w:rPr>
                <w:rFonts w:hint="eastAsia"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14:textFill>
                  <w14:solidFill>
                    <w14:schemeClr w14:val="tx1"/>
                  </w14:solidFill>
                </w14:textFill>
              </w:rPr>
              <w:t>偏离说明</w:t>
            </w:r>
          </w:p>
        </w:tc>
      </w:tr>
      <w:tr w14:paraId="5BCCC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noWrap w:val="0"/>
            <w:vAlign w:val="center"/>
          </w:tcPr>
          <w:p w14:paraId="25E6C2C9">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w:t>
            </w:r>
          </w:p>
        </w:tc>
        <w:tc>
          <w:tcPr>
            <w:tcW w:w="5850" w:type="dxa"/>
            <w:noWrap w:val="0"/>
            <w:vAlign w:val="center"/>
          </w:tcPr>
          <w:p w14:paraId="50197AF5">
            <w:pP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完全理解并接受对合格投标人、合格的货物和服务要求</w:t>
            </w:r>
          </w:p>
        </w:tc>
        <w:tc>
          <w:tcPr>
            <w:tcW w:w="1008" w:type="dxa"/>
            <w:noWrap w:val="0"/>
            <w:vAlign w:val="center"/>
          </w:tcPr>
          <w:p w14:paraId="5EF288C1">
            <w:pPr>
              <w:pStyle w:val="58"/>
              <w:keepNext w:val="0"/>
              <w:adjustRightInd/>
              <w:spacing w:before="0" w:after="0" w:line="240" w:lineRule="auto"/>
              <w:textAlignment w:val="auto"/>
              <w:rPr>
                <w:rFonts w:hint="eastAsia" w:ascii="宋体" w:hAnsi="宋体" w:eastAsia="宋体" w:cs="宋体"/>
                <w:snapToGrid/>
                <w:color w:val="000000" w:themeColor="text1"/>
                <w:spacing w:val="0"/>
                <w:kern w:val="2"/>
                <w:sz w:val="21"/>
                <w:szCs w:val="21"/>
                <w:highlight w:val="none"/>
                <w14:textFill>
                  <w14:solidFill>
                    <w14:schemeClr w14:val="tx1"/>
                  </w14:solidFill>
                </w14:textFill>
              </w:rPr>
            </w:pPr>
          </w:p>
        </w:tc>
        <w:tc>
          <w:tcPr>
            <w:tcW w:w="1164" w:type="dxa"/>
            <w:noWrap w:val="0"/>
            <w:vAlign w:val="center"/>
          </w:tcPr>
          <w:p w14:paraId="52FD4098">
            <w:pPr>
              <w:jc w:val="center"/>
              <w:rPr>
                <w:rFonts w:hint="eastAsia" w:ascii="宋体" w:hAnsi="宋体" w:eastAsia="宋体" w:cs="宋体"/>
                <w:color w:val="000000" w:themeColor="text1"/>
                <w:szCs w:val="21"/>
                <w:highlight w:val="none"/>
                <w14:textFill>
                  <w14:solidFill>
                    <w14:schemeClr w14:val="tx1"/>
                  </w14:solidFill>
                </w14:textFill>
              </w:rPr>
            </w:pPr>
          </w:p>
        </w:tc>
      </w:tr>
      <w:tr w14:paraId="0F6A8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noWrap w:val="0"/>
            <w:vAlign w:val="center"/>
          </w:tcPr>
          <w:p w14:paraId="7A19A668">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w:t>
            </w:r>
          </w:p>
        </w:tc>
        <w:tc>
          <w:tcPr>
            <w:tcW w:w="5850" w:type="dxa"/>
            <w:noWrap w:val="0"/>
            <w:vAlign w:val="center"/>
          </w:tcPr>
          <w:p w14:paraId="1B024033">
            <w:pP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完全理解并接受对投标人的各项须知、规约要求和责任义务</w:t>
            </w:r>
          </w:p>
        </w:tc>
        <w:tc>
          <w:tcPr>
            <w:tcW w:w="1008" w:type="dxa"/>
            <w:noWrap w:val="0"/>
            <w:vAlign w:val="center"/>
          </w:tcPr>
          <w:p w14:paraId="5E58CC2D">
            <w:pPr>
              <w:jc w:val="center"/>
              <w:rPr>
                <w:rFonts w:hint="eastAsia" w:ascii="宋体" w:hAnsi="宋体" w:eastAsia="宋体" w:cs="宋体"/>
                <w:color w:val="000000" w:themeColor="text1"/>
                <w:szCs w:val="21"/>
                <w:highlight w:val="none"/>
                <w14:textFill>
                  <w14:solidFill>
                    <w14:schemeClr w14:val="tx1"/>
                  </w14:solidFill>
                </w14:textFill>
              </w:rPr>
            </w:pPr>
          </w:p>
        </w:tc>
        <w:tc>
          <w:tcPr>
            <w:tcW w:w="1164" w:type="dxa"/>
            <w:noWrap w:val="0"/>
            <w:vAlign w:val="center"/>
          </w:tcPr>
          <w:p w14:paraId="7C340A6D">
            <w:pPr>
              <w:ind w:right="-35"/>
              <w:jc w:val="center"/>
              <w:rPr>
                <w:rFonts w:hint="eastAsia" w:ascii="宋体" w:hAnsi="宋体" w:eastAsia="宋体" w:cs="宋体"/>
                <w:color w:val="000000" w:themeColor="text1"/>
                <w:szCs w:val="21"/>
                <w:highlight w:val="none"/>
                <w14:textFill>
                  <w14:solidFill>
                    <w14:schemeClr w14:val="tx1"/>
                  </w14:solidFill>
                </w14:textFill>
              </w:rPr>
            </w:pPr>
          </w:p>
        </w:tc>
      </w:tr>
      <w:tr w14:paraId="69ECF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noWrap w:val="0"/>
            <w:vAlign w:val="center"/>
          </w:tcPr>
          <w:p w14:paraId="159CF148">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w:t>
            </w:r>
          </w:p>
        </w:tc>
        <w:tc>
          <w:tcPr>
            <w:tcW w:w="5850" w:type="dxa"/>
            <w:noWrap w:val="0"/>
            <w:vAlign w:val="center"/>
          </w:tcPr>
          <w:p w14:paraId="3CE7FCAE">
            <w:pP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同意接受拟签订的合同文本所列述的各项条款</w:t>
            </w:r>
          </w:p>
        </w:tc>
        <w:tc>
          <w:tcPr>
            <w:tcW w:w="1008" w:type="dxa"/>
            <w:noWrap w:val="0"/>
            <w:vAlign w:val="center"/>
          </w:tcPr>
          <w:p w14:paraId="06E9CEF0">
            <w:pPr>
              <w:jc w:val="center"/>
              <w:rPr>
                <w:rFonts w:hint="eastAsia" w:ascii="宋体" w:hAnsi="宋体" w:eastAsia="宋体" w:cs="宋体"/>
                <w:color w:val="000000" w:themeColor="text1"/>
                <w:szCs w:val="21"/>
                <w:highlight w:val="none"/>
                <w14:textFill>
                  <w14:solidFill>
                    <w14:schemeClr w14:val="tx1"/>
                  </w14:solidFill>
                </w14:textFill>
              </w:rPr>
            </w:pPr>
          </w:p>
        </w:tc>
        <w:tc>
          <w:tcPr>
            <w:tcW w:w="1164" w:type="dxa"/>
            <w:noWrap w:val="0"/>
            <w:vAlign w:val="center"/>
          </w:tcPr>
          <w:p w14:paraId="44923099">
            <w:pPr>
              <w:ind w:right="-35"/>
              <w:jc w:val="center"/>
              <w:rPr>
                <w:rFonts w:hint="eastAsia" w:ascii="宋体" w:hAnsi="宋体" w:eastAsia="宋体" w:cs="宋体"/>
                <w:color w:val="000000" w:themeColor="text1"/>
                <w:szCs w:val="21"/>
                <w:highlight w:val="none"/>
                <w14:textFill>
                  <w14:solidFill>
                    <w14:schemeClr w14:val="tx1"/>
                  </w14:solidFill>
                </w14:textFill>
              </w:rPr>
            </w:pPr>
          </w:p>
        </w:tc>
      </w:tr>
      <w:tr w14:paraId="5AE6E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noWrap w:val="0"/>
            <w:vAlign w:val="center"/>
          </w:tcPr>
          <w:p w14:paraId="43AE4ACF">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4</w:t>
            </w:r>
          </w:p>
        </w:tc>
        <w:tc>
          <w:tcPr>
            <w:tcW w:w="5850" w:type="dxa"/>
            <w:noWrap w:val="0"/>
            <w:vAlign w:val="center"/>
          </w:tcPr>
          <w:p w14:paraId="4ACDDD20">
            <w:pP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同意按本项目要求缴付相关款项</w:t>
            </w:r>
          </w:p>
        </w:tc>
        <w:tc>
          <w:tcPr>
            <w:tcW w:w="1008" w:type="dxa"/>
            <w:noWrap w:val="0"/>
            <w:vAlign w:val="center"/>
          </w:tcPr>
          <w:p w14:paraId="66186724">
            <w:pPr>
              <w:jc w:val="center"/>
              <w:rPr>
                <w:rFonts w:hint="eastAsia" w:ascii="宋体" w:hAnsi="宋体" w:eastAsia="宋体" w:cs="宋体"/>
                <w:color w:val="000000" w:themeColor="text1"/>
                <w:szCs w:val="21"/>
                <w:highlight w:val="none"/>
                <w14:textFill>
                  <w14:solidFill>
                    <w14:schemeClr w14:val="tx1"/>
                  </w14:solidFill>
                </w14:textFill>
              </w:rPr>
            </w:pPr>
          </w:p>
        </w:tc>
        <w:tc>
          <w:tcPr>
            <w:tcW w:w="1164" w:type="dxa"/>
            <w:noWrap w:val="0"/>
            <w:vAlign w:val="center"/>
          </w:tcPr>
          <w:p w14:paraId="45066B24">
            <w:pPr>
              <w:ind w:right="-35"/>
              <w:jc w:val="center"/>
              <w:rPr>
                <w:rFonts w:hint="eastAsia" w:ascii="宋体" w:hAnsi="宋体" w:eastAsia="宋体" w:cs="宋体"/>
                <w:color w:val="000000" w:themeColor="text1"/>
                <w:szCs w:val="21"/>
                <w:highlight w:val="none"/>
                <w14:textFill>
                  <w14:solidFill>
                    <w14:schemeClr w14:val="tx1"/>
                  </w14:solidFill>
                </w14:textFill>
              </w:rPr>
            </w:pPr>
          </w:p>
        </w:tc>
      </w:tr>
      <w:tr w14:paraId="46D02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673" w:type="dxa"/>
            <w:noWrap w:val="0"/>
            <w:vAlign w:val="center"/>
          </w:tcPr>
          <w:p w14:paraId="0D25AC14">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5</w:t>
            </w:r>
          </w:p>
        </w:tc>
        <w:tc>
          <w:tcPr>
            <w:tcW w:w="5850" w:type="dxa"/>
            <w:noWrap w:val="0"/>
            <w:vAlign w:val="center"/>
          </w:tcPr>
          <w:p w14:paraId="76A44899">
            <w:pP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中标后</w:t>
            </w:r>
            <w:r>
              <w:rPr>
                <w:rFonts w:hint="eastAsia" w:ascii="宋体" w:hAnsi="宋体" w:eastAsia="宋体" w:cs="宋体"/>
                <w:color w:val="000000" w:themeColor="text1"/>
                <w:szCs w:val="21"/>
                <w:highlight w:val="none"/>
                <w14:textFill>
                  <w14:solidFill>
                    <w14:schemeClr w14:val="tx1"/>
                  </w14:solidFill>
                </w14:textFill>
              </w:rPr>
              <w:t>可提供货物供货来源证明或供货渠道与品质的合法性证明</w:t>
            </w:r>
          </w:p>
        </w:tc>
        <w:tc>
          <w:tcPr>
            <w:tcW w:w="1008" w:type="dxa"/>
            <w:noWrap w:val="0"/>
            <w:vAlign w:val="center"/>
          </w:tcPr>
          <w:p w14:paraId="1CE7A6BB">
            <w:pPr>
              <w:jc w:val="center"/>
              <w:rPr>
                <w:rFonts w:hint="eastAsia" w:ascii="宋体" w:hAnsi="宋体" w:eastAsia="宋体" w:cs="宋体"/>
                <w:color w:val="000000" w:themeColor="text1"/>
                <w:szCs w:val="21"/>
                <w:highlight w:val="none"/>
                <w14:textFill>
                  <w14:solidFill>
                    <w14:schemeClr w14:val="tx1"/>
                  </w14:solidFill>
                </w14:textFill>
              </w:rPr>
            </w:pPr>
          </w:p>
        </w:tc>
        <w:tc>
          <w:tcPr>
            <w:tcW w:w="1164" w:type="dxa"/>
            <w:noWrap w:val="0"/>
            <w:vAlign w:val="center"/>
          </w:tcPr>
          <w:p w14:paraId="79DAA6EA">
            <w:pPr>
              <w:ind w:right="-35"/>
              <w:jc w:val="center"/>
              <w:rPr>
                <w:rFonts w:hint="eastAsia" w:ascii="宋体" w:hAnsi="宋体" w:eastAsia="宋体" w:cs="宋体"/>
                <w:color w:val="000000" w:themeColor="text1"/>
                <w:szCs w:val="21"/>
                <w:highlight w:val="none"/>
                <w14:textFill>
                  <w14:solidFill>
                    <w14:schemeClr w14:val="tx1"/>
                  </w14:solidFill>
                </w14:textFill>
              </w:rPr>
            </w:pPr>
          </w:p>
        </w:tc>
      </w:tr>
      <w:tr w14:paraId="483B2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73" w:type="dxa"/>
            <w:noWrap w:val="0"/>
            <w:vAlign w:val="center"/>
          </w:tcPr>
          <w:p w14:paraId="53A41424">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6</w:t>
            </w:r>
          </w:p>
        </w:tc>
        <w:tc>
          <w:tcPr>
            <w:tcW w:w="5850" w:type="dxa"/>
            <w:noWrap w:val="0"/>
            <w:vAlign w:val="center"/>
          </w:tcPr>
          <w:p w14:paraId="2498E05D">
            <w:pPr>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投标有效期：从提交投标文件的截止之日起60天</w:t>
            </w:r>
            <w:r>
              <w:rPr>
                <w:rFonts w:hint="eastAsia" w:ascii="宋体" w:hAnsi="宋体" w:eastAsia="宋体" w:cs="宋体"/>
                <w:color w:val="000000" w:themeColor="text1"/>
                <w:szCs w:val="21"/>
                <w:highlight w:val="none"/>
                <w:lang w:eastAsia="zh-CN"/>
                <w14:textFill>
                  <w14:solidFill>
                    <w14:schemeClr w14:val="tx1"/>
                  </w14:solidFill>
                </w14:textFill>
              </w:rPr>
              <w:t>。</w:t>
            </w:r>
          </w:p>
        </w:tc>
        <w:tc>
          <w:tcPr>
            <w:tcW w:w="1008" w:type="dxa"/>
            <w:noWrap w:val="0"/>
            <w:vAlign w:val="center"/>
          </w:tcPr>
          <w:p w14:paraId="094D10AA">
            <w:pPr>
              <w:jc w:val="center"/>
              <w:rPr>
                <w:rFonts w:hint="eastAsia" w:ascii="宋体" w:hAnsi="宋体" w:eastAsia="宋体" w:cs="宋体"/>
                <w:color w:val="000000" w:themeColor="text1"/>
                <w:szCs w:val="21"/>
                <w:highlight w:val="none"/>
                <w14:textFill>
                  <w14:solidFill>
                    <w14:schemeClr w14:val="tx1"/>
                  </w14:solidFill>
                </w14:textFill>
              </w:rPr>
            </w:pPr>
          </w:p>
        </w:tc>
        <w:tc>
          <w:tcPr>
            <w:tcW w:w="1164" w:type="dxa"/>
            <w:noWrap w:val="0"/>
            <w:vAlign w:val="center"/>
          </w:tcPr>
          <w:p w14:paraId="677BC0A6">
            <w:pPr>
              <w:ind w:right="-35"/>
              <w:jc w:val="center"/>
              <w:rPr>
                <w:rFonts w:hint="eastAsia" w:ascii="宋体" w:hAnsi="宋体" w:eastAsia="宋体" w:cs="宋体"/>
                <w:color w:val="000000" w:themeColor="text1"/>
                <w:szCs w:val="21"/>
                <w:highlight w:val="none"/>
                <w14:textFill>
                  <w14:solidFill>
                    <w14:schemeClr w14:val="tx1"/>
                  </w14:solidFill>
                </w14:textFill>
              </w:rPr>
            </w:pPr>
          </w:p>
        </w:tc>
      </w:tr>
      <w:tr w14:paraId="2A929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noWrap w:val="0"/>
            <w:vAlign w:val="center"/>
          </w:tcPr>
          <w:p w14:paraId="7D7098D9">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7</w:t>
            </w:r>
          </w:p>
        </w:tc>
        <w:tc>
          <w:tcPr>
            <w:tcW w:w="5850" w:type="dxa"/>
            <w:noWrap w:val="0"/>
            <w:vAlign w:val="center"/>
          </w:tcPr>
          <w:p w14:paraId="63A7B219">
            <w:pP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投标内容均涵盖招标要求及一切费用和伴随服务</w:t>
            </w:r>
          </w:p>
        </w:tc>
        <w:tc>
          <w:tcPr>
            <w:tcW w:w="1008" w:type="dxa"/>
            <w:noWrap w:val="0"/>
            <w:vAlign w:val="center"/>
          </w:tcPr>
          <w:p w14:paraId="35FE40F3">
            <w:pPr>
              <w:jc w:val="center"/>
              <w:rPr>
                <w:rFonts w:hint="eastAsia" w:ascii="宋体" w:hAnsi="宋体" w:eastAsia="宋体" w:cs="宋体"/>
                <w:color w:val="000000" w:themeColor="text1"/>
                <w:szCs w:val="21"/>
                <w:highlight w:val="none"/>
                <w14:textFill>
                  <w14:solidFill>
                    <w14:schemeClr w14:val="tx1"/>
                  </w14:solidFill>
                </w14:textFill>
              </w:rPr>
            </w:pPr>
          </w:p>
        </w:tc>
        <w:tc>
          <w:tcPr>
            <w:tcW w:w="1164" w:type="dxa"/>
            <w:noWrap w:val="0"/>
            <w:vAlign w:val="center"/>
          </w:tcPr>
          <w:p w14:paraId="4DF09C50">
            <w:pPr>
              <w:pStyle w:val="58"/>
              <w:keepNext w:val="0"/>
              <w:adjustRightInd/>
              <w:spacing w:before="0" w:after="0" w:line="240" w:lineRule="auto"/>
              <w:textAlignment w:val="auto"/>
              <w:rPr>
                <w:rFonts w:hint="eastAsia" w:ascii="宋体" w:hAnsi="宋体" w:eastAsia="宋体" w:cs="宋体"/>
                <w:snapToGrid/>
                <w:color w:val="000000" w:themeColor="text1"/>
                <w:spacing w:val="0"/>
                <w:kern w:val="2"/>
                <w:sz w:val="21"/>
                <w:szCs w:val="21"/>
                <w:highlight w:val="none"/>
                <w14:textFill>
                  <w14:solidFill>
                    <w14:schemeClr w14:val="tx1"/>
                  </w14:solidFill>
                </w14:textFill>
              </w:rPr>
            </w:pPr>
          </w:p>
        </w:tc>
      </w:tr>
      <w:tr w14:paraId="64AFE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noWrap w:val="0"/>
            <w:vAlign w:val="center"/>
          </w:tcPr>
          <w:p w14:paraId="17DE29B5">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8</w:t>
            </w:r>
          </w:p>
        </w:tc>
        <w:tc>
          <w:tcPr>
            <w:tcW w:w="5850" w:type="dxa"/>
            <w:noWrap w:val="0"/>
            <w:vAlign w:val="center"/>
          </w:tcPr>
          <w:p w14:paraId="12A19E3E">
            <w:pP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同意接受本项目</w:t>
            </w:r>
            <w:r>
              <w:rPr>
                <w:rFonts w:hint="eastAsia" w:ascii="宋体" w:hAnsi="宋体" w:eastAsia="宋体" w:cs="宋体"/>
                <w:color w:val="000000" w:themeColor="text1"/>
                <w:szCs w:val="21"/>
                <w:highlight w:val="none"/>
                <w:lang w:eastAsia="zh-CN"/>
                <w14:textFill>
                  <w14:solidFill>
                    <w14:schemeClr w14:val="tx1"/>
                  </w14:solidFill>
                </w14:textFill>
              </w:rPr>
              <w:t>合同履约期限</w:t>
            </w:r>
            <w:r>
              <w:rPr>
                <w:rFonts w:hint="eastAsia" w:ascii="宋体" w:hAnsi="宋体" w:eastAsia="宋体" w:cs="宋体"/>
                <w:color w:val="000000" w:themeColor="text1"/>
                <w:szCs w:val="21"/>
                <w:highlight w:val="none"/>
                <w14:textFill>
                  <w14:solidFill>
                    <w14:schemeClr w14:val="tx1"/>
                  </w14:solidFill>
                </w14:textFill>
              </w:rPr>
              <w:t>或相关进度安排要求</w:t>
            </w:r>
          </w:p>
        </w:tc>
        <w:tc>
          <w:tcPr>
            <w:tcW w:w="1008" w:type="dxa"/>
            <w:noWrap w:val="0"/>
            <w:vAlign w:val="center"/>
          </w:tcPr>
          <w:p w14:paraId="090AD6DE">
            <w:pPr>
              <w:jc w:val="center"/>
              <w:rPr>
                <w:rFonts w:hint="eastAsia" w:ascii="宋体" w:hAnsi="宋体" w:eastAsia="宋体" w:cs="宋体"/>
                <w:color w:val="000000" w:themeColor="text1"/>
                <w:szCs w:val="21"/>
                <w:highlight w:val="none"/>
                <w14:textFill>
                  <w14:solidFill>
                    <w14:schemeClr w14:val="tx1"/>
                  </w14:solidFill>
                </w14:textFill>
              </w:rPr>
            </w:pPr>
          </w:p>
        </w:tc>
        <w:tc>
          <w:tcPr>
            <w:tcW w:w="1164" w:type="dxa"/>
            <w:noWrap w:val="0"/>
            <w:vAlign w:val="center"/>
          </w:tcPr>
          <w:p w14:paraId="48A8883D">
            <w:pPr>
              <w:jc w:val="center"/>
              <w:rPr>
                <w:rFonts w:hint="eastAsia" w:ascii="宋体" w:hAnsi="宋体" w:eastAsia="宋体" w:cs="宋体"/>
                <w:color w:val="000000" w:themeColor="text1"/>
                <w:szCs w:val="21"/>
                <w:highlight w:val="none"/>
                <w14:textFill>
                  <w14:solidFill>
                    <w14:schemeClr w14:val="tx1"/>
                  </w14:solidFill>
                </w14:textFill>
              </w:rPr>
            </w:pPr>
          </w:p>
        </w:tc>
      </w:tr>
      <w:tr w14:paraId="01079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noWrap w:val="0"/>
            <w:vAlign w:val="center"/>
          </w:tcPr>
          <w:p w14:paraId="02B42443">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9</w:t>
            </w:r>
          </w:p>
        </w:tc>
        <w:tc>
          <w:tcPr>
            <w:tcW w:w="5850" w:type="dxa"/>
            <w:noWrap w:val="0"/>
            <w:vAlign w:val="center"/>
          </w:tcPr>
          <w:p w14:paraId="72440177">
            <w:pP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同意接受本项目的验收要求及验收标准</w:t>
            </w:r>
          </w:p>
        </w:tc>
        <w:tc>
          <w:tcPr>
            <w:tcW w:w="1008" w:type="dxa"/>
            <w:noWrap w:val="0"/>
            <w:vAlign w:val="center"/>
          </w:tcPr>
          <w:p w14:paraId="3652E891">
            <w:pPr>
              <w:jc w:val="center"/>
              <w:rPr>
                <w:rFonts w:hint="eastAsia" w:ascii="宋体" w:hAnsi="宋体" w:eastAsia="宋体" w:cs="宋体"/>
                <w:color w:val="000000" w:themeColor="text1"/>
                <w:szCs w:val="21"/>
                <w:highlight w:val="none"/>
                <w14:textFill>
                  <w14:solidFill>
                    <w14:schemeClr w14:val="tx1"/>
                  </w14:solidFill>
                </w14:textFill>
              </w:rPr>
            </w:pPr>
          </w:p>
        </w:tc>
        <w:tc>
          <w:tcPr>
            <w:tcW w:w="1164" w:type="dxa"/>
            <w:noWrap w:val="0"/>
            <w:vAlign w:val="center"/>
          </w:tcPr>
          <w:p w14:paraId="51301C63">
            <w:pPr>
              <w:jc w:val="center"/>
              <w:rPr>
                <w:rFonts w:hint="eastAsia" w:ascii="宋体" w:hAnsi="宋体" w:eastAsia="宋体" w:cs="宋体"/>
                <w:color w:val="000000" w:themeColor="text1"/>
                <w:szCs w:val="21"/>
                <w:highlight w:val="none"/>
                <w14:textFill>
                  <w14:solidFill>
                    <w14:schemeClr w14:val="tx1"/>
                  </w14:solidFill>
                </w14:textFill>
              </w:rPr>
            </w:pPr>
          </w:p>
        </w:tc>
      </w:tr>
      <w:tr w14:paraId="7C4A2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noWrap w:val="0"/>
            <w:vAlign w:val="center"/>
          </w:tcPr>
          <w:p w14:paraId="3F82797B">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10</w:t>
            </w:r>
          </w:p>
        </w:tc>
        <w:tc>
          <w:tcPr>
            <w:tcW w:w="5850" w:type="dxa"/>
            <w:noWrap w:val="0"/>
            <w:vAlign w:val="center"/>
          </w:tcPr>
          <w:p w14:paraId="394DA6A9">
            <w:pP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同意接受本项目</w:t>
            </w:r>
            <w:r>
              <w:rPr>
                <w:rFonts w:hint="eastAsia" w:ascii="宋体" w:hAnsi="宋体" w:eastAsia="宋体" w:cs="宋体"/>
                <w:color w:val="000000" w:themeColor="text1"/>
                <w:szCs w:val="21"/>
                <w:highlight w:val="none"/>
                <w:lang w:eastAsia="zh-CN"/>
                <w14:textFill>
                  <w14:solidFill>
                    <w14:schemeClr w14:val="tx1"/>
                  </w14:solidFill>
                </w14:textFill>
              </w:rPr>
              <w:t>合同履约期限</w:t>
            </w:r>
            <w:r>
              <w:rPr>
                <w:rFonts w:hint="eastAsia" w:ascii="宋体" w:hAnsi="宋体" w:eastAsia="宋体" w:cs="宋体"/>
                <w:color w:val="000000" w:themeColor="text1"/>
                <w:szCs w:val="21"/>
                <w:highlight w:val="none"/>
                <w14:textFill>
                  <w14:solidFill>
                    <w14:schemeClr w14:val="tx1"/>
                  </w14:solidFill>
                </w14:textFill>
              </w:rPr>
              <w:t>服务的各项要求</w:t>
            </w:r>
          </w:p>
        </w:tc>
        <w:tc>
          <w:tcPr>
            <w:tcW w:w="1008" w:type="dxa"/>
            <w:noWrap w:val="0"/>
            <w:vAlign w:val="center"/>
          </w:tcPr>
          <w:p w14:paraId="6F4C36AC">
            <w:pPr>
              <w:jc w:val="center"/>
              <w:rPr>
                <w:rFonts w:hint="eastAsia" w:ascii="宋体" w:hAnsi="宋体" w:eastAsia="宋体" w:cs="宋体"/>
                <w:color w:val="000000" w:themeColor="text1"/>
                <w:szCs w:val="21"/>
                <w:highlight w:val="none"/>
                <w14:textFill>
                  <w14:solidFill>
                    <w14:schemeClr w14:val="tx1"/>
                  </w14:solidFill>
                </w14:textFill>
              </w:rPr>
            </w:pPr>
          </w:p>
        </w:tc>
        <w:tc>
          <w:tcPr>
            <w:tcW w:w="1164" w:type="dxa"/>
            <w:noWrap w:val="0"/>
            <w:vAlign w:val="center"/>
          </w:tcPr>
          <w:p w14:paraId="7F4FF369">
            <w:pPr>
              <w:jc w:val="center"/>
              <w:rPr>
                <w:rFonts w:hint="eastAsia" w:ascii="宋体" w:hAnsi="宋体" w:eastAsia="宋体" w:cs="宋体"/>
                <w:color w:val="000000" w:themeColor="text1"/>
                <w:szCs w:val="21"/>
                <w:highlight w:val="none"/>
                <w14:textFill>
                  <w14:solidFill>
                    <w14:schemeClr w14:val="tx1"/>
                  </w14:solidFill>
                </w14:textFill>
              </w:rPr>
            </w:pPr>
          </w:p>
        </w:tc>
      </w:tr>
      <w:tr w14:paraId="07E5D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73" w:type="dxa"/>
            <w:noWrap w:val="0"/>
            <w:vAlign w:val="center"/>
          </w:tcPr>
          <w:p w14:paraId="6DEF47D4">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11</w:t>
            </w:r>
          </w:p>
        </w:tc>
        <w:tc>
          <w:tcPr>
            <w:tcW w:w="5850" w:type="dxa"/>
            <w:noWrap w:val="0"/>
            <w:vAlign w:val="center"/>
          </w:tcPr>
          <w:p w14:paraId="346AC689">
            <w:pPr>
              <w:pStyle w:val="20"/>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b w:val="0"/>
                <w:bCs w:val="0"/>
                <w:color w:val="000000" w:themeColor="text1"/>
                <w:kern w:val="2"/>
                <w:sz w:val="21"/>
                <w:szCs w:val="21"/>
                <w:highlight w:val="none"/>
                <w14:textFill>
                  <w14:solidFill>
                    <w14:schemeClr w14:val="tx1"/>
                  </w14:solidFill>
                </w14:textFill>
              </w:rPr>
              <w:t>同意</w:t>
            </w:r>
            <w:r>
              <w:rPr>
                <w:rFonts w:hint="eastAsia" w:ascii="宋体" w:hAnsi="宋体" w:eastAsia="宋体" w:cs="宋体"/>
                <w:b w:val="0"/>
                <w:bCs w:val="0"/>
                <w:color w:val="000000" w:themeColor="text1"/>
                <w:kern w:val="2"/>
                <w:sz w:val="21"/>
                <w:szCs w:val="21"/>
                <w:highlight w:val="none"/>
                <w:lang w:eastAsia="zh-CN"/>
                <w14:textFill>
                  <w14:solidFill>
                    <w14:schemeClr w14:val="tx1"/>
                  </w14:solidFill>
                </w14:textFill>
              </w:rPr>
              <w:t>采购人</w:t>
            </w:r>
            <w:r>
              <w:rPr>
                <w:rFonts w:hint="eastAsia" w:ascii="宋体" w:hAnsi="宋体" w:eastAsia="宋体" w:cs="宋体"/>
                <w:b w:val="0"/>
                <w:bCs w:val="0"/>
                <w:color w:val="000000" w:themeColor="text1"/>
                <w:kern w:val="2"/>
                <w:sz w:val="21"/>
                <w:szCs w:val="21"/>
                <w:highlight w:val="none"/>
                <w14:textFill>
                  <w14:solidFill>
                    <w14:schemeClr w14:val="tx1"/>
                  </w14:solidFill>
                </w14:textFill>
              </w:rPr>
              <w:t>以任何形式对我方的投标文件内容的真实性和有效性进行审查、验证</w:t>
            </w:r>
          </w:p>
        </w:tc>
        <w:tc>
          <w:tcPr>
            <w:tcW w:w="1008" w:type="dxa"/>
            <w:noWrap w:val="0"/>
            <w:vAlign w:val="center"/>
          </w:tcPr>
          <w:p w14:paraId="03385A93">
            <w:pPr>
              <w:pStyle w:val="59"/>
              <w:numPr>
                <w:ilvl w:val="0"/>
                <w:numId w:val="0"/>
              </w:numPr>
              <w:rPr>
                <w:rFonts w:hint="eastAsia" w:ascii="宋体" w:hAnsi="宋体" w:eastAsia="宋体" w:cs="宋体"/>
                <w:color w:val="000000" w:themeColor="text1"/>
                <w:highlight w:val="none"/>
                <w14:textFill>
                  <w14:solidFill>
                    <w14:schemeClr w14:val="tx1"/>
                  </w14:solidFill>
                </w14:textFill>
              </w:rPr>
            </w:pPr>
          </w:p>
        </w:tc>
        <w:tc>
          <w:tcPr>
            <w:tcW w:w="1164" w:type="dxa"/>
            <w:noWrap w:val="0"/>
            <w:vAlign w:val="center"/>
          </w:tcPr>
          <w:p w14:paraId="7C16D310">
            <w:pPr>
              <w:pStyle w:val="58"/>
              <w:keepNext w:val="0"/>
              <w:adjustRightInd/>
              <w:spacing w:before="0" w:after="0" w:line="240" w:lineRule="auto"/>
              <w:jc w:val="both"/>
              <w:textAlignment w:val="auto"/>
              <w:rPr>
                <w:rFonts w:hint="eastAsia" w:ascii="宋体" w:hAnsi="宋体" w:eastAsia="宋体" w:cs="宋体"/>
                <w:snapToGrid/>
                <w:color w:val="000000" w:themeColor="text1"/>
                <w:spacing w:val="0"/>
                <w:kern w:val="2"/>
                <w:sz w:val="21"/>
                <w:szCs w:val="21"/>
                <w:highlight w:val="none"/>
                <w14:textFill>
                  <w14:solidFill>
                    <w14:schemeClr w14:val="tx1"/>
                  </w14:solidFill>
                </w14:textFill>
              </w:rPr>
            </w:pPr>
          </w:p>
        </w:tc>
      </w:tr>
      <w:tr w14:paraId="0BCE4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73" w:type="dxa"/>
            <w:noWrap w:val="0"/>
            <w:vAlign w:val="center"/>
          </w:tcPr>
          <w:p w14:paraId="60FA60EC">
            <w:pPr>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12</w:t>
            </w:r>
          </w:p>
        </w:tc>
        <w:tc>
          <w:tcPr>
            <w:tcW w:w="5850" w:type="dxa"/>
            <w:noWrap w:val="0"/>
            <w:vAlign w:val="center"/>
          </w:tcPr>
          <w:p w14:paraId="251E3B4A">
            <w:pPr>
              <w:pStyle w:val="20"/>
              <w:rPr>
                <w:rFonts w:hint="eastAsia" w:ascii="宋体" w:hAnsi="宋体" w:eastAsia="宋体" w:cs="宋体"/>
                <w:b w:val="0"/>
                <w:bCs w:val="0"/>
                <w:color w:val="000000" w:themeColor="text1"/>
                <w:kern w:val="2"/>
                <w:sz w:val="21"/>
                <w:szCs w:val="21"/>
                <w:highlight w:val="none"/>
                <w14:textFill>
                  <w14:solidFill>
                    <w14:schemeClr w14:val="tx1"/>
                  </w14:solidFill>
                </w14:textFill>
              </w:rPr>
            </w:pPr>
            <w:r>
              <w:rPr>
                <w:rFonts w:hint="eastAsia" w:ascii="宋体" w:hAnsi="宋体" w:eastAsia="宋体" w:cs="宋体"/>
                <w:b w:val="0"/>
                <w:bCs w:val="0"/>
                <w:color w:val="000000" w:themeColor="text1"/>
                <w:kern w:val="2"/>
                <w:sz w:val="21"/>
                <w:szCs w:val="21"/>
                <w:highlight w:val="none"/>
                <w14:textFill>
                  <w14:solidFill>
                    <w14:schemeClr w14:val="tx1"/>
                  </w14:solidFill>
                </w14:textFill>
              </w:rPr>
              <w:t>同意接受本项目付款的各项要求</w:t>
            </w:r>
          </w:p>
        </w:tc>
        <w:tc>
          <w:tcPr>
            <w:tcW w:w="1008" w:type="dxa"/>
            <w:noWrap w:val="0"/>
            <w:vAlign w:val="center"/>
          </w:tcPr>
          <w:p w14:paraId="6E1D9DDF">
            <w:pPr>
              <w:pStyle w:val="59"/>
              <w:numPr>
                <w:ilvl w:val="0"/>
                <w:numId w:val="0"/>
              </w:numPr>
              <w:rPr>
                <w:rFonts w:hint="eastAsia" w:ascii="宋体" w:hAnsi="宋体" w:eastAsia="宋体" w:cs="宋体"/>
                <w:color w:val="000000" w:themeColor="text1"/>
                <w:highlight w:val="none"/>
                <w14:textFill>
                  <w14:solidFill>
                    <w14:schemeClr w14:val="tx1"/>
                  </w14:solidFill>
                </w14:textFill>
              </w:rPr>
            </w:pPr>
          </w:p>
        </w:tc>
        <w:tc>
          <w:tcPr>
            <w:tcW w:w="1164" w:type="dxa"/>
            <w:noWrap w:val="0"/>
            <w:vAlign w:val="center"/>
          </w:tcPr>
          <w:p w14:paraId="24EFF750">
            <w:pPr>
              <w:pStyle w:val="58"/>
              <w:keepNext w:val="0"/>
              <w:adjustRightInd/>
              <w:spacing w:before="0" w:after="0" w:line="240" w:lineRule="auto"/>
              <w:jc w:val="both"/>
              <w:textAlignment w:val="auto"/>
              <w:rPr>
                <w:rFonts w:hint="eastAsia" w:ascii="宋体" w:hAnsi="宋体" w:eastAsia="宋体" w:cs="宋体"/>
                <w:snapToGrid/>
                <w:color w:val="000000" w:themeColor="text1"/>
                <w:spacing w:val="0"/>
                <w:kern w:val="2"/>
                <w:sz w:val="21"/>
                <w:szCs w:val="21"/>
                <w:highlight w:val="none"/>
                <w14:textFill>
                  <w14:solidFill>
                    <w14:schemeClr w14:val="tx1"/>
                  </w14:solidFill>
                </w14:textFill>
              </w:rPr>
            </w:pPr>
          </w:p>
        </w:tc>
      </w:tr>
    </w:tbl>
    <w:p w14:paraId="3B7A627E">
      <w:pPr>
        <w:spacing w:before="156" w:line="360" w:lineRule="auto"/>
        <w:ind w:left="539" w:leftChars="-86" w:right="-359" w:rightChars="-171" w:hanging="720" w:hangingChars="300"/>
        <w:rPr>
          <w:rFonts w:hint="eastAsia" w:ascii="宋体" w:hAnsi="宋体" w:eastAsia="宋体" w:cs="宋体"/>
          <w:color w:val="000000" w:themeColor="text1"/>
          <w:sz w:val="24"/>
          <w:highlight w:val="none"/>
          <w:lang w:val="en-GB" w:eastAsia="en-GB"/>
          <w14:textFill>
            <w14:solidFill>
              <w14:schemeClr w14:val="tx1"/>
            </w14:solidFill>
          </w14:textFill>
        </w:rPr>
      </w:pPr>
      <w:r>
        <w:rPr>
          <w:rFonts w:hint="eastAsia" w:ascii="宋体" w:hAnsi="宋体" w:eastAsia="宋体" w:cs="宋体"/>
          <w:color w:val="000000" w:themeColor="text1"/>
          <w:sz w:val="24"/>
          <w:highlight w:val="none"/>
          <w:lang w:val="en-GB" w:eastAsia="en-GB"/>
          <w14:textFill>
            <w14:solidFill>
              <w14:schemeClr w14:val="tx1"/>
            </w14:solidFill>
          </w14:textFill>
        </w:rPr>
        <w:t>注：1.</w:t>
      </w:r>
      <w:r>
        <w:rPr>
          <w:rFonts w:hint="eastAsia" w:ascii="宋体" w:hAnsi="宋体" w:eastAsia="宋体" w:cs="宋体"/>
          <w:color w:val="000000" w:themeColor="text1"/>
          <w:sz w:val="24"/>
          <w:highlight w:val="none"/>
          <w14:textFill>
            <w14:solidFill>
              <w14:schemeClr w14:val="tx1"/>
            </w14:solidFill>
          </w14:textFill>
        </w:rPr>
        <w:t>对</w:t>
      </w:r>
      <w:r>
        <w:rPr>
          <w:rFonts w:hint="eastAsia" w:ascii="宋体" w:hAnsi="宋体" w:eastAsia="宋体" w:cs="宋体"/>
          <w:color w:val="000000" w:themeColor="text1"/>
          <w:sz w:val="24"/>
          <w:highlight w:val="none"/>
          <w:lang w:val="en-GB" w:eastAsia="en-GB"/>
          <w14:textFill>
            <w14:solidFill>
              <w14:schemeClr w14:val="tx1"/>
            </w14:solidFill>
          </w14:textFill>
        </w:rPr>
        <w:t>于上述要求，如投标人完全响应，则请在“是否响应”栏内打“√”，对打“×”视为偏离，请在“偏离说明”栏内扼要说明偏离情况。</w:t>
      </w:r>
    </w:p>
    <w:p w14:paraId="633AA80B">
      <w:pPr>
        <w:spacing w:line="360" w:lineRule="auto"/>
        <w:ind w:left="530" w:leftChars="142" w:right="-359" w:rightChars="-171" w:hanging="232" w:hangingChars="97"/>
        <w:rPr>
          <w:rFonts w:hint="eastAsia" w:ascii="宋体" w:hAnsi="宋体" w:eastAsia="宋体" w:cs="宋体"/>
          <w:color w:val="000000" w:themeColor="text1"/>
          <w:sz w:val="24"/>
          <w:highlight w:val="none"/>
          <w:lang w:val="en-GB" w:eastAsia="en-GB"/>
          <w14:textFill>
            <w14:solidFill>
              <w14:schemeClr w14:val="tx1"/>
            </w14:solidFill>
          </w14:textFill>
        </w:rPr>
      </w:pPr>
      <w:r>
        <w:rPr>
          <w:rFonts w:hint="eastAsia" w:ascii="宋体" w:hAnsi="宋体" w:eastAsia="宋体" w:cs="宋体"/>
          <w:color w:val="000000" w:themeColor="text1"/>
          <w:sz w:val="24"/>
          <w:highlight w:val="none"/>
          <w:lang w:val="en-GB" w:eastAsia="en-GB"/>
          <w14:textFill>
            <w14:solidFill>
              <w14:schemeClr w14:val="tx1"/>
            </w14:solidFill>
          </w14:textFill>
        </w:rPr>
        <w:t>2.投标人应认真填写本响应表，若评委会在评审期间，发现有虚假填写本响应表的，则将可能被视为存在两个投标方案，评委会将按本</w:t>
      </w:r>
      <w:r>
        <w:rPr>
          <w:rFonts w:hint="eastAsia" w:ascii="宋体" w:hAnsi="宋体" w:eastAsia="宋体" w:cs="宋体"/>
          <w:color w:val="000000" w:themeColor="text1"/>
          <w:sz w:val="24"/>
          <w:highlight w:val="none"/>
          <w:lang w:val="en-GB" w:eastAsia="zh-CN"/>
          <w14:textFill>
            <w14:solidFill>
              <w14:schemeClr w14:val="tx1"/>
            </w14:solidFill>
          </w14:textFill>
        </w:rPr>
        <w:t>招标文件</w:t>
      </w:r>
      <w:r>
        <w:rPr>
          <w:rFonts w:hint="eastAsia" w:ascii="宋体" w:hAnsi="宋体" w:eastAsia="宋体" w:cs="宋体"/>
          <w:color w:val="000000" w:themeColor="text1"/>
          <w:sz w:val="24"/>
          <w:highlight w:val="none"/>
          <w:lang w:val="en-GB" w:eastAsia="en-GB"/>
          <w14:textFill>
            <w14:solidFill>
              <w14:schemeClr w14:val="tx1"/>
            </w14:solidFill>
          </w14:textFill>
        </w:rPr>
        <w:t>相关规定执行。</w:t>
      </w:r>
    </w:p>
    <w:p w14:paraId="27108919">
      <w:pPr>
        <w:spacing w:line="360" w:lineRule="auto"/>
        <w:ind w:firstLine="300" w:firstLineChars="125"/>
        <w:rPr>
          <w:rFonts w:hint="eastAsia" w:ascii="宋体" w:hAnsi="宋体" w:eastAsia="宋体" w:cs="宋体"/>
          <w:color w:val="000000" w:themeColor="text1"/>
          <w:sz w:val="24"/>
          <w:highlight w:val="none"/>
          <w:lang w:val="en-GB" w:eastAsia="en-GB"/>
          <w14:textFill>
            <w14:solidFill>
              <w14:schemeClr w14:val="tx1"/>
            </w14:solidFill>
          </w14:textFill>
        </w:rPr>
      </w:pPr>
      <w:r>
        <w:rPr>
          <w:rFonts w:hint="eastAsia" w:ascii="宋体" w:hAnsi="宋体" w:eastAsia="宋体" w:cs="宋体"/>
          <w:color w:val="000000" w:themeColor="text1"/>
          <w:sz w:val="24"/>
          <w:highlight w:val="none"/>
          <w:lang w:val="en-GB" w:eastAsia="en-GB"/>
          <w14:textFill>
            <w14:solidFill>
              <w14:schemeClr w14:val="tx1"/>
            </w14:solidFill>
          </w14:textFill>
        </w:rPr>
        <w:t>3.本表内容不得擅自修改。</w:t>
      </w:r>
    </w:p>
    <w:p w14:paraId="578E5BD7">
      <w:pPr>
        <w:pStyle w:val="28"/>
        <w:rPr>
          <w:rFonts w:hint="eastAsia" w:ascii="宋体" w:hAnsi="宋体" w:eastAsia="宋体" w:cs="宋体"/>
          <w:color w:val="000000" w:themeColor="text1"/>
          <w:highlight w:val="none"/>
          <w:lang w:val="en-GB" w:eastAsia="en-GB"/>
          <w14:textFill>
            <w14:solidFill>
              <w14:schemeClr w14:val="tx1"/>
            </w14:solidFill>
          </w14:textFill>
        </w:rPr>
      </w:pPr>
    </w:p>
    <w:p w14:paraId="2536E337">
      <w:pPr>
        <w:pStyle w:val="15"/>
        <w:spacing w:line="360" w:lineRule="auto"/>
        <w:ind w:left="0" w:leftChars="0"/>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bCs/>
          <w:color w:val="000000" w:themeColor="text1"/>
          <w:sz w:val="24"/>
          <w:highlight w:val="none"/>
          <w14:textFill>
            <w14:solidFill>
              <w14:schemeClr w14:val="tx1"/>
            </w14:solidFill>
          </w14:textFill>
        </w:rPr>
        <w:t>投标人名称（</w:t>
      </w:r>
      <w:r>
        <w:rPr>
          <w:rFonts w:hint="eastAsia" w:ascii="宋体" w:hAnsi="宋体" w:eastAsia="宋体" w:cs="宋体"/>
          <w:bCs/>
          <w:color w:val="000000" w:themeColor="text1"/>
          <w:sz w:val="24"/>
          <w:highlight w:val="none"/>
          <w:lang w:eastAsia="zh-CN"/>
          <w14:textFill>
            <w14:solidFill>
              <w14:schemeClr w14:val="tx1"/>
            </w14:solidFill>
          </w14:textFill>
        </w:rPr>
        <w:t>盖公章</w:t>
      </w:r>
      <w:r>
        <w:rPr>
          <w:rFonts w:hint="eastAsia" w:ascii="宋体" w:hAnsi="宋体" w:eastAsia="宋体" w:cs="宋体"/>
          <w:bCs/>
          <w:color w:val="000000" w:themeColor="text1"/>
          <w:sz w:val="24"/>
          <w:highlight w:val="none"/>
          <w14:textFill>
            <w14:solidFill>
              <w14:schemeClr w14:val="tx1"/>
            </w14:solidFill>
          </w14:textFill>
        </w:rPr>
        <w:t>）：</w:t>
      </w:r>
    </w:p>
    <w:p w14:paraId="4A1BD0C0">
      <w:pPr>
        <w:pStyle w:val="15"/>
        <w:spacing w:line="360" w:lineRule="auto"/>
        <w:ind w:left="0" w:leftChars="0"/>
        <w:jc w:val="center"/>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 xml:space="preserve">                      授权人和被授权人（</w:t>
      </w:r>
      <w:r>
        <w:rPr>
          <w:rFonts w:hint="eastAsia" w:ascii="宋体" w:hAnsi="宋体" w:eastAsia="宋体" w:cs="宋体"/>
          <w:bCs/>
          <w:color w:val="000000" w:themeColor="text1"/>
          <w:sz w:val="24"/>
          <w:highlight w:val="none"/>
          <w:lang w:eastAsia="zh-CN"/>
          <w14:textFill>
            <w14:solidFill>
              <w14:schemeClr w14:val="tx1"/>
            </w14:solidFill>
          </w14:textFill>
        </w:rPr>
        <w:t>签字或盖名章</w:t>
      </w:r>
      <w:r>
        <w:rPr>
          <w:rFonts w:hint="eastAsia" w:ascii="宋体" w:hAnsi="宋体" w:eastAsia="宋体" w:cs="宋体"/>
          <w:bCs/>
          <w:color w:val="000000" w:themeColor="text1"/>
          <w:sz w:val="24"/>
          <w:highlight w:val="none"/>
          <w14:textFill>
            <w14:solidFill>
              <w14:schemeClr w14:val="tx1"/>
            </w14:solidFill>
          </w14:textFill>
        </w:rPr>
        <w:t>）：</w:t>
      </w:r>
    </w:p>
    <w:p w14:paraId="29116AF0">
      <w:pPr>
        <w:spacing w:line="360" w:lineRule="auto"/>
        <w:jc w:val="center"/>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     日期： 年 月 日</w:t>
      </w:r>
    </w:p>
    <w:p w14:paraId="28D0A38B">
      <w:pPr>
        <w:keepNext w:val="0"/>
        <w:keepLines w:val="0"/>
        <w:pageBreakBefore w:val="0"/>
        <w:widowControl w:val="0"/>
        <w:numPr>
          <w:ilvl w:val="0"/>
          <w:numId w:val="0"/>
        </w:numPr>
        <w:kinsoku/>
        <w:wordWrap/>
        <w:overflowPunct/>
        <w:topLinePunct w:val="0"/>
        <w:autoSpaceDE/>
        <w:autoSpaceDN/>
        <w:bidi w:val="0"/>
        <w:adjustRightInd/>
        <w:snapToGrid/>
        <w:spacing w:line="600" w:lineRule="exact"/>
        <w:jc w:val="center"/>
        <w:textAlignment w:val="auto"/>
        <w:outlineLvl w:val="2"/>
        <w:rPr>
          <w:rFonts w:hint="eastAsia" w:ascii="宋体" w:hAnsi="宋体" w:eastAsia="宋体" w:cs="宋体"/>
          <w:b/>
          <w:bCs/>
          <w:color w:val="000000" w:themeColor="text1"/>
          <w:sz w:val="30"/>
          <w:szCs w:val="30"/>
          <w:highlight w:val="none"/>
          <w14:textFill>
            <w14:solidFill>
              <w14:schemeClr w14:val="tx1"/>
            </w14:solidFill>
          </w14:textFill>
        </w:rPr>
      </w:pPr>
      <w:r>
        <w:rPr>
          <w:rFonts w:hint="eastAsia" w:ascii="宋体" w:hAnsi="宋体" w:eastAsia="宋体" w:cs="宋体"/>
          <w:b/>
          <w:bCs/>
          <w:color w:val="000000" w:themeColor="text1"/>
          <w:sz w:val="30"/>
          <w:szCs w:val="30"/>
          <w:highlight w:val="none"/>
          <w:lang w:val="en-US" w:eastAsia="zh-CN"/>
          <w14:textFill>
            <w14:solidFill>
              <w14:schemeClr w14:val="tx1"/>
            </w14:solidFill>
          </w14:textFill>
        </w:rPr>
        <w:t>（二）技术条款</w:t>
      </w:r>
      <w:r>
        <w:rPr>
          <w:rFonts w:hint="eastAsia" w:ascii="宋体" w:hAnsi="宋体" w:eastAsia="宋体" w:cs="宋体"/>
          <w:b/>
          <w:bCs/>
          <w:color w:val="000000" w:themeColor="text1"/>
          <w:sz w:val="30"/>
          <w:szCs w:val="30"/>
          <w:highlight w:val="none"/>
          <w14:textFill>
            <w14:solidFill>
              <w14:schemeClr w14:val="tx1"/>
            </w14:solidFill>
          </w14:textFill>
        </w:rPr>
        <w:t>偏离表</w:t>
      </w:r>
    </w:p>
    <w:p w14:paraId="33A77621">
      <w:pPr>
        <w:spacing w:line="360" w:lineRule="auto"/>
        <w:rPr>
          <w:rFonts w:hint="eastAsia" w:ascii="宋体" w:hAnsi="宋体" w:eastAsia="宋体" w:cs="宋体"/>
          <w:color w:val="000000" w:themeColor="text1"/>
          <w:sz w:val="24"/>
          <w:highlight w:val="none"/>
          <w14:textFill>
            <w14:solidFill>
              <w14:schemeClr w14:val="tx1"/>
            </w14:solidFill>
          </w14:textFill>
        </w:rPr>
      </w:pPr>
    </w:p>
    <w:p w14:paraId="442A69B0">
      <w:pPr>
        <w:spacing w:line="360" w:lineRule="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 xml:space="preserve">项目名称：           </w:t>
      </w:r>
      <w:r>
        <w:rPr>
          <w:rFonts w:hint="eastAsia" w:ascii="宋体" w:hAnsi="宋体" w:eastAsia="宋体" w:cs="宋体"/>
          <w:color w:val="000000" w:themeColor="text1"/>
          <w:sz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highlight w:val="none"/>
          <w14:textFill>
            <w14:solidFill>
              <w14:schemeClr w14:val="tx1"/>
            </w14:solidFill>
          </w14:textFill>
        </w:rPr>
        <w:t xml:space="preserve">        </w:t>
      </w:r>
    </w:p>
    <w:p w14:paraId="64E24349">
      <w:pPr>
        <w:spacing w:line="360" w:lineRule="auto"/>
        <w:rPr>
          <w:rFonts w:hint="eastAsia" w:ascii="宋体" w:hAnsi="宋体" w:eastAsia="宋体" w:cs="宋体"/>
          <w:color w:val="000000" w:themeColor="text1"/>
          <w:sz w:val="24"/>
          <w:highlight w:val="none"/>
          <w:u w:val="single"/>
          <w14:textFill>
            <w14:solidFill>
              <w14:schemeClr w14:val="tx1"/>
            </w14:solidFill>
          </w14:textFill>
        </w:rPr>
      </w:pPr>
      <w:r>
        <w:rPr>
          <w:rFonts w:hint="eastAsia" w:ascii="宋体" w:hAnsi="宋体" w:eastAsia="宋体" w:cs="宋体"/>
          <w:color w:val="000000" w:themeColor="text1"/>
          <w:sz w:val="24"/>
          <w:highlight w:val="none"/>
          <w14:textFill>
            <w14:solidFill>
              <w14:schemeClr w14:val="tx1"/>
            </w14:solidFill>
          </w14:textFill>
        </w:rPr>
        <w:t>项目编号：</w:t>
      </w:r>
    </w:p>
    <w:tbl>
      <w:tblPr>
        <w:tblStyle w:val="29"/>
        <w:tblW w:w="4998" w:type="pct"/>
        <w:tblInd w:w="0" w:type="dxa"/>
        <w:tblLayout w:type="autofit"/>
        <w:tblCellMar>
          <w:top w:w="0" w:type="dxa"/>
          <w:left w:w="108" w:type="dxa"/>
          <w:bottom w:w="0" w:type="dxa"/>
          <w:right w:w="108" w:type="dxa"/>
        </w:tblCellMar>
      </w:tblPr>
      <w:tblGrid>
        <w:gridCol w:w="521"/>
        <w:gridCol w:w="2430"/>
        <w:gridCol w:w="1166"/>
        <w:gridCol w:w="994"/>
        <w:gridCol w:w="1014"/>
        <w:gridCol w:w="1145"/>
        <w:gridCol w:w="1249"/>
      </w:tblGrid>
      <w:tr w14:paraId="0836D54E">
        <w:tblPrEx>
          <w:tblCellMar>
            <w:top w:w="0" w:type="dxa"/>
            <w:left w:w="108" w:type="dxa"/>
            <w:bottom w:w="0" w:type="dxa"/>
            <w:right w:w="108" w:type="dxa"/>
          </w:tblCellMar>
        </w:tblPrEx>
        <w:trPr>
          <w:trHeight w:val="530" w:hRule="atLeast"/>
        </w:trPr>
        <w:tc>
          <w:tcPr>
            <w:tcW w:w="1732" w:type="pct"/>
            <w:gridSpan w:val="2"/>
            <w:tcBorders>
              <w:top w:val="single" w:color="000000" w:sz="8" w:space="0"/>
              <w:left w:val="single" w:color="000000" w:sz="8" w:space="0"/>
              <w:bottom w:val="single" w:color="000000" w:sz="4" w:space="0"/>
              <w:right w:val="single" w:color="000000" w:sz="4" w:space="0"/>
            </w:tcBorders>
            <w:shd w:val="clear" w:color="FFFFFF" w:fill="FFFFFF"/>
            <w:vAlign w:val="center"/>
          </w:tcPr>
          <w:p w14:paraId="653C2222">
            <w:pPr>
              <w:widowControl/>
              <w:spacing w:line="300" w:lineRule="exact"/>
              <w:jc w:val="center"/>
              <w:textAlignment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招标文件的要求</w:t>
            </w:r>
          </w:p>
        </w:tc>
        <w:tc>
          <w:tcPr>
            <w:tcW w:w="3267" w:type="pct"/>
            <w:gridSpan w:val="5"/>
            <w:tcBorders>
              <w:top w:val="single" w:color="000000" w:sz="8" w:space="0"/>
              <w:left w:val="single" w:color="000000" w:sz="4" w:space="0"/>
              <w:right w:val="single" w:color="000000" w:sz="4" w:space="0"/>
            </w:tcBorders>
            <w:shd w:val="clear" w:color="FFFFFF" w:fill="FFFFFF"/>
            <w:vAlign w:val="center"/>
          </w:tcPr>
          <w:p w14:paraId="77B5B0D3">
            <w:pPr>
              <w:spacing w:line="300" w:lineRule="exact"/>
              <w:jc w:val="cente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投标文件的响应</w:t>
            </w:r>
          </w:p>
        </w:tc>
      </w:tr>
      <w:tr w14:paraId="6E2AA45B">
        <w:tblPrEx>
          <w:tblCellMar>
            <w:top w:w="0" w:type="dxa"/>
            <w:left w:w="108" w:type="dxa"/>
            <w:bottom w:w="0" w:type="dxa"/>
            <w:right w:w="108" w:type="dxa"/>
          </w:tblCellMar>
        </w:tblPrEx>
        <w:trPr>
          <w:trHeight w:val="1730" w:hRule="atLeast"/>
        </w:trPr>
        <w:tc>
          <w:tcPr>
            <w:tcW w:w="306" w:type="pct"/>
            <w:tcBorders>
              <w:top w:val="single" w:color="000000" w:sz="8" w:space="0"/>
              <w:left w:val="single" w:color="000000" w:sz="8" w:space="0"/>
              <w:bottom w:val="single" w:color="000000" w:sz="4" w:space="0"/>
              <w:right w:val="single" w:color="000000" w:sz="4" w:space="0"/>
            </w:tcBorders>
            <w:shd w:val="clear" w:color="FFFFFF" w:fill="FFFFFF"/>
            <w:vAlign w:val="center"/>
          </w:tcPr>
          <w:p w14:paraId="5DCA49C2">
            <w:pPr>
              <w:widowControl/>
              <w:spacing w:line="30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bidi="ar"/>
                <w14:textFill>
                  <w14:solidFill>
                    <w14:schemeClr w14:val="tx1"/>
                  </w14:solidFill>
                </w14:textFill>
              </w:rPr>
              <w:t>序号</w:t>
            </w:r>
          </w:p>
        </w:tc>
        <w:tc>
          <w:tcPr>
            <w:tcW w:w="1425" w:type="pct"/>
            <w:tcBorders>
              <w:top w:val="single" w:color="000000" w:sz="8" w:space="0"/>
              <w:left w:val="single" w:color="000000" w:sz="4" w:space="0"/>
              <w:bottom w:val="single" w:color="000000" w:sz="4" w:space="0"/>
              <w:right w:val="single" w:color="000000" w:sz="4" w:space="0"/>
            </w:tcBorders>
            <w:shd w:val="clear" w:color="FFFFFF" w:fill="FFFFFF"/>
            <w:vAlign w:val="center"/>
          </w:tcPr>
          <w:p w14:paraId="26703760">
            <w:pPr>
              <w:widowControl/>
              <w:spacing w:line="30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技术参数要求</w:t>
            </w:r>
          </w:p>
        </w:tc>
        <w:tc>
          <w:tcPr>
            <w:tcW w:w="684" w:type="pct"/>
            <w:tcBorders>
              <w:top w:val="single" w:color="000000" w:sz="8" w:space="0"/>
              <w:left w:val="single" w:color="000000" w:sz="4" w:space="0"/>
              <w:right w:val="single" w:color="000000" w:sz="4" w:space="0"/>
            </w:tcBorders>
            <w:shd w:val="clear" w:color="FFFFFF" w:fill="FFFFFF"/>
            <w:vAlign w:val="center"/>
          </w:tcPr>
          <w:p w14:paraId="77780D29">
            <w:pPr>
              <w:spacing w:line="300" w:lineRule="exact"/>
              <w:jc w:val="center"/>
              <w:rPr>
                <w:rFonts w:hint="eastAsia" w:ascii="宋体" w:hAnsi="宋体" w:eastAsia="宋体" w:cs="宋体"/>
                <w:color w:val="000000" w:themeColor="text1"/>
                <w:kern w:val="0"/>
                <w:sz w:val="24"/>
                <w:szCs w:val="24"/>
                <w:highlight w:val="none"/>
                <w:lang w:bidi="ar"/>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响应情况</w:t>
            </w:r>
          </w:p>
        </w:tc>
        <w:tc>
          <w:tcPr>
            <w:tcW w:w="583" w:type="pct"/>
            <w:tcBorders>
              <w:top w:val="single" w:color="000000" w:sz="8" w:space="0"/>
              <w:left w:val="single" w:color="000000" w:sz="4" w:space="0"/>
              <w:right w:val="single" w:color="000000" w:sz="4" w:space="0"/>
            </w:tcBorders>
            <w:shd w:val="clear" w:color="FFFFFF" w:fill="FFFFFF"/>
            <w:vAlign w:val="center"/>
          </w:tcPr>
          <w:p w14:paraId="332220E7">
            <w:pPr>
              <w:spacing w:line="300" w:lineRule="exact"/>
              <w:jc w:val="center"/>
              <w:rPr>
                <w:rFonts w:hint="eastAsia" w:ascii="宋体" w:hAnsi="宋体" w:eastAsia="宋体" w:cs="宋体"/>
                <w:color w:val="000000" w:themeColor="text1"/>
                <w:kern w:val="0"/>
                <w:sz w:val="24"/>
                <w:szCs w:val="24"/>
                <w:highlight w:val="none"/>
                <w:lang w:bidi="ar"/>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偏离</w:t>
            </w:r>
            <w:r>
              <w:rPr>
                <w:rFonts w:hint="eastAsia" w:ascii="宋体" w:hAnsi="宋体" w:eastAsia="宋体" w:cs="宋体"/>
                <w:color w:val="000000" w:themeColor="text1"/>
                <w:sz w:val="24"/>
                <w:szCs w:val="24"/>
                <w:highlight w:val="none"/>
                <w:lang w:val="en-US" w:eastAsia="zh-CN"/>
                <w14:textFill>
                  <w14:solidFill>
                    <w14:schemeClr w14:val="tx1"/>
                  </w14:solidFill>
                </w14:textFill>
              </w:rPr>
              <w:t>情况</w:t>
            </w:r>
          </w:p>
        </w:tc>
        <w:tc>
          <w:tcPr>
            <w:tcW w:w="595" w:type="pct"/>
            <w:tcBorders>
              <w:top w:val="single" w:color="000000" w:sz="8" w:space="0"/>
              <w:left w:val="single" w:color="000000" w:sz="4" w:space="0"/>
              <w:right w:val="single" w:color="000000" w:sz="4" w:space="0"/>
            </w:tcBorders>
            <w:shd w:val="clear" w:color="FFFFFF" w:fill="FFFFFF"/>
            <w:vAlign w:val="center"/>
          </w:tcPr>
          <w:p w14:paraId="22DA0B1D">
            <w:pPr>
              <w:spacing w:line="300" w:lineRule="exact"/>
              <w:jc w:val="center"/>
              <w:rPr>
                <w:rFonts w:hint="eastAsia" w:ascii="宋体" w:hAnsi="宋体" w:eastAsia="宋体" w:cs="宋体"/>
                <w:color w:val="000000" w:themeColor="text1"/>
                <w:kern w:val="0"/>
                <w:sz w:val="24"/>
                <w:szCs w:val="24"/>
                <w:highlight w:val="none"/>
                <w:lang w:bidi="ar"/>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证明材料</w:t>
            </w:r>
          </w:p>
        </w:tc>
        <w:tc>
          <w:tcPr>
            <w:tcW w:w="672" w:type="pct"/>
            <w:tcBorders>
              <w:top w:val="single" w:color="000000" w:sz="8" w:space="0"/>
              <w:left w:val="single" w:color="000000" w:sz="4" w:space="0"/>
              <w:right w:val="single" w:color="000000" w:sz="4" w:space="0"/>
            </w:tcBorders>
            <w:shd w:val="clear" w:color="FFFFFF" w:fill="FFFFFF"/>
            <w:vAlign w:val="center"/>
          </w:tcPr>
          <w:p w14:paraId="0373290D">
            <w:pPr>
              <w:spacing w:line="300" w:lineRule="exact"/>
              <w:jc w:val="center"/>
              <w:rPr>
                <w:rFonts w:hint="eastAsia" w:ascii="宋体" w:hAnsi="宋体" w:eastAsia="宋体" w:cs="宋体"/>
                <w:color w:val="000000" w:themeColor="text1"/>
                <w:kern w:val="0"/>
                <w:sz w:val="24"/>
                <w:szCs w:val="24"/>
                <w:highlight w:val="none"/>
                <w:lang w:bidi="ar"/>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证明材料页码</w:t>
            </w:r>
          </w:p>
        </w:tc>
        <w:tc>
          <w:tcPr>
            <w:tcW w:w="732" w:type="pct"/>
            <w:tcBorders>
              <w:top w:val="single" w:color="000000" w:sz="8" w:space="0"/>
              <w:left w:val="single" w:color="000000" w:sz="4" w:space="0"/>
              <w:right w:val="single" w:color="000000" w:sz="4" w:space="0"/>
            </w:tcBorders>
            <w:shd w:val="clear" w:color="FFFFFF" w:fill="FFFFFF"/>
            <w:vAlign w:val="center"/>
          </w:tcPr>
          <w:p w14:paraId="5FE06379">
            <w:pPr>
              <w:spacing w:line="300" w:lineRule="exact"/>
              <w:jc w:val="cente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bidi="ar"/>
                <w14:textFill>
                  <w14:solidFill>
                    <w14:schemeClr w14:val="tx1"/>
                  </w14:solidFill>
                </w14:textFill>
              </w:rPr>
              <w:t>备注</w:t>
            </w:r>
          </w:p>
        </w:tc>
      </w:tr>
      <w:tr w14:paraId="1FF3FCE4">
        <w:tblPrEx>
          <w:tblCellMar>
            <w:top w:w="0" w:type="dxa"/>
            <w:left w:w="108" w:type="dxa"/>
            <w:bottom w:w="0" w:type="dxa"/>
            <w:right w:w="108" w:type="dxa"/>
          </w:tblCellMar>
        </w:tblPrEx>
        <w:trPr>
          <w:trHeight w:val="90" w:hRule="atLeast"/>
        </w:trPr>
        <w:tc>
          <w:tcPr>
            <w:tcW w:w="306"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07EBF22F">
            <w:pPr>
              <w:widowControl/>
              <w:spacing w:line="30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bidi="ar"/>
                <w14:textFill>
                  <w14:solidFill>
                    <w14:schemeClr w14:val="tx1"/>
                  </w14:solidFill>
                </w14:textFill>
              </w:rPr>
              <w:t>1</w:t>
            </w:r>
          </w:p>
        </w:tc>
        <w:tc>
          <w:tcPr>
            <w:tcW w:w="1425"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74CE07C0">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top w:val="single" w:color="000000" w:sz="4" w:space="0"/>
              <w:left w:val="single" w:color="000000" w:sz="4" w:space="0"/>
              <w:bottom w:val="single" w:color="000000" w:sz="4" w:space="0"/>
              <w:right w:val="single" w:color="000000" w:sz="8" w:space="0"/>
            </w:tcBorders>
            <w:shd w:val="clear" w:color="FFFFFF" w:fill="FFFFFF"/>
            <w:vAlign w:val="center"/>
          </w:tcPr>
          <w:p w14:paraId="23FF4986">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83" w:type="pct"/>
            <w:tcBorders>
              <w:top w:val="single" w:color="000000" w:sz="4" w:space="0"/>
              <w:left w:val="single" w:color="000000" w:sz="4" w:space="0"/>
              <w:bottom w:val="single" w:color="000000" w:sz="4" w:space="0"/>
              <w:right w:val="single" w:color="000000" w:sz="8" w:space="0"/>
            </w:tcBorders>
            <w:shd w:val="clear" w:color="FFFFFF" w:fill="FFFFFF"/>
            <w:vAlign w:val="center"/>
          </w:tcPr>
          <w:p w14:paraId="6C3745D5">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95" w:type="pct"/>
            <w:tcBorders>
              <w:top w:val="single" w:color="000000" w:sz="4" w:space="0"/>
              <w:left w:val="single" w:color="000000" w:sz="4" w:space="0"/>
              <w:bottom w:val="single" w:color="000000" w:sz="4" w:space="0"/>
              <w:right w:val="single" w:color="000000" w:sz="8" w:space="0"/>
            </w:tcBorders>
            <w:shd w:val="clear" w:color="FFFFFF" w:fill="FFFFFF"/>
            <w:vAlign w:val="center"/>
          </w:tcPr>
          <w:p w14:paraId="5A8C0F4A">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72" w:type="pct"/>
            <w:tcBorders>
              <w:top w:val="single" w:color="000000" w:sz="4" w:space="0"/>
              <w:left w:val="single" w:color="000000" w:sz="4" w:space="0"/>
              <w:bottom w:val="single" w:color="000000" w:sz="4" w:space="0"/>
              <w:right w:val="single" w:color="000000" w:sz="8" w:space="0"/>
            </w:tcBorders>
            <w:shd w:val="clear" w:color="FFFFFF" w:fill="FFFFFF"/>
            <w:vAlign w:val="center"/>
          </w:tcPr>
          <w:p w14:paraId="418E5D90">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2" w:type="pct"/>
            <w:tcBorders>
              <w:top w:val="single" w:color="000000" w:sz="4" w:space="0"/>
              <w:left w:val="single" w:color="000000" w:sz="4" w:space="0"/>
              <w:bottom w:val="single" w:color="000000" w:sz="4" w:space="0"/>
              <w:right w:val="single" w:color="000000" w:sz="8" w:space="0"/>
            </w:tcBorders>
            <w:shd w:val="clear" w:color="FFFFFF" w:fill="FFFFFF"/>
            <w:vAlign w:val="center"/>
          </w:tcPr>
          <w:p w14:paraId="65C03530">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049C707E">
        <w:tblPrEx>
          <w:tblCellMar>
            <w:top w:w="0" w:type="dxa"/>
            <w:left w:w="108" w:type="dxa"/>
            <w:bottom w:w="0" w:type="dxa"/>
            <w:right w:w="108" w:type="dxa"/>
          </w:tblCellMar>
        </w:tblPrEx>
        <w:trPr>
          <w:trHeight w:val="90" w:hRule="atLeast"/>
        </w:trPr>
        <w:tc>
          <w:tcPr>
            <w:tcW w:w="306"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40445F6F">
            <w:pPr>
              <w:widowControl/>
              <w:spacing w:line="300" w:lineRule="exact"/>
              <w:jc w:val="center"/>
              <w:textAlignment w:val="center"/>
              <w:rPr>
                <w:rFonts w:hint="eastAsia" w:ascii="宋体" w:hAnsi="宋体" w:eastAsia="宋体" w:cs="宋体"/>
                <w:color w:val="000000" w:themeColor="text1"/>
                <w:kern w:val="0"/>
                <w:sz w:val="24"/>
                <w:szCs w:val="24"/>
                <w:highlight w:val="none"/>
                <w:lang w:bidi="ar"/>
                <w14:textFill>
                  <w14:solidFill>
                    <w14:schemeClr w14:val="tx1"/>
                  </w14:solidFill>
                </w14:textFill>
              </w:rPr>
            </w:pPr>
            <w:r>
              <w:rPr>
                <w:rFonts w:hint="eastAsia" w:ascii="宋体" w:hAnsi="宋体" w:eastAsia="宋体" w:cs="宋体"/>
                <w:color w:val="000000" w:themeColor="text1"/>
                <w:kern w:val="0"/>
                <w:sz w:val="24"/>
                <w:szCs w:val="24"/>
                <w:highlight w:val="none"/>
                <w:lang w:bidi="ar"/>
                <w14:textFill>
                  <w14:solidFill>
                    <w14:schemeClr w14:val="tx1"/>
                  </w14:solidFill>
                </w14:textFill>
              </w:rPr>
              <w:t>2</w:t>
            </w:r>
          </w:p>
        </w:tc>
        <w:tc>
          <w:tcPr>
            <w:tcW w:w="1425"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305E8E0B">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top w:val="single" w:color="000000" w:sz="4" w:space="0"/>
              <w:left w:val="single" w:color="000000" w:sz="4" w:space="0"/>
              <w:bottom w:val="single" w:color="000000" w:sz="4" w:space="0"/>
              <w:right w:val="single" w:color="000000" w:sz="8" w:space="0"/>
            </w:tcBorders>
            <w:shd w:val="clear" w:color="FFFFFF" w:fill="FFFFFF"/>
            <w:vAlign w:val="center"/>
          </w:tcPr>
          <w:p w14:paraId="7B15A6E0">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83" w:type="pct"/>
            <w:tcBorders>
              <w:top w:val="single" w:color="000000" w:sz="4" w:space="0"/>
              <w:left w:val="single" w:color="000000" w:sz="4" w:space="0"/>
              <w:bottom w:val="single" w:color="000000" w:sz="4" w:space="0"/>
              <w:right w:val="single" w:color="000000" w:sz="8" w:space="0"/>
            </w:tcBorders>
            <w:shd w:val="clear" w:color="FFFFFF" w:fill="FFFFFF"/>
            <w:vAlign w:val="center"/>
          </w:tcPr>
          <w:p w14:paraId="389C0EE2">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95" w:type="pct"/>
            <w:tcBorders>
              <w:top w:val="single" w:color="000000" w:sz="4" w:space="0"/>
              <w:left w:val="single" w:color="000000" w:sz="4" w:space="0"/>
              <w:bottom w:val="single" w:color="000000" w:sz="4" w:space="0"/>
              <w:right w:val="single" w:color="000000" w:sz="8" w:space="0"/>
            </w:tcBorders>
            <w:shd w:val="clear" w:color="FFFFFF" w:fill="FFFFFF"/>
            <w:vAlign w:val="center"/>
          </w:tcPr>
          <w:p w14:paraId="64013E72">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72" w:type="pct"/>
            <w:tcBorders>
              <w:top w:val="single" w:color="000000" w:sz="4" w:space="0"/>
              <w:left w:val="single" w:color="000000" w:sz="4" w:space="0"/>
              <w:bottom w:val="single" w:color="000000" w:sz="4" w:space="0"/>
              <w:right w:val="single" w:color="000000" w:sz="8" w:space="0"/>
            </w:tcBorders>
            <w:shd w:val="clear" w:color="FFFFFF" w:fill="FFFFFF"/>
            <w:vAlign w:val="center"/>
          </w:tcPr>
          <w:p w14:paraId="17AE2FA0">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2" w:type="pct"/>
            <w:tcBorders>
              <w:top w:val="single" w:color="000000" w:sz="4" w:space="0"/>
              <w:left w:val="single" w:color="000000" w:sz="4" w:space="0"/>
              <w:bottom w:val="single" w:color="000000" w:sz="4" w:space="0"/>
              <w:right w:val="single" w:color="000000" w:sz="8" w:space="0"/>
            </w:tcBorders>
            <w:shd w:val="clear" w:color="FFFFFF" w:fill="FFFFFF"/>
            <w:vAlign w:val="center"/>
          </w:tcPr>
          <w:p w14:paraId="24B36591">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1CE6794A">
        <w:tblPrEx>
          <w:tblCellMar>
            <w:top w:w="0" w:type="dxa"/>
            <w:left w:w="108" w:type="dxa"/>
            <w:bottom w:w="0" w:type="dxa"/>
            <w:right w:w="108" w:type="dxa"/>
          </w:tblCellMar>
        </w:tblPrEx>
        <w:trPr>
          <w:trHeight w:val="90" w:hRule="atLeast"/>
        </w:trPr>
        <w:tc>
          <w:tcPr>
            <w:tcW w:w="306"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555B1E9B">
            <w:pPr>
              <w:widowControl/>
              <w:spacing w:line="300" w:lineRule="exact"/>
              <w:jc w:val="center"/>
              <w:textAlignment w:val="center"/>
              <w:rPr>
                <w:rFonts w:hint="eastAsia" w:ascii="宋体" w:hAnsi="宋体" w:eastAsia="宋体" w:cs="宋体"/>
                <w:color w:val="000000" w:themeColor="text1"/>
                <w:kern w:val="0"/>
                <w:sz w:val="24"/>
                <w:szCs w:val="24"/>
                <w:highlight w:val="none"/>
                <w:lang w:bidi="ar"/>
                <w14:textFill>
                  <w14:solidFill>
                    <w14:schemeClr w14:val="tx1"/>
                  </w14:solidFill>
                </w14:textFill>
              </w:rPr>
            </w:pPr>
            <w:r>
              <w:rPr>
                <w:rFonts w:hint="eastAsia" w:ascii="宋体" w:hAnsi="宋体" w:eastAsia="宋体" w:cs="宋体"/>
                <w:color w:val="000000" w:themeColor="text1"/>
                <w:kern w:val="0"/>
                <w:sz w:val="24"/>
                <w:szCs w:val="24"/>
                <w:highlight w:val="none"/>
                <w:lang w:bidi="ar"/>
                <w14:textFill>
                  <w14:solidFill>
                    <w14:schemeClr w14:val="tx1"/>
                  </w14:solidFill>
                </w14:textFill>
              </w:rPr>
              <w:t>3</w:t>
            </w:r>
          </w:p>
        </w:tc>
        <w:tc>
          <w:tcPr>
            <w:tcW w:w="1425"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4F9D3633">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top w:val="single" w:color="000000" w:sz="4" w:space="0"/>
              <w:left w:val="single" w:color="000000" w:sz="4" w:space="0"/>
              <w:bottom w:val="single" w:color="000000" w:sz="4" w:space="0"/>
              <w:right w:val="single" w:color="000000" w:sz="8" w:space="0"/>
            </w:tcBorders>
            <w:shd w:val="clear" w:color="FFFFFF" w:fill="FFFFFF"/>
            <w:vAlign w:val="center"/>
          </w:tcPr>
          <w:p w14:paraId="4B3D8DBA">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83" w:type="pct"/>
            <w:tcBorders>
              <w:top w:val="single" w:color="000000" w:sz="4" w:space="0"/>
              <w:left w:val="single" w:color="000000" w:sz="4" w:space="0"/>
              <w:bottom w:val="single" w:color="000000" w:sz="4" w:space="0"/>
              <w:right w:val="single" w:color="000000" w:sz="8" w:space="0"/>
            </w:tcBorders>
            <w:shd w:val="clear" w:color="FFFFFF" w:fill="FFFFFF"/>
            <w:vAlign w:val="center"/>
          </w:tcPr>
          <w:p w14:paraId="6EE5FFAE">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95" w:type="pct"/>
            <w:tcBorders>
              <w:top w:val="single" w:color="000000" w:sz="4" w:space="0"/>
              <w:left w:val="single" w:color="000000" w:sz="4" w:space="0"/>
              <w:bottom w:val="single" w:color="000000" w:sz="4" w:space="0"/>
              <w:right w:val="single" w:color="000000" w:sz="8" w:space="0"/>
            </w:tcBorders>
            <w:shd w:val="clear" w:color="FFFFFF" w:fill="FFFFFF"/>
            <w:vAlign w:val="center"/>
          </w:tcPr>
          <w:p w14:paraId="750D02B6">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72" w:type="pct"/>
            <w:tcBorders>
              <w:top w:val="single" w:color="000000" w:sz="4" w:space="0"/>
              <w:left w:val="single" w:color="000000" w:sz="4" w:space="0"/>
              <w:bottom w:val="single" w:color="000000" w:sz="4" w:space="0"/>
              <w:right w:val="single" w:color="000000" w:sz="8" w:space="0"/>
            </w:tcBorders>
            <w:shd w:val="clear" w:color="FFFFFF" w:fill="FFFFFF"/>
            <w:vAlign w:val="center"/>
          </w:tcPr>
          <w:p w14:paraId="08C3FBF8">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2" w:type="pct"/>
            <w:tcBorders>
              <w:top w:val="single" w:color="000000" w:sz="4" w:space="0"/>
              <w:left w:val="single" w:color="000000" w:sz="4" w:space="0"/>
              <w:bottom w:val="single" w:color="000000" w:sz="4" w:space="0"/>
              <w:right w:val="single" w:color="000000" w:sz="8" w:space="0"/>
            </w:tcBorders>
            <w:shd w:val="clear" w:color="FFFFFF" w:fill="FFFFFF"/>
            <w:vAlign w:val="center"/>
          </w:tcPr>
          <w:p w14:paraId="3188693A">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445D639F">
        <w:tblPrEx>
          <w:tblCellMar>
            <w:top w:w="0" w:type="dxa"/>
            <w:left w:w="108" w:type="dxa"/>
            <w:bottom w:w="0" w:type="dxa"/>
            <w:right w:w="108" w:type="dxa"/>
          </w:tblCellMar>
        </w:tblPrEx>
        <w:trPr>
          <w:trHeight w:val="90" w:hRule="atLeast"/>
        </w:trPr>
        <w:tc>
          <w:tcPr>
            <w:tcW w:w="306" w:type="pct"/>
            <w:tcBorders>
              <w:top w:val="single" w:color="000000" w:sz="4" w:space="0"/>
              <w:left w:val="single" w:color="000000" w:sz="8" w:space="0"/>
              <w:bottom w:val="single" w:color="000000" w:sz="4" w:space="0"/>
              <w:right w:val="single" w:color="000000" w:sz="4" w:space="0"/>
            </w:tcBorders>
            <w:shd w:val="clear" w:color="FFFFFF" w:fill="FFFFFF"/>
            <w:vAlign w:val="center"/>
          </w:tcPr>
          <w:p w14:paraId="6F79AB33">
            <w:pPr>
              <w:widowControl/>
              <w:spacing w:line="300" w:lineRule="exact"/>
              <w:jc w:val="center"/>
              <w:textAlignment w:val="center"/>
              <w:rPr>
                <w:rFonts w:hint="eastAsia" w:ascii="宋体" w:hAnsi="宋体" w:eastAsia="宋体" w:cs="宋体"/>
                <w:color w:val="000000" w:themeColor="text1"/>
                <w:kern w:val="0"/>
                <w:sz w:val="24"/>
                <w:szCs w:val="24"/>
                <w:highlight w:val="none"/>
                <w:lang w:bidi="ar"/>
                <w14:textFill>
                  <w14:solidFill>
                    <w14:schemeClr w14:val="tx1"/>
                  </w14:solidFill>
                </w14:textFill>
              </w:rPr>
            </w:pPr>
            <w:r>
              <w:rPr>
                <w:rFonts w:hint="eastAsia" w:ascii="宋体" w:hAnsi="宋体" w:eastAsia="宋体" w:cs="宋体"/>
                <w:color w:val="000000" w:themeColor="text1"/>
                <w:kern w:val="0"/>
                <w:sz w:val="24"/>
                <w:szCs w:val="24"/>
                <w:highlight w:val="none"/>
                <w:lang w:bidi="ar"/>
                <w14:textFill>
                  <w14:solidFill>
                    <w14:schemeClr w14:val="tx1"/>
                  </w14:solidFill>
                </w14:textFill>
              </w:rPr>
              <w:t>4</w:t>
            </w:r>
          </w:p>
        </w:tc>
        <w:tc>
          <w:tcPr>
            <w:tcW w:w="1425" w:type="pct"/>
            <w:tcBorders>
              <w:top w:val="single" w:color="000000" w:sz="4" w:space="0"/>
              <w:left w:val="single" w:color="000000" w:sz="4" w:space="0"/>
              <w:bottom w:val="single" w:color="000000" w:sz="4" w:space="0"/>
              <w:right w:val="single" w:color="000000" w:sz="4" w:space="0"/>
            </w:tcBorders>
            <w:shd w:val="clear" w:color="FFFFFF" w:fill="FFFFFF"/>
            <w:vAlign w:val="center"/>
          </w:tcPr>
          <w:p w14:paraId="02351523">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84" w:type="pct"/>
            <w:tcBorders>
              <w:top w:val="single" w:color="000000" w:sz="4" w:space="0"/>
              <w:left w:val="single" w:color="000000" w:sz="4" w:space="0"/>
              <w:bottom w:val="single" w:color="000000" w:sz="4" w:space="0"/>
              <w:right w:val="single" w:color="000000" w:sz="8" w:space="0"/>
            </w:tcBorders>
            <w:shd w:val="clear" w:color="FFFFFF" w:fill="FFFFFF"/>
            <w:vAlign w:val="center"/>
          </w:tcPr>
          <w:p w14:paraId="3BE4C786">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83" w:type="pct"/>
            <w:tcBorders>
              <w:top w:val="single" w:color="000000" w:sz="4" w:space="0"/>
              <w:left w:val="single" w:color="000000" w:sz="4" w:space="0"/>
              <w:bottom w:val="single" w:color="000000" w:sz="4" w:space="0"/>
              <w:right w:val="single" w:color="000000" w:sz="8" w:space="0"/>
            </w:tcBorders>
            <w:shd w:val="clear" w:color="FFFFFF" w:fill="FFFFFF"/>
            <w:vAlign w:val="center"/>
          </w:tcPr>
          <w:p w14:paraId="73A1A063">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595" w:type="pct"/>
            <w:tcBorders>
              <w:top w:val="single" w:color="000000" w:sz="4" w:space="0"/>
              <w:left w:val="single" w:color="000000" w:sz="4" w:space="0"/>
              <w:bottom w:val="single" w:color="000000" w:sz="4" w:space="0"/>
              <w:right w:val="single" w:color="000000" w:sz="8" w:space="0"/>
            </w:tcBorders>
            <w:shd w:val="clear" w:color="FFFFFF" w:fill="FFFFFF"/>
            <w:vAlign w:val="center"/>
          </w:tcPr>
          <w:p w14:paraId="7643D02A">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672" w:type="pct"/>
            <w:tcBorders>
              <w:top w:val="single" w:color="000000" w:sz="4" w:space="0"/>
              <w:left w:val="single" w:color="000000" w:sz="4" w:space="0"/>
              <w:bottom w:val="single" w:color="000000" w:sz="4" w:space="0"/>
              <w:right w:val="single" w:color="000000" w:sz="8" w:space="0"/>
            </w:tcBorders>
            <w:shd w:val="clear" w:color="FFFFFF" w:fill="FFFFFF"/>
            <w:vAlign w:val="center"/>
          </w:tcPr>
          <w:p w14:paraId="3DCDDE48">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32" w:type="pct"/>
            <w:tcBorders>
              <w:top w:val="single" w:color="000000" w:sz="4" w:space="0"/>
              <w:left w:val="single" w:color="000000" w:sz="4" w:space="0"/>
              <w:bottom w:val="single" w:color="000000" w:sz="4" w:space="0"/>
              <w:right w:val="single" w:color="000000" w:sz="8" w:space="0"/>
            </w:tcBorders>
            <w:shd w:val="clear" w:color="FFFFFF" w:fill="FFFFFF"/>
            <w:vAlign w:val="center"/>
          </w:tcPr>
          <w:p w14:paraId="196AEAF9">
            <w:pPr>
              <w:spacing w:line="30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bl>
    <w:p w14:paraId="0ACC72CF">
      <w:pPr>
        <w:pStyle w:val="7"/>
        <w:rPr>
          <w:rFonts w:hint="eastAsia" w:ascii="宋体" w:hAnsi="宋体" w:eastAsia="宋体" w:cs="宋体"/>
          <w:color w:val="000000" w:themeColor="text1"/>
          <w:sz w:val="24"/>
          <w:szCs w:val="24"/>
          <w:highlight w:val="none"/>
          <w14:textFill>
            <w14:solidFill>
              <w14:schemeClr w14:val="tx1"/>
            </w14:solidFill>
          </w14:textFill>
        </w:rPr>
      </w:pPr>
    </w:p>
    <w:p w14:paraId="79F59EF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投标人应对照招标文件“第四章</w:t>
      </w:r>
      <w:r>
        <w:rPr>
          <w:rFonts w:hint="eastAsia" w:ascii="宋体" w:hAnsi="宋体" w:eastAsia="宋体" w:cs="宋体"/>
          <w:color w:val="000000" w:themeColor="text1"/>
          <w:sz w:val="24"/>
          <w:szCs w:val="24"/>
          <w:highlight w:val="none"/>
          <w:lang w:eastAsia="zh-CN"/>
          <w14:textFill>
            <w14:solidFill>
              <w14:schemeClr w14:val="tx1"/>
            </w14:solidFill>
          </w14:textFill>
        </w:rPr>
        <w:t>项目采购需求</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中“技术参数”</w:t>
      </w:r>
      <w:r>
        <w:rPr>
          <w:rFonts w:hint="eastAsia" w:ascii="宋体" w:hAnsi="宋体" w:eastAsia="宋体" w:cs="宋体"/>
          <w:color w:val="000000" w:themeColor="text1"/>
          <w:sz w:val="24"/>
          <w:szCs w:val="24"/>
          <w:highlight w:val="none"/>
          <w14:textFill>
            <w14:solidFill>
              <w14:schemeClr w14:val="tx1"/>
            </w14:solidFill>
          </w14:textFill>
        </w:rPr>
        <w:t>逐项填写，</w:t>
      </w:r>
      <w:r>
        <w:rPr>
          <w:rFonts w:hint="eastAsia" w:ascii="宋体" w:hAnsi="宋体" w:eastAsia="宋体" w:cs="宋体"/>
          <w:color w:val="000000" w:themeColor="text1"/>
          <w:sz w:val="24"/>
          <w:highlight w:val="none"/>
          <w:lang w:val="en-US" w:eastAsia="zh-CN"/>
          <w14:textFill>
            <w14:solidFill>
              <w14:schemeClr w14:val="tx1"/>
            </w14:solidFill>
          </w14:textFill>
        </w:rPr>
        <w:t>在“技术条款偏离表”中的“</w:t>
      </w:r>
      <w:r>
        <w:rPr>
          <w:rFonts w:hint="eastAsia" w:ascii="宋体" w:hAnsi="宋体" w:eastAsia="宋体" w:cs="宋体"/>
          <w:color w:val="000000" w:themeColor="text1"/>
          <w:sz w:val="24"/>
          <w:highlight w:val="none"/>
          <w14:textFill>
            <w14:solidFill>
              <w14:schemeClr w14:val="tx1"/>
            </w14:solidFill>
          </w14:textFill>
        </w:rPr>
        <w:t>偏离</w:t>
      </w:r>
      <w:r>
        <w:rPr>
          <w:rFonts w:hint="eastAsia" w:ascii="宋体" w:hAnsi="宋体" w:eastAsia="宋体" w:cs="宋体"/>
          <w:color w:val="000000" w:themeColor="text1"/>
          <w:sz w:val="24"/>
          <w:highlight w:val="none"/>
          <w:lang w:val="en-US" w:eastAsia="zh-CN"/>
          <w14:textFill>
            <w14:solidFill>
              <w14:schemeClr w14:val="tx1"/>
            </w14:solidFill>
          </w14:textFill>
        </w:rPr>
        <w:t>”注明“正偏离”或“无偏离”或“负偏离”，</w:t>
      </w:r>
      <w:r>
        <w:rPr>
          <w:rFonts w:hint="eastAsia" w:ascii="宋体" w:hAnsi="宋体" w:eastAsia="宋体" w:cs="宋体"/>
          <w:color w:val="000000" w:themeColor="text1"/>
          <w:sz w:val="24"/>
          <w:szCs w:val="24"/>
          <w:highlight w:val="none"/>
          <w14:textFill>
            <w14:solidFill>
              <w14:schemeClr w14:val="tx1"/>
            </w14:solidFill>
          </w14:textFill>
        </w:rPr>
        <w:t>不得虚假响应，否则将视为未实质性响应招标文件要求，响应无效</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5A153AD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招标文件“第四章</w:t>
      </w:r>
      <w:r>
        <w:rPr>
          <w:rFonts w:hint="eastAsia" w:ascii="宋体" w:hAnsi="宋体" w:eastAsia="宋体" w:cs="宋体"/>
          <w:color w:val="000000" w:themeColor="text1"/>
          <w:sz w:val="24"/>
          <w:szCs w:val="24"/>
          <w:highlight w:val="none"/>
          <w:lang w:eastAsia="zh-CN"/>
          <w14:textFill>
            <w14:solidFill>
              <w14:schemeClr w14:val="tx1"/>
            </w14:solidFill>
          </w14:textFill>
        </w:rPr>
        <w:t>项目采购需求</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每项供应商需提供与产品技术参数相关的证明材料（如产品样式及材质清单或认证证书或产品检测报告或鉴定证书或制造商产品彩页或制造商官网截图或制造商技术白皮书或制造商产品说明书等彩页或彩色实物照片等）。</w:t>
      </w:r>
    </w:p>
    <w:p w14:paraId="2906B1B8">
      <w:pPr>
        <w:spacing w:line="360" w:lineRule="atLeast"/>
        <w:rPr>
          <w:rFonts w:hint="eastAsia" w:ascii="宋体" w:hAnsi="宋体" w:eastAsia="宋体" w:cs="宋体"/>
          <w:color w:val="000000" w:themeColor="text1"/>
          <w:sz w:val="24"/>
          <w:szCs w:val="24"/>
          <w:highlight w:val="none"/>
          <w14:textFill>
            <w14:solidFill>
              <w14:schemeClr w14:val="tx1"/>
            </w14:solidFill>
          </w14:textFill>
        </w:rPr>
      </w:pPr>
    </w:p>
    <w:p w14:paraId="57B4EDB2">
      <w:pPr>
        <w:pStyle w:val="15"/>
        <w:spacing w:line="360" w:lineRule="atLeast"/>
        <w:ind w:left="0" w:leftChars="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258A81AE">
      <w:pPr>
        <w:pStyle w:val="15"/>
        <w:spacing w:line="360" w:lineRule="atLeast"/>
        <w:ind w:left="0" w:leftChars="0"/>
        <w:jc w:val="center"/>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投标人名称（</w:t>
      </w:r>
      <w:r>
        <w:rPr>
          <w:rFonts w:hint="eastAsia" w:ascii="宋体" w:hAnsi="宋体" w:eastAsia="宋体" w:cs="宋体"/>
          <w:bCs/>
          <w:color w:val="000000" w:themeColor="text1"/>
          <w:sz w:val="24"/>
          <w:szCs w:val="24"/>
          <w:highlight w:val="none"/>
          <w:lang w:eastAsia="zh-CN"/>
          <w14:textFill>
            <w14:solidFill>
              <w14:schemeClr w14:val="tx1"/>
            </w14:solidFill>
          </w14:textFill>
        </w:rPr>
        <w:t>盖公章</w:t>
      </w:r>
      <w:r>
        <w:rPr>
          <w:rFonts w:hint="eastAsia" w:ascii="宋体" w:hAnsi="宋体" w:eastAsia="宋体" w:cs="宋体"/>
          <w:bCs/>
          <w:color w:val="000000" w:themeColor="text1"/>
          <w:sz w:val="24"/>
          <w:szCs w:val="24"/>
          <w:highlight w:val="none"/>
          <w14:textFill>
            <w14:solidFill>
              <w14:schemeClr w14:val="tx1"/>
            </w14:solidFill>
          </w14:textFill>
        </w:rPr>
        <w:t>）：</w:t>
      </w:r>
    </w:p>
    <w:p w14:paraId="6CB920DE">
      <w:pPr>
        <w:pStyle w:val="15"/>
        <w:spacing w:line="360" w:lineRule="atLeast"/>
        <w:ind w:left="0" w:leftChars="0"/>
        <w:jc w:val="center"/>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 xml:space="preserve">                      </w:t>
      </w:r>
      <w:r>
        <w:rPr>
          <w:rFonts w:hint="eastAsia" w:ascii="宋体" w:hAnsi="宋体" w:eastAsia="宋体" w:cs="宋体"/>
          <w:bCs/>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授权人和被授权人（</w:t>
      </w:r>
      <w:r>
        <w:rPr>
          <w:rFonts w:hint="eastAsia" w:ascii="宋体" w:hAnsi="宋体" w:eastAsia="宋体" w:cs="宋体"/>
          <w:bCs/>
          <w:color w:val="000000" w:themeColor="text1"/>
          <w:sz w:val="24"/>
          <w:szCs w:val="24"/>
          <w:highlight w:val="none"/>
          <w:lang w:eastAsia="zh-CN"/>
          <w14:textFill>
            <w14:solidFill>
              <w14:schemeClr w14:val="tx1"/>
            </w14:solidFill>
          </w14:textFill>
        </w:rPr>
        <w:t>签字或盖名章</w:t>
      </w:r>
      <w:r>
        <w:rPr>
          <w:rFonts w:hint="eastAsia" w:ascii="宋体" w:hAnsi="宋体" w:eastAsia="宋体" w:cs="宋体"/>
          <w:bCs/>
          <w:color w:val="000000" w:themeColor="text1"/>
          <w:sz w:val="24"/>
          <w:szCs w:val="24"/>
          <w:highlight w:val="none"/>
          <w14:textFill>
            <w14:solidFill>
              <w14:schemeClr w14:val="tx1"/>
            </w14:solidFill>
          </w14:textFill>
        </w:rPr>
        <w:t>）：</w:t>
      </w:r>
    </w:p>
    <w:p w14:paraId="0CDCE38C">
      <w:pPr>
        <w:spacing w:line="360" w:lineRule="atLeas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日期： 年 月 日</w:t>
      </w:r>
    </w:p>
    <w:p w14:paraId="1FCF7962">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br w:type="page"/>
      </w:r>
      <w:bookmarkEnd w:id="139"/>
    </w:p>
    <w:p w14:paraId="5A531714">
      <w:pPr>
        <w:rPr>
          <w:rFonts w:hint="eastAsia" w:ascii="宋体" w:hAnsi="宋体" w:eastAsia="宋体" w:cs="宋体"/>
          <w:color w:val="000000" w:themeColor="text1"/>
          <w:sz w:val="24"/>
          <w:szCs w:val="24"/>
          <w:highlight w:val="none"/>
          <w14:textFill>
            <w14:solidFill>
              <w14:schemeClr w14:val="tx1"/>
            </w14:solidFill>
          </w14:textFill>
        </w:rPr>
      </w:pPr>
    </w:p>
    <w:p w14:paraId="06D83EDA">
      <w:pPr>
        <w:pStyle w:val="28"/>
        <w:numPr>
          <w:ilvl w:val="0"/>
          <w:numId w:val="0"/>
        </w:numPr>
        <w:ind w:left="3570" w:leftChars="0"/>
        <w:jc w:val="both"/>
        <w:outlineLvl w:val="1"/>
        <w:rPr>
          <w:rFonts w:hint="eastAsia" w:ascii="宋体" w:hAnsi="宋体" w:eastAsia="宋体" w:cs="宋体"/>
          <w:b/>
          <w:bCs/>
          <w:color w:val="000000" w:themeColor="text1"/>
          <w:kern w:val="0"/>
          <w:sz w:val="24"/>
          <w:szCs w:val="24"/>
          <w:highlight w:val="none"/>
          <w14:textFill>
            <w14:solidFill>
              <w14:schemeClr w14:val="tx1"/>
            </w14:solidFill>
          </w14:textFill>
        </w:rPr>
      </w:pPr>
      <w:r>
        <w:rPr>
          <w:rFonts w:hint="eastAsia" w:ascii="宋体" w:hAnsi="宋体" w:eastAsia="宋体" w:cs="宋体"/>
          <w:b/>
          <w:bCs/>
          <w:color w:val="000000" w:themeColor="text1"/>
          <w:kern w:val="0"/>
          <w:sz w:val="24"/>
          <w:szCs w:val="24"/>
          <w:highlight w:val="none"/>
          <w:lang w:val="en-US" w:eastAsia="zh-CN"/>
          <w14:textFill>
            <w14:solidFill>
              <w14:schemeClr w14:val="tx1"/>
            </w14:solidFill>
          </w14:textFill>
        </w:rPr>
        <w:t>七、</w:t>
      </w:r>
      <w:r>
        <w:rPr>
          <w:rFonts w:hint="eastAsia" w:ascii="宋体" w:hAnsi="宋体" w:eastAsia="宋体" w:cs="宋体"/>
          <w:b/>
          <w:bCs/>
          <w:color w:val="000000" w:themeColor="text1"/>
          <w:kern w:val="0"/>
          <w:sz w:val="24"/>
          <w:szCs w:val="24"/>
          <w:highlight w:val="none"/>
          <w14:textFill>
            <w14:solidFill>
              <w14:schemeClr w14:val="tx1"/>
            </w14:solidFill>
          </w14:textFill>
        </w:rPr>
        <w:t>实施方案</w:t>
      </w:r>
    </w:p>
    <w:p w14:paraId="18E0A42F">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13A5A8D7">
      <w:pPr>
        <w:spacing w:line="360" w:lineRule="auto"/>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投标人应根据本</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要求和项目的具体情况，自行编制实施方案，格式自拟，但应主要包括以下内容：</w:t>
      </w:r>
    </w:p>
    <w:bookmarkEnd w:id="135"/>
    <w:p w14:paraId="6E1FDF1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pPr>
      <w:bookmarkStart w:id="140" w:name="_Toc31271_WPSOffice_Level1"/>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1、技术方案</w:t>
      </w:r>
    </w:p>
    <w:p w14:paraId="4909B697">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2、项目组织实施方案</w:t>
      </w:r>
    </w:p>
    <w:p w14:paraId="6C69FD6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3、项目实施团队</w:t>
      </w:r>
    </w:p>
    <w:p w14:paraId="231593A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4、进度计划及保障措施</w:t>
      </w:r>
    </w:p>
    <w:p w14:paraId="61A276B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t>5、售后服务方案</w:t>
      </w:r>
      <w:r>
        <w:rPr>
          <w:rFonts w:hint="eastAsia" w:ascii="宋体" w:hAnsi="宋体" w:eastAsia="宋体" w:cs="宋体"/>
          <w:b w:val="0"/>
          <w:bCs w:val="0"/>
          <w:color w:val="000000" w:themeColor="text1"/>
          <w:kern w:val="0"/>
          <w:sz w:val="24"/>
          <w:szCs w:val="24"/>
          <w:highlight w:val="none"/>
          <w:lang w:val="en-US" w:eastAsia="zh-CN"/>
          <w14:textFill>
            <w14:solidFill>
              <w14:schemeClr w14:val="tx1"/>
            </w14:solidFill>
          </w14:textFill>
        </w:rPr>
        <w:br w:type="page"/>
      </w:r>
    </w:p>
    <w:p w14:paraId="3FE68144">
      <w:pPr>
        <w:pStyle w:val="7"/>
        <w:ind w:firstLine="0" w:firstLineChars="0"/>
        <w:jc w:val="center"/>
        <w:outlineLvl w:val="1"/>
        <w:rPr>
          <w:rFonts w:hint="eastAsia" w:ascii="宋体" w:hAnsi="宋体" w:eastAsia="宋体" w:cs="宋体"/>
          <w:b/>
          <w:bCs/>
          <w:color w:val="000000" w:themeColor="text1"/>
          <w:kern w:val="0"/>
          <w:sz w:val="24"/>
          <w:szCs w:val="24"/>
          <w:highlight w:val="none"/>
          <w14:textFill>
            <w14:solidFill>
              <w14:schemeClr w14:val="tx1"/>
            </w14:solidFill>
          </w14:textFill>
        </w:rPr>
      </w:pPr>
      <w:r>
        <w:rPr>
          <w:rFonts w:hint="eastAsia" w:ascii="宋体" w:hAnsi="宋体" w:eastAsia="宋体" w:cs="宋体"/>
          <w:b/>
          <w:bCs/>
          <w:color w:val="000000" w:themeColor="text1"/>
          <w:kern w:val="0"/>
          <w:sz w:val="24"/>
          <w:szCs w:val="24"/>
          <w:highlight w:val="none"/>
          <w:lang w:val="en-US" w:eastAsia="zh-CN"/>
          <w14:textFill>
            <w14:solidFill>
              <w14:schemeClr w14:val="tx1"/>
            </w14:solidFill>
          </w14:textFill>
        </w:rPr>
        <w:t>八</w:t>
      </w:r>
      <w:r>
        <w:rPr>
          <w:rFonts w:hint="eastAsia" w:ascii="宋体" w:hAnsi="宋体" w:eastAsia="宋体" w:cs="宋体"/>
          <w:b/>
          <w:bCs/>
          <w:color w:val="000000" w:themeColor="text1"/>
          <w:kern w:val="0"/>
          <w:sz w:val="24"/>
          <w:szCs w:val="24"/>
          <w:highlight w:val="none"/>
          <w14:textFill>
            <w14:solidFill>
              <w14:schemeClr w14:val="tx1"/>
            </w14:solidFill>
          </w14:textFill>
        </w:rPr>
        <w:t>、投标人认为需要提供的其他文件和资料</w:t>
      </w:r>
    </w:p>
    <w:p w14:paraId="71AB39AD">
      <w:pPr>
        <w:spacing w:line="460" w:lineRule="exact"/>
        <w:rPr>
          <w:rFonts w:hint="eastAsia" w:ascii="宋体" w:hAnsi="宋体" w:eastAsia="宋体" w:cs="宋体"/>
          <w:bCs/>
          <w:color w:val="000000" w:themeColor="text1"/>
          <w:sz w:val="24"/>
          <w:szCs w:val="24"/>
          <w:highlight w:val="none"/>
          <w14:textFill>
            <w14:solidFill>
              <w14:schemeClr w14:val="tx1"/>
            </w14:solidFill>
          </w14:textFill>
        </w:rPr>
      </w:pPr>
    </w:p>
    <w:p w14:paraId="49038140">
      <w:pPr>
        <w:spacing w:line="460" w:lineRule="exact"/>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1、以下《中小微企业声明函》、《监狱企业的证明文件》及《残疾人福利性单位声明函》投标人根据自身的实际情况选用（如有）。</w:t>
      </w:r>
    </w:p>
    <w:p w14:paraId="7A61A187">
      <w:pPr>
        <w:spacing w:line="460" w:lineRule="exact"/>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2、投标人同时为小型（或微型）企业、监狱企业、残疾人福利性单位任两种或以上情况的，评审中只享受一次价格扣除（或评审得分优惠），不重复进行价格扣除。</w:t>
      </w:r>
    </w:p>
    <w:p w14:paraId="15A3E4FD">
      <w:pPr>
        <w:pStyle w:val="14"/>
        <w:spacing w:line="460" w:lineRule="exact"/>
        <w:ind w:firstLine="480" w:firstLineChars="200"/>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（一）中小企业声明函</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hAnsi="宋体" w:cs="宋体"/>
          <w:color w:val="000000" w:themeColor="text1"/>
          <w:sz w:val="24"/>
          <w:szCs w:val="24"/>
          <w:highlight w:val="none"/>
          <w:lang w:val="en-US" w:eastAsia="zh-CN"/>
          <w14:textFill>
            <w14:solidFill>
              <w14:schemeClr w14:val="tx1"/>
            </w14:solidFill>
          </w14:textFill>
        </w:rPr>
        <w:t>货物</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6DE738F9">
      <w:pPr>
        <w:pStyle w:val="14"/>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本公司（联合体）郑重声明，根据《政府采购促进中小企业发展管理办法》（财库﹝2020﹞46号）的规定，本公司（联合体）参加</w:t>
      </w:r>
      <w:r>
        <w:rPr>
          <w:rFonts w:hint="eastAsia" w:ascii="宋体" w:hAnsi="宋体" w:eastAsia="宋体" w:cs="宋体"/>
          <w:color w:val="000000" w:themeColor="text1"/>
          <w:sz w:val="24"/>
          <w:szCs w:val="24"/>
          <w:highlight w:val="none"/>
          <w:u w:val="single"/>
          <w14:textFill>
            <w14:solidFill>
              <w14:schemeClr w14:val="tx1"/>
            </w14:solidFill>
          </w14:textFill>
        </w:rPr>
        <w:t>（单位名称）</w:t>
      </w:r>
      <w:r>
        <w:rPr>
          <w:rFonts w:hint="eastAsia" w:ascii="宋体" w:hAnsi="宋体" w:eastAsia="宋体" w:cs="宋体"/>
          <w:color w:val="000000" w:themeColor="text1"/>
          <w:sz w:val="24"/>
          <w:szCs w:val="24"/>
          <w:highlight w:val="none"/>
          <w14:textFill>
            <w14:solidFill>
              <w14:schemeClr w14:val="tx1"/>
            </w14:solidFill>
          </w14:textFill>
        </w:rPr>
        <w:t>的</w:t>
      </w:r>
      <w:r>
        <w:rPr>
          <w:rFonts w:hint="eastAsia" w:ascii="宋体" w:hAnsi="宋体" w:eastAsia="宋体" w:cs="宋体"/>
          <w:color w:val="000000" w:themeColor="text1"/>
          <w:sz w:val="24"/>
          <w:szCs w:val="24"/>
          <w:highlight w:val="none"/>
          <w:u w:val="single"/>
          <w14:textFill>
            <w14:solidFill>
              <w14:schemeClr w14:val="tx1"/>
            </w14:solidFill>
          </w14:textFill>
        </w:rPr>
        <w:t>（项目名称）</w:t>
      </w:r>
      <w:r>
        <w:rPr>
          <w:rFonts w:hint="eastAsia" w:ascii="宋体" w:hAnsi="宋体" w:eastAsia="宋体" w:cs="宋体"/>
          <w:color w:val="000000" w:themeColor="text1"/>
          <w:sz w:val="24"/>
          <w:szCs w:val="24"/>
          <w:highlight w:val="none"/>
          <w14:textFill>
            <w14:solidFill>
              <w14:schemeClr w14:val="tx1"/>
            </w14:solidFill>
          </w14:textFill>
        </w:rPr>
        <w:t>采购活动，</w:t>
      </w:r>
      <w:r>
        <w:rPr>
          <w:rFonts w:hint="eastAsia" w:ascii="宋体" w:hAnsi="宋体" w:eastAsia="宋体" w:cs="宋体"/>
          <w:color w:val="000000" w:themeColor="text1"/>
          <w:sz w:val="24"/>
          <w:szCs w:val="24"/>
          <w:highlight w:val="none"/>
          <w:lang w:val="en-US" w:eastAsia="zh-CN"/>
          <w14:textFill>
            <w14:solidFill>
              <w14:schemeClr w14:val="tx1"/>
            </w14:solidFill>
          </w14:textFill>
        </w:rPr>
        <w:t>提供的货物</w:t>
      </w:r>
      <w:r>
        <w:rPr>
          <w:rFonts w:hint="eastAsia" w:ascii="宋体" w:hAnsi="宋体" w:eastAsia="宋体" w:cs="宋体"/>
          <w:color w:val="000000" w:themeColor="text1"/>
          <w:sz w:val="24"/>
          <w:szCs w:val="24"/>
          <w:highlight w:val="none"/>
          <w14:textFill>
            <w14:solidFill>
              <w14:schemeClr w14:val="tx1"/>
            </w14:solidFill>
          </w14:textFill>
        </w:rPr>
        <w:t>全部</w:t>
      </w:r>
      <w:r>
        <w:rPr>
          <w:rFonts w:hint="eastAsia" w:ascii="宋体" w:hAnsi="宋体" w:eastAsia="宋体" w:cs="宋体"/>
          <w:color w:val="000000" w:themeColor="text1"/>
          <w:sz w:val="24"/>
          <w:szCs w:val="24"/>
          <w:highlight w:val="none"/>
          <w:lang w:val="en-US" w:eastAsia="zh-CN"/>
          <w14:textFill>
            <w14:solidFill>
              <w14:schemeClr w14:val="tx1"/>
            </w14:solidFill>
          </w14:textFill>
        </w:rPr>
        <w:t>由</w:t>
      </w:r>
      <w:r>
        <w:rPr>
          <w:rFonts w:hint="eastAsia" w:ascii="宋体" w:hAnsi="宋体" w:eastAsia="宋体" w:cs="宋体"/>
          <w:color w:val="000000" w:themeColor="text1"/>
          <w:sz w:val="24"/>
          <w:szCs w:val="24"/>
          <w:highlight w:val="none"/>
          <w14:textFill>
            <w14:solidFill>
              <w14:schemeClr w14:val="tx1"/>
            </w14:solidFill>
          </w14:textFill>
        </w:rPr>
        <w:t>符合政策要求的中小企业</w:t>
      </w:r>
      <w:r>
        <w:rPr>
          <w:rFonts w:hint="eastAsia" w:ascii="宋体" w:hAnsi="宋体" w:eastAsia="宋体" w:cs="宋体"/>
          <w:color w:val="000000" w:themeColor="text1"/>
          <w:sz w:val="24"/>
          <w:szCs w:val="24"/>
          <w:highlight w:val="none"/>
          <w:lang w:val="en-US" w:eastAsia="zh-CN"/>
          <w14:textFill>
            <w14:solidFill>
              <w14:schemeClr w14:val="tx1"/>
            </w14:solidFill>
          </w14:textFill>
        </w:rPr>
        <w:t>制造。</w:t>
      </w:r>
      <w:r>
        <w:rPr>
          <w:rFonts w:hint="eastAsia" w:ascii="宋体" w:hAnsi="宋体" w:eastAsia="宋体" w:cs="宋体"/>
          <w:color w:val="000000" w:themeColor="text1"/>
          <w:sz w:val="24"/>
          <w:szCs w:val="24"/>
          <w:highlight w:val="none"/>
          <w14:textFill>
            <w14:solidFill>
              <w14:schemeClr w14:val="tx1"/>
            </w14:solidFill>
          </w14:textFill>
        </w:rPr>
        <w:t>相关企业（含联合体中的中小企业、签订分包意向协议的中小企业）的具体情况如下：</w:t>
      </w:r>
    </w:p>
    <w:p w14:paraId="194985B2">
      <w:pPr>
        <w:pStyle w:val="14"/>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u w:val="single"/>
          <w14:textFill>
            <w14:solidFill>
              <w14:schemeClr w14:val="tx1"/>
            </w14:solidFill>
          </w14:textFill>
        </w:rPr>
        <w:t xml:space="preserve"> （标的名称）</w:t>
      </w:r>
      <w:r>
        <w:rPr>
          <w:rFonts w:hint="eastAsia" w:ascii="宋体" w:hAnsi="宋体" w:eastAsia="宋体" w:cs="宋体"/>
          <w:color w:val="000000" w:themeColor="text1"/>
          <w:sz w:val="24"/>
          <w:szCs w:val="24"/>
          <w:highlight w:val="none"/>
          <w14:textFill>
            <w14:solidFill>
              <w14:schemeClr w14:val="tx1"/>
            </w14:solidFill>
          </w14:textFill>
        </w:rPr>
        <w:t>，属于</w:t>
      </w:r>
      <w:r>
        <w:rPr>
          <w:rFonts w:hint="eastAsia" w:ascii="宋体" w:hAnsi="宋体" w:eastAsia="宋体" w:cs="宋体"/>
          <w:color w:val="000000" w:themeColor="text1"/>
          <w:sz w:val="24"/>
          <w:szCs w:val="24"/>
          <w:highlight w:val="none"/>
          <w:u w:val="single"/>
          <w14:textFill>
            <w14:solidFill>
              <w14:schemeClr w14:val="tx1"/>
            </w14:solidFill>
          </w14:textFill>
        </w:rPr>
        <w:t>（</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u w:val="single"/>
          <w14:textFill>
            <w14:solidFill>
              <w14:schemeClr w14:val="tx1"/>
            </w14:solidFill>
          </w14:textFill>
        </w:rPr>
        <w:t>中明确的所属行业）</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行业</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制造商为</w:t>
      </w:r>
      <w:r>
        <w:rPr>
          <w:rFonts w:hint="eastAsia" w:ascii="宋体" w:hAnsi="宋体" w:eastAsia="宋体" w:cs="宋体"/>
          <w:color w:val="000000" w:themeColor="text1"/>
          <w:sz w:val="24"/>
          <w:szCs w:val="24"/>
          <w:highlight w:val="none"/>
          <w:u w:val="single"/>
          <w14:textFill>
            <w14:solidFill>
              <w14:schemeClr w14:val="tx1"/>
            </w14:solidFill>
          </w14:textFill>
        </w:rPr>
        <w:t>（企业名称）</w:t>
      </w:r>
      <w:r>
        <w:rPr>
          <w:rFonts w:hint="eastAsia" w:ascii="宋体" w:hAnsi="宋体" w:eastAsia="宋体" w:cs="宋体"/>
          <w:color w:val="000000" w:themeColor="text1"/>
          <w:sz w:val="24"/>
          <w:szCs w:val="24"/>
          <w:highlight w:val="none"/>
          <w14:textFill>
            <w14:solidFill>
              <w14:schemeClr w14:val="tx1"/>
            </w14:solidFill>
          </w14:textFill>
        </w:rPr>
        <w:t>，从业人员</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人，营业收入为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万元，资产总额为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万元</w:t>
      </w:r>
      <w:r>
        <w:rPr>
          <w:rFonts w:hint="eastAsia" w:ascii="宋体" w:hAnsi="宋体" w:eastAsia="宋体" w:cs="宋体"/>
          <w:color w:val="000000" w:themeColor="text1"/>
          <w:sz w:val="24"/>
          <w:szCs w:val="24"/>
          <w:highlight w:val="none"/>
          <w:vertAlign w:val="superscript"/>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，属于（中型企业、小型企业</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微型企业</w:t>
      </w:r>
      <w:r>
        <w:rPr>
          <w:rFonts w:hint="eastAsia" w:ascii="宋体" w:hAnsi="宋体" w:eastAsia="宋体" w:cs="宋体"/>
          <w:color w:val="000000" w:themeColor="text1"/>
          <w:sz w:val="24"/>
          <w:szCs w:val="24"/>
          <w:highlight w:val="none"/>
          <w14:textFill>
            <w14:solidFill>
              <w14:schemeClr w14:val="tx1"/>
            </w14:solidFill>
          </w14:textFill>
        </w:rPr>
        <w:t>）；</w:t>
      </w:r>
    </w:p>
    <w:p w14:paraId="6C026F57">
      <w:pPr>
        <w:pStyle w:val="14"/>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u w:val="single"/>
          <w14:textFill>
            <w14:solidFill>
              <w14:schemeClr w14:val="tx1"/>
            </w14:solidFill>
          </w14:textFill>
        </w:rPr>
        <w:t xml:space="preserve"> （标的名称）</w:t>
      </w:r>
      <w:r>
        <w:rPr>
          <w:rFonts w:hint="eastAsia" w:ascii="宋体" w:hAnsi="宋体" w:eastAsia="宋体" w:cs="宋体"/>
          <w:color w:val="000000" w:themeColor="text1"/>
          <w:sz w:val="24"/>
          <w:szCs w:val="24"/>
          <w:highlight w:val="none"/>
          <w14:textFill>
            <w14:solidFill>
              <w14:schemeClr w14:val="tx1"/>
            </w14:solidFill>
          </w14:textFill>
        </w:rPr>
        <w:t>，属于</w:t>
      </w:r>
      <w:r>
        <w:rPr>
          <w:rFonts w:hint="eastAsia" w:ascii="宋体" w:hAnsi="宋体" w:eastAsia="宋体" w:cs="宋体"/>
          <w:color w:val="000000" w:themeColor="text1"/>
          <w:sz w:val="24"/>
          <w:szCs w:val="24"/>
          <w:highlight w:val="none"/>
          <w:u w:val="single"/>
          <w14:textFill>
            <w14:solidFill>
              <w14:schemeClr w14:val="tx1"/>
            </w14:solidFill>
          </w14:textFill>
        </w:rPr>
        <w:t>（</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u w:val="single"/>
          <w14:textFill>
            <w14:solidFill>
              <w14:schemeClr w14:val="tx1"/>
            </w14:solidFill>
          </w14:textFill>
        </w:rPr>
        <w:t>中明确的所属行业）行业</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制造商为</w:t>
      </w:r>
      <w:r>
        <w:rPr>
          <w:rFonts w:hint="eastAsia" w:ascii="宋体" w:hAnsi="宋体" w:eastAsia="宋体" w:cs="宋体"/>
          <w:color w:val="000000" w:themeColor="text1"/>
          <w:sz w:val="24"/>
          <w:szCs w:val="24"/>
          <w:highlight w:val="none"/>
          <w:u w:val="single"/>
          <w14:textFill>
            <w14:solidFill>
              <w14:schemeClr w14:val="tx1"/>
            </w14:solidFill>
          </w14:textFill>
        </w:rPr>
        <w:t>（企业名称）</w:t>
      </w:r>
      <w:r>
        <w:rPr>
          <w:rFonts w:hint="eastAsia" w:ascii="宋体" w:hAnsi="宋体" w:eastAsia="宋体" w:cs="宋体"/>
          <w:color w:val="000000" w:themeColor="text1"/>
          <w:sz w:val="24"/>
          <w:szCs w:val="24"/>
          <w:highlight w:val="none"/>
          <w14:textFill>
            <w14:solidFill>
              <w14:schemeClr w14:val="tx1"/>
            </w14:solidFill>
          </w14:textFill>
        </w:rPr>
        <w:t>，从业人员</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人，营业收入为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万元，资产总额为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万元，属于</w:t>
      </w:r>
      <w:r>
        <w:rPr>
          <w:rFonts w:hint="eastAsia" w:ascii="宋体" w:hAnsi="宋体" w:eastAsia="宋体" w:cs="宋体"/>
          <w:color w:val="000000" w:themeColor="text1"/>
          <w:sz w:val="24"/>
          <w:szCs w:val="24"/>
          <w:highlight w:val="none"/>
          <w:u w:val="single"/>
          <w14:textFill>
            <w14:solidFill>
              <w14:schemeClr w14:val="tx1"/>
            </w14:solidFill>
          </w14:textFill>
        </w:rPr>
        <w:t>（中型企业、小型企业</w:t>
      </w:r>
      <w:r>
        <w:rPr>
          <w:rFonts w:hint="eastAsia" w:ascii="宋体" w:hAnsi="宋体" w:eastAsia="宋体" w:cs="宋体"/>
          <w:color w:val="000000" w:themeColor="text1"/>
          <w:sz w:val="24"/>
          <w:szCs w:val="24"/>
          <w:highlight w:val="none"/>
          <w:u w:val="single"/>
          <w:lang w:eastAsia="zh-CN"/>
          <w14:textFill>
            <w14:solidFill>
              <w14:schemeClr w14:val="tx1"/>
            </w14:solidFill>
          </w14:textFill>
        </w:rPr>
        <w:t>、</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微型企业</w:t>
      </w:r>
      <w:r>
        <w:rPr>
          <w:rFonts w:hint="eastAsia" w:ascii="宋体" w:hAnsi="宋体" w:eastAsia="宋体" w:cs="宋体"/>
          <w:color w:val="000000" w:themeColor="text1"/>
          <w:sz w:val="24"/>
          <w:szCs w:val="24"/>
          <w:highlight w:val="none"/>
          <w:u w:val="singl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w:t>
      </w:r>
    </w:p>
    <w:p w14:paraId="6FBDAB2A">
      <w:pPr>
        <w:pStyle w:val="14"/>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p>
    <w:p w14:paraId="52B9AF26">
      <w:pPr>
        <w:pStyle w:val="14"/>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以上企业，不属于大企业的分支机构，不存在控股股东为大企业的情形，也不存在与大企业的负责人为同一人的情形。</w:t>
      </w:r>
    </w:p>
    <w:p w14:paraId="1E62A8AD">
      <w:pPr>
        <w:pStyle w:val="14"/>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本企业对上述声明内容的真实性负责。如有虚假，将依法承担相应责任。</w:t>
      </w:r>
    </w:p>
    <w:p w14:paraId="6F63CCD8">
      <w:pPr>
        <w:pStyle w:val="14"/>
        <w:spacing w:line="46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企业名称（</w:t>
      </w:r>
      <w:r>
        <w:rPr>
          <w:rFonts w:hint="eastAsia" w:ascii="宋体" w:hAnsi="宋体" w:eastAsia="宋体" w:cs="宋体"/>
          <w:color w:val="000000" w:themeColor="text1"/>
          <w:sz w:val="24"/>
          <w:szCs w:val="24"/>
          <w:highlight w:val="none"/>
          <w:lang w:eastAsia="zh-CN"/>
          <w14:textFill>
            <w14:solidFill>
              <w14:schemeClr w14:val="tx1"/>
            </w14:solidFill>
          </w14:textFill>
        </w:rPr>
        <w:t>盖公章</w:t>
      </w:r>
      <w:r>
        <w:rPr>
          <w:rFonts w:hint="eastAsia" w:ascii="宋体" w:hAnsi="宋体" w:eastAsia="宋体" w:cs="宋体"/>
          <w:color w:val="000000" w:themeColor="text1"/>
          <w:sz w:val="24"/>
          <w:szCs w:val="24"/>
          <w:highlight w:val="none"/>
          <w14:textFill>
            <w14:solidFill>
              <w14:schemeClr w14:val="tx1"/>
            </w14:solidFill>
          </w14:textFill>
        </w:rPr>
        <w:t>）：</w:t>
      </w:r>
    </w:p>
    <w:p w14:paraId="2F4055CC">
      <w:pPr>
        <w:pStyle w:val="14"/>
        <w:spacing w:line="460" w:lineRule="exact"/>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日 期：</w:t>
      </w:r>
    </w:p>
    <w:p w14:paraId="7AB594F1">
      <w:pPr>
        <w:pStyle w:val="14"/>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从业人员、营业收入、资产总额填报上一年度数据，无上一年度数据的新成立企业可不填报</w:t>
      </w:r>
    </w:p>
    <w:p w14:paraId="2BF7B787">
      <w:pPr>
        <w:spacing w:line="460" w:lineRule="exact"/>
        <w:jc w:val="both"/>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p>
    <w:p w14:paraId="10144B7C">
      <w:pPr>
        <w:pStyle w:val="25"/>
        <w:keepNext w:val="0"/>
        <w:keepLines w:val="0"/>
        <w:pageBreakBefore w:val="0"/>
        <w:widowControl w:val="0"/>
        <w:kinsoku/>
        <w:wordWrap/>
        <w:overflowPunct/>
        <w:topLinePunct w:val="0"/>
        <w:autoSpaceDE/>
        <w:autoSpaceDN/>
        <w:bidi w:val="0"/>
        <w:adjustRightInd/>
        <w:snapToGrid/>
        <w:textAlignment w:val="auto"/>
        <w:outlineLvl w:val="9"/>
        <w:rPr>
          <w:rFonts w:hint="eastAsia" w:ascii="宋体" w:hAnsi="宋体" w:eastAsia="宋体" w:cs="宋体"/>
          <w:color w:val="000000" w:themeColor="text1"/>
          <w:sz w:val="24"/>
          <w:szCs w:val="24"/>
          <w:highlight w:val="none"/>
          <w14:textFill>
            <w14:solidFill>
              <w14:schemeClr w14:val="tx1"/>
            </w14:solidFill>
          </w14:textFill>
        </w:rPr>
      </w:pPr>
    </w:p>
    <w:p w14:paraId="26A6609A">
      <w:pPr>
        <w:rPr>
          <w:rFonts w:hint="eastAsia"/>
          <w:color w:val="000000" w:themeColor="text1"/>
          <w14:textFill>
            <w14:solidFill>
              <w14:schemeClr w14:val="tx1"/>
            </w14:solidFill>
          </w14:textFill>
        </w:rPr>
      </w:pPr>
    </w:p>
    <w:p w14:paraId="5680127A">
      <w:pPr>
        <w:rPr>
          <w:rFonts w:hint="eastAsia" w:ascii="宋体" w:hAnsi="宋体" w:eastAsia="宋体" w:cs="宋体"/>
          <w:color w:val="000000" w:themeColor="text1"/>
          <w:sz w:val="24"/>
          <w:szCs w:val="24"/>
          <w:highlight w:val="none"/>
          <w14:textFill>
            <w14:solidFill>
              <w14:schemeClr w14:val="tx1"/>
            </w14:solidFill>
          </w14:textFill>
        </w:rPr>
      </w:pPr>
    </w:p>
    <w:p w14:paraId="0F2010F5">
      <w:pPr>
        <w:spacing w:line="460" w:lineRule="exact"/>
        <w:jc w:val="center"/>
        <w:rPr>
          <w:rFonts w:hint="eastAsia" w:ascii="宋体" w:hAnsi="宋体" w:eastAsia="宋体" w:cs="宋体"/>
          <w:b/>
          <w:color w:val="000000" w:themeColor="text1"/>
          <w:spacing w:val="6"/>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 xml:space="preserve">（二） </w:t>
      </w:r>
      <w:bookmarkStart w:id="141" w:name="OLE_LINK13"/>
      <w:bookmarkStart w:id="142" w:name="OLE_LINK14"/>
      <w:r>
        <w:rPr>
          <w:rFonts w:hint="eastAsia" w:ascii="宋体" w:hAnsi="宋体" w:eastAsia="宋体" w:cs="宋体"/>
          <w:b/>
          <w:color w:val="000000" w:themeColor="text1"/>
          <w:spacing w:val="6"/>
          <w:sz w:val="24"/>
          <w:szCs w:val="24"/>
          <w:highlight w:val="none"/>
          <w14:textFill>
            <w14:solidFill>
              <w14:schemeClr w14:val="tx1"/>
            </w14:solidFill>
          </w14:textFill>
        </w:rPr>
        <w:t>残疾人福利性单位声明函</w:t>
      </w:r>
    </w:p>
    <w:bookmarkEnd w:id="141"/>
    <w:bookmarkEnd w:id="142"/>
    <w:p w14:paraId="444E717F">
      <w:pPr>
        <w:spacing w:line="460" w:lineRule="exact"/>
        <w:rPr>
          <w:rFonts w:hint="eastAsia" w:ascii="宋体" w:hAnsi="宋体" w:eastAsia="宋体" w:cs="宋体"/>
          <w:b/>
          <w:color w:val="000000" w:themeColor="text1"/>
          <w:spacing w:val="6"/>
          <w:sz w:val="24"/>
          <w:szCs w:val="24"/>
          <w:highlight w:val="none"/>
          <w14:textFill>
            <w14:solidFill>
              <w14:schemeClr w14:val="tx1"/>
            </w14:solidFill>
          </w14:textFill>
        </w:rPr>
      </w:pPr>
    </w:p>
    <w:p w14:paraId="5FAC0565">
      <w:pPr>
        <w:spacing w:line="460" w:lineRule="exact"/>
        <w:ind w:firstLine="504" w:firstLineChars="200"/>
        <w:rPr>
          <w:rFonts w:hint="eastAsia" w:ascii="宋体" w:hAnsi="宋体" w:eastAsia="宋体" w:cs="宋体"/>
          <w:color w:val="000000" w:themeColor="text1"/>
          <w:spacing w:val="6"/>
          <w:sz w:val="24"/>
          <w:szCs w:val="24"/>
          <w:highlight w:val="none"/>
          <w14:textFill>
            <w14:solidFill>
              <w14:schemeClr w14:val="tx1"/>
            </w14:solidFill>
          </w14:textFill>
        </w:rPr>
      </w:pPr>
      <w:r>
        <w:rPr>
          <w:rFonts w:hint="eastAsia" w:ascii="宋体" w:hAnsi="宋体" w:eastAsia="宋体" w:cs="宋体"/>
          <w:color w:val="000000" w:themeColor="text1"/>
          <w:spacing w:val="6"/>
          <w:sz w:val="24"/>
          <w:szCs w:val="24"/>
          <w:highlight w:val="none"/>
          <w14:textFill>
            <w14:solidFill>
              <w14:schemeClr w14:val="tx1"/>
            </w14:solidFill>
          </w14:textFill>
        </w:rPr>
        <w:t>本单位郑重声明，根据《财政部 民政部 中国残疾人联合会关于促进残疾人就业政府采购政策的通知》（财库</w:t>
      </w:r>
      <w:r>
        <w:rPr>
          <w:rFonts w:hint="eastAsia" w:ascii="宋体" w:hAnsi="宋体" w:eastAsia="宋体" w:cs="宋体"/>
          <w:color w:val="000000" w:themeColor="text1"/>
          <w:sz w:val="24"/>
          <w:szCs w:val="24"/>
          <w:highlight w:val="none"/>
          <w14:textFill>
            <w14:solidFill>
              <w14:schemeClr w14:val="tx1"/>
            </w14:solidFill>
          </w14:textFill>
        </w:rPr>
        <w:t>〔2017〕 141</w:t>
      </w:r>
      <w:r>
        <w:rPr>
          <w:rFonts w:hint="eastAsia" w:ascii="宋体" w:hAnsi="宋体" w:eastAsia="宋体" w:cs="宋体"/>
          <w:color w:val="000000" w:themeColor="text1"/>
          <w:spacing w:val="6"/>
          <w:sz w:val="24"/>
          <w:szCs w:val="24"/>
          <w:highlight w:val="none"/>
          <w14:textFill>
            <w14:solidFill>
              <w14:schemeClr w14:val="tx1"/>
            </w14:solidFill>
          </w14:textFill>
        </w:rPr>
        <w:t>号）的规定，本单位为符合条件的残疾人福利性单位，且本单位参加</w:t>
      </w:r>
      <w:r>
        <w:rPr>
          <w:rFonts w:hint="eastAsia" w:ascii="宋体" w:hAnsi="宋体" w:eastAsia="宋体" w:cs="宋体"/>
          <w:color w:val="000000" w:themeColor="text1"/>
          <w:spacing w:val="6"/>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pacing w:val="6"/>
          <w:sz w:val="24"/>
          <w:szCs w:val="24"/>
          <w:highlight w:val="none"/>
          <w14:textFill>
            <w14:solidFill>
              <w14:schemeClr w14:val="tx1"/>
            </w14:solidFill>
          </w14:textFill>
        </w:rPr>
        <w:t>单位的</w:t>
      </w:r>
      <w:r>
        <w:rPr>
          <w:rFonts w:hint="eastAsia" w:ascii="宋体" w:hAnsi="宋体" w:eastAsia="宋体" w:cs="宋体"/>
          <w:color w:val="000000" w:themeColor="text1"/>
          <w:spacing w:val="6"/>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pacing w:val="6"/>
          <w:sz w:val="24"/>
          <w:szCs w:val="24"/>
          <w:highlight w:val="none"/>
          <w14:textFill>
            <w14:solidFill>
              <w14:schemeClr w14:val="tx1"/>
            </w14:solidFill>
          </w14:textFill>
        </w:rPr>
        <w:t>项目采购活动提供本单位制造的服务（由本单位承担工程/提供服务），或者提供其他残疾人福利性单位制造的货物（不包括使用非残疾人福利性单位注册商标的货物）。</w:t>
      </w:r>
    </w:p>
    <w:p w14:paraId="4BEA7EC1">
      <w:pPr>
        <w:spacing w:line="460" w:lineRule="exact"/>
        <w:ind w:firstLine="504" w:firstLineChars="200"/>
        <w:rPr>
          <w:rFonts w:hint="eastAsia" w:ascii="宋体" w:hAnsi="宋体" w:eastAsia="宋体" w:cs="宋体"/>
          <w:color w:val="000000" w:themeColor="text1"/>
          <w:spacing w:val="6"/>
          <w:sz w:val="24"/>
          <w:szCs w:val="24"/>
          <w:highlight w:val="none"/>
          <w14:textFill>
            <w14:solidFill>
              <w14:schemeClr w14:val="tx1"/>
            </w14:solidFill>
          </w14:textFill>
        </w:rPr>
      </w:pPr>
      <w:r>
        <w:rPr>
          <w:rFonts w:hint="eastAsia" w:ascii="宋体" w:hAnsi="宋体" w:eastAsia="宋体" w:cs="宋体"/>
          <w:color w:val="000000" w:themeColor="text1"/>
          <w:spacing w:val="6"/>
          <w:sz w:val="24"/>
          <w:szCs w:val="24"/>
          <w:highlight w:val="none"/>
          <w14:textFill>
            <w14:solidFill>
              <w14:schemeClr w14:val="tx1"/>
            </w14:solidFill>
          </w14:textFill>
        </w:rPr>
        <w:t>本单位对上述声明的真实性负责。如有虚假，将依法承担相应责任。</w:t>
      </w:r>
    </w:p>
    <w:p w14:paraId="0A1E8AB5">
      <w:pPr>
        <w:spacing w:line="460" w:lineRule="exact"/>
        <w:ind w:firstLine="504" w:firstLineChars="200"/>
        <w:rPr>
          <w:rFonts w:hint="eastAsia" w:ascii="宋体" w:hAnsi="宋体" w:eastAsia="宋体" w:cs="宋体"/>
          <w:color w:val="000000" w:themeColor="text1"/>
          <w:spacing w:val="6"/>
          <w:sz w:val="24"/>
          <w:szCs w:val="24"/>
          <w:highlight w:val="none"/>
          <w14:textFill>
            <w14:solidFill>
              <w14:schemeClr w14:val="tx1"/>
            </w14:solidFill>
          </w14:textFill>
        </w:rPr>
      </w:pPr>
    </w:p>
    <w:p w14:paraId="71D47401">
      <w:pPr>
        <w:spacing w:line="460" w:lineRule="exact"/>
        <w:ind w:firstLine="504" w:firstLineChars="200"/>
        <w:rPr>
          <w:rFonts w:hint="eastAsia" w:ascii="宋体" w:hAnsi="宋体" w:eastAsia="宋体" w:cs="宋体"/>
          <w:color w:val="000000" w:themeColor="text1"/>
          <w:spacing w:val="6"/>
          <w:sz w:val="24"/>
          <w:szCs w:val="24"/>
          <w:highlight w:val="none"/>
          <w14:textFill>
            <w14:solidFill>
              <w14:schemeClr w14:val="tx1"/>
            </w14:solidFill>
          </w14:textFill>
        </w:rPr>
      </w:pPr>
    </w:p>
    <w:p w14:paraId="6982DB6C">
      <w:pPr>
        <w:tabs>
          <w:tab w:val="left" w:pos="4860"/>
        </w:tabs>
        <w:spacing w:line="460" w:lineRule="exact"/>
        <w:ind w:right="1560" w:firstLine="504" w:firstLineChars="200"/>
        <w:jc w:val="center"/>
        <w:rPr>
          <w:rFonts w:hint="eastAsia" w:ascii="宋体" w:hAnsi="宋体" w:eastAsia="宋体" w:cs="宋体"/>
          <w:color w:val="000000" w:themeColor="text1"/>
          <w:spacing w:val="6"/>
          <w:sz w:val="24"/>
          <w:szCs w:val="24"/>
          <w:highlight w:val="none"/>
          <w14:textFill>
            <w14:solidFill>
              <w14:schemeClr w14:val="tx1"/>
            </w14:solidFill>
          </w14:textFill>
        </w:rPr>
      </w:pPr>
      <w:r>
        <w:rPr>
          <w:rFonts w:hint="eastAsia" w:ascii="宋体" w:hAnsi="宋体" w:eastAsia="宋体" w:cs="宋体"/>
          <w:color w:val="000000" w:themeColor="text1"/>
          <w:spacing w:val="6"/>
          <w:sz w:val="24"/>
          <w:szCs w:val="24"/>
          <w:highlight w:val="none"/>
          <w14:textFill>
            <w14:solidFill>
              <w14:schemeClr w14:val="tx1"/>
            </w14:solidFill>
          </w14:textFill>
        </w:rPr>
        <w:t xml:space="preserve">               </w:t>
      </w:r>
      <w:r>
        <w:rPr>
          <w:rFonts w:hint="eastAsia" w:ascii="宋体" w:hAnsi="宋体" w:eastAsia="宋体" w:cs="宋体"/>
          <w:color w:val="000000" w:themeColor="text1"/>
          <w:spacing w:val="6"/>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pacing w:val="6"/>
          <w:sz w:val="24"/>
          <w:szCs w:val="24"/>
          <w:highlight w:val="none"/>
          <w14:textFill>
            <w14:solidFill>
              <w14:schemeClr w14:val="tx1"/>
            </w14:solidFill>
          </w14:textFill>
        </w:rPr>
        <w:t>单位名称（</w:t>
      </w:r>
      <w:r>
        <w:rPr>
          <w:rFonts w:hint="eastAsia" w:ascii="宋体" w:hAnsi="宋体" w:eastAsia="宋体" w:cs="宋体"/>
          <w:color w:val="000000" w:themeColor="text1"/>
          <w:spacing w:val="6"/>
          <w:sz w:val="24"/>
          <w:szCs w:val="24"/>
          <w:highlight w:val="none"/>
          <w:lang w:eastAsia="zh-CN"/>
          <w14:textFill>
            <w14:solidFill>
              <w14:schemeClr w14:val="tx1"/>
            </w14:solidFill>
          </w14:textFill>
        </w:rPr>
        <w:t>盖公章</w:t>
      </w:r>
      <w:r>
        <w:rPr>
          <w:rFonts w:hint="eastAsia" w:ascii="宋体" w:hAnsi="宋体" w:eastAsia="宋体" w:cs="宋体"/>
          <w:color w:val="000000" w:themeColor="text1"/>
          <w:spacing w:val="6"/>
          <w:sz w:val="24"/>
          <w:szCs w:val="24"/>
          <w:highlight w:val="none"/>
          <w14:textFill>
            <w14:solidFill>
              <w14:schemeClr w14:val="tx1"/>
            </w14:solidFill>
          </w14:textFill>
        </w:rPr>
        <w:t>）：</w:t>
      </w:r>
    </w:p>
    <w:p w14:paraId="0601BDED">
      <w:pPr>
        <w:tabs>
          <w:tab w:val="left" w:pos="4860"/>
        </w:tabs>
        <w:spacing w:line="460" w:lineRule="exact"/>
        <w:ind w:right="1560" w:firstLine="504" w:firstLineChars="200"/>
        <w:jc w:val="center"/>
        <w:rPr>
          <w:rFonts w:hint="eastAsia" w:ascii="宋体" w:hAnsi="宋体" w:eastAsia="宋体" w:cs="宋体"/>
          <w:color w:val="000000" w:themeColor="text1"/>
          <w:spacing w:val="6"/>
          <w:sz w:val="24"/>
          <w:szCs w:val="24"/>
          <w:highlight w:val="none"/>
          <w14:textFill>
            <w14:solidFill>
              <w14:schemeClr w14:val="tx1"/>
            </w14:solidFill>
          </w14:textFill>
        </w:rPr>
      </w:pPr>
      <w:r>
        <w:rPr>
          <w:rFonts w:hint="eastAsia" w:ascii="宋体" w:hAnsi="宋体" w:eastAsia="宋体" w:cs="宋体"/>
          <w:color w:val="000000" w:themeColor="text1"/>
          <w:spacing w:val="6"/>
          <w:sz w:val="24"/>
          <w:szCs w:val="24"/>
          <w:highlight w:val="none"/>
          <w14:textFill>
            <w14:solidFill>
              <w14:schemeClr w14:val="tx1"/>
            </w14:solidFill>
          </w14:textFill>
        </w:rPr>
        <w:t xml:space="preserve">       日  期：</w:t>
      </w:r>
    </w:p>
    <w:p w14:paraId="11C7AF1F">
      <w:pPr>
        <w:widowControl/>
        <w:adjustRightInd w:val="0"/>
        <w:snapToGrid w:val="0"/>
        <w:spacing w:line="460" w:lineRule="exact"/>
        <w:rPr>
          <w:rFonts w:hint="eastAsia" w:ascii="宋体" w:hAnsi="宋体" w:eastAsia="宋体" w:cs="宋体"/>
          <w:color w:val="000000" w:themeColor="text1"/>
          <w:sz w:val="24"/>
          <w:szCs w:val="24"/>
          <w:highlight w:val="none"/>
          <w14:textFill>
            <w14:solidFill>
              <w14:schemeClr w14:val="tx1"/>
            </w14:solidFill>
          </w14:textFill>
        </w:rPr>
      </w:pPr>
    </w:p>
    <w:p w14:paraId="59D487BB">
      <w:pPr>
        <w:spacing w:line="460" w:lineRule="exact"/>
        <w:jc w:val="left"/>
        <w:rPr>
          <w:rFonts w:hint="eastAsia" w:ascii="宋体" w:hAnsi="宋体" w:eastAsia="宋体" w:cs="宋体"/>
          <w:bCs/>
          <w:color w:val="000000" w:themeColor="text1"/>
          <w:sz w:val="24"/>
          <w:szCs w:val="24"/>
          <w:highlight w:val="none"/>
          <w14:textFill>
            <w14:solidFill>
              <w14:schemeClr w14:val="tx1"/>
            </w14:solidFill>
          </w14:textFill>
        </w:rPr>
      </w:pPr>
    </w:p>
    <w:p w14:paraId="7DFFEE47">
      <w:pPr>
        <w:widowControl/>
        <w:spacing w:line="46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备注</w:t>
      </w:r>
      <w:r>
        <w:rPr>
          <w:rFonts w:hint="eastAsia" w:ascii="宋体" w:hAnsi="宋体" w:eastAsia="宋体" w:cs="宋体"/>
          <w:color w:val="000000" w:themeColor="text1"/>
          <w:sz w:val="24"/>
          <w:szCs w:val="24"/>
          <w:highlight w:val="none"/>
          <w14:textFill>
            <w14:solidFill>
              <w14:schemeClr w14:val="tx1"/>
            </w14:solidFill>
          </w14:textFill>
        </w:rPr>
        <w:t>：须提供证明材料（能反映出企业残疾人的占比等情况的材料及残疾人证等）。</w:t>
      </w:r>
    </w:p>
    <w:p w14:paraId="47D33C95">
      <w:pPr>
        <w:spacing w:line="460" w:lineRule="exact"/>
        <w:jc w:val="center"/>
        <w:rPr>
          <w:rFonts w:hint="eastAsia" w:ascii="宋体" w:hAnsi="宋体" w:eastAsia="宋体" w:cs="宋体"/>
          <w:b/>
          <w:bCs/>
          <w:color w:val="000000" w:themeColor="text1"/>
          <w:sz w:val="24"/>
          <w:szCs w:val="24"/>
          <w:highlight w:val="none"/>
          <w14:textFill>
            <w14:solidFill>
              <w14:schemeClr w14:val="tx1"/>
            </w14:solidFill>
          </w14:textFill>
        </w:rPr>
      </w:pPr>
    </w:p>
    <w:p w14:paraId="2D140B77">
      <w:pPr>
        <w:spacing w:line="460" w:lineRule="exact"/>
        <w:jc w:val="center"/>
        <w:rPr>
          <w:rFonts w:hint="eastAsia" w:ascii="宋体" w:hAnsi="宋体" w:eastAsia="宋体" w:cs="宋体"/>
          <w:b/>
          <w:bCs/>
          <w:color w:val="000000" w:themeColor="text1"/>
          <w:sz w:val="24"/>
          <w:szCs w:val="24"/>
          <w:highlight w:val="none"/>
          <w14:textFill>
            <w14:solidFill>
              <w14:schemeClr w14:val="tx1"/>
            </w14:solidFill>
          </w14:textFill>
        </w:rPr>
      </w:pPr>
    </w:p>
    <w:p w14:paraId="5B13BEE7">
      <w:pPr>
        <w:widowControl/>
        <w:spacing w:line="4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br w:type="page"/>
      </w:r>
      <w:r>
        <w:rPr>
          <w:rFonts w:hint="eastAsia" w:ascii="宋体" w:hAnsi="宋体" w:eastAsia="宋体" w:cs="宋体"/>
          <w:b/>
          <w:color w:val="000000" w:themeColor="text1"/>
          <w:sz w:val="24"/>
          <w:szCs w:val="24"/>
          <w:highlight w:val="none"/>
          <w14:textFill>
            <w14:solidFill>
              <w14:schemeClr w14:val="tx1"/>
            </w14:solidFill>
          </w14:textFill>
        </w:rPr>
        <w:t>（三）监狱企业证明文件（如有）</w:t>
      </w:r>
    </w:p>
    <w:p w14:paraId="5A21E28E">
      <w:pPr>
        <w:spacing w:line="46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p w14:paraId="707E46FB">
      <w:pPr>
        <w:spacing w:line="46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 监狱企业证明（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2A09F9CE">
      <w:pPr>
        <w:pStyle w:val="14"/>
        <w:spacing w:line="46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2.证明材料加盖投标人公章。</w:t>
      </w:r>
    </w:p>
    <w:p w14:paraId="3C606391">
      <w:pPr>
        <w:pStyle w:val="14"/>
        <w:spacing w:line="460" w:lineRule="exact"/>
        <w:jc w:val="both"/>
        <w:rPr>
          <w:rFonts w:hint="eastAsia" w:ascii="宋体" w:hAnsi="宋体" w:eastAsia="宋体" w:cs="宋体"/>
          <w:b/>
          <w:bCs/>
          <w:color w:val="000000" w:themeColor="text1"/>
          <w:sz w:val="24"/>
          <w:szCs w:val="24"/>
          <w:highlight w:val="none"/>
          <w14:textFill>
            <w14:solidFill>
              <w14:schemeClr w14:val="tx1"/>
            </w14:solidFill>
          </w14:textFill>
        </w:rPr>
      </w:pPr>
    </w:p>
    <w:p w14:paraId="74869603">
      <w:pPr>
        <w:pStyle w:val="14"/>
        <w:spacing w:line="460" w:lineRule="exact"/>
        <w:jc w:val="center"/>
        <w:rPr>
          <w:rFonts w:hint="eastAsia" w:ascii="宋体" w:hAnsi="宋体" w:eastAsia="宋体" w:cs="宋体"/>
          <w:b/>
          <w:bCs/>
          <w:color w:val="000000" w:themeColor="text1"/>
          <w:sz w:val="24"/>
          <w:szCs w:val="24"/>
          <w:highlight w:val="none"/>
          <w:lang w:eastAsia="zh-CN"/>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（四）投标保证金</w:t>
      </w:r>
      <w:r>
        <w:rPr>
          <w:rFonts w:hint="eastAsia" w:ascii="宋体" w:hAnsi="宋体" w:eastAsia="宋体" w:cs="宋体"/>
          <w:b/>
          <w:bCs/>
          <w:color w:val="000000" w:themeColor="text1"/>
          <w:sz w:val="24"/>
          <w:szCs w:val="24"/>
          <w:highlight w:val="none"/>
          <w:lang w:eastAsia="zh-CN"/>
          <w14:textFill>
            <w14:solidFill>
              <w14:schemeClr w14:val="tx1"/>
            </w14:solidFill>
          </w14:textFill>
        </w:rPr>
        <w:t>缴纳凭证</w:t>
      </w:r>
    </w:p>
    <w:p w14:paraId="00635328">
      <w:pPr>
        <w:pStyle w:val="14"/>
        <w:spacing w:line="460" w:lineRule="exact"/>
        <w:jc w:val="center"/>
        <w:rPr>
          <w:rFonts w:hint="eastAsia" w:ascii="宋体" w:hAnsi="宋体" w:eastAsia="宋体" w:cs="宋体"/>
          <w:color w:val="000000" w:themeColor="text1"/>
          <w:sz w:val="24"/>
          <w:szCs w:val="24"/>
          <w:highlight w:val="none"/>
          <w14:textFill>
            <w14:solidFill>
              <w14:schemeClr w14:val="tx1"/>
            </w14:solidFill>
          </w14:textFill>
        </w:rPr>
      </w:pPr>
    </w:p>
    <w:tbl>
      <w:tblPr>
        <w:tblStyle w:val="29"/>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8522"/>
      </w:tblGrid>
      <w:tr w14:paraId="681E94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07" w:hRule="atLeast"/>
          <w:jc w:val="center"/>
        </w:trPr>
        <w:tc>
          <w:tcPr>
            <w:tcW w:w="5000" w:type="pct"/>
            <w:tcBorders>
              <w:top w:val="single" w:color="auto" w:sz="4" w:space="0"/>
              <w:bottom w:val="single" w:color="auto" w:sz="4" w:space="0"/>
            </w:tcBorders>
            <w:vAlign w:val="center"/>
          </w:tcPr>
          <w:p w14:paraId="7F705DBE">
            <w:pPr>
              <w:pStyle w:val="14"/>
              <w:spacing w:line="440" w:lineRule="exact"/>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投标保证金</w:t>
            </w:r>
            <w:r>
              <w:rPr>
                <w:rFonts w:hint="eastAsia" w:ascii="宋体" w:hAnsi="宋体" w:eastAsia="宋体" w:cs="宋体"/>
                <w:color w:val="000000" w:themeColor="text1"/>
                <w:sz w:val="24"/>
                <w:szCs w:val="24"/>
                <w:highlight w:val="none"/>
                <w:lang w:eastAsia="zh-CN"/>
                <w14:textFill>
                  <w14:solidFill>
                    <w14:schemeClr w14:val="tx1"/>
                  </w14:solidFill>
                </w14:textFill>
              </w:rPr>
              <w:t>缴纳凭证</w:t>
            </w:r>
          </w:p>
        </w:tc>
      </w:tr>
    </w:tbl>
    <w:p w14:paraId="7BCF6A2E">
      <w:pPr>
        <w:adjustRightInd w:val="0"/>
        <w:snapToGrid w:val="0"/>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38B44C66">
      <w:pPr>
        <w:widowControl/>
        <w:shd w:val="clear" w:color="auto" w:fill="FFFFFF"/>
        <w:spacing w:line="460" w:lineRule="exact"/>
        <w:jc w:val="left"/>
        <w:rPr>
          <w:rFonts w:hint="eastAsia" w:ascii="宋体" w:hAnsi="宋体" w:eastAsia="宋体" w:cs="宋体"/>
          <w:color w:val="000000" w:themeColor="text1"/>
          <w:kern w:val="0"/>
          <w:sz w:val="24"/>
          <w:szCs w:val="24"/>
          <w:highlight w:val="none"/>
          <w14:textFill>
            <w14:solidFill>
              <w14:schemeClr w14:val="tx1"/>
            </w14:solidFill>
          </w14:textFill>
        </w:rPr>
      </w:pPr>
    </w:p>
    <w:p w14:paraId="071318E7">
      <w:pPr>
        <w:spacing w:line="460" w:lineRule="exact"/>
        <w:rPr>
          <w:rFonts w:hint="eastAsia" w:ascii="宋体" w:hAnsi="宋体" w:eastAsia="宋体" w:cs="宋体"/>
          <w:color w:val="000000" w:themeColor="text1"/>
          <w:sz w:val="24"/>
          <w:szCs w:val="24"/>
          <w:highlight w:val="none"/>
          <w14:textFill>
            <w14:solidFill>
              <w14:schemeClr w14:val="tx1"/>
            </w14:solidFill>
          </w14:textFill>
        </w:rPr>
      </w:pPr>
    </w:p>
    <w:bookmarkEnd w:id="140"/>
    <w:p w14:paraId="12BFC374">
      <w:pPr>
        <w:pStyle w:val="14"/>
        <w:spacing w:line="460" w:lineRule="exact"/>
        <w:jc w:val="center"/>
        <w:rPr>
          <w:rFonts w:hint="eastAsia" w:ascii="宋体" w:hAnsi="宋体" w:eastAsia="宋体" w:cs="宋体"/>
          <w:b/>
          <w:bCs/>
          <w:color w:val="000000" w:themeColor="text1"/>
          <w:sz w:val="24"/>
          <w:szCs w:val="24"/>
          <w:highlight w:val="none"/>
          <w:lang w:eastAsia="zh-CN"/>
          <w14:textFill>
            <w14:solidFill>
              <w14:schemeClr w14:val="tx1"/>
            </w14:solidFill>
          </w14:textFill>
        </w:rPr>
      </w:pPr>
      <w:bookmarkStart w:id="143" w:name="_Toc2964"/>
      <w:r>
        <w:rPr>
          <w:rFonts w:hint="eastAsia" w:ascii="宋体" w:hAnsi="宋体" w:eastAsia="宋体" w:cs="宋体"/>
          <w:b/>
          <w:bCs/>
          <w:color w:val="000000" w:themeColor="text1"/>
          <w:sz w:val="24"/>
          <w:szCs w:val="24"/>
          <w:highlight w:val="none"/>
          <w:lang w:eastAsia="zh-CN"/>
          <w14:textFill>
            <w14:solidFill>
              <w14:schemeClr w14:val="tx1"/>
            </w14:solidFill>
          </w14:textFill>
        </w:rPr>
        <w:t>（</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五</w:t>
      </w:r>
      <w:r>
        <w:rPr>
          <w:rFonts w:hint="eastAsia" w:ascii="宋体" w:hAnsi="宋体" w:eastAsia="宋体" w:cs="宋体"/>
          <w:b/>
          <w:bCs/>
          <w:color w:val="000000" w:themeColor="text1"/>
          <w:sz w:val="24"/>
          <w:szCs w:val="24"/>
          <w:highlight w:val="none"/>
          <w:lang w:eastAsia="zh-CN"/>
          <w14:textFill>
            <w14:solidFill>
              <w14:schemeClr w14:val="tx1"/>
            </w14:solidFill>
          </w14:textFill>
        </w:rPr>
        <w:t>）其他</w:t>
      </w:r>
    </w:p>
    <w:bookmarkEnd w:id="143"/>
    <w:p w14:paraId="0CFA318B">
      <w:pPr>
        <w:spacing w:line="500" w:lineRule="exact"/>
        <w:ind w:firstLine="42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val="0"/>
          <w:bCs/>
          <w:color w:val="000000" w:themeColor="text1"/>
          <w:highlight w:val="none"/>
          <w:shd w:val="clear" w:color="auto" w:fill="auto"/>
          <w:lang w:val="en-US" w:eastAsia="zh-CN"/>
          <w14:textFill>
            <w14:solidFill>
              <w14:schemeClr w14:val="tx1"/>
            </w14:solidFill>
          </w14:textFill>
        </w:rPr>
        <w:t>投标人认为需提供的</w:t>
      </w:r>
      <w:r>
        <w:rPr>
          <w:rFonts w:hint="eastAsia" w:ascii="宋体" w:hAnsi="宋体" w:eastAsia="宋体" w:cs="宋体"/>
          <w:b/>
          <w:bCs w:val="0"/>
          <w:color w:val="000000" w:themeColor="text1"/>
          <w:highlight w:val="none"/>
          <w:shd w:val="clear" w:color="auto" w:fill="auto"/>
          <w:lang w:val="en-US" w:eastAsia="zh-CN"/>
          <w14:textFill>
            <w14:solidFill>
              <w14:schemeClr w14:val="tx1"/>
            </w14:solidFill>
          </w14:textFill>
        </w:rPr>
        <w:t>资格审查</w:t>
      </w:r>
      <w:r>
        <w:rPr>
          <w:rFonts w:hint="eastAsia" w:ascii="宋体" w:hAnsi="宋体" w:eastAsia="宋体" w:cs="宋体"/>
          <w:b w:val="0"/>
          <w:bCs/>
          <w:color w:val="000000" w:themeColor="text1"/>
          <w:highlight w:val="none"/>
          <w:shd w:val="clear" w:color="auto" w:fill="auto"/>
          <w:lang w:val="en-US" w:eastAsia="zh-CN"/>
          <w14:textFill>
            <w14:solidFill>
              <w14:schemeClr w14:val="tx1"/>
            </w14:solidFill>
          </w14:textFill>
        </w:rPr>
        <w:t>及其他补充资料。</w:t>
      </w:r>
    </w:p>
    <w:p w14:paraId="2461859C">
      <w:pPr>
        <w:pStyle w:val="43"/>
        <w:spacing w:line="460" w:lineRule="exact"/>
        <w:ind w:left="964" w:right="-50" w:rightChars="-24" w:firstLine="0"/>
        <w:jc w:val="center"/>
        <w:outlineLvl w:val="0"/>
        <w:rPr>
          <w:rFonts w:hint="eastAsia" w:ascii="宋体" w:hAnsi="宋体" w:eastAsia="宋体" w:cs="宋体"/>
          <w:b/>
          <w:color w:val="000000" w:themeColor="text1"/>
          <w:sz w:val="24"/>
          <w:szCs w:val="24"/>
          <w:highlight w:val="none"/>
          <w:lang w:eastAsia="zh-CN"/>
          <w14:textFill>
            <w14:solidFill>
              <w14:schemeClr w14:val="tx1"/>
            </w14:solidFill>
          </w14:textFill>
        </w:rPr>
        <w:sectPr>
          <w:footerReference r:id="rId6" w:type="default"/>
          <w:pgSz w:w="11906" w:h="16838"/>
          <w:pgMar w:top="1440" w:right="1800" w:bottom="1440" w:left="1800" w:header="851" w:footer="992" w:gutter="0"/>
          <w:pgNumType w:fmt="decimal" w:start="1"/>
          <w:cols w:space="720" w:num="1"/>
          <w:docGrid w:type="lines" w:linePitch="312" w:charSpace="0"/>
        </w:sectPr>
      </w:pPr>
      <w:r>
        <w:rPr>
          <w:rFonts w:hint="eastAsia" w:ascii="宋体" w:hAnsi="宋体" w:eastAsia="宋体" w:cs="宋体"/>
          <w:b/>
          <w:color w:val="000000" w:themeColor="text1"/>
          <w:sz w:val="24"/>
          <w:szCs w:val="24"/>
          <w:highlight w:val="none"/>
          <w:lang w:eastAsia="zh-CN"/>
          <w14:textFill>
            <w14:solidFill>
              <w14:schemeClr w14:val="tx1"/>
            </w14:solidFill>
          </w14:textFill>
        </w:rPr>
        <w:br w:type="page"/>
      </w:r>
      <w:bookmarkStart w:id="144" w:name="_Toc20068"/>
    </w:p>
    <w:p w14:paraId="025B3B1D">
      <w:pPr>
        <w:pStyle w:val="43"/>
        <w:keepNext w:val="0"/>
        <w:pageBreakBefore w:val="0"/>
        <w:kinsoku/>
        <w:wordWrap/>
        <w:overflowPunct/>
        <w:topLinePunct w:val="0"/>
        <w:autoSpaceDE/>
        <w:autoSpaceDN/>
        <w:bidi w:val="0"/>
        <w:adjustRightInd/>
        <w:snapToGrid/>
        <w:spacing w:line="360" w:lineRule="auto"/>
        <w:ind w:left="964" w:right="-50" w:rightChars="-24" w:firstLine="0"/>
        <w:jc w:val="center"/>
        <w:textAlignment w:val="auto"/>
        <w:outlineLvl w:val="0"/>
        <w:rPr>
          <w:rStyle w:val="44"/>
          <w:rFonts w:hint="eastAsia" w:ascii="宋体" w:hAnsi="宋体" w:eastAsia="宋体" w:cs="宋体"/>
          <w:color w:val="000000" w:themeColor="text1"/>
          <w:sz w:val="24"/>
          <w:szCs w:val="24"/>
          <w:highlight w:val="none"/>
          <w:shd w:val="clear" w:color="auto" w:fill="FFFF00"/>
          <w:lang w:eastAsia="zh-CN"/>
          <w14:textFill>
            <w14:solidFill>
              <w14:schemeClr w14:val="tx1"/>
            </w14:solidFill>
          </w14:textFill>
        </w:rPr>
      </w:pPr>
      <w:r>
        <w:rPr>
          <w:rFonts w:hint="eastAsia" w:ascii="宋体" w:hAnsi="宋体" w:eastAsia="宋体" w:cs="宋体"/>
          <w:b/>
          <w:bCs/>
          <w:color w:val="000000" w:themeColor="text1"/>
          <w:kern w:val="2"/>
          <w:sz w:val="24"/>
          <w:szCs w:val="24"/>
          <w:highlight w:val="none"/>
          <w:lang w:eastAsia="zh-CN"/>
          <w14:textFill>
            <w14:solidFill>
              <w14:schemeClr w14:val="tx1"/>
            </w14:solidFill>
          </w14:textFill>
        </w:rPr>
        <w:t xml:space="preserve">第四章  </w:t>
      </w:r>
      <w:bookmarkEnd w:id="144"/>
      <w:r>
        <w:rPr>
          <w:rFonts w:hint="eastAsia" w:ascii="宋体" w:hAnsi="宋体" w:eastAsia="宋体" w:cs="宋体"/>
          <w:b/>
          <w:bCs/>
          <w:color w:val="000000" w:themeColor="text1"/>
          <w:kern w:val="2"/>
          <w:sz w:val="24"/>
          <w:szCs w:val="24"/>
          <w:highlight w:val="none"/>
          <w:lang w:eastAsia="zh-CN"/>
          <w14:textFill>
            <w14:solidFill>
              <w14:schemeClr w14:val="tx1"/>
            </w14:solidFill>
          </w14:textFill>
        </w:rPr>
        <w:t>项目采购需求</w:t>
      </w:r>
    </w:p>
    <w:tbl>
      <w:tblPr>
        <w:tblStyle w:val="29"/>
        <w:tblW w:w="87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3"/>
        <w:gridCol w:w="1110"/>
        <w:gridCol w:w="6270"/>
        <w:gridCol w:w="759"/>
        <w:gridCol w:w="5"/>
      </w:tblGrid>
      <w:tr w14:paraId="61050E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dxa"/>
          <w:trHeight w:val="1874" w:hRule="atLeast"/>
        </w:trPr>
        <w:tc>
          <w:tcPr>
            <w:tcW w:w="573" w:type="dxa"/>
            <w:vAlign w:val="center"/>
          </w:tcPr>
          <w:p w14:paraId="2754CFA5">
            <w:pPr>
              <w:jc w:val="center"/>
              <w:rPr>
                <w:rFonts w:hint="eastAsia" w:ascii="宋体" w:hAnsi="宋体" w:eastAsia="宋体" w:cs="宋体"/>
                <w:color w:val="000000" w:themeColor="text1"/>
                <w:sz w:val="24"/>
                <w:szCs w:val="24"/>
                <w14:textFill>
                  <w14:solidFill>
                    <w14:schemeClr w14:val="tx1"/>
                  </w14:solidFill>
                </w14:textFill>
              </w:rPr>
            </w:pPr>
            <w:bookmarkStart w:id="145" w:name="_Toc17884_WPSOffice_Level1"/>
            <w:bookmarkStart w:id="146" w:name="_Toc15082"/>
            <w:r>
              <w:rPr>
                <w:rFonts w:hint="eastAsia" w:ascii="宋体" w:hAnsi="宋体" w:eastAsia="宋体" w:cs="宋体"/>
                <w:color w:val="000000" w:themeColor="text1"/>
                <w:sz w:val="24"/>
                <w:szCs w:val="24"/>
                <w14:textFill>
                  <w14:solidFill>
                    <w14:schemeClr w14:val="tx1"/>
                  </w14:solidFill>
                </w14:textFill>
              </w:rPr>
              <w:t>序号</w:t>
            </w:r>
          </w:p>
        </w:tc>
        <w:tc>
          <w:tcPr>
            <w:tcW w:w="1110" w:type="dxa"/>
            <w:vAlign w:val="center"/>
          </w:tcPr>
          <w:p w14:paraId="66BD8F95">
            <w:pPr>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建设内容</w:t>
            </w:r>
          </w:p>
          <w:p w14:paraId="2371FDFD">
            <w:pPr>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（主要设备仪器名称）</w:t>
            </w:r>
          </w:p>
        </w:tc>
        <w:tc>
          <w:tcPr>
            <w:tcW w:w="6270" w:type="dxa"/>
            <w:vAlign w:val="center"/>
          </w:tcPr>
          <w:p w14:paraId="30FD6C1E">
            <w:pPr>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主要参数（规格型号）</w:t>
            </w:r>
          </w:p>
        </w:tc>
        <w:tc>
          <w:tcPr>
            <w:tcW w:w="759" w:type="dxa"/>
            <w:vAlign w:val="center"/>
          </w:tcPr>
          <w:p w14:paraId="3578D96B">
            <w:pPr>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数量</w:t>
            </w:r>
          </w:p>
          <w:p w14:paraId="7B8BF607">
            <w:pPr>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（台套）</w:t>
            </w:r>
          </w:p>
        </w:tc>
      </w:tr>
      <w:tr w14:paraId="0EFC3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dxa"/>
          <w:trHeight w:val="321" w:hRule="atLeast"/>
        </w:trPr>
        <w:tc>
          <w:tcPr>
            <w:tcW w:w="7953" w:type="dxa"/>
            <w:gridSpan w:val="3"/>
          </w:tcPr>
          <w:p w14:paraId="27E1643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一、电工电子实训室（实训区域）</w:t>
            </w:r>
          </w:p>
        </w:tc>
        <w:tc>
          <w:tcPr>
            <w:tcW w:w="759" w:type="dxa"/>
          </w:tcPr>
          <w:p w14:paraId="34870DF0">
            <w:pPr>
              <w:jc w:val="left"/>
              <w:rPr>
                <w:rFonts w:hint="eastAsia" w:ascii="宋体" w:hAnsi="宋体" w:eastAsia="宋体" w:cs="宋体"/>
                <w:color w:val="000000" w:themeColor="text1"/>
                <w:sz w:val="24"/>
                <w:szCs w:val="24"/>
                <w14:textFill>
                  <w14:solidFill>
                    <w14:schemeClr w14:val="tx1"/>
                  </w14:solidFill>
                </w14:textFill>
              </w:rPr>
            </w:pPr>
          </w:p>
        </w:tc>
      </w:tr>
      <w:tr w14:paraId="63F5A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dxa"/>
          <w:trHeight w:val="90" w:hRule="atLeast"/>
        </w:trPr>
        <w:tc>
          <w:tcPr>
            <w:tcW w:w="573" w:type="dxa"/>
            <w:vAlign w:val="center"/>
          </w:tcPr>
          <w:p w14:paraId="54A17037">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w:t>
            </w:r>
          </w:p>
        </w:tc>
        <w:tc>
          <w:tcPr>
            <w:tcW w:w="1110" w:type="dxa"/>
            <w:vAlign w:val="center"/>
          </w:tcPr>
          <w:p w14:paraId="72DB1E8E">
            <w:pPr>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电工电子实训室(含电脑)</w:t>
            </w:r>
          </w:p>
        </w:tc>
        <w:tc>
          <w:tcPr>
            <w:tcW w:w="6270" w:type="dxa"/>
          </w:tcPr>
          <w:p w14:paraId="6F948708">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一、概述：</w:t>
            </w:r>
          </w:p>
          <w:p w14:paraId="1F124275">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本实验台适用于中职学校的实验、实训要求。适用的专业有电气类、电子类、机械类、机电类及一般工程类专业的&lt;模拟电子技术&gt;、&lt;数字电子技术&gt;等课程要求。在此基础上，再添置相应的单元模块，即可完成&lt;电工基础&gt;、&lt;电工原理&gt;、&lt;电路与磁路&gt;、&lt;电工学&gt;、&lt;电力电子技术&gt;、&lt;电力拖动控制&gt;及&lt;电气控制技术&gt;等多门课程的综合应用、创新实训要求。并可进行相关课程的课程设计，毕业设计以及电工、电子产品研制。</w:t>
            </w:r>
          </w:p>
          <w:p w14:paraId="5D7588F5">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二、通用参数要求：</w:t>
            </w:r>
          </w:p>
          <w:p w14:paraId="0561E37E">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1、工作电源：三相五线 AC 380V±10%  50Hz</w:t>
            </w:r>
          </w:p>
          <w:p w14:paraId="434960DC">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2、温度：－10～40℃；环境湿度：≤90%（25℃）</w:t>
            </w:r>
          </w:p>
          <w:p w14:paraId="6C315BB0">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3.外形尺寸：长×宽×高≥1300*750*1134mm</w:t>
            </w:r>
          </w:p>
          <w:p w14:paraId="6A80A50C">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4、整机功耗：≤1.5KW</w:t>
            </w:r>
          </w:p>
          <w:p w14:paraId="7A688F1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5、安全保护措施：具有接地保护、漏电保护功能，安全性符合相关的国标标准。采用高绝缘的安全型插座及带绝缘护套的高强度安全型实验导线。</w:t>
            </w:r>
          </w:p>
          <w:p w14:paraId="1C918309">
            <w:pPr>
              <w:pStyle w:val="2"/>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为确保所投设备稳定性及安全性，同时满足学校教学所需，要求所投设备的外观检查、结构检查、直流电源、直流可调电源、交直流可调电源、总电源交流电源、测量仪表等方面须全部符合要求并提供有检验资质机构出具的第三方证明材料进行佐</w:t>
            </w:r>
            <w:r>
              <w:rPr>
                <w:rFonts w:hint="eastAsia" w:ascii="宋体" w:hAnsi="宋体" w:eastAsia="宋体" w:cs="宋体"/>
                <w:color w:val="000000" w:themeColor="text1"/>
                <w:sz w:val="24"/>
                <w14:textFill>
                  <w14:solidFill>
                    <w14:schemeClr w14:val="tx1"/>
                  </w14:solidFill>
                </w14:textFill>
              </w:rPr>
              <w:t>证</w:t>
            </w:r>
            <w:r>
              <w:rPr>
                <w:rFonts w:hint="eastAsia" w:ascii="宋体" w:hAnsi="宋体" w:eastAsia="宋体" w:cs="宋体"/>
                <w:color w:val="000000" w:themeColor="text1"/>
                <w14:textFill>
                  <w14:solidFill>
                    <w14:schemeClr w14:val="tx1"/>
                  </w14:solidFill>
                </w14:textFill>
              </w:rPr>
              <w:t>。</w:t>
            </w:r>
          </w:p>
          <w:p w14:paraId="78513E7B">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7.配置要求：国产台式电脑：CPU不低于17-12700/运行内存：32G/机械1T/固态256G/DVDRW/显卡：1630 4G/WIN11/14L机箱 云教室23.8</w:t>
            </w:r>
          </w:p>
          <w:p w14:paraId="7DA3920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三、设备的功能要求</w:t>
            </w:r>
          </w:p>
          <w:p w14:paraId="7D943B8B">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（1）总电源：提供三相380V隔离电源一组，包括三相电源总开关（带漏电和短路保护）1个，熔断器3只，220V红色指示灯1个，交流0-250V指针式电压表3只，安全插座6只。</w:t>
            </w:r>
          </w:p>
          <w:p w14:paraId="338AEDB0">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（2）交直流可调电源与交流电源：</w:t>
            </w:r>
          </w:p>
          <w:p w14:paraId="0B276C14">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提供0-250V单相交流可调电源一组，同时可得到整流后的直流电源；</w:t>
            </w:r>
          </w:p>
          <w:p w14:paraId="4240BE8F">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提供一组3~24V/1A交流电源，七档可调交流电源；</w:t>
            </w:r>
          </w:p>
          <w:p w14:paraId="01B79000">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包括直流0-400V指针式电压表1只，交流0-30V指针式电压表1只，保险丝1只，空气开关1只，复位按钮开关绿、红各1只，波段开关1只，安全插座14只。</w:t>
            </w:r>
          </w:p>
          <w:p w14:paraId="04169C7A">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直流电源：提供一路低压稳压直流0.0~30V/2A连续可调电源，每路均配有独立的数字式电压表指示输出电压，电压稳定度≤0.3%，电流稳定度≤0.3%，设有短路软截止保护和自动恢复功能；一组±5V/0.5A、±12V/0.5A、±15V/0.5A、±24V/0.5A直流稳压电源；包括直流数字式电压表，直流数字式电流表，电位器2个，保险丝9个，安全插座11个。</w:t>
            </w:r>
          </w:p>
          <w:p w14:paraId="6B900145">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（4）数字式电压电流表：</w:t>
            </w:r>
          </w:p>
          <w:p w14:paraId="04C7DFB3">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交流数字电压表一只，测量范围0～500V，具有手动量程切换和自动量程切换功能，4位数码显示。带有超量程报警功能，当被测值大于量程值时，告警指示灯亮；</w:t>
            </w:r>
          </w:p>
          <w:p w14:paraId="2ADA1997">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交流数字电流表一只，测量范围0～5A，具有手动量程切换和自动量程切换功能，4位数码显示，带有超量程报警功能，当被测值大于量程值时，告警指示灯亮；</w:t>
            </w:r>
          </w:p>
          <w:p w14:paraId="7EC3F855">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直流数字电压表一只，测量范围0～500V，具有手动量程切换和自动量程切换功能，4位数码显示。带有超量程报警功能，当被测值大于量程值时，告警指示灯亮；</w:t>
            </w:r>
          </w:p>
          <w:p w14:paraId="05F13564">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直流数字电流表一只，测量范围0～5A，具有手动量程切换和自动量程切换功能，4位数码显示，带有超量程报警功能，当被测值大于量程值时，告警指示灯亮；</w:t>
            </w:r>
          </w:p>
          <w:p w14:paraId="1C1AA098">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安全插座8只。</w:t>
            </w:r>
          </w:p>
          <w:p w14:paraId="7A334C11">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（5）函数信号发生器：</w:t>
            </w:r>
          </w:p>
          <w:p w14:paraId="72F0B63A">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双通道函数/任意波形发生器要求采用DDS直接数字合成技术，产生精确、稳定、低失真的输出信号,显示部分采用2.4英寸（320*240）彩色显示屏，同时显示双通道的波形参数；最高输出频率20MHz（正弦波）,250MSa/s采样率，14bits垂直分辨率；输出幅度最高可达24Vpp，幅度分辨率最小可达1mV（0.001V）；丰富的波形输出：可输出多达99组函数/任意波形，包含35 组预置波形和64组用户自定义波形。 预置波形包含：正弦波，方波，矩形波（占空比可调），三角波，升锯齿波，降锯齿波，洛仑兹脉冲波，多频音波，无规则噪声波，阶梯三角波，正阶梯波，反阶梯波，正指数波，反指数波，正下降指数，反下降指数，正对数波，反对数波，正下降对数，反下降对数，线性调频，心电图波，梯形脉冲波，辛克脉冲波，窄脉冲波，高斯白噪声波，调幅波形，调频波形 ，正半波，负半波，正半波整流，负半波整流，CMOS(0~12V)，四通道TTL电平和DC电压，四方脉冲、八方脉冲用户自定义波形等；</w:t>
            </w:r>
          </w:p>
          <w:p w14:paraId="227419DD">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（6）双踪示波器：</w:t>
            </w:r>
          </w:p>
          <w:p w14:paraId="1F0B3180">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（6.1）100MHz带宽 ，实际支持110M， ，1GSa/s实时采样率，双通道；</w:t>
            </w:r>
          </w:p>
          <w:p w14:paraId="04812BE1">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（6.2）7英寸TFT（真彩色）液晶屏幕，65535色，分辨率不低于800 × 480 像素 ；</w:t>
            </w:r>
          </w:p>
          <w:p w14:paraId="7F8BBB53">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（6.3）存储波形不少于16组；具备U盘存储功能；</w:t>
            </w:r>
          </w:p>
          <w:p w14:paraId="0CADB117">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（6.4）具有自动量程功能，支持水平，垂直、单波形/多波形跟踪；</w:t>
            </w:r>
          </w:p>
          <w:p w14:paraId="75EAAE3A">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（6.5）探头衰减倍数不少1X, 10X, 100X, 1000X，四 种；</w:t>
            </w:r>
          </w:p>
          <w:p w14:paraId="2FFC8752">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（6.6）幅度档位2 mV/div～10V /div按1～2～5进制方式步进</w:t>
            </w:r>
          </w:p>
          <w:p w14:paraId="52AAEAB5">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（6.7）支持光标测量，光标模式不少于电压差（△V），时间差（△T），时间差&amp;电压差（△V），自动光标四种模式；</w:t>
            </w:r>
          </w:p>
          <w:p w14:paraId="4F485577">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（6.8）内置6位硬件频率计，可测量2Hz ~ 20MHz；</w:t>
            </w:r>
          </w:p>
          <w:p w14:paraId="2521B449">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（6.9）具有测量电流单位档位，档位选择范围：100.0mA/V ~10A/V；</w:t>
            </w:r>
          </w:p>
          <w:p w14:paraId="6E279752">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（6.10）USB Device &amp; Host接口；</w:t>
            </w:r>
          </w:p>
          <w:p w14:paraId="64F20EFC">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6.11）具有30种自动测量功能（峰-峰值、平均值、均方根值、周期均方根值、游标均方根值、频率、周期、工作周期、最大值、最小值、顶端值、底端值、幅度、过冲、预冲、上升时间、下降时间、相位、正脉冲、负脉宽、正占空比、负占空比、延迟A→B 、延迟A→B 、正脉冲个数、负脉冲个数、上升边沿个数、下降边沿个数、面积、周期面积；参数为中文显示，便于学生理解）,能自定义测量菜单</w:t>
            </w:r>
          </w:p>
          <w:p w14:paraId="1B10CB27">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（6.11）支持LABVIEW通讯，支持二次开发。</w:t>
            </w:r>
          </w:p>
          <w:p w14:paraId="4E1F934A">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（6.12）一键自动调整波形功能（垂直位置调整，水平时基调整，触发位置调整）</w:t>
            </w:r>
          </w:p>
          <w:p w14:paraId="1A00932C">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（6.13）多国语言选择功能（中英俄德西）。</w:t>
            </w:r>
          </w:p>
          <w:p w14:paraId="7C2EF191">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（6.14）双显示视窗放大功能，同时显示主要波形和放大波形两部分内容。</w:t>
            </w:r>
          </w:p>
          <w:p w14:paraId="62FB42A8">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五、配套教学资源要求（整个项目共配</w:t>
            </w:r>
            <w:r>
              <w:rPr>
                <w:rFonts w:hint="eastAsia" w:ascii="宋体" w:hAnsi="宋体" w:eastAsia="宋体" w:cs="宋体"/>
                <w:color w:val="000000" w:themeColor="text1"/>
                <w:sz w:val="24"/>
                <w:lang w:val="en-US" w:eastAsia="zh-CN"/>
                <w14:textFill>
                  <w14:solidFill>
                    <w14:schemeClr w14:val="tx1"/>
                  </w14:solidFill>
                </w14:textFill>
              </w:rPr>
              <w:t>二</w:t>
            </w:r>
            <w:r>
              <w:rPr>
                <w:rFonts w:hint="eastAsia" w:ascii="宋体" w:hAnsi="宋体" w:eastAsia="宋体" w:cs="宋体"/>
                <w:color w:val="000000" w:themeColor="text1"/>
                <w:sz w:val="24"/>
                <w14:textFill>
                  <w14:solidFill>
                    <w14:schemeClr w14:val="tx1"/>
                  </w14:solidFill>
                </w14:textFill>
              </w:rPr>
              <w:t>套）</w:t>
            </w:r>
          </w:p>
          <w:p w14:paraId="22FA00DB">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lang w:val="en-US" w:eastAsia="zh-CN"/>
                <w14:textFill>
                  <w14:solidFill>
                    <w14:schemeClr w14:val="tx1"/>
                  </w14:solidFill>
                </w14:textFill>
              </w:rPr>
              <w:t>1</w:t>
            </w:r>
            <w:r>
              <w:rPr>
                <w:rFonts w:hint="eastAsia" w:ascii="宋体" w:hAnsi="宋体" w:eastAsia="宋体" w:cs="宋体"/>
                <w:color w:val="000000" w:themeColor="text1"/>
                <w:sz w:val="24"/>
                <w14:textFill>
                  <w14:solidFill>
                    <w14:schemeClr w14:val="tx1"/>
                  </w14:solidFill>
                </w14:textFill>
              </w:rPr>
              <w:t xml:space="preserve">、配套教材： </w:t>
            </w:r>
          </w:p>
          <w:p w14:paraId="0E32B48D">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教材须包含4个项目—电路安装、电路的测量与调试、电路检测和综合训练，其中电路安装包括声光控楼道灯电路安装、门禁自动控制电路安装和空调器温控电路安装，电路的测量与调试包括波形发生器电路的测量与调试、超声波开关电路的测量与调试、空调器温控电路的测量与调试、电子称电路的测量与调试及DDS波形发生器电路的测量与调试，电路的检测包括声光控楼道灯电路的检测、空调器温控电路的检测、电子称电路的检测及DDS波形发生器电路的检测，综合训练包括空调器温控电路的综合训练、电子称电路的综合训练、DDS波形发生器电路的综合训练、60s旋转电子钟电路的装配与调试。</w:t>
            </w:r>
            <w:r>
              <w:rPr>
                <w:rFonts w:hint="eastAsia" w:ascii="宋体" w:hAnsi="宋体" w:eastAsia="宋体" w:cs="宋体"/>
                <w:color w:val="000000" w:themeColor="text1"/>
                <w:sz w:val="24"/>
                <w:lang w:val="en-US" w:eastAsia="zh-CN"/>
                <w14:textFill>
                  <w14:solidFill>
                    <w14:schemeClr w14:val="tx1"/>
                  </w14:solidFill>
                </w14:textFill>
              </w:rPr>
              <w:t>每台设备配备正版教材6套，</w:t>
            </w:r>
            <w:r>
              <w:rPr>
                <w:rFonts w:hint="eastAsia" w:ascii="宋体" w:hAnsi="宋体" w:eastAsia="宋体" w:cs="宋体"/>
                <w:color w:val="000000" w:themeColor="text1"/>
                <w:sz w:val="24"/>
                <w14:textFill>
                  <w14:solidFill>
                    <w14:schemeClr w14:val="tx1"/>
                  </w14:solidFill>
                </w14:textFill>
              </w:rPr>
              <w:t>投标时必须提供设备相关的正版教材</w:t>
            </w:r>
            <w:r>
              <w:rPr>
                <w:rFonts w:hint="eastAsia" w:ascii="宋体" w:hAnsi="宋体" w:eastAsia="宋体" w:cs="宋体"/>
                <w:color w:val="000000" w:themeColor="text1"/>
                <w:sz w:val="24"/>
                <w:lang w:val="en-US" w:eastAsia="zh-CN"/>
                <w14:textFill>
                  <w14:solidFill>
                    <w14:schemeClr w14:val="tx1"/>
                  </w14:solidFill>
                </w14:textFill>
              </w:rPr>
              <w:t>1</w:t>
            </w:r>
            <w:r>
              <w:rPr>
                <w:rFonts w:hint="eastAsia" w:ascii="宋体" w:hAnsi="宋体" w:eastAsia="宋体" w:cs="宋体"/>
                <w:color w:val="000000" w:themeColor="text1"/>
                <w:sz w:val="24"/>
                <w14:textFill>
                  <w14:solidFill>
                    <w14:schemeClr w14:val="tx1"/>
                  </w14:solidFill>
                </w14:textFill>
              </w:rPr>
              <w:t>套。</w:t>
            </w:r>
          </w:p>
          <w:p w14:paraId="326B5BA9">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lang w:val="en-US" w:eastAsia="zh-CN"/>
                <w14:textFill>
                  <w14:solidFill>
                    <w14:schemeClr w14:val="tx1"/>
                  </w14:solidFill>
                </w14:textFill>
              </w:rPr>
              <w:t>2</w:t>
            </w:r>
            <w:r>
              <w:rPr>
                <w:rFonts w:hint="eastAsia" w:ascii="宋体" w:hAnsi="宋体" w:eastAsia="宋体" w:cs="宋体"/>
                <w:color w:val="000000" w:themeColor="text1"/>
                <w:sz w:val="24"/>
                <w14:textFill>
                  <w14:solidFill>
                    <w14:schemeClr w14:val="tx1"/>
                  </w14:solidFill>
                </w14:textFill>
              </w:rPr>
              <w:t>、电路仿真资源包：</w:t>
            </w:r>
          </w:p>
          <w:p w14:paraId="623755EC">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提供电工电子类教学资源包。包含位移寄存器仿真、编码器仿真、触发器仿真、译码器仿真、二极管原理仿真、多级放大电路、555定时器仿真、与门功能测试、非门真值表实验仿真、运算放大电路仿真、数码寄存器仿真、组合逻辑功能测试等项目电路视频，投标时提供详细列明不少于20项且有截图进行佐证。</w:t>
            </w:r>
          </w:p>
          <w:p w14:paraId="5BA278B2">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lang w:val="en-US" w:eastAsia="zh-CN"/>
                <w14:textFill>
                  <w14:solidFill>
                    <w14:schemeClr w14:val="tx1"/>
                  </w14:solidFill>
                </w14:textFill>
              </w:rPr>
              <w:t>3</w:t>
            </w:r>
            <w:r>
              <w:rPr>
                <w:rFonts w:hint="eastAsia" w:ascii="宋体" w:hAnsi="宋体" w:eastAsia="宋体" w:cs="宋体"/>
                <w:color w:val="000000" w:themeColor="text1"/>
                <w:sz w:val="24"/>
                <w14:textFill>
                  <w14:solidFill>
                    <w14:schemeClr w14:val="tx1"/>
                  </w14:solidFill>
                </w14:textFill>
              </w:rPr>
              <w:t>、其他要求</w:t>
            </w:r>
          </w:p>
          <w:p w14:paraId="46D32BAA">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该设备须具有软硬件结合功能且系统兼容性强，能够满足学校教学所需，为了确保所投设备的稳定性，要求所投设备具有配套的嵌入式电子电路控制软件，</w:t>
            </w:r>
            <w:r>
              <w:rPr>
                <w:rFonts w:hint="eastAsia" w:ascii="宋体" w:hAnsi="宋体" w:eastAsia="宋体" w:cs="宋体"/>
                <w:color w:val="000000" w:themeColor="text1"/>
                <w:sz w:val="24"/>
                <w14:textFill>
                  <w14:solidFill>
                    <w14:schemeClr w14:val="tx1"/>
                  </w14:solidFill>
                </w14:textFill>
              </w:rPr>
              <w:t>投标文件中提供电子电路控制软件相关证明材料进行佐证。</w:t>
            </w:r>
          </w:p>
          <w:p w14:paraId="77869A0D">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4</w:t>
            </w: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lang w:eastAsia="zh-CN"/>
                <w14:textFill>
                  <w14:solidFill>
                    <w14:schemeClr w14:val="tx1"/>
                  </w14:solidFill>
                </w14:textFill>
              </w:rPr>
              <w:t>电工电子</w:t>
            </w:r>
            <w:r>
              <w:rPr>
                <w:rFonts w:hint="eastAsia" w:ascii="宋体" w:hAnsi="宋体" w:eastAsia="宋体" w:cs="宋体"/>
                <w:color w:val="000000" w:themeColor="text1"/>
                <w:sz w:val="24"/>
                <w:szCs w:val="24"/>
                <w14:textFill>
                  <w14:solidFill>
                    <w14:schemeClr w14:val="tx1"/>
                  </w14:solidFill>
                </w14:textFill>
              </w:rPr>
              <w:t>教学仿真平台（教师版，整个实训室配1台，使用年限：3年），功能要求如下：</w:t>
            </w:r>
          </w:p>
          <w:p w14:paraId="24078A34">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平台要求能针对各个相关专业的难点、易错点进行分析、讲解，为学员提供优质的技术服务。至少包含以下企业工种：工业机器人系统操作员、物联网工程技术员、物联网安装调试员、城市轨道交通列车检修员、维修电工、汽车维修工、电梯维修工、数控机床装调维修工、制冷空调系统安装维修工等；须涉及多类知识点的讲解，设备的操作及维修流程、操作规范介绍和大赛赛题的设计思路讲解以及实验视频等教学资源的共享。</w:t>
            </w:r>
          </w:p>
          <w:p w14:paraId="1D7CE1AC">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（2）★平台应能支持网页版登陆和手机公众号登录；具有随时上传或下载相应教学资源的功用</w:t>
            </w:r>
          </w:p>
          <w:p w14:paraId="78F7AE8B">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平台能提供的教学资源至少包括电气自动化、机电一体化、工业机器人应用、教育机器人、数控机床、数控机床装调与维修、电子电工技术、含电梯安装与维修保养、虚拟仪器、物联网、综合布线、装配钳工、机械传动、液压与气动、电机装配与维修检测、智能楼宇、家电、制冷、户式中央空调、轨道交通、汽车运用与维修、新能源汽车、风能与太阳能、供配电技术、智能电网等相关的课程。用户应能通过视频分类选择自己想要看的视频，平台也能推荐一些视频和教室的列表。并可以定期更新热门课程、视频、讲师等资料。</w:t>
            </w:r>
          </w:p>
          <w:p w14:paraId="19552E83">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（3）投标时须列举在线教学平台相较于传统教学模式的优势，不少于五项。</w:t>
            </w:r>
          </w:p>
          <w:p w14:paraId="3B889BAB">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4）★平台应至少分为六大应用模块：普通用户、企业用户、视频搜索模块、视频观看模块、直播模块、官方信息模块；普通用户至少包含个人主页、课程答疑、视频搜索模块、导航栏查找、直播课程、精品课程和热门课程、视频观看模块、官方信息、直播模块等，投标文件内提供各个模块的说明和截图；企业用户至少包含添加学员、开通课程、搜索学员功能、学生详情、做题记录等，投标文件内提供该部分的功能截图不少于5张并加盖公章。 </w:t>
            </w:r>
          </w:p>
          <w:p w14:paraId="091976D0">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平台手机公众号的功能至少包含：轮播栏、直播课程、直播视频、精品课程、热门课程、免费课程、资讯、题库、问答、个人中心、我的会员、我的订单、企业开通、我的题库、我的解答、我的提问、消息中心、设置、客服等，投标文件内提供各个模块的说明和截图。投标文件内提供该部分的功能截图不少于5张并加盖公章。</w:t>
            </w:r>
          </w:p>
          <w:p w14:paraId="410B324C">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（6）★提供完整的继电器触点、辅助触点、连接器和电缆管理系统，避免差错。符号的交叉索引管理能够检查所有配置并实时提供相关信息。</w:t>
            </w:r>
          </w:p>
          <w:p w14:paraId="79038684">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1、集成 “设备库”，能够生成详细的设备清单；设备库应更新支持手动、表格导入、网络库下载。</w:t>
            </w:r>
          </w:p>
          <w:p w14:paraId="016DCA14">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2、电线应能自动编号格式和规则，能够显示编辑电线方向，生成电线列表。</w:t>
            </w:r>
          </w:p>
          <w:p w14:paraId="4393D7BC">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3、快速的PLC设计功能，简化PLC图纸绘制的繁琐操作</w:t>
            </w:r>
          </w:p>
          <w:p w14:paraId="3923662C">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4、可以预先定义PLC自动编号方式，也可以通过EXCEL表格导入PLC信息。</w:t>
            </w:r>
          </w:p>
          <w:p w14:paraId="28BD8F18">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5、能够处理同一个设备的符号分布在多张页面的需求。</w:t>
            </w:r>
          </w:p>
          <w:p w14:paraId="31145686">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6、提供导航功能，双击任何一个交叉索引都可以实现跳转（跨页）。</w:t>
            </w:r>
          </w:p>
          <w:p w14:paraId="61EC7A7C">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7、提供从数据库列表到图纸的导航功能，也能从图形化表单（端子排、PLC、电缆清单等）导航至原理图。</w:t>
            </w:r>
          </w:p>
          <w:p w14:paraId="0FA12521">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8、数据库列表编辑器集成大范围的分类和过滤功能，以列表的形式之间修改需数据。</w:t>
            </w:r>
          </w:p>
          <w:p w14:paraId="1E427D52">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9、对于不需要出现在图纸中的零件（备用端子、附件等）的管理功能：</w:t>
            </w:r>
          </w:p>
          <w:p w14:paraId="1958FE8A">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1）预设零件之后，通过“选择列表”来放置在电路图上。</w:t>
            </w:r>
          </w:p>
          <w:p w14:paraId="5C25BC34">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2）能够帮助管理采购清单里必须有但并不出现在原理图中的材料。</w:t>
            </w:r>
          </w:p>
          <w:p w14:paraId="3141A109">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3）能够通过EXCEL文档导入附件信息，例如PDM系统中准备的信息。</w:t>
            </w:r>
          </w:p>
          <w:p w14:paraId="069DE87D">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4）管理备用端子、隔离片等其他附件。</w:t>
            </w:r>
          </w:p>
          <w:p w14:paraId="55333E2C">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10、提供功能/位置改进项目结构，并支持预定义和分配功能、位置。</w:t>
            </w:r>
          </w:p>
          <w:p w14:paraId="50F5F3DF">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11、可配置的工作区，可创建特殊的SQL查询并生成表单。</w:t>
            </w:r>
          </w:p>
          <w:p w14:paraId="62942FB8">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12、可以自定义项目、页面的属性，并快速映射到图框中，快速修改图框中的信息。</w:t>
            </w:r>
          </w:p>
          <w:p w14:paraId="038D72B0">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13、含有丰富的页面模板，可自主创建页面模板。</w:t>
            </w:r>
          </w:p>
          <w:p w14:paraId="714EEF8F">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14、集成报表生成器，允许用户创建属于自己风格的项目报表。</w:t>
            </w:r>
          </w:p>
          <w:p w14:paraId="226900A7">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15、绘制二维机柜图：</w:t>
            </w:r>
          </w:p>
          <w:p w14:paraId="3AB0F81F">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1）可以自动链接原理图中的组件信息到机柜图。原理图中的组件会自动显示在机柜图选择列表中。当组件被调用后，该组件会从选择列表消失，原理图和机柜图信息会自动同步。</w:t>
            </w:r>
          </w:p>
          <w:p w14:paraId="5CB49F59">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2）根源根据设备库（设备长宽高或自定义的符号）中的信息，按正确比例插入机柜图符号。</w:t>
            </w:r>
          </w:p>
          <w:p w14:paraId="08B5477B">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3）根据个性化需求，设计可以从机柜图开始。</w:t>
            </w:r>
          </w:p>
          <w:p w14:paraId="21E9020E">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4）具有各种测量、尺寸标注和其他专业CAD的功能，可以辅助绘制专业的机柜图纸。</w:t>
            </w:r>
          </w:p>
          <w:p w14:paraId="11D6D677">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5）根据需要插入标准导轨和线槽，促进机柜进行整齐、合理的布局。</w:t>
            </w:r>
          </w:p>
          <w:p w14:paraId="1A69E5B1">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16、设施功能：</w:t>
            </w:r>
          </w:p>
          <w:p w14:paraId="2B76C0BA">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1）带有专为建筑电气而设计的一系列符号库，使得设计更加方便。</w:t>
            </w:r>
          </w:p>
          <w:p w14:paraId="167FBFA6">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2）方便自定义符号及在任何位置插入文本功能，确保设计中的想法得以实现。</w:t>
            </w:r>
          </w:p>
          <w:p w14:paraId="2EA2ADFD">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五、设备可完成的实训项目要求</w:t>
            </w:r>
          </w:p>
          <w:p w14:paraId="3DEAA118">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电工基础实训项目</w:t>
            </w:r>
          </w:p>
          <w:p w14:paraId="032AFEC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1.电气仪表的使用和测量误差的计算</w:t>
            </w:r>
          </w:p>
          <w:p w14:paraId="06047E0D">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2.电路元件伏安特性的测绘</w:t>
            </w:r>
          </w:p>
          <w:p w14:paraId="0ACB631C">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3.未知电阻的测量―非线性电路的研究、白炽灯灯丝温度的测定及单臂电桥电路的应用（综合应用项目）</w:t>
            </w:r>
          </w:p>
          <w:p w14:paraId="27990D67">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4.电位、电压的测定及电路电位图的绘制</w:t>
            </w:r>
          </w:p>
          <w:p w14:paraId="7E46BCA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5.基尔霍夫定律的验证与应用</w:t>
            </w:r>
          </w:p>
          <w:p w14:paraId="50610AE9">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6.常用供电电路特点和电子电路最大功率输出条件的研究</w:t>
            </w:r>
          </w:p>
          <w:p w14:paraId="0C32D7E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7.实际直流稳压电源和直流稳流电源的研究（综合应用项目）</w:t>
            </w:r>
          </w:p>
          <w:p w14:paraId="751052A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8.叠加定理的验证与应用―多信号叠加控制电路的研究（综合应用项目）</w:t>
            </w:r>
          </w:p>
          <w:p w14:paraId="7AAD8A90">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9.戴维南定理和电桥电路的应用―铜电阻温度计电路的研究（综合应用项目）</w:t>
            </w:r>
          </w:p>
          <w:p w14:paraId="3BFA2F54">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10.电阻电感串联电路（日光灯电路）的分析与研究</w:t>
            </w:r>
          </w:p>
          <w:p w14:paraId="1F9B04A8">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11.阻容移相电路的应用―调光台灯电路的研究（综合应用项目）</w:t>
            </w:r>
          </w:p>
          <w:p w14:paraId="69035262">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12.交流电路的功率及功率因数的测量及提高线路功率因数的方法及其意义的研究</w:t>
            </w:r>
          </w:p>
          <w:p w14:paraId="36DDFE04">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13.R、L、C元件在交流电路中的阻抗与频率特性的研究与应用―整流滤波电路的研究</w:t>
            </w:r>
          </w:p>
          <w:p w14:paraId="74CAE5A2">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14.R、L、C串联谐振电路的</w:t>
            </w:r>
          </w:p>
          <w:p w14:paraId="747AEFD8">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15.三相四线制负载电压，电流的测量</w:t>
            </w:r>
          </w:p>
          <w:p w14:paraId="6D35A978">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16.三相三线制对称负载星形及三角形接法时负载电压与电流的测定</w:t>
            </w:r>
          </w:p>
          <w:p w14:paraId="04C3E68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17.自感系数的测定、电路断电时电感尖峰电压的测量及抑制的方法</w:t>
            </w:r>
          </w:p>
          <w:p w14:paraId="5C606BBB">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18.互感电路的研究</w:t>
            </w:r>
          </w:p>
          <w:p w14:paraId="0BE9209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19.单相变压器特性的研究</w:t>
            </w:r>
          </w:p>
          <w:p w14:paraId="1D2DE95A">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20.单相变压器并联运行特点的研究</w:t>
            </w:r>
          </w:p>
          <w:p w14:paraId="6A36008A">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21.一阶电路暂态过程的研究</w:t>
            </w:r>
          </w:p>
          <w:p w14:paraId="355B441A">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22.微分电路和积分电路及其应用</w:t>
            </w:r>
          </w:p>
          <w:p w14:paraId="4083627F">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模拟电子技术综合应用、创新实训项目</w:t>
            </w:r>
          </w:p>
          <w:p w14:paraId="72D3A97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23.常用二极管的性能测试及应用</w:t>
            </w:r>
          </w:p>
          <w:p w14:paraId="206BF72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24.双极晶体管及场效管输出特性的测定</w:t>
            </w:r>
          </w:p>
          <w:p w14:paraId="33BEA7AF">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25.单管放大电路的研究</w:t>
            </w:r>
          </w:p>
          <w:p w14:paraId="6A8DDC0F">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26.两极放大电路及负反馈放大电路的研究</w:t>
            </w:r>
          </w:p>
          <w:p w14:paraId="136599C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27.助听器电路的调试（电子产品线路）</w:t>
            </w:r>
          </w:p>
          <w:p w14:paraId="5B3D0E80">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28.恒流充电电路（场效应管的应用）</w:t>
            </w:r>
          </w:p>
          <w:p w14:paraId="46AFD60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29.三极管放大电路故障排除</w:t>
            </w:r>
          </w:p>
          <w:p w14:paraId="78B55EDC">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30.整流、滤波及稳压电路的研究</w:t>
            </w:r>
          </w:p>
          <w:p w14:paraId="19339529">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31.直流稳压正、负电源电路的研究</w:t>
            </w:r>
          </w:p>
          <w:p w14:paraId="53264B3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32.典型复合互补OTL功率放大电路调试</w:t>
            </w:r>
          </w:p>
          <w:p w14:paraId="1682309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33.OTL功率放大电路的故障排除</w:t>
            </w:r>
          </w:p>
          <w:p w14:paraId="57770E7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34.LM386集成音响功率放大电路及其应用</w:t>
            </w:r>
          </w:p>
          <w:p w14:paraId="5B9E6E9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35.运算放大器基本运算电路</w:t>
            </w:r>
          </w:p>
          <w:p w14:paraId="419BAD32">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36.对由运放器组成的积分运算电路、微分运算电路</w:t>
            </w:r>
          </w:p>
          <w:p w14:paraId="20A021B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37.对由运放器组成的电压比较器传输特性的研究</w:t>
            </w:r>
          </w:p>
          <w:p w14:paraId="06B1611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38.气敏传感器制作烟雾报警器的制作与调试</w:t>
            </w:r>
          </w:p>
          <w:p w14:paraId="32569F1A">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39.方波、三角波和锯齿波发生器电路的研究与测试</w:t>
            </w:r>
          </w:p>
          <w:p w14:paraId="31450F4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40.三角波、方波及正弦波发生器的制作竞赛</w:t>
            </w:r>
          </w:p>
          <w:p w14:paraId="48F0E264">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41.RC（文式桥式）正弦波振荡器和制作与调试</w:t>
            </w:r>
          </w:p>
          <w:p w14:paraId="5BAF7388">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42.电容三点式LC正弦波发生器</w:t>
            </w:r>
          </w:p>
          <w:p w14:paraId="49815109">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43.有源滤波电路研究</w:t>
            </w:r>
          </w:p>
          <w:p w14:paraId="54FF8CED">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44.直流—直流（DC—DC）集成电压变换电路的应用与调试（电子产品线路）（综合应用）</w:t>
            </w:r>
          </w:p>
          <w:p w14:paraId="0A616AFD">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45.恒温控制电路的制作与调试（竞赛项目）</w:t>
            </w:r>
          </w:p>
          <w:p w14:paraId="30F26D83">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六、配置清单要求</w:t>
            </w:r>
          </w:p>
          <w:p w14:paraId="0CC119AE">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1.电工电子及电力拖动综合应用实训桌1套：</w:t>
            </w:r>
          </w:p>
          <w:p w14:paraId="2C284AD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尺寸≥1300×750×800mm，实验桌为钢质双层亚光密纹喷塑结构，桌面采用防火、防水、耐磨高密度板,结构坚固，造形美观大方；设有两个大抽屉、柜门，用于放置工具、存放挂箱及资料等。桌面用于安装电源控制屏并提供一个宽敞舒适的工作台面。实验桌还设有四个轮子和四个固定调节机构，便于移动和固定，有利于实验室的布局。</w:t>
            </w:r>
          </w:p>
          <w:p w14:paraId="656C1704">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2.实训电源台1台：尺寸≥11250×330×333mm</w:t>
            </w:r>
          </w:p>
          <w:p w14:paraId="3EEEF9B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3.函数信号发生器1套</w:t>
            </w:r>
          </w:p>
          <w:p w14:paraId="54B71902">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4.数字示波器1套</w:t>
            </w:r>
          </w:p>
          <w:p w14:paraId="30E8D3B8">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5.交流功率及功率因数表模块1套：可以测量功率及功率因数，三位半数字显示，测量精度0.5级，电压、电流量程分别为 500V、5A。</w:t>
            </w:r>
          </w:p>
          <w:p w14:paraId="38C1BCCC">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6.单元电子电路模块1套</w:t>
            </w:r>
          </w:p>
          <w:p w14:paraId="742B6B3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7.数字万用表1台</w:t>
            </w:r>
          </w:p>
          <w:p w14:paraId="73A2C14A">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8.实验导线1套</w:t>
            </w:r>
          </w:p>
          <w:p w14:paraId="766D6C4F">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9.白炽灯泡（24V）2个</w:t>
            </w:r>
            <w:r>
              <w:rPr>
                <w:rFonts w:hint="eastAsia" w:ascii="宋体" w:hAnsi="宋体" w:eastAsia="宋体" w:cs="宋体"/>
                <w:color w:val="000000" w:themeColor="text1"/>
                <w:sz w:val="24"/>
                <w:szCs w:val="24"/>
                <w14:textFill>
                  <w14:solidFill>
                    <w14:schemeClr w14:val="tx1"/>
                  </w14:solidFill>
                </w14:textFill>
              </w:rPr>
              <w:tab/>
            </w:r>
          </w:p>
          <w:p w14:paraId="255CF9A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10.白炽灯泡（220V）5个</w:t>
            </w:r>
          </w:p>
          <w:p w14:paraId="031B97C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11.荧光灯启动器1个</w:t>
            </w:r>
          </w:p>
          <w:p w14:paraId="41840AEA">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12.日光灯管1支</w:t>
            </w:r>
          </w:p>
          <w:p w14:paraId="202FC26F">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13.功率因数表电源线1条</w:t>
            </w:r>
          </w:p>
          <w:p w14:paraId="6AB9828D">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14.1号电池</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2个</w:t>
            </w:r>
          </w:p>
          <w:p w14:paraId="5F98852C">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15.方凳1个：方凳尺寸：长 330mm×宽 240mm×高 450mm；支架：主支撑脚采用20*40mm方管，拉档为20*20mm方钢管，钢管表面经过除锈、磷化、静电喷塑、高温固化而成，环保无味，不褪色不掉漆。凳面：16mm防火板。无甲醛味，耐磨，耐烫。2mm铁皮包裹。</w:t>
            </w:r>
          </w:p>
          <w:p w14:paraId="5DB03331">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16.实验说明书</w:t>
            </w:r>
            <w:r>
              <w:rPr>
                <w:rFonts w:hint="eastAsia" w:ascii="宋体" w:hAnsi="宋体" w:eastAsia="宋体" w:cs="宋体"/>
                <w:color w:val="000000" w:themeColor="text1"/>
                <w:sz w:val="24"/>
                <w:lang w:val="en-US" w:eastAsia="zh-CN"/>
                <w14:textFill>
                  <w14:solidFill>
                    <w14:schemeClr w14:val="tx1"/>
                  </w14:solidFill>
                </w14:textFill>
              </w:rPr>
              <w:t>每台设备6</w:t>
            </w:r>
            <w:r>
              <w:rPr>
                <w:rFonts w:hint="eastAsia" w:ascii="宋体" w:hAnsi="宋体" w:eastAsia="宋体" w:cs="宋体"/>
                <w:color w:val="000000" w:themeColor="text1"/>
                <w:sz w:val="24"/>
                <w14:textFill>
                  <w14:solidFill>
                    <w14:schemeClr w14:val="tx1"/>
                  </w14:solidFill>
                </w14:textFill>
              </w:rPr>
              <w:t>套：指导学生实训使用</w:t>
            </w:r>
          </w:p>
        </w:tc>
        <w:tc>
          <w:tcPr>
            <w:tcW w:w="759" w:type="dxa"/>
            <w:vAlign w:val="center"/>
          </w:tcPr>
          <w:p w14:paraId="46D3C304">
            <w:pPr>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w:t>
            </w:r>
          </w:p>
        </w:tc>
      </w:tr>
      <w:tr w14:paraId="06561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dxa"/>
          <w:trHeight w:val="321" w:hRule="atLeast"/>
        </w:trPr>
        <w:tc>
          <w:tcPr>
            <w:tcW w:w="7953" w:type="dxa"/>
            <w:gridSpan w:val="3"/>
          </w:tcPr>
          <w:p w14:paraId="06299D7F">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二、PLC编程实训室（实训区域）</w:t>
            </w:r>
          </w:p>
        </w:tc>
        <w:tc>
          <w:tcPr>
            <w:tcW w:w="759" w:type="dxa"/>
          </w:tcPr>
          <w:p w14:paraId="6E99E170">
            <w:pPr>
              <w:jc w:val="left"/>
              <w:rPr>
                <w:rFonts w:hint="eastAsia" w:ascii="宋体" w:hAnsi="宋体" w:eastAsia="宋体" w:cs="宋体"/>
                <w:color w:val="000000" w:themeColor="text1"/>
                <w:sz w:val="24"/>
                <w:szCs w:val="24"/>
                <w14:textFill>
                  <w14:solidFill>
                    <w14:schemeClr w14:val="tx1"/>
                  </w14:solidFill>
                </w14:textFill>
              </w:rPr>
            </w:pPr>
          </w:p>
        </w:tc>
      </w:tr>
      <w:tr w14:paraId="5D1F9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dxa"/>
          <w:trHeight w:val="3243" w:hRule="atLeast"/>
        </w:trPr>
        <w:tc>
          <w:tcPr>
            <w:tcW w:w="573" w:type="dxa"/>
            <w:vAlign w:val="center"/>
          </w:tcPr>
          <w:p w14:paraId="60265595">
            <w:pPr>
              <w:jc w:val="left"/>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2</w:t>
            </w:r>
          </w:p>
        </w:tc>
        <w:tc>
          <w:tcPr>
            <w:tcW w:w="1110" w:type="dxa"/>
            <w:vAlign w:val="center"/>
          </w:tcPr>
          <w:p w14:paraId="2F8089AC">
            <w:pPr>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可编程控制器综合实训装置（网络版）</w:t>
            </w:r>
          </w:p>
        </w:tc>
        <w:tc>
          <w:tcPr>
            <w:tcW w:w="6270" w:type="dxa"/>
          </w:tcPr>
          <w:p w14:paraId="0760E97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一、概述：</w:t>
            </w:r>
          </w:p>
          <w:p w14:paraId="4CD9602D">
            <w:pPr>
              <w:jc w:val="left"/>
              <w:rPr>
                <w:rFonts w:hint="eastAsia" w:ascii="宋体" w:hAnsi="宋体" w:eastAsia="宋体" w:cs="宋体"/>
                <w:color w:val="000000" w:themeColor="text1"/>
                <w:sz w:val="24"/>
                <w:szCs w:val="24"/>
                <w14:textFill>
                  <w14:solidFill>
                    <w14:schemeClr w14:val="tx1"/>
                  </w14:solidFill>
                </w14:textFill>
              </w:rPr>
            </w:pPr>
            <w:bookmarkStart w:id="147" w:name="OLE_LINK6"/>
            <w:r>
              <w:rPr>
                <w:rFonts w:hint="eastAsia" w:ascii="宋体" w:hAnsi="宋体" w:eastAsia="宋体" w:cs="宋体"/>
                <w:color w:val="000000" w:themeColor="text1"/>
                <w:sz w:val="24"/>
                <w:szCs w:val="24"/>
                <w14:textFill>
                  <w14:solidFill>
                    <w14:schemeClr w14:val="tx1"/>
                  </w14:solidFill>
                </w14:textFill>
              </w:rPr>
              <w:t>可编程控制器系统应用实训考核装置以模块化设计，符合可编程控制器系统应用编程职业技能等级标准要求。系统融入机械传动技术、电子电工技术、智能传感技术、可编程控制技术、计算机技术、串口通信技术等先进制造技术，涵盖机械制造与自动化、电气自动化、机电一体化、机电设备维修与管理、物联网、智能传感、智能制造等多门学科的专业知识。根据考核要求可对设备进行升级，满足可编程控制器系统应用编程职业技能等级标准的考核要求。</w:t>
            </w:r>
          </w:p>
          <w:bookmarkEnd w:id="147"/>
          <w:p w14:paraId="3A27AD1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二、通用参数要求：</w:t>
            </w:r>
          </w:p>
          <w:p w14:paraId="20891668">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1.交流电源：三相五线 AC 380 V±10% 50Hz；</w:t>
            </w:r>
          </w:p>
          <w:p w14:paraId="315EA86B">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2.温度：-10～50℃；环境湿度：≤90％无水珠凝结；</w:t>
            </w:r>
          </w:p>
          <w:p w14:paraId="76AA18E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3.外形尺寸：长×宽×高≥1300mm×750mm×1700mm；</w:t>
            </w:r>
          </w:p>
          <w:p w14:paraId="04DE2BE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4.整机功耗：≤1.0 kVA；</w:t>
            </w:r>
          </w:p>
          <w:p w14:paraId="08E8EF35">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5.安全保护措施：实训台桌面采用高绝缘、高强度、耐高温的高密度板。具有接地保护、漏电保护功能，安全性符合相关的国标标准。采用高绝缘的安全型插座及带绝缘护套的高强度安全型实验导线</w:t>
            </w:r>
          </w:p>
          <w:p w14:paraId="450D60D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为确保所投设备稳定性及安全性，同时满足学校教学所需，要求所投设备的外观检查、结构检查、电源电压适应性、通电指示灯、供电指示灯、急停按钮、启动按钮、停止按钮、报警指示灯、计数电源、实验管理器、转换开关、直流数字电压表、直流数字电流表、可调直流电源、固定直流电源方面须全部符合要求并提供有检验资质机构出具的第三方证明材料，投标时需提供所投设备的第三方证明材料。</w:t>
            </w:r>
          </w:p>
          <w:p w14:paraId="3E21847F">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7.配置要求：国产台式电脑：CPU不低于17-12700/运行内存：32G/机械1T/固态256G/DVDRW/显卡：1630 4G/WIN11/14L机箱 云教室23.8</w:t>
            </w:r>
          </w:p>
          <w:p w14:paraId="6CC32A4F">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三、功能要求</w:t>
            </w:r>
          </w:p>
          <w:p w14:paraId="32B850E7">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1、总体结构要求：</w:t>
            </w:r>
          </w:p>
          <w:p w14:paraId="1016F4E2">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1.装置要求采用铝合金导轨式实训台，一半是网孔板。模块要求采用标准化结构和工具材料放置抽屉及模块存储箱，互换性强。</w:t>
            </w:r>
          </w:p>
          <w:p w14:paraId="5DC67351">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2.实训台架要求由实训屏（含电源控制屏）、实训桌、实训储物柜三大部分组成。实训台架要求以经氧化处理的高材质铝合金作为设备主要框架材料；实训台架要求采用铝合金的本体颜色，电源箱体采用麻灰色 1.2mm 钢板制作。实训屏底部要求装电源控制屏，电源控制屏的面板布局从左至右依次为电源指示和电源控制单元、时间管理器（含电源保护）单元、指示灯和按钮单元、选择开关和蜂鸣器及继电器单元、仪表单元、直流电源单元，电源控制屏的左右两侧分别装有一个两插插座， 将外部电源进线端装在电源控制屏的左侧（采用航空插连接结构）；实训屏上部要求采用三根不锈钢型材组成通用实训模块固定结构，一次可摆放 8 个实训模块，根据实训内容的需要调换实训模块。实训桌桌面要求采用 25mm 麻灰色高密度层压板封边特制，有效提高绝缘等级。实训储物柜要求采用标准结构和抽屉式，左侧有 3 层抽屉，用于存放工具以及实训资料；右侧的双拉门式设计，要求可同时存放 8 个通用实训模块。</w:t>
            </w:r>
          </w:p>
          <w:p w14:paraId="6042E36A">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3.设备的 PLC 模块的 I/O 端子、变频器的接线端子及其他附件元器件与安全插座连接，使用带安全插头的导线进行电路连接，既保证学生基本技能的训练、形成和巩固，又保证电路连接的快速、安全和可靠。</w:t>
            </w:r>
          </w:p>
          <w:p w14:paraId="2A6D0AC9">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2、设备各个模块的功能要求</w:t>
            </w:r>
          </w:p>
          <w:p w14:paraId="5552CE74">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1.交流电源控制单元：三相四线 380V 交流电源经空气开关后给装置供电，该装置应设有供电和通电指示，设有带灯保险丝保护，启停开关控制、同时具有漏电告警指示及告警复位，及具有急停开关。提供三相四线 380V、单相 220V 电源各一组（安全插座），提供 2 组三插 AC200V 插座，由启停开关控制输出，并设有保险丝保护。</w:t>
            </w:r>
          </w:p>
          <w:p w14:paraId="4058A0FE">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2.定时器兼报警记录仪：定时器兼报警记录仪，平时作时钟使用，具有设定时间、定时报警、切断电源等功能；还可自动记录由于接线或操作错误所造成的过流告警次数。</w:t>
            </w:r>
          </w:p>
          <w:p w14:paraId="2E0D6E5D">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3.直流电源、直流电压/电流表、逻辑电平输出及指示等：直流电压：0～±10V 可调输出；直流电流：4～20mA 可调输出；直流数字电压表/电流表：电压表量程 0～30V、精度 0.5 级，电流表量程0～30mA、精度 0.5 级；同时设有逻辑电平输出（点动、黄绿红三种颜色开关）、逻辑电平指示（黄绿红三种颜色指示）、LED 数码管、选择开关、蜂鸣器、直流 24V 继电器、直流电压输出：24V/6A、</w:t>
            </w:r>
          </w:p>
          <w:p w14:paraId="5738D8E1">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12V/2A 各一组（具有保险丝保护）。</w:t>
            </w:r>
          </w:p>
          <w:p w14:paraId="25778426">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2.4 PLC 模块：PLC 主机要求为知名品牌。包含钮子开关 24 只，船型开关一只，保险丝一只。</w:t>
            </w:r>
          </w:p>
          <w:p w14:paraId="1C1449C1">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其中配置不低于S7-1200 CPU 1214C 14DI/10DO；输入输出模块 SM1223 8DI/8DO</w:t>
            </w:r>
          </w:p>
          <w:p w14:paraId="59E15B7B">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4.变频器模块：要求为知名品牌变频器，须与PLC为同一厂家；包含电位器一只，钮子开关 7 只，船型开关一只，保险丝一只。</w:t>
            </w:r>
          </w:p>
          <w:p w14:paraId="651FFF99">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5.三相异步电动机模块：要求采用的电动机为三相鼠笼式异步电动机，为变频器调速使用，固定底座。</w:t>
            </w:r>
          </w:p>
          <w:p w14:paraId="0CCD5DBE">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四、配套的教学资源要求</w:t>
            </w:r>
          </w:p>
          <w:p w14:paraId="67F43B82">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1.配置PLC教学资源（不少于</w:t>
            </w:r>
            <w:r>
              <w:rPr>
                <w:rFonts w:hint="eastAsia" w:ascii="宋体" w:hAnsi="宋体" w:eastAsia="宋体" w:cs="宋体"/>
                <w:color w:val="000000" w:themeColor="text1"/>
                <w:sz w:val="24"/>
                <w:lang w:val="en-US" w:eastAsia="zh-CN"/>
                <w14:textFill>
                  <w14:solidFill>
                    <w14:schemeClr w14:val="tx1"/>
                  </w14:solidFill>
                </w14:textFill>
              </w:rPr>
              <w:t>5</w:t>
            </w:r>
            <w:r>
              <w:rPr>
                <w:rFonts w:hint="eastAsia" w:ascii="宋体" w:hAnsi="宋体" w:eastAsia="宋体" w:cs="宋体"/>
                <w:color w:val="000000" w:themeColor="text1"/>
                <w:sz w:val="24"/>
                <w14:textFill>
                  <w14:solidFill>
                    <w14:schemeClr w14:val="tx1"/>
                  </w14:solidFill>
                </w14:textFill>
              </w:rPr>
              <w:t>0G）：</w:t>
            </w:r>
          </w:p>
          <w:p w14:paraId="52EA9300">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要求提供 PLC 学习资源库，此部分学习资料全部是PLC学习，内容主要是讲解三菱、AB、欧姆龙、施耐德、松下、台达、西门子、信捷等各品牌 PLC 的指令与功能、编程规则，在讲解过程中并有些针对性案例程序讲解。</w:t>
            </w:r>
          </w:p>
          <w:p w14:paraId="10D997B2">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 配置PLC仿真软件</w:t>
            </w:r>
          </w:p>
          <w:p w14:paraId="4A2F2B02">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软件要求包括四层电梯控制、邮件分拣、铁塔之光、自控轧钢机、交通灯控制、步进电机控制、电镀生产性控制、自动送料装车系统、水塔水位自动控制、多种液体混合、三相电机顺序控制、全自动洗衣机控制、小车运动控制、机械手搬运控制、加工中心选刀控制等十几种仿真模块。</w:t>
            </w:r>
          </w:p>
          <w:p w14:paraId="67A7806D">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3.配置PLC 3D仿真软件</w:t>
            </w:r>
          </w:p>
          <w:p w14:paraId="11795EBA">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软件要求包含</w:t>
            </w:r>
            <w:r>
              <w:rPr>
                <w:rFonts w:hint="eastAsia" w:ascii="宋体" w:hAnsi="宋体" w:eastAsia="宋体" w:cs="宋体"/>
                <w:color w:val="000000" w:themeColor="text1"/>
                <w:sz w:val="24"/>
                <w:lang w:val="en-US" w:eastAsia="zh-CN"/>
                <w14:textFill>
                  <w14:solidFill>
                    <w14:schemeClr w14:val="tx1"/>
                  </w14:solidFill>
                </w14:textFill>
              </w:rPr>
              <w:t>至少</w:t>
            </w:r>
            <w:r>
              <w:rPr>
                <w:rFonts w:hint="eastAsia" w:ascii="宋体" w:hAnsi="宋体" w:eastAsia="宋体" w:cs="宋体"/>
                <w:color w:val="000000" w:themeColor="text1"/>
                <w:sz w:val="24"/>
                <w14:textFill>
                  <w14:solidFill>
                    <w14:schemeClr w14:val="tx1"/>
                  </w14:solidFill>
                </w14:textFill>
              </w:rPr>
              <w:t>有5个实验：机械手控制实验、码垛堆积控制实验、物料分拣控制实验、自动仓储控制实验、自动封盖实物控制实验。每个实验分成两个部分，一部分是实训实验，另一部分是演示实验。在实训实验部分，学生可以通过自己编写PLC程序来控制机械的运动，而在演示实验部分，学生可以观看机械的一般运动过程， 有助于自己来编写 PLC 程序。</w:t>
            </w:r>
          </w:p>
          <w:p w14:paraId="5CE8BAE2">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★4、其他要求：所投设备具有软硬件结合功能且系统兼容性强，能够满足学校教学所需，为了确保所投设备的稳定性，设备配套嵌入式的PCL控制软件，投标文件中须提供第三方证明材料进行佐证。</w:t>
            </w:r>
          </w:p>
          <w:p w14:paraId="3EF7CDA1">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★5、电气原理PLC编程软件</w:t>
            </w:r>
          </w:p>
          <w:p w14:paraId="59804108">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1.该软件需具备离线读取编辑PLC和在线读取编辑PLC。</w:t>
            </w:r>
          </w:p>
          <w:p w14:paraId="1558A5F1">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2.该软件需具备和数控系统通讯功能，通过设置IP地址，连接数控系统，实现PLC在线调试。</w:t>
            </w:r>
          </w:p>
          <w:p w14:paraId="28249661">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3.该软件具备梯形图、梯图信息、符号表、显示信息表、锁定表、交叉引用、IO对照表(用户)、IO对照表（系统面板）、示波器、梯图参数等参数查看及在线编辑功能。</w:t>
            </w:r>
          </w:p>
          <w:p w14:paraId="28F35257">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4.该软件可直接从本项目五轴数控系统中下载PLC到该软件，编辑结束后可直接通过网络上传数控系统。</w:t>
            </w:r>
          </w:p>
          <w:p w14:paraId="103D6D18">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5.PLC编辑完毕后，软件对PLC进行检测运算。并列出错误PLC以及所在地址。</w:t>
            </w:r>
          </w:p>
          <w:p w14:paraId="3BBD94CF">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6.该软件可通过网线连接数控系统后，用示波器功能，直接采集数控机床特定点位信号状态。</w:t>
            </w:r>
          </w:p>
          <w:p w14:paraId="35BA2849">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7.该软件可自主定义寄存器点位代码以及寄存器名称，方便编程人员更直观区分寄存器作用。</w:t>
            </w:r>
          </w:p>
          <w:p w14:paraId="26FACFBA">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8.通过该软件plc编写，可直接给五轴数控系统定义一些新的控制逻辑。同时plc编程软件中有集成的寄存器模块（如基本指令、定时器、计数器、流程控制、功能指令等）便于后期学校自主开发时使用。</w:t>
            </w:r>
          </w:p>
          <w:p w14:paraId="7CED366B">
            <w:pPr>
              <w:spacing w:line="240" w:lineRule="auto"/>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★为了确保所投设备及软件能够达到教学实训功能和效果，供应商应自行准备好相应的软件使用操作截图不低于5张</w:t>
            </w:r>
            <w:r>
              <w:rPr>
                <w:rFonts w:hint="eastAsia" w:ascii="宋体" w:hAnsi="宋体" w:eastAsia="宋体" w:cs="宋体"/>
                <w:color w:val="000000" w:themeColor="text1"/>
                <w:sz w:val="24"/>
                <w:szCs w:val="24"/>
                <w14:textFill>
                  <w14:solidFill>
                    <w14:schemeClr w14:val="tx1"/>
                  </w14:solidFill>
                </w14:textFill>
              </w:rPr>
              <w:t>，同时提供售后服务承诺书。</w:t>
            </w:r>
          </w:p>
          <w:p w14:paraId="7D68FC3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五、可供实训项目：</w:t>
            </w:r>
          </w:p>
          <w:p w14:paraId="3964607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1.自动送料装车系统</w:t>
            </w:r>
          </w:p>
          <w:p w14:paraId="307FA239">
            <w:pPr>
              <w:jc w:val="left"/>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2.水塔水位自动控制（现场演示</w:t>
            </w:r>
            <w:r>
              <w:rPr>
                <w:rFonts w:hint="eastAsia" w:ascii="宋体" w:hAnsi="宋体" w:eastAsia="宋体" w:cs="宋体"/>
                <w:color w:val="000000" w:themeColor="text1"/>
                <w:sz w:val="24"/>
                <w:szCs w:val="24"/>
                <w:lang w:eastAsia="zh-CN"/>
                <w14:textFill>
                  <w14:solidFill>
                    <w14:schemeClr w14:val="tx1"/>
                  </w14:solidFill>
                </w14:textFill>
              </w:rPr>
              <w:t>）</w:t>
            </w:r>
          </w:p>
          <w:p w14:paraId="7AD1F5B2">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3.交通灯自控与手控（现场演示</w:t>
            </w:r>
            <w:r>
              <w:rPr>
                <w:rFonts w:hint="eastAsia" w:ascii="宋体" w:hAnsi="宋体" w:eastAsia="宋体" w:cs="宋体"/>
                <w:color w:val="000000" w:themeColor="text1"/>
                <w:sz w:val="24"/>
                <w:szCs w:val="24"/>
                <w:lang w:eastAsia="zh-CN"/>
                <w14:textFill>
                  <w14:solidFill>
                    <w14:schemeClr w14:val="tx1"/>
                  </w14:solidFill>
                </w14:textFill>
              </w:rPr>
              <w:t>）</w:t>
            </w:r>
          </w:p>
          <w:p w14:paraId="53F3D768">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4.全自动洗衣机</w:t>
            </w:r>
          </w:p>
          <w:p w14:paraId="7C92B2F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5.电机控制</w:t>
            </w:r>
          </w:p>
          <w:p w14:paraId="24BEC01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6.多种液体混合</w:t>
            </w:r>
          </w:p>
          <w:p w14:paraId="2E58F14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7.步进电机</w:t>
            </w:r>
          </w:p>
          <w:p w14:paraId="1612FEBD">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8.自控成型机</w:t>
            </w:r>
          </w:p>
          <w:p w14:paraId="7E21E46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9.自控轧钢机</w:t>
            </w:r>
          </w:p>
          <w:p w14:paraId="6A14F6CF">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10.邮件分拣机</w:t>
            </w:r>
          </w:p>
          <w:p w14:paraId="147B916D">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11.铁塔之光</w:t>
            </w:r>
          </w:p>
          <w:p w14:paraId="5C2E5F7B">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12.四层电梯控制（现场演示</w:t>
            </w:r>
            <w:r>
              <w:rPr>
                <w:rFonts w:hint="eastAsia" w:ascii="宋体" w:hAnsi="宋体" w:eastAsia="宋体" w:cs="宋体"/>
                <w:color w:val="000000" w:themeColor="text1"/>
                <w:sz w:val="24"/>
                <w:szCs w:val="24"/>
                <w:lang w:eastAsia="zh-CN"/>
                <w14:textFill>
                  <w14:solidFill>
                    <w14:schemeClr w14:val="tx1"/>
                  </w14:solidFill>
                </w14:textFill>
              </w:rPr>
              <w:t>）</w:t>
            </w:r>
          </w:p>
          <w:p w14:paraId="643B99D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13.电镀生产线控制</w:t>
            </w:r>
          </w:p>
          <w:p w14:paraId="48FB243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14.变频器功能参数设置与操作；</w:t>
            </w:r>
          </w:p>
          <w:p w14:paraId="23C1B1AB">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15.外部端子点动控制；</w:t>
            </w:r>
          </w:p>
          <w:p w14:paraId="675AD0F2">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16.变频器控制电机正反转；</w:t>
            </w:r>
          </w:p>
          <w:p w14:paraId="00CD338C">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17.多段速度选择变频调速；</w:t>
            </w:r>
          </w:p>
          <w:p w14:paraId="42C2B3C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18.变频器无级调速；</w:t>
            </w:r>
          </w:p>
          <w:p w14:paraId="2C3D1BDA">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19.基于外部模拟量（电压/电流）控制方式的变频调速；</w:t>
            </w:r>
          </w:p>
          <w:p w14:paraId="09308BCC">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20.瞬时停电起动控制；</w:t>
            </w:r>
          </w:p>
          <w:p w14:paraId="4513D610">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21.PLC、变频调速控制；</w:t>
            </w:r>
          </w:p>
          <w:p w14:paraId="56296192">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22.PLC控制变频器外部端子的电机正反转；</w:t>
            </w:r>
          </w:p>
          <w:p w14:paraId="647448F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23.PLC控制变频器外部端子的电机运行时间控制；</w:t>
            </w:r>
          </w:p>
          <w:p w14:paraId="3B9A43E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24.基于PLC数字量控制方式的多段速。</w:t>
            </w:r>
          </w:p>
          <w:p w14:paraId="4A8A15BD">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七、设备配置要求</w:t>
            </w:r>
          </w:p>
          <w:p w14:paraId="418E460D">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 实训桌台1套：尺寸≥1300mm×750mm×1700mm；铝合金导轨式结构。</w:t>
            </w:r>
          </w:p>
          <w:p w14:paraId="1F29ED2D">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 电源控制屏1套：电源供电和通电指示；定时器兼报警记录仪指示灯；选择开关和蜂鸣器及继电器；电压表量程0～30V、精度0.5级；电流表量程0～30mA、精度0.5级；直流电源单元：0～±10V可调输出；直流电流：4～20mA可调输出；</w:t>
            </w:r>
          </w:p>
          <w:p w14:paraId="639A5DF8">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 电脑推车1套：尺寸≥580*450*960带脚轮、电脑托盘；</w:t>
            </w:r>
          </w:p>
          <w:p w14:paraId="1938DEE5">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4. PLC主机1套：高强度塑料外壳，铝塑面板，图案、文字符号采用油墨丝印。尺寸：≥298mm×285mm×110mm。PLC参数不低于：S7-1200 CPU 1214C 14DI/10DO；输入输出模块 SM1223 8DI/8DO： </w:t>
            </w:r>
          </w:p>
          <w:p w14:paraId="7C400A54">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 变频器模块1套：高强度塑料外壳，铝塑面板，图案、文字符号采用油墨丝印。尺寸：≥298mm×285mm×110mm。配置6点数字输入，3点数字输出，1点模拟量输入，2点模拟量输出。</w:t>
            </w:r>
          </w:p>
          <w:p w14:paraId="19DAE9D0">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6. 三相异步电动机1套：三相380V/180W；转速：≥1400r/min</w:t>
            </w:r>
          </w:p>
          <w:p w14:paraId="1DC8747B">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7. RS232C/RS422通讯电缆1条：长≥2000mm；用于学生机PLC主机与计算机之间的通讯；</w:t>
            </w:r>
          </w:p>
          <w:p w14:paraId="0189679B">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8. RS232C/RS232C通讯电缆1条：</w:t>
            </w:r>
            <w:r>
              <w:rPr>
                <w:rFonts w:hint="eastAsia" w:ascii="宋体" w:hAnsi="宋体" w:eastAsia="宋体" w:cs="宋体"/>
                <w:color w:val="000000" w:themeColor="text1"/>
                <w:sz w:val="24"/>
                <w14:textFill>
                  <w14:solidFill>
                    <w14:schemeClr w14:val="tx1"/>
                  </w14:solidFill>
                </w14:textFill>
              </w:rPr>
              <w:tab/>
            </w:r>
            <w:r>
              <w:rPr>
                <w:rFonts w:hint="eastAsia" w:ascii="宋体" w:hAnsi="宋体" w:eastAsia="宋体" w:cs="宋体"/>
                <w:color w:val="000000" w:themeColor="text1"/>
                <w:sz w:val="24"/>
                <w14:textFill>
                  <w14:solidFill>
                    <w14:schemeClr w14:val="tx1"/>
                  </w14:solidFill>
                </w14:textFill>
              </w:rPr>
              <w:t>长≥2000mm；作为仿真接口模块与计算机之间的通讯；</w:t>
            </w:r>
          </w:p>
          <w:p w14:paraId="512CA527">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9. 国标电源线1条：3脚标准插头国标电源线；</w:t>
            </w:r>
          </w:p>
          <w:p w14:paraId="554B0508">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10. 安全插拔线1条：长≥1000mm； 40根：长≥600mm</w:t>
            </w:r>
          </w:p>
          <w:p w14:paraId="614EB8C7">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 仿真实训模块1块：仿真系统芯板，9针串口，船型开关，国标电源插座1只，安全插口66只</w:t>
            </w:r>
          </w:p>
          <w:p w14:paraId="255D3885">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12. 电机控制1套</w:t>
            </w:r>
            <w:r>
              <w:rPr>
                <w:rFonts w:hint="eastAsia" w:ascii="宋体" w:hAnsi="宋体" w:eastAsia="宋体" w:cs="宋体"/>
                <w:color w:val="000000" w:themeColor="text1"/>
                <w:sz w:val="24"/>
                <w14:textFill>
                  <w14:solidFill>
                    <w14:schemeClr w14:val="tx1"/>
                  </w14:solidFill>
                </w14:textFill>
              </w:rPr>
              <w:tab/>
            </w:r>
            <w:r>
              <w:rPr>
                <w:rFonts w:hint="eastAsia" w:ascii="宋体" w:hAnsi="宋体" w:eastAsia="宋体" w:cs="宋体"/>
                <w:color w:val="000000" w:themeColor="text1"/>
                <w:sz w:val="24"/>
                <w14:textFill>
                  <w14:solidFill>
                    <w14:schemeClr w14:val="tx1"/>
                  </w14:solidFill>
                </w14:textFill>
              </w:rPr>
              <w:t>：钮子开关3只，指示灯6只，安全插座9只；</w:t>
            </w:r>
          </w:p>
          <w:p w14:paraId="24A46DF5">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13. 步进电机1套：琴键开关1只，钮子开关1只，点动按钮1只，4相直流电动机1只，安全插座13只，转盘1个；</w:t>
            </w:r>
          </w:p>
          <w:p w14:paraId="66638332">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14. 铁塔之光1套：七段数码管1只，指示灯9只，安全插座18只；</w:t>
            </w:r>
          </w:p>
          <w:p w14:paraId="5476400D">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15. 邮件分拣机1套：</w:t>
            </w:r>
            <w:r>
              <w:rPr>
                <w:rFonts w:hint="eastAsia" w:ascii="宋体" w:hAnsi="宋体" w:eastAsia="宋体" w:cs="宋体"/>
                <w:color w:val="000000" w:themeColor="text1"/>
                <w:sz w:val="24"/>
                <w14:textFill>
                  <w14:solidFill>
                    <w14:schemeClr w14:val="tx1"/>
                  </w14:solidFill>
                </w14:textFill>
              </w:rPr>
              <w:tab/>
            </w:r>
            <w:r>
              <w:rPr>
                <w:rFonts w:hint="eastAsia" w:ascii="宋体" w:hAnsi="宋体" w:eastAsia="宋体" w:cs="宋体"/>
                <w:color w:val="000000" w:themeColor="text1"/>
                <w:sz w:val="24"/>
                <w14:textFill>
                  <w14:solidFill>
                    <w14:schemeClr w14:val="tx1"/>
                  </w14:solidFill>
                </w14:textFill>
              </w:rPr>
              <w:t>钮子开关1只，指示灯10只，安全插座11只；</w:t>
            </w:r>
          </w:p>
          <w:p w14:paraId="59E2C103">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16. 自控成型机1套：钮子开关6只，指示灯10只，安全插座12只；</w:t>
            </w:r>
          </w:p>
          <w:p w14:paraId="1F9CB7FE">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17. 自动轧钢机1套：钮子开关2只，指示灯10只，安全插座11只；</w:t>
            </w:r>
          </w:p>
          <w:p w14:paraId="7DACC432">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18. 多种液体混合1套：钮子开关4只，指示灯10只，安全插座12只；</w:t>
            </w:r>
          </w:p>
          <w:p w14:paraId="4033B623">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19. 全自动洗衣机1套：点动按钮（绿色）4只，红色停止点动按钮1只，指示灯8只，安全插座13只；</w:t>
            </w:r>
          </w:p>
          <w:p w14:paraId="36D957CA">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20. 电镀生产线控制1套：直流电动机2只，滚珠丝杠1条，轴承2只，转盘1只，轴承支架2只，皮带轮1条、琴键开关1只，点动按钮3只，安全插座18只；</w:t>
            </w:r>
          </w:p>
          <w:p w14:paraId="38EDE195">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 交通灯自控与手控1套：钮子开关3只，红、绿、黄指示灯各4只，安全插座11只；</w:t>
            </w:r>
          </w:p>
          <w:p w14:paraId="72B6B085">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22. 水塔水位自动控制1套：钮子开关4只，指示灯6只，安全插座8只；</w:t>
            </w:r>
          </w:p>
          <w:p w14:paraId="7ED38734">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23. 自动送料装车系统1套：钮子开关2只，指示灯8只，安全插座12只；</w:t>
            </w:r>
          </w:p>
          <w:p w14:paraId="792175F1">
            <w:pPr>
              <w:pStyle w:val="2"/>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24. 四层电梯控制1套：直流电动机2只，滚珠丝杠1条，轴承2只，工件1只，轴承支架2只，七段数码管1只，点动按钮10只，指示灯灯14，限位装置4只、安全插座33只；</w:t>
            </w:r>
          </w:p>
          <w:p w14:paraId="5B6482DF">
            <w:pPr>
              <w:pStyle w:val="2"/>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25. 实训指导书</w:t>
            </w:r>
            <w:r>
              <w:rPr>
                <w:rFonts w:hint="eastAsia" w:ascii="宋体" w:hAnsi="宋体" w:eastAsia="宋体" w:cs="宋体"/>
                <w:color w:val="000000" w:themeColor="text1"/>
                <w:sz w:val="24"/>
                <w:lang w:val="en-US" w:eastAsia="zh-CN"/>
                <w14:textFill>
                  <w14:solidFill>
                    <w14:schemeClr w14:val="tx1"/>
                  </w14:solidFill>
                </w14:textFill>
              </w:rPr>
              <w:t>每台设备4</w:t>
            </w:r>
            <w:r>
              <w:rPr>
                <w:rFonts w:hint="eastAsia" w:ascii="宋体" w:hAnsi="宋体" w:eastAsia="宋体" w:cs="宋体"/>
                <w:color w:val="000000" w:themeColor="text1"/>
                <w:sz w:val="24"/>
                <w14:textFill>
                  <w14:solidFill>
                    <w14:schemeClr w14:val="tx1"/>
                  </w14:solidFill>
                </w14:textFill>
              </w:rPr>
              <w:t>套：可编程控制器实训指导书。</w:t>
            </w:r>
          </w:p>
        </w:tc>
        <w:tc>
          <w:tcPr>
            <w:tcW w:w="759" w:type="dxa"/>
            <w:vAlign w:val="center"/>
          </w:tcPr>
          <w:p w14:paraId="1464136D">
            <w:pPr>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10</w:t>
            </w:r>
          </w:p>
        </w:tc>
      </w:tr>
      <w:tr w14:paraId="17343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dxa"/>
          <w:trHeight w:val="321" w:hRule="atLeast"/>
        </w:trPr>
        <w:tc>
          <w:tcPr>
            <w:tcW w:w="7953" w:type="dxa"/>
            <w:gridSpan w:val="3"/>
          </w:tcPr>
          <w:p w14:paraId="42432E5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三、工业机器人实训室</w:t>
            </w:r>
          </w:p>
        </w:tc>
        <w:tc>
          <w:tcPr>
            <w:tcW w:w="759" w:type="dxa"/>
          </w:tcPr>
          <w:p w14:paraId="0336E2E4">
            <w:pPr>
              <w:jc w:val="left"/>
              <w:rPr>
                <w:rFonts w:hint="eastAsia" w:ascii="宋体" w:hAnsi="宋体" w:eastAsia="宋体" w:cs="宋体"/>
                <w:color w:val="000000" w:themeColor="text1"/>
                <w:sz w:val="24"/>
                <w:szCs w:val="24"/>
                <w14:textFill>
                  <w14:solidFill>
                    <w14:schemeClr w14:val="tx1"/>
                  </w14:solidFill>
                </w14:textFill>
              </w:rPr>
            </w:pPr>
          </w:p>
        </w:tc>
      </w:tr>
      <w:tr w14:paraId="06454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73" w:type="dxa"/>
            <w:vAlign w:val="center"/>
          </w:tcPr>
          <w:p w14:paraId="3787B569">
            <w:pPr>
              <w:jc w:val="left"/>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3</w:t>
            </w:r>
          </w:p>
        </w:tc>
        <w:tc>
          <w:tcPr>
            <w:tcW w:w="1110" w:type="dxa"/>
          </w:tcPr>
          <w:p w14:paraId="7246B405">
            <w:pPr>
              <w:jc w:val="left"/>
              <w:rPr>
                <w:rFonts w:hint="eastAsia" w:ascii="宋体" w:hAnsi="宋体" w:eastAsia="宋体" w:cs="宋体"/>
                <w:color w:val="000000" w:themeColor="text1"/>
                <w:sz w:val="24"/>
                <w:szCs w:val="24"/>
                <w14:textFill>
                  <w14:solidFill>
                    <w14:schemeClr w14:val="tx1"/>
                  </w14:solidFill>
                </w14:textFill>
              </w:rPr>
            </w:pPr>
            <w:bookmarkStart w:id="148" w:name="OLE_LINK1"/>
            <w:r>
              <w:rPr>
                <w:rFonts w:hint="eastAsia" w:ascii="宋体" w:hAnsi="宋体" w:eastAsia="宋体" w:cs="宋体"/>
                <w:color w:val="000000" w:themeColor="text1"/>
                <w:sz w:val="18"/>
                <w:szCs w:val="18"/>
                <w14:textFill>
                  <w14:solidFill>
                    <w14:schemeClr w14:val="tx1"/>
                  </w14:solidFill>
                </w14:textFill>
              </w:rPr>
              <w:t>智能制造设备技术应用平台</w:t>
            </w:r>
            <w:bookmarkEnd w:id="148"/>
          </w:p>
        </w:tc>
        <w:tc>
          <w:tcPr>
            <w:tcW w:w="6270" w:type="dxa"/>
          </w:tcPr>
          <w:p w14:paraId="0407116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1、工业机器人1台</w:t>
            </w:r>
            <w:r>
              <w:rPr>
                <w:rFonts w:hint="eastAsia" w:ascii="宋体" w:hAnsi="宋体" w:eastAsia="宋体" w:cs="宋体"/>
                <w:color w:val="000000" w:themeColor="text1"/>
                <w:sz w:val="24"/>
                <w:szCs w:val="24"/>
                <w14:textFill>
                  <w14:solidFill>
                    <w14:schemeClr w14:val="tx1"/>
                  </w14:solidFill>
                </w14:textFill>
              </w:rPr>
              <w:tab/>
            </w:r>
          </w:p>
          <w:p w14:paraId="411CF10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本体：</w:t>
            </w:r>
          </w:p>
          <w:p w14:paraId="30FB0479">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1)具有6个自由度，串联关节型工业机器人</w:t>
            </w:r>
          </w:p>
          <w:p w14:paraId="1F64AB9D">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2)工作范围</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580mm</w:t>
            </w:r>
          </w:p>
          <w:p w14:paraId="68F3D1ED">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3)额定负载</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3kg</w:t>
            </w:r>
          </w:p>
          <w:p w14:paraId="5A23205C">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4)重复定位精度0.01mm</w:t>
            </w:r>
          </w:p>
          <w:p w14:paraId="1C9C298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5)安全性包括安全停、紧急停、2通道安全回路监测、3位启动装置</w:t>
            </w:r>
          </w:p>
          <w:p w14:paraId="290771C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6)集成信号源为手腕设10路信号</w:t>
            </w:r>
          </w:p>
          <w:p w14:paraId="1DEC324C">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7)集成气源为手腕设4路空气（5bar）</w:t>
            </w:r>
          </w:p>
          <w:p w14:paraId="1B07B4A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控制器：</w:t>
            </w:r>
          </w:p>
          <w:p w14:paraId="01AD5D68">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1)采用先进的工业机器人控制软件</w:t>
            </w:r>
          </w:p>
          <w:p w14:paraId="2977ECDB">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2)采用高级工业机器人编程语言</w:t>
            </w:r>
          </w:p>
          <w:p w14:paraId="60E8E0D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3)内置16路输入/16路输出的数字量I/O模块</w:t>
            </w:r>
          </w:p>
          <w:p w14:paraId="3E0397E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示教器：</w:t>
            </w:r>
          </w:p>
          <w:p w14:paraId="5F674C2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1)图形化彩色触摸屏</w:t>
            </w:r>
          </w:p>
          <w:p w14:paraId="0DAD9112">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2)操纵杆</w:t>
            </w:r>
          </w:p>
          <w:p w14:paraId="22D13394">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3)热插拔，运行时可插拔</w:t>
            </w:r>
          </w:p>
          <w:p w14:paraId="38E2CE2D">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底座：</w:t>
            </w:r>
          </w:p>
          <w:p w14:paraId="4990D6E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1)材料铝合金</w:t>
            </w:r>
          </w:p>
          <w:p w14:paraId="39633EED">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2)尺寸</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250mm×250mm×15mm</w:t>
            </w:r>
          </w:p>
          <w:p w14:paraId="534EBDEA">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2、快换工具单元  1套</w:t>
            </w:r>
            <w:r>
              <w:rPr>
                <w:rFonts w:hint="eastAsia" w:ascii="宋体" w:hAnsi="宋体" w:eastAsia="宋体" w:cs="宋体"/>
                <w:color w:val="000000" w:themeColor="text1"/>
                <w:sz w:val="24"/>
                <w:szCs w:val="24"/>
                <w14:textFill>
                  <w14:solidFill>
                    <w14:schemeClr w14:val="tx1"/>
                  </w14:solidFill>
                </w14:textFill>
              </w:rPr>
              <w:tab/>
            </w:r>
          </w:p>
          <w:p w14:paraId="0839364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1)工具快换系统：机器人手臂安装有法兰端快换模块，可实现不同工具间无需人为干涉自动完成切换，6路气动信号，额定负载</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3kg，厚度</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38mm，重量</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125g；</w:t>
            </w:r>
          </w:p>
          <w:p w14:paraId="280B284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2)胶枪工具：含有工具端快换模块与法兰端快换模块配套，总长</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140mm，外壳为铝合金材质，可以配合轨迹图纸实现模拟零件外壳涂胶的轨迹编程实训，可更换笔芯设计且笔芯可</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10mm窜动防止碰撞损坏；</w:t>
            </w:r>
          </w:p>
          <w:p w14:paraId="6F7AF8F8">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3)夹爪工具：含有工具端快换模块与法兰端快换模块配套，可稳固抓取搬运码垛物料，总长</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140mm，夹头为铝合金材质，采用气动驱动，内径</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16mm，重复精度±0.01mm，闭合夹持力</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34N，开闭行程</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6mm；</w:t>
            </w:r>
          </w:p>
          <w:p w14:paraId="05A73BF7">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4)吸盘工具：含有工具端快换模块与法兰端快换模块配套，总长</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110mm，结构为铝合金材质，6mm直径吸盘1个，20mm直径吸盘2个，可稳固抓取各种形状的芯片零件及盖板；</w:t>
            </w:r>
          </w:p>
          <w:p w14:paraId="4C5E2F2C">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5)锁螺丝工具：含有工具端快换模块与法兰端快换模块配套，结构为铝合金材质，可实现对M4内六角螺钉的锁紧；</w:t>
            </w:r>
          </w:p>
          <w:p w14:paraId="685C88DF">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 吸盘工具1：快换工具负载为</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3kg；附带一个真空吸盘，对芯片进行吸附；工具加长处理，便于拾取芯片时避开干涉；</w:t>
            </w:r>
          </w:p>
          <w:p w14:paraId="0A59FE9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7）吸盘工具2：快换工具负载为</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3kg；具有多个吸盘对成品进行多点吸附；多个吸盘保证吸附稳定性；</w:t>
            </w:r>
          </w:p>
          <w:p w14:paraId="09390AE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8）夹取工具1：快换工具负载</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3kg；夹取气缸为三爪气缸，气动驱动，三爪具有自动定心功能，可稳定夹取；</w:t>
            </w:r>
          </w:p>
          <w:p w14:paraId="5A9B96D8">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9）夹取工具2：快换工具负载为</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3kg；夹取气缸为手指气缸，气动驱动；</w:t>
            </w:r>
          </w:p>
          <w:p w14:paraId="267F129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10）TCP校准工具：用于机器人参数标定。</w:t>
            </w:r>
          </w:p>
          <w:p w14:paraId="0411539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3、码垛单元   1套</w:t>
            </w:r>
            <w:r>
              <w:rPr>
                <w:rFonts w:hint="eastAsia" w:ascii="宋体" w:hAnsi="宋体" w:eastAsia="宋体" w:cs="宋体"/>
                <w:color w:val="000000" w:themeColor="text1"/>
                <w:sz w:val="24"/>
                <w:szCs w:val="24"/>
                <w14:textFill>
                  <w14:solidFill>
                    <w14:schemeClr w14:val="tx1"/>
                  </w14:solidFill>
                </w14:textFill>
              </w:rPr>
              <w:tab/>
            </w:r>
          </w:p>
          <w:p w14:paraId="0D5EEC19">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1)原料台由铝型材配合碳钢导槽构成，利用高度差实现物料自动排列，可满足最多6个物料的存储</w:t>
            </w:r>
          </w:p>
          <w:p w14:paraId="09FE675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2)码垛台由台面和支撑构成，台面为POM，尺寸</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110mm×110mm×15mm，采用铝合金型材支撑，高度</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160mm，可满足多种形式的码垛</w:t>
            </w:r>
          </w:p>
          <w:p w14:paraId="33DFC20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3)包含模拟物料，材质POM，尺寸</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65mm×32.5mm×15mm，数量6个，采用工形设计方便夹爪夹持，可实现在两个码垛台间的搬运、码垛实训。</w:t>
            </w:r>
          </w:p>
          <w:p w14:paraId="5B991B0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4、视觉检测单元   1套</w:t>
            </w:r>
            <w:r>
              <w:rPr>
                <w:rFonts w:hint="eastAsia" w:ascii="宋体" w:hAnsi="宋体" w:eastAsia="宋体" w:cs="宋体"/>
                <w:color w:val="000000" w:themeColor="text1"/>
                <w:sz w:val="24"/>
                <w:szCs w:val="24"/>
                <w14:textFill>
                  <w14:solidFill>
                    <w14:schemeClr w14:val="tx1"/>
                  </w14:solidFill>
                </w14:textFill>
              </w:rPr>
              <w:tab/>
            </w:r>
          </w:p>
          <w:p w14:paraId="4F8077E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1)视觉检测采用CCD拍照检测，有效像素数</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1600×1200，彩色检测，摄像面积</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7.1mm×5.4mm，场景数</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128个，可存储图像数</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43张，可利用流程编辑功能制作处理流程，支持串行RS-232C和网络Ethernet通讯，提供高速输入1点、高速输出4点、通用输入9点和通用输出23点的并行通信，提供DVI-I监控输出</w:t>
            </w:r>
          </w:p>
          <w:p w14:paraId="7F3F320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2)提供环形光源，内圆直径≥76mm，外圆直径</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120mm，供电电压24V</w:t>
            </w:r>
          </w:p>
          <w:p w14:paraId="71F26002">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3)视觉检测结果和采集图像信息通过显示器即时显示，方便视觉检测参数调整和状态监控。</w:t>
            </w:r>
          </w:p>
          <w:p w14:paraId="2167A6AC">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5、装配检测单元  1套</w:t>
            </w:r>
            <w:r>
              <w:rPr>
                <w:rFonts w:hint="eastAsia" w:ascii="宋体" w:hAnsi="宋体" w:eastAsia="宋体" w:cs="宋体"/>
                <w:color w:val="000000" w:themeColor="text1"/>
                <w:sz w:val="24"/>
                <w:szCs w:val="24"/>
                <w14:textFill>
                  <w14:solidFill>
                    <w14:schemeClr w14:val="tx1"/>
                  </w14:solidFill>
                </w14:textFill>
              </w:rPr>
              <w:tab/>
            </w:r>
          </w:p>
          <w:p w14:paraId="3C562D8B">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1)安装检测单元内含4个功能相同的装配检测工位，可与工业机器人配合完成PCB异形芯片的安装及检测功能，4个工位的安装由铝型材搭建的框架支撑</w:t>
            </w:r>
          </w:p>
          <w:p w14:paraId="49FDBF2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2)安装检测工位整体尺寸为</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410mm×190mm×180mm，结构为铝合金材质，分为底板、安装平台和检测支架</w:t>
            </w:r>
          </w:p>
          <w:p w14:paraId="27F434B9">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3)安装平台安装在双列线性滑轨上，宽度</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9mm，长度</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300mm，采用气动驱动，内径</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16mm，有效行程</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200mm，安全保持力</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140N</w:t>
            </w:r>
          </w:p>
          <w:p w14:paraId="6963ADBB">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4)检测支架升降由气动驱动，内径</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16mm，有效行程</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20mm，安装有LED导光板，尺寸为</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100mm×100mm×1.5mm，可在检测过程中亮起</w:t>
            </w:r>
          </w:p>
          <w:p w14:paraId="07DB9002">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5)底板安装有红、绿两色指示灯，用于在检测完成后提示安装是否有误、芯片是否有缺陷。</w:t>
            </w:r>
          </w:p>
          <w:p w14:paraId="645A03C9">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6、螺丝供料单元  1套</w:t>
            </w:r>
            <w:r>
              <w:rPr>
                <w:rFonts w:hint="eastAsia" w:ascii="宋体" w:hAnsi="宋体" w:eastAsia="宋体" w:cs="宋体"/>
                <w:color w:val="000000" w:themeColor="text1"/>
                <w:sz w:val="24"/>
                <w:szCs w:val="24"/>
                <w14:textFill>
                  <w14:solidFill>
                    <w14:schemeClr w14:val="tx1"/>
                  </w14:solidFill>
                </w14:textFill>
              </w:rPr>
              <w:tab/>
            </w:r>
          </w:p>
          <w:p w14:paraId="7496AFC0">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1）采用全自动设计，旋转式分料设计，螺丝供给速度快，机器震动小，稳定的螺丝供料和取料效果</w:t>
            </w:r>
          </w:p>
          <w:p w14:paraId="48B4F29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2）供料速率约为1粒/秒</w:t>
            </w:r>
          </w:p>
          <w:p w14:paraId="68505FBB">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3）可实现对M4内六角螺钉的稳定供料</w:t>
            </w:r>
          </w:p>
          <w:p w14:paraId="4CBA5AD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4）外形尺寸</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205.5mm×149mm×122.4mm，净重</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3kg</w:t>
            </w:r>
          </w:p>
          <w:p w14:paraId="6F784CC7">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7、原料料库   1套</w:t>
            </w:r>
            <w:r>
              <w:rPr>
                <w:rFonts w:hint="eastAsia" w:ascii="宋体" w:hAnsi="宋体" w:eastAsia="宋体" w:cs="宋体"/>
                <w:color w:val="000000" w:themeColor="text1"/>
                <w:sz w:val="24"/>
                <w:szCs w:val="24"/>
                <w14:textFill>
                  <w14:solidFill>
                    <w14:schemeClr w14:val="tx1"/>
                  </w14:solidFill>
                </w14:textFill>
              </w:rPr>
              <w:tab/>
            </w:r>
          </w:p>
          <w:p w14:paraId="533EEFD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1)单层共4个料区，可分别用于存放异形芯片零件、盖板和PCB电路板</w:t>
            </w:r>
          </w:p>
          <w:p w14:paraId="224225F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2)整体弧形设计，内圆半径</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500mm，方便机器人抓取物料。</w:t>
            </w:r>
          </w:p>
          <w:p w14:paraId="35DF545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8、操控面板    1套</w:t>
            </w:r>
            <w:r>
              <w:rPr>
                <w:rFonts w:hint="eastAsia" w:ascii="宋体" w:hAnsi="宋体" w:eastAsia="宋体" w:cs="宋体"/>
                <w:color w:val="000000" w:themeColor="text1"/>
                <w:sz w:val="24"/>
                <w:szCs w:val="24"/>
                <w14:textFill>
                  <w14:solidFill>
                    <w14:schemeClr w14:val="tx1"/>
                  </w14:solidFill>
                </w14:textFill>
              </w:rPr>
              <w:tab/>
            </w:r>
          </w:p>
          <w:p w14:paraId="1D661FAD">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1)提供工作站启动、停止、模式控制和急停按钮，可实现对设备运行操作；</w:t>
            </w:r>
          </w:p>
          <w:p w14:paraId="1DC3A900">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2)提供故障及设备运行状态指示灯；</w:t>
            </w:r>
          </w:p>
          <w:p w14:paraId="2417421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3)提供多个故障设置点，可模拟不同情况下的故障；</w:t>
            </w:r>
          </w:p>
          <w:p w14:paraId="7DD40FD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4)提供多个电路信号及气路信号的快接插口，可以方便完成电气接线及调试训练；</w:t>
            </w:r>
          </w:p>
          <w:p w14:paraId="2CBCD2C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5)包含工业HMI触摸屏作为人机交互接口，显示器为7英寸TFT，分辨率800×480，亮度350，对比度500:1，背光类型LED，触控面板类型为4线电阻式，Flash存储器128MB，RAM存储器为128MB，处理器为 ARM RISC 528MHz，提供RS-232和RS-485串行接口。</w:t>
            </w:r>
          </w:p>
          <w:p w14:paraId="0A814858">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9、总控系统   1套</w:t>
            </w:r>
            <w:r>
              <w:rPr>
                <w:rFonts w:hint="eastAsia" w:ascii="宋体" w:hAnsi="宋体" w:eastAsia="宋体" w:cs="宋体"/>
                <w:color w:val="000000" w:themeColor="text1"/>
                <w:sz w:val="24"/>
                <w:szCs w:val="24"/>
                <w14:textFill>
                  <w14:solidFill>
                    <w14:schemeClr w14:val="tx1"/>
                  </w14:solidFill>
                </w14:textFill>
              </w:rPr>
              <w:tab/>
            </w:r>
          </w:p>
          <w:p w14:paraId="799D5D28">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1)采用高性能PLC实现集成控制，知名品牌，模块化设计，支持最多6个模块扩展，方便升级；</w:t>
            </w:r>
          </w:p>
          <w:p w14:paraId="24C4B228">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2)电气控制元件采用知名品牌优质产品，包含滤波、短路保险等安全机制；</w:t>
            </w:r>
          </w:p>
          <w:p w14:paraId="1F2CBE3B">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3)工作台正面提供运行安全装置，采用光栅传感器，光轴数量8，光轴间距</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40mm；</w:t>
            </w:r>
          </w:p>
          <w:p w14:paraId="7BAD1299">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4)操作过程可通过摄像头采集记录，焦距2.8mm，焦段广角，清晰度720p，感光面积1/3英寸，IP66防水防尘，可通过WiFi连接云端监控，监控信息可存储在扩展存储卡中；</w:t>
            </w:r>
          </w:p>
          <w:p w14:paraId="18DB5F1F">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5)供气系统功率600W，排气量118L/min，储气罐24L，噪音52db，静音无油，配套知名品牌气路控制元件和真空元件，2套气泵。</w:t>
            </w:r>
          </w:p>
          <w:p w14:paraId="05A7DA7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10、设备架体单元</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1台</w:t>
            </w:r>
          </w:p>
          <w:p w14:paraId="38675B84">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设备架体单元1</w:t>
            </w:r>
          </w:p>
          <w:p w14:paraId="478B48B7">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1)铝合金框架，有机玻璃门，碳钢钣金侧板及底板，正面和背面可打开存放设备及物品；</w:t>
            </w:r>
          </w:p>
          <w:p w14:paraId="35ED921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2)铝型材架体尺寸</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2200mm×1200mm×700mm；</w:t>
            </w:r>
          </w:p>
          <w:p w14:paraId="18F2558D">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3)安装台面为铝合金T型槽，台面尺寸</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2100mm×1100mm，厚度</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20mm；</w:t>
            </w:r>
          </w:p>
          <w:p w14:paraId="69F4B21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4)底部安装有万向脚轮和固定支撑，方便移动和固定。</w:t>
            </w:r>
          </w:p>
          <w:p w14:paraId="6CC7A58C">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设备架体单元2</w:t>
            </w:r>
          </w:p>
          <w:p w14:paraId="6244CCF9">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1）铝型材架体尺寸</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900mm*1200mm*700mm</w:t>
            </w:r>
          </w:p>
          <w:p w14:paraId="083EDD1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，输入电压：单相220V；</w:t>
            </w:r>
          </w:p>
          <w:p w14:paraId="4BBE277A">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2）按钮、开关及指示灯 </w:t>
            </w:r>
          </w:p>
          <w:p w14:paraId="337E800C">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 停止按钮×1 ；启动按钮×1 ；急停按钮×1 ；电源开关×1 ；三色灯×1 ；交换机 ×1 。</w:t>
            </w:r>
          </w:p>
          <w:p w14:paraId="06B63ED0">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11、协作机器人   1台</w:t>
            </w:r>
            <w:r>
              <w:rPr>
                <w:rFonts w:hint="eastAsia" w:ascii="宋体" w:hAnsi="宋体" w:eastAsia="宋体" w:cs="宋体"/>
                <w:color w:val="000000" w:themeColor="text1"/>
                <w:sz w:val="24"/>
                <w:szCs w:val="24"/>
                <w14:textFill>
                  <w14:solidFill>
                    <w14:schemeClr w14:val="tx1"/>
                  </w14:solidFill>
                </w14:textFill>
              </w:rPr>
              <w:tab/>
            </w:r>
          </w:p>
          <w:p w14:paraId="04F7205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不低于以下配置要求</w:t>
            </w:r>
          </w:p>
          <w:p w14:paraId="4304DC0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六轴协作机器人×1：</w:t>
            </w:r>
          </w:p>
          <w:p w14:paraId="55EF9D00">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1)具有6个自由度，串联关节型协作机器人；</w:t>
            </w:r>
          </w:p>
          <w:p w14:paraId="6904BFC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2)工作半径</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706mm；</w:t>
            </w:r>
          </w:p>
          <w:p w14:paraId="2CBEA64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3)额定负载≥3kg；</w:t>
            </w:r>
          </w:p>
          <w:p w14:paraId="2E33517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4)重复定位精度≤0.02mm； </w:t>
            </w:r>
          </w:p>
          <w:p w14:paraId="37B9371C">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5)轴1工作范围+175°~-175°，最大速度180°/s；</w:t>
            </w:r>
          </w:p>
          <w:p w14:paraId="72D4C41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6)轴2工作范围-155°~+140°，最大速度180°/s；</w:t>
            </w:r>
          </w:p>
          <w:p w14:paraId="5E044A8C">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7)轴3工作范围-175°~+135°，最大速度180°/s；</w:t>
            </w:r>
          </w:p>
          <w:p w14:paraId="1B07CD60">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8) 轴4工作范围+175°~-175°，最大速度180°/s；</w:t>
            </w:r>
          </w:p>
          <w:p w14:paraId="257099B2">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9) 轴5工作范围+175°~-175°，最大速度180°/s；</w:t>
            </w:r>
          </w:p>
          <w:p w14:paraId="75523C52">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10)轴6工作范围+175°~-175°，最大速度180°/s；</w:t>
            </w:r>
          </w:p>
          <w:p w14:paraId="2F423488">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11)力控相对精度：平均0.5N，峰值0.1Nm；</w:t>
            </w:r>
          </w:p>
          <w:p w14:paraId="620EDD57">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12)力测量分辨率：平均0.1N，峰值0.02Nm；</w:t>
            </w:r>
          </w:p>
          <w:p w14:paraId="795C810D">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13)防护等级;IP54；</w:t>
            </w:r>
          </w:p>
          <w:p w14:paraId="1544AB7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14)噪声水平：≤70dB(A)；</w:t>
            </w:r>
          </w:p>
          <w:p w14:paraId="76FDF41F">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15)安全性：外接急停 1 路；</w:t>
            </w:r>
          </w:p>
          <w:p w14:paraId="3726120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16)工具I/O端口：2路数字输入， 2路数字输出， 2路模拟输入；</w:t>
            </w:r>
          </w:p>
          <w:p w14:paraId="1A2913A2">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17)工具I/O电源：（1）12V/24V 1A （2）5V 1.5A；</w:t>
            </w:r>
          </w:p>
          <w:p w14:paraId="1A076DF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18)控制柜I/O端口：4路数字输入，4路数字输出；</w:t>
            </w:r>
          </w:p>
          <w:p w14:paraId="05C8234B">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19)控制柜通讯接口: 2路 Ethernet；</w:t>
            </w:r>
          </w:p>
          <w:p w14:paraId="4592B08A">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20)控制柜输出电源：24V 1.5A；</w:t>
            </w:r>
          </w:p>
          <w:p w14:paraId="1DA29597">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21)拖动示教功能: 拖动方式： 笛卡尔空间 / 轴空间； 示教方式： 点位 / 连续轨迹</w:t>
            </w:r>
          </w:p>
          <w:p w14:paraId="10C87B82">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22)高动态力控: 笛卡尔空间 / 轴空间阻抗控制； 力控搜索运动规划；</w:t>
            </w:r>
          </w:p>
          <w:p w14:paraId="042F3B49">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23)通讯协议: TCP/IP 1000Mbit, Modbus TCP, Profinet, Ethernet/IP，DeviceNet,CC-Link，CC-Link IE Field Basic；</w:t>
            </w:r>
          </w:p>
          <w:p w14:paraId="377D09FD">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24)电源电压：48VDC；</w:t>
            </w:r>
          </w:p>
          <w:p w14:paraId="46EB5619">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25)功耗：平均：160w,峰值：500w。</w:t>
            </w:r>
          </w:p>
          <w:p w14:paraId="0D03D8C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12、皮带输送单元</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1套</w:t>
            </w:r>
            <w:r>
              <w:rPr>
                <w:rFonts w:hint="eastAsia" w:ascii="宋体" w:hAnsi="宋体" w:eastAsia="宋体" w:cs="宋体"/>
                <w:color w:val="000000" w:themeColor="text1"/>
                <w:sz w:val="24"/>
                <w:szCs w:val="24"/>
                <w14:textFill>
                  <w14:solidFill>
                    <w14:schemeClr w14:val="tx1"/>
                  </w14:solidFill>
                </w14:textFill>
              </w:rPr>
              <w:tab/>
            </w:r>
          </w:p>
          <w:p w14:paraId="62BE131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不低于以下要求：</w:t>
            </w:r>
          </w:p>
          <w:p w14:paraId="44B20E7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 平皮带传动，宽度</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200mm，输送速度可调；</w:t>
            </w:r>
          </w:p>
          <w:p w14:paraId="0B1F5707">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2.直流减速电机×1</w:t>
            </w:r>
          </w:p>
          <w:p w14:paraId="168D4EE0">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1)电压24V；</w:t>
            </w:r>
          </w:p>
          <w:p w14:paraId="5350254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2)功率30w；</w:t>
            </w:r>
          </w:p>
          <w:p w14:paraId="4B8E940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3.气缸定位机构 ×2</w:t>
            </w:r>
          </w:p>
          <w:p w14:paraId="7E1AECE8">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通过气缸伸缩对托盘进行定位，气缸缸径为</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10mm，行程为</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40mm；</w:t>
            </w:r>
          </w:p>
          <w:p w14:paraId="4698A3A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4.光电开关×2</w:t>
            </w:r>
          </w:p>
          <w:p w14:paraId="7DF954B9">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1)形式为距离设定型；</w:t>
            </w:r>
          </w:p>
          <w:p w14:paraId="0BECB3FC">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2)距离设定范围20-40mm（BGS min设定），20-200mm（BGS max设定）；</w:t>
            </w:r>
          </w:p>
          <w:p w14:paraId="2C4278EA">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5.编码器 ×1</w:t>
            </w:r>
          </w:p>
          <w:p w14:paraId="6B4D234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1)脉冲数：60P/R-2000P/R；</w:t>
            </w:r>
          </w:p>
          <w:p w14:paraId="1F593B9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2)保护回路：负载短路保护：</w:t>
            </w:r>
          </w:p>
          <w:p w14:paraId="785E08A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3)防护等级：P65：</w:t>
            </w:r>
          </w:p>
          <w:p w14:paraId="75D645E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13、芯片供料单元</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1套</w:t>
            </w:r>
            <w:r>
              <w:rPr>
                <w:rFonts w:hint="eastAsia" w:ascii="宋体" w:hAnsi="宋体" w:eastAsia="宋体" w:cs="宋体"/>
                <w:color w:val="000000" w:themeColor="text1"/>
                <w:sz w:val="24"/>
                <w:szCs w:val="24"/>
                <w14:textFill>
                  <w14:solidFill>
                    <w14:schemeClr w14:val="tx1"/>
                  </w14:solidFill>
                </w14:textFill>
              </w:rPr>
              <w:tab/>
            </w:r>
          </w:p>
          <w:p w14:paraId="15DFDA1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1.芯片料盒 ×1            </w:t>
            </w:r>
          </w:p>
          <w:p w14:paraId="7810156A">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1)料盒结构形式为喇叭口形式；</w:t>
            </w:r>
          </w:p>
          <w:p w14:paraId="09DD798C">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2)具有振动功能，通过气缸伸缩进行驱动，对芯片进行无序排列；</w:t>
            </w:r>
          </w:p>
          <w:p w14:paraId="44C511C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2.光源 ×2</w:t>
            </w:r>
          </w:p>
          <w:p w14:paraId="5F86DC6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1)光源形式为条形；</w:t>
            </w:r>
          </w:p>
          <w:p w14:paraId="767481D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2)功耗24V/5W,</w:t>
            </w:r>
          </w:p>
          <w:p w14:paraId="5DD5CA5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3.光源控制器 ×1</w:t>
            </w:r>
          </w:p>
          <w:p w14:paraId="035FA48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1)电源接口：220VAC；</w:t>
            </w:r>
          </w:p>
          <w:p w14:paraId="6AA2962C">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2)输出电压：24V；</w:t>
            </w:r>
          </w:p>
          <w:p w14:paraId="35BC16B0">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3)可通过光源控制器对光源进行调整；</w:t>
            </w:r>
          </w:p>
          <w:p w14:paraId="5DF32C5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4.芯片翻转机构 ×1</w:t>
            </w:r>
          </w:p>
          <w:p w14:paraId="35EC8702">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1)通过夹爪气缸对芯片进行夹紧，旋转气缸进行旋转，机器人对芯片进行真空吸附；</w:t>
            </w:r>
          </w:p>
          <w:p w14:paraId="34F1203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2)气缸形式为手指气缸；</w:t>
            </w:r>
          </w:p>
          <w:p w14:paraId="1E24C3A8">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5.芯片定位机构×1</w:t>
            </w:r>
          </w:p>
          <w:p w14:paraId="16C4BDB4">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1)定位面具有一定斜度，利用芯片自重进行精确定位；</w:t>
            </w:r>
          </w:p>
          <w:p w14:paraId="5D24F7A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2)定位面进行精加工处理，降低摩擦阻力，便于芯片定位；</w:t>
            </w:r>
          </w:p>
          <w:p w14:paraId="79EBF958">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14、料库单元     1套</w:t>
            </w:r>
          </w:p>
          <w:p w14:paraId="2C5B64F0">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1)料库由铝合金板材拼接而成，具有4个料位；</w:t>
            </w:r>
          </w:p>
          <w:p w14:paraId="627AAB77">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2)每个库位具有光电开关，可进行工件有无检测；</w:t>
            </w:r>
          </w:p>
          <w:p w14:paraId="3425430F">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3)工件定位尺寸进行加大处理，方便工件出入料库。</w:t>
            </w:r>
          </w:p>
          <w:p w14:paraId="4628EF8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15、3D视觉检测单元</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 xml:space="preserve">   1套</w:t>
            </w:r>
            <w:r>
              <w:rPr>
                <w:rFonts w:hint="eastAsia" w:ascii="宋体" w:hAnsi="宋体" w:eastAsia="宋体" w:cs="宋体"/>
                <w:color w:val="000000" w:themeColor="text1"/>
                <w:sz w:val="24"/>
                <w:szCs w:val="24"/>
                <w14:textFill>
                  <w14:solidFill>
                    <w14:schemeClr w14:val="tx1"/>
                  </w14:solidFill>
                </w14:textFill>
              </w:rPr>
              <w:tab/>
            </w:r>
          </w:p>
          <w:p w14:paraId="31A8D60C">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1.深度视觉相机×1 </w:t>
            </w:r>
          </w:p>
          <w:p w14:paraId="01EC0D39">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1)理想范围：0.2m-5m；</w:t>
            </w:r>
          </w:p>
          <w:p w14:paraId="64225CF9">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2)数据传输接口：USB 3.0；</w:t>
            </w:r>
          </w:p>
          <w:p w14:paraId="0138E66F">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3)通信/供电方式:Type-C；</w:t>
            </w:r>
          </w:p>
          <w:p w14:paraId="7A7861FA">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4)工作湿度：5% - 95%RH；</w:t>
            </w:r>
          </w:p>
          <w:p w14:paraId="14EFACAD">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5)相对精度：≤ 2% (1280x800@2m &amp; 81% ROI)；</w:t>
            </w:r>
          </w:p>
          <w:p w14:paraId="4EEE144F">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6)安全性：Class1 激光；</w:t>
            </w:r>
          </w:p>
          <w:p w14:paraId="4FA362A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7)散热方式：被动散热；</w:t>
            </w:r>
          </w:p>
          <w:p w14:paraId="02E6FDF8">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2.条形光源 ×1 </w:t>
            </w:r>
          </w:p>
          <w:p w14:paraId="73AF8A3A">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1)颜色;W/B/R；</w:t>
            </w:r>
          </w:p>
          <w:p w14:paraId="7819833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2)供电接口类型：SMR-03V-B；</w:t>
            </w:r>
          </w:p>
          <w:p w14:paraId="377D675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3)外形尺寸：</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57x18x27mm；</w:t>
            </w:r>
          </w:p>
          <w:p w14:paraId="2E275DB4">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4)工作温度：0-40°；</w:t>
            </w:r>
          </w:p>
          <w:p w14:paraId="508656B0">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5)存储温度：-20-60°C；</w:t>
            </w:r>
          </w:p>
          <w:p w14:paraId="3F5BB6AF">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6)湿度：20-85％RH；</w:t>
            </w:r>
          </w:p>
          <w:p w14:paraId="112B378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16、缓存单元     1套</w:t>
            </w:r>
            <w:r>
              <w:rPr>
                <w:rFonts w:hint="eastAsia" w:ascii="宋体" w:hAnsi="宋体" w:eastAsia="宋体" w:cs="宋体"/>
                <w:color w:val="000000" w:themeColor="text1"/>
                <w:sz w:val="24"/>
                <w:szCs w:val="24"/>
                <w14:textFill>
                  <w14:solidFill>
                    <w14:schemeClr w14:val="tx1"/>
                  </w14:solidFill>
                </w14:textFill>
              </w:rPr>
              <w:tab/>
            </w:r>
          </w:p>
          <w:p w14:paraId="7FBACE1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1）.由型材与铝合金板材拼接而成，可定位芯片。</w:t>
            </w:r>
          </w:p>
          <w:p w14:paraId="7504BCE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2）.下方具有安装板，可快速拆卸；</w:t>
            </w:r>
          </w:p>
          <w:p w14:paraId="70B39AC4">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17、行星齿轮装配单元       1套</w:t>
            </w:r>
            <w:r>
              <w:rPr>
                <w:rFonts w:hint="eastAsia" w:ascii="宋体" w:hAnsi="宋体" w:eastAsia="宋体" w:cs="宋体"/>
                <w:color w:val="000000" w:themeColor="text1"/>
                <w:sz w:val="24"/>
                <w:szCs w:val="24"/>
                <w14:textFill>
                  <w14:solidFill>
                    <w14:schemeClr w14:val="tx1"/>
                  </w14:solidFill>
                </w14:textFill>
              </w:rPr>
              <w:tab/>
            </w:r>
          </w:p>
          <w:p w14:paraId="2A7CD3DB">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1）.行星齿轮包括三个行星轮，一个太阳轮；</w:t>
            </w:r>
          </w:p>
          <w:p w14:paraId="23416D96">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2）.每个齿轮具有单独的定位位置；</w:t>
            </w:r>
          </w:p>
          <w:p w14:paraId="7B139A54">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3）.齿轮材质为不锈钢材质；</w:t>
            </w:r>
          </w:p>
          <w:p w14:paraId="5823DBDC">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4）.所有齿轮齿形为渐开线齿形，便于生产制造。</w:t>
            </w:r>
          </w:p>
          <w:p w14:paraId="109CE2F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18、2D轨迹训练单元  1套</w:t>
            </w:r>
            <w:r>
              <w:rPr>
                <w:rFonts w:hint="eastAsia" w:ascii="宋体" w:hAnsi="宋体" w:eastAsia="宋体" w:cs="宋体"/>
                <w:color w:val="000000" w:themeColor="text1"/>
                <w:sz w:val="24"/>
                <w:szCs w:val="24"/>
                <w14:textFill>
                  <w14:solidFill>
                    <w14:schemeClr w14:val="tx1"/>
                  </w14:solidFill>
                </w14:textFill>
              </w:rPr>
              <w:tab/>
            </w:r>
          </w:p>
          <w:p w14:paraId="5D234077">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1）2D轨迹训练为平面轨迹；</w:t>
            </w:r>
          </w:p>
          <w:p w14:paraId="5656906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2）平面轨迹上有不同的图形，位置可以调节。</w:t>
            </w:r>
          </w:p>
          <w:p w14:paraId="41820E49">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19、3D轨迹训练单元</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 xml:space="preserve">   1套</w:t>
            </w:r>
          </w:p>
          <w:p w14:paraId="00662DE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1）3D轨迹训练为空间轨迹；</w:t>
            </w:r>
          </w:p>
          <w:p w14:paraId="6C9DE28C">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2）空间轨迹训练为相贯的两个圆柱体。</w:t>
            </w:r>
          </w:p>
          <w:p w14:paraId="5EAC228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20、加工单元</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1套</w:t>
            </w:r>
          </w:p>
          <w:p w14:paraId="64D1ABC2">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1）2个电动工具，可分别对零件表面进行加工、打磨；</w:t>
            </w:r>
          </w:p>
          <w:p w14:paraId="529594A0">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2）电动工具位置可以旋转，角度可调。</w:t>
            </w:r>
          </w:p>
          <w:p w14:paraId="1322509A">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21、RFID检测模块</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1套</w:t>
            </w:r>
            <w:r>
              <w:rPr>
                <w:rFonts w:hint="eastAsia" w:ascii="宋体" w:hAnsi="宋体" w:eastAsia="宋体" w:cs="宋体"/>
                <w:color w:val="000000" w:themeColor="text1"/>
                <w:sz w:val="24"/>
                <w:szCs w:val="24"/>
                <w14:textFill>
                  <w14:solidFill>
                    <w14:schemeClr w14:val="tx1"/>
                  </w14:solidFill>
                </w14:textFill>
              </w:rPr>
              <w:tab/>
            </w:r>
          </w:p>
          <w:p w14:paraId="2FF8C89F">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RFID检测模块×1</w:t>
            </w:r>
          </w:p>
          <w:p w14:paraId="353926DB">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 感应头通过无线电讯号与标签之间进行非接触式的数据通信，读取或写入标签数据；</w:t>
            </w:r>
          </w:p>
          <w:p w14:paraId="75F0F83D">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2)读写头与上位机采用Modbus-TCP通讯；</w:t>
            </w:r>
          </w:p>
          <w:p w14:paraId="0DF697C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3)标签最多可存储112字节数据；</w:t>
            </w:r>
          </w:p>
          <w:p w14:paraId="25A95E57">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4)感应头固定在可以调节位置的支架上。</w:t>
            </w:r>
          </w:p>
          <w:p w14:paraId="3D37B4B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22、附件</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1套</w:t>
            </w:r>
            <w:r>
              <w:rPr>
                <w:rFonts w:hint="eastAsia" w:ascii="宋体" w:hAnsi="宋体" w:eastAsia="宋体" w:cs="宋体"/>
                <w:color w:val="000000" w:themeColor="text1"/>
                <w:sz w:val="24"/>
                <w:szCs w:val="24"/>
                <w14:textFill>
                  <w14:solidFill>
                    <w14:schemeClr w14:val="tx1"/>
                  </w14:solidFill>
                </w14:textFill>
              </w:rPr>
              <w:tab/>
            </w:r>
          </w:p>
          <w:p w14:paraId="2C6B366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1)电子产品PCB电路板由异形芯片零件、PCB电路板和盖板组成，PCB电路板和盖板由螺丝紧固；</w:t>
            </w:r>
          </w:p>
          <w:p w14:paraId="7469435F">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2)异形芯片零件，包括圆形、小矩形等不同形状和不同颜色的芯片，用以代表电容、三极管等元件；PCB板（含RFID芯片）8套；印有“CPU”芯片，四种颜色，每种2件；印有“集成电路”芯片，四种颜色，每种2件；</w:t>
            </w:r>
          </w:p>
          <w:p w14:paraId="0F3131F5">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3)盖板，尺寸</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120mm×120mm，厚</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5mm，外壳雕刻文字代表不同电子产品，四角提供螺钉孔，数量8套；</w:t>
            </w:r>
          </w:p>
          <w:p w14:paraId="5BAF0C7E">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4）涂胶板2套；</w:t>
            </w:r>
          </w:p>
          <w:p w14:paraId="65342C4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5）机器人端电气快插接头；</w:t>
            </w:r>
          </w:p>
          <w:p w14:paraId="0A3EA279">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6）三色灯1套；</w:t>
            </w:r>
          </w:p>
          <w:p w14:paraId="3ED32FE3">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 xml:space="preserve">7）中转盘2套； </w:t>
            </w:r>
          </w:p>
          <w:p w14:paraId="2306C7A4">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8）视觉标定板1套。</w:t>
            </w:r>
          </w:p>
          <w:p w14:paraId="53491654">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23、配套设备2台:</w:t>
            </w:r>
          </w:p>
          <w:p w14:paraId="20252BD1">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图形工作站:CPU不低于17-14700k/运行内存:不低于32G/机械不低于1T/固态不低于512G/DVDRW/独立显卡:不低于RTX30508G/WIN11/14L机箱云教室23.8</w:t>
            </w:r>
          </w:p>
          <w:p w14:paraId="17E5CAC7">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24、配套工具</w:t>
            </w:r>
            <w:r>
              <w:rPr>
                <w:rFonts w:hint="eastAsia" w:ascii="宋体" w:hAnsi="宋体" w:eastAsia="宋体" w:cs="宋体"/>
                <w:color w:val="000000" w:themeColor="text1"/>
                <w:sz w:val="24"/>
                <w:szCs w:val="24"/>
                <w14:textFill>
                  <w14:solidFill>
                    <w14:schemeClr w14:val="tx1"/>
                  </w14:solidFill>
                </w14:textFill>
              </w:rPr>
              <w:tab/>
            </w:r>
            <w:r>
              <w:rPr>
                <w:rFonts w:hint="eastAsia" w:ascii="宋体" w:hAnsi="宋体" w:eastAsia="宋体" w:cs="宋体"/>
                <w:color w:val="000000" w:themeColor="text1"/>
                <w:sz w:val="24"/>
                <w:szCs w:val="24"/>
                <w14:textFill>
                  <w14:solidFill>
                    <w14:schemeClr w14:val="tx1"/>
                  </w14:solidFill>
                </w14:textFill>
              </w:rPr>
              <w:t>1套</w:t>
            </w:r>
            <w:r>
              <w:rPr>
                <w:rFonts w:hint="eastAsia" w:ascii="宋体" w:hAnsi="宋体" w:eastAsia="宋体" w:cs="宋体"/>
                <w:color w:val="000000" w:themeColor="text1"/>
                <w:sz w:val="24"/>
                <w:szCs w:val="24"/>
                <w14:textFill>
                  <w14:solidFill>
                    <w14:schemeClr w14:val="tx1"/>
                  </w14:solidFill>
                </w14:textFill>
              </w:rPr>
              <w:tab/>
            </w:r>
          </w:p>
          <w:p w14:paraId="5BFC3BCD">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提供安装、调试工作站所需工具一套，包括：工具箱2个、内六角扳手2套、250mm活动扳手2把、17mm/19mm开口扳手2把、13mm开口扳手1把、5.5mm开口扳手1把、螺丝刀2套、5米卷尺1个、斜口钳2把、Y型端子钳1把、裸端型端子钳1把、剥线钳1把、美工刀2把、万用表2个、PLC编程线1根、触摸屏编程线1根、程序拷贝U盘1个、10米卷尺1个。</w:t>
            </w:r>
          </w:p>
          <w:p w14:paraId="06223F1B">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24、配套工业机器人离线编程软件2套</w:t>
            </w:r>
          </w:p>
          <w:p w14:paraId="7AFB48AF">
            <w:pPr>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1）正版软件，中文界面，可提供持续的中文技术支持服务，软件可使用所有功能模块，界面无“试用版”字样；</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2）软件提供了100个以上品牌、多种不同型号的工业机器人进行场景搭建、轨迹规划、运动仿真和程序代码生成等操作；</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3）轨迹生成基于CAD数据、可通过拾取实体模型、曲面或曲线等模型特征快速生成设备运动轨迹，简化了轨迹生成过程，大大提高轨迹生成精度和效率；</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4）软件可实现对工业机器人本体、导轨及变位机设备的自定义，同时支持多轴机器人的定义、轨迹生成及仿真，如4轴、8轴、10轴等；</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5）软件支持对工业机器人法兰工具、快换机构、外部工具的自定义，并且支持变位夹具设定多种姿态，如可以将一个变位夹具定义成直、弯两种状态。</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6）对生成的轨迹可进行分组管理，对不同轨迹组可以实现注释、删除等操作,实现对相似轨迹的统一管理；</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7）支持将仿真结果输出为3D仿真动画并上传云端自动生成二维码和链接，手机扫描二维码可缩放、平移仿真界面查看仿真流程，浏览器打开链接可以直接播放仿真流程，并可自由缩放和切换观看视角；</w:t>
            </w:r>
            <w:r>
              <w:rPr>
                <w:rFonts w:hint="eastAsia" w:ascii="宋体" w:hAnsi="宋体" w:eastAsia="宋体" w:cs="宋体"/>
                <w:color w:val="000000" w:themeColor="text1"/>
                <w:sz w:val="24"/>
                <w:szCs w:val="24"/>
                <w14:textFill>
                  <w14:solidFill>
                    <w14:schemeClr w14:val="tx1"/>
                  </w14:solidFill>
                </w14:textFill>
              </w:rPr>
              <w:t xml:space="preserve">（现场演示软件，否则扣分）  </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8）支持机器人后置模板自定义，在定义后置时可通过拖拽的方式定义模板格式，并实现程序代码的实时预显；支持根据机器品牌选择相应的后置模板；</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9）提供机器人运动节拍分析功能，可在性能分析界面查看机器人平均速度、总距离、总轨迹点数、总时间、节拍以及单条轨迹的长度、时间、平均速度、轨迹点数等信息，方便用户查看机器人工作效率；</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10）可实现机器人运行仿真和程序代码分屏同步调试运行，显示程序代码的行号、数字、注释、指令等信息，程序指针可实现实时查看机器人运行点位；</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11）具备轨迹优化功能，通过图形化方式展示机器人工作的最优区域，并通过调整曲线让机器人处于工作最优区内，解决不可达、轴超限和奇异点的问题；</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12）支持轨迹编辑功能，以图形化方式通过拖动参数曲线，来编辑一条轨迹中指定个数的点，达到让整条轨迹光滑过渡的效果；</w:t>
            </w:r>
            <w:r>
              <w:rPr>
                <w:rFonts w:hint="eastAsia" w:ascii="宋体" w:hAnsi="宋体" w:eastAsia="宋体" w:cs="宋体"/>
                <w:color w:val="000000" w:themeColor="text1"/>
                <w:sz w:val="24"/>
                <w:szCs w:val="24"/>
                <w14:textFill>
                  <w14:solidFill>
                    <w14:schemeClr w14:val="tx1"/>
                  </w14:solidFill>
                </w14:textFill>
              </w:rPr>
              <w:t>（现场演示软件，否则扣分）</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13）仿真面板支持以时间轴的方式呈现，拖动时间轴可以控制仿真进度，通过时间轴的方式同时展示多个机器人和运动机构的运动时序，并体现相互等待关系和轨迹起始时间、运行进度等；</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14）具备全屏显示功能并支持屏幕选择，在程序编辑和仿真调试模块中，可通过F11键将绘图区的仿真过程全屏突出显示；</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15）支持机器人在线查找。可以直接从云端机器人库中选择机器人进行离线编程，选择过程中支持搜索、筛选和排序，并推荐相似参数的机器人供用户选择；</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16）具备专业的后置代码编辑器。后置代码编辑器可以显示代码的行号，数字、注释和指令等关键字以不同颜色显示；函数在编辑过程中有参数提示；函数和注释可折叠隐藏。</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17）具有贴图功能，可通过贴图代替或简化离线编程软件虚拟场景中复杂的模型搭建，最大限度减小模型的大小；可极大加快绘图区的刷新帧速率，使绘图区操作响应更加灵敏。</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18）软件集成多类型、多行业在线工作站；集成部分全国职业院校技能大赛的工作站，方便在线模拟训练；</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19）可实现软件问题交流在线化；作品分享展示在线化；软件在线资源更新实时化</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20）可利用3D点云数据，使设计环境和真机环境内机器人、工具、被加工零部件之间的空间位置关系保持一致，实现高精度校准。</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21）利用云服务平台，实时把控前端软件考试活动进度；考试结果通过云端智能算法自动进行打分评判；考试全程远程、自动化运行；</w:t>
            </w:r>
            <w:r>
              <w:rPr>
                <w:rFonts w:hint="eastAsia" w:ascii="宋体" w:hAnsi="宋体" w:eastAsia="宋体" w:cs="宋体"/>
                <w:color w:val="000000" w:themeColor="text1"/>
                <w:sz w:val="24"/>
                <w:szCs w:val="24"/>
                <w14:textFill>
                  <w14:solidFill>
                    <w14:schemeClr w14:val="tx1"/>
                  </w14:solidFill>
                </w14:textFill>
              </w:rPr>
              <w:t>（现场演示软件，否则扣分）</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22）支持开放的拓展指令功能，用户可根据机器人指令自行配置工艺参数模板，再通过给轨迹点添加相关的参数内容即可实现工艺指令参数化控制；</w:t>
            </w:r>
            <w:r>
              <w:rPr>
                <w:rFonts w:hint="eastAsia" w:ascii="宋体" w:hAnsi="宋体" w:eastAsia="宋体" w:cs="宋体"/>
                <w:color w:val="000000" w:themeColor="text1"/>
                <w:sz w:val="24"/>
                <w:szCs w:val="24"/>
                <w14:textFill>
                  <w14:solidFill>
                    <w14:schemeClr w14:val="tx1"/>
                  </w14:solidFill>
                </w14:textFill>
              </w:rPr>
              <w:t>（现场演示软件，否则扣分）</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23）支持对三维模型中的曲面网格部分进行裁剪，可通过设置的裁剪范围，对区域内或外的部分进行裁剪；</w:t>
            </w:r>
            <w:r>
              <w:rPr>
                <w:rFonts w:hint="eastAsia" w:ascii="宋体" w:hAnsi="宋体" w:eastAsia="宋体" w:cs="宋体"/>
                <w:color w:val="000000" w:themeColor="text1"/>
                <w:sz w:val="24"/>
                <w:szCs w:val="24"/>
                <w14:textFill>
                  <w14:solidFill>
                    <w14:schemeClr w14:val="tx1"/>
                  </w14:solidFill>
                </w14:textFill>
              </w:rPr>
              <w:t>（现场演示软件，否则扣分）</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24）支持三维模型中的曲面网格部分进行平滑处理，对网格出现棱形的交接处进行平滑过渡；</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25）软件具备输出视频功能，可将绘图区的仿真效果通过参数控制，输出为MP4、avi、mkv等格式的视频文件并保存在本地磁盘；</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26）支持视向动画，通过对仿真流程不同时间节点添加视图，可实现在仿真过程中自定切换设置的不同视角查看仿真流程；</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27）支持C/C++、Python等语言开发，软件可实现通过调用编写的Python脚本导入零件模型，生成机器人轨迹；</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38）支持自定义UI界面；</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29）支持与软件内场景元素进行数据交互，获取场景元素信息，如名称、位姿、关节角等数据；</w:t>
            </w:r>
            <w:r>
              <w:rPr>
                <w:rFonts w:hint="eastAsia" w:ascii="宋体" w:hAnsi="宋体" w:eastAsia="宋体" w:cs="宋体"/>
                <w:color w:val="000000" w:themeColor="text1"/>
                <w:sz w:val="24"/>
                <w:szCs w:val="24"/>
                <w14:textFill>
                  <w14:solidFill>
                    <w14:schemeClr w14:val="tx1"/>
                  </w14:solidFill>
                </w14:textFill>
              </w:rPr>
              <w:t>（现场演示软件，否则扣分）</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30）支持更新软件内场景元素数据，如名称、位姿、关节角等数据；</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31）支持导入轨迹点信息生成软件内轨迹元素；</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32）支持在软件中创建零件；</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33）支持触发软件中的仿真模块，包含整体场景仿真、轨迹组仿真、单轨迹仿真等；</w:t>
            </w:r>
            <w:r>
              <w:rPr>
                <w:rFonts w:hint="eastAsia" w:ascii="宋体" w:hAnsi="宋体" w:eastAsia="宋体" w:cs="宋体"/>
                <w:color w:val="000000" w:themeColor="text1"/>
                <w:sz w:val="24"/>
                <w:szCs w:val="24"/>
                <w14:textFill>
                  <w14:solidFill>
                    <w14:schemeClr w14:val="tx1"/>
                  </w14:solidFill>
                </w14:textFill>
              </w:rPr>
              <w:t>（现场演示软件，否则扣分）</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34）支持与软件进行命令交互，触发软件轨迹生成、编译、后置等命令操作；</w:t>
            </w:r>
            <w:r>
              <w:rPr>
                <w:rFonts w:hint="eastAsia" w:ascii="宋体" w:hAnsi="宋体" w:eastAsia="宋体" w:cs="宋体"/>
                <w:color w:val="000000" w:themeColor="text1"/>
                <w:sz w:val="24"/>
                <w:szCs w:val="24"/>
                <w14:textFill>
                  <w14:solidFill>
                    <w14:schemeClr w14:val="tx1"/>
                  </w14:solidFill>
                </w14:textFill>
              </w:rPr>
              <w:br w:type="textWrapping"/>
            </w:r>
            <w:r>
              <w:rPr>
                <w:rFonts w:hint="eastAsia" w:ascii="宋体" w:hAnsi="宋体" w:eastAsia="宋体" w:cs="宋体"/>
                <w:color w:val="000000" w:themeColor="text1"/>
                <w:sz w:val="24"/>
                <w:szCs w:val="24"/>
                <w14:textFill>
                  <w14:solidFill>
                    <w14:schemeClr w14:val="tx1"/>
                  </w14:solidFill>
                </w14:textFill>
              </w:rPr>
              <w:t>35）支持中科方德、统信等国产操作系统；（提供适配证明，否则扣分）</w:t>
            </w:r>
          </w:p>
        </w:tc>
        <w:tc>
          <w:tcPr>
            <w:tcW w:w="764" w:type="dxa"/>
            <w:gridSpan w:val="2"/>
            <w:vAlign w:val="center"/>
          </w:tcPr>
          <w:p w14:paraId="10452DA5">
            <w:pPr>
              <w:jc w:val="left"/>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1</w:t>
            </w:r>
          </w:p>
        </w:tc>
      </w:tr>
      <w:tr w14:paraId="5B09C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2" w:hRule="atLeast"/>
        </w:trPr>
        <w:tc>
          <w:tcPr>
            <w:tcW w:w="573" w:type="dxa"/>
            <w:vAlign w:val="center"/>
          </w:tcPr>
          <w:p w14:paraId="73EAEB8E">
            <w:pPr>
              <w:jc w:val="center"/>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4</w:t>
            </w:r>
          </w:p>
        </w:tc>
        <w:tc>
          <w:tcPr>
            <w:tcW w:w="1110" w:type="dxa"/>
            <w:vAlign w:val="center"/>
          </w:tcPr>
          <w:p w14:paraId="1826F66C">
            <w:pPr>
              <w:jc w:val="left"/>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工业机器人应用操作与维护实训平台（含电脑）</w:t>
            </w:r>
          </w:p>
        </w:tc>
        <w:tc>
          <w:tcPr>
            <w:tcW w:w="6270" w:type="dxa"/>
          </w:tcPr>
          <w:p w14:paraId="35ED8B48">
            <w:pPr>
              <w:jc w:val="left"/>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1、工业机器人1台</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本体：</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 ★具有6个自由度，串联关节型工业机器人</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 ★工作范围≥580mm</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 ★额定负载≥3kg</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4) 重复定位精度0.01mm</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5) 安全性包括安全停、紧急停、2通道安全回路监测、3位启动装置</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6) 集成信号源为手腕设10路信号</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7) 集成气源为手腕设4路空气（5bar）</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控制器：</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 采用先进的工业机器人控制软件</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 采用高级工业机器人编程语言</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 内置16路输入/16路输出的数字量I/O模块</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示教器：</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 图形化彩色触摸屏</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 操纵杆</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 热插拔，运行时可插拔</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底座：</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 材料铝合金</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 尺寸≥250mm×250mm×15mm</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2、快换工具1套</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 xml:space="preserve">1) </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工具快换系统：机器人手臂安装有法兰端快换模块，可实现不同工具间无需人为干涉自动完成切换，6路气动信号，额定负载</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3kg，厚度</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38mm，重量</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125g</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 胶枪工具：含有工具端快换模块与法兰端快换模块配套，总长</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140mm，外壳为铝合金材质，可以配合轨迹图纸实现模拟零件外壳涂胶的轨迹编程实训，可更换笔芯设计且笔芯可</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10mm窜动防止碰撞损坏</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 夹爪工具：含有工具端快换模块与法兰端快换模块配套，可稳固抓取搬运码垛物料，总长</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140mm，夹头为铝合金材质，采用气动驱动，内径</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16mm，重复精度±0.01mm，闭合夹持力</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34N，开闭行程</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6mm</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4) 吸盘工具：含有工具端快换模块与法兰端快换模块配套，总长</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110mm，结构为铝合金材质，6mm直径吸盘1个，20mm直径吸盘2个，可稳固抓取各种形状的芯片零件及盖板</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5) 锁螺丝工具：含有工具端快换模块与法兰端快换模块配套，结构为铝合金材质，可实现对M4内六角螺钉的锁紧。</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3、涂胶单元1套</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 3D轨迹图板尺寸</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450mm×250mm，具有半经</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55mm的拱形面，材质碳钢烤漆，厚度</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3mm</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 轨迹路径包含圆形、三角形、复杂轮廓和样条曲线，以及不同位置、不同指向的基准坐标系</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 提供工具TCP参数标定用尖锥，材质不锈钢，可以随意固定在3D轨迹图板的任何位置</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4) 包含2张轨迹图纸，可自动吸附在3D轨迹图板上</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4、码垛单元1套</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 原料台由铝型材配合碳钢导槽构成，利用高度差实现物料自动排列，可满足最多6个物料的存储</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 码垛台由台面和支撑构成，台面为POM，尺寸</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110mm×110mm×15mm，采用铝合金型材支撑，高度160mm，可满足多种形式的码垛</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 包含模拟物料，材质POM，尺寸</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65mm×32.5mm×15mm，数量6个，采用工形设计方便夹爪夹持，可实现在两个码垛台间的搬运、码垛实训</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5、视觉检测单元1套</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 xml:space="preserve">1) </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视觉检测采用CCD拍照检测，有效像素数1600×1200，彩色检测，摄像面积</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7.1mm×5.4mm，场景数128个，可存储图像数</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43张，可利用流程编辑功能制作处理流程，支持串行RS-232C和网络Ethernet通讯，提供高速输入1点、高速输出4点、通用输入9点和通用输出23点的并行通信，提供DVI-I监控输出</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 提供环形光源，内圆直径≥76mm，外圆直径</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120mm，供电电压24V</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 视觉检测结果和采集图像信息通过显示器即时显示，方便视觉检测参数调整和状态监控</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6、装配检测单元1套</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 安装检测单元内含4个功能相同的装配检测工位，可与工业机器人配合完成PCB异形芯片的安装及检测功能，4个工位的安装由铝型材搭建的框架支撑</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 安装检测工位整体尺寸为</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410mm×190mm×180mm，结构为铝合金材质，分为底板、安装平台和检测支架</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 安装平台安装在双列线性滑轨上，宽度</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9mm，长度</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300mm，采用气动驱动，内径</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16mm，有效行程</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200mm，安全保持力</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140N</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4) 检测支架升降由气动驱动，内径</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16mm，有效行程</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20mm，安装有LED导光板，尺寸为</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100mm×100mm×1.5mm，可在检测过程中亮起</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5) 底板安装有红、绿两色指示灯，用于在检测完成后提示安装是否有误、芯片是否有缺陷</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7、螺丝供料单元1套</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1）采用全自动设计，旋转式分料设计，螺丝供给速度快，机器震动小，稳定的螺丝供料和取料效果</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2）供料速率</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1粒/秒</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3）可实现对M4内六角螺钉的稳定供料</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4）外形尺寸</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205.5mm×149mm×122.4mm，净重</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3kg</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8、原料料库1套</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 单层共4个料区，可分别用于存放异形芯片零件、盖板和PCB电路板</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 整体弧形设计，内圆半径</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500mm，方便机器人抓取物料</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9、电子产品PCB电路板5套</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 电子产品PCB电路板由异形芯片零件、PCB电路板和盖板组成，PCB电路板和盖板由螺丝紧固</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 异形芯片零件，包括圆形、小矩形、大矩形、方形等不同形状和不同颜色的芯片，用以代表CPU、集成电路、电阻、电容、三极管等元件</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 PCB电路板，尺寸</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120mm×120mm，厚</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12mm，上绘制了模拟电路线路图，留有不同异形芯片零件的安装位置，每个PCB电路板的线路图和芯片零件安装位置都不相同，代表不同电子产品，四角提供螺钉孔</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4) 盖板，尺寸</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120mm×120mm，厚</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5mm，外壳雕刻文字代表不同电子产品，四角提供螺钉孔</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10、操控面板1套</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 提供工作站启动、停止、模式控制和急停按钮，可实现对设备运行操作</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 提供故障及设备运行状态指示灯</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 提供多个故障设置点，可模拟不同情况下的故障</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4) 提供多个电路信号及气路信号的快接插口，可以方便完成电气接线及调试训练</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 xml:space="preserve">5) </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包含工业HMI触摸屏作为人机交互接口，显示器</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7英寸TFT，分辨率800×480，亮度350，对比度500:1，背光类型LED，触控面板类型为4线电阻式，Flash存储器128MB，RAM存储器为128MB，处理器为 ARM RISC 528MHz，提供RS-232和RS-485串行接口</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11、总控系统1套</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 xml:space="preserve">1) </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采用高性能PLC实现集成控制，知名品牌，模块化设计，支持最多6个模块扩展，方便升级</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 电气控制元件采用知名品牌优质产品，包含滤波、短路保险等安全机制</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 工作台正面提供运行安全装置，采用光栅传感器，光轴数量8，光轴间距</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40mm</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4) 操作过程可通过摄像头采集记录，焦距2.8mm，焦段广角，清晰度720p，感光面积1/3英寸，IP66防水防尘，可通过WiFi连接云端监控，监控信息可存储在扩展存储卡中</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5) 供气系统功率600W，排气量118L/min，储气罐24L，噪音52db，静音无油，配套知名品牌气路控制元件和真空元件</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12、工作台架1台</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 铝合金框架，有机玻璃门，碳钢钣金侧板及底板，正面和背面可打开存放设备及物品</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 铝型材架体尺寸</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2200mm×1200mm×700mm</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 安装台面为铝合金T型槽，台面尺寸</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2100mm×1100mm，厚度</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20mm</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4) 底部安装有万向脚轮和固定支撑，方便移动和固定</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13、配套工具1套</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提供安装、调试工作站所需工具一套，包括：工具箱1个、内六角扳手1套、250mm活动扳手1把、17mm/19mm开口扳手1把、13mm开口扳手1把、5.5mm开口扳手1把、螺丝刀1套、5米卷尺1个、斜口钳1把、Y型端子钳1把、裸端型端子钳1把、剥线钳1把、美工刀1把、万用表1个、PLC编程线1根、触摸屏编程线1根、程序拷贝U盘1个</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14、配套离线编程软件2套</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1）★正版软件，中文界面，可提供持续的中文技术支持服务，软件可使用所有功能模块，界面无“试用版”字样；</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2）★软件提供了100个以上品牌、多种不同型号的工业机器人进行场景搭建、轨迹规划、运动仿真和程序代码生成等操作；</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3）★轨迹生成基于CAD数据、可通过拾取实体模型、曲面或曲线等模型特征快速生成设备运动轨迹，简化了轨迹生成过程，大大提高轨迹生成精度和效率；</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4）软件可实现对工业机器人本体、导轨及变位机设备的自定义，同时支持多轴机器人的定义、轨迹生成及仿真，如4轴、8轴、10轴等；</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5）软件支持对工业机器人法兰工具、快换机构、外部工具的自定义，并且支持变位夹具设定多种姿态，如可以将一个变位夹具定义成直、弯两种状态。</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6）对生成的轨迹可进行分组管理，对不同轨迹组可以实现注释、删除等操作,实现对相似轨迹的统一管理；</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 xml:space="preserve">7）支持将仿真结果输出为3D仿真动画并上传云端自动生成二维码和链接，手机扫描二维码可缩放、平移仿真界面查看仿真流程，浏览器打开链接可以直接播放仿真流程，并可自由缩放和切换观看视角；  </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8）支持机器人后置模板自定义，在定义后置时可通过拖拽的方式定义模板格式，并实现程序代码的实时预显；支持根据机器品牌选择相应的后置模板；</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9）提供机器人运动节拍分析功能，可在性能分析界面查看机器人平均速度、总距离、总轨迹点数、总时间、节拍以及单条轨迹的长度、时间、平均速度、轨迹点数等信息，方便用户查看机器人工作效率；</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10）可实现机器人运行仿真和程序代码分屏同步调试运行，显示程序代码的行号、数字、注释、指令等信息，程序指针可实现实时查看机器人运行点位；</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11）具备轨迹优化功能，通过图形化方式展示机器人工作的最优区域，并通过调整曲线让机器人处于工作最优区内，解决不可达、轴超限和奇异点的问题；</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12）支持轨迹编辑功能，以图形化方式通过拖动参数曲线，来编辑一条轨迹中指定个数的点，达到让整条轨迹光滑过渡的效果；</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13）仿真面板支持以时间轴的方式呈现，拖动时间轴可以控制仿真进度，通过时间轴的方式同时展示多个机器人和运动机构的运动时序，并体现相互等待关系和轨迹起始时间、运行进度等；</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14）具备全屏显示功能并支持屏幕选择，在程序编辑和仿真调试模块中，可通过F11键将绘图区的仿真过程全屏突出显示；</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15）支持机器人在线查找。可以直接从云端机器人库中选择机器人进行离线编程，选择过程中支持搜索、筛选和排序，并推荐相似参数的机器人供用户选择；</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16）具备专业的后置代码编辑器。后置代码编辑器可以显示代码的行号，数字、注释和指令等关键字以不同颜色显示；函数在编辑过程中有参数提示；函数和注释可折叠隐藏。</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17）具有贴图功能，可通过贴图代替或简化离线编程软件虚拟场景中复杂的模型搭建，最大限度减小模型的大小；可极大加快绘图区的刷新帧速率，使绘图区操作响应更加灵敏。</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18）软件集成多类型、多行业在线工作站；集成部分全国职业院校技能大赛的工作站，方便在线模拟训练；</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19）可实现软件问题交流在线化；作品分享展示在线化；软件在线资源更新实时化</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20）可利用3D点云数据，使设计环境和真机环境内机器人、工具、被加工零部件之间的空间位置关系保持一致，实现高精度校准。</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21）★利用云服务平台，实时把控前端软件考试活动进度；考试结果通过云端智能算法自动进行打分评判；考试全程远程、自动化运行；</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22）支持开放的拓展指令功能，用户可根据机器人指令自行配置工艺参数模板，再通过给轨迹点添加相关的参数内容即可实现工艺指令参数化控制；</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23）支持对三维模型中的曲面网格部分进行裁剪，可通过设置的裁剪范围，对区域内或外的部分进行裁剪；</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24）支持三维模型中的曲面网格部分进行平滑处理，对网格出现棱形的交接处进行平滑过渡；</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25）软件具备输出视频功能，可将绘图区的仿真效果通过参数控制，输出为MP4、avi、mkv等格式的视频文件并保存在本地磁盘；</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26）支持视向动画，通过对仿真流程不同时间节点添加视图，可实现在仿真过程中自定切换设置的不同视角查看仿真流程；</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27）★支持C/C++、Python等语言开发，软件可实现通过调用编写的Python脚本导入零件模型，生成机器人轨迹；</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38）支持自定义UI界面；</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29）支持与软件内场景元素进行数据交互，获取场景元素信息，如名称、位姿、关节角等数据；</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30）支持更新软件内场景元素数据，如名称、位姿、关节角等数据；</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31）支持导入轨迹点信息生成软件内轨迹元素；</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32）支持在软件中创建零件；</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33）★支持触发软件中的仿真模块，包含整体场景仿真、轨迹组仿真、单轨迹仿真等；</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34）支持与软件进行命令交互，触发软件轨迹生成、编译、后置等命令操作；</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35）配套设备:台式电脑:CPU不低于17-14700k/运行内存:不低于32G/机械不低于1T/固态不低于512G/DVDRW/独立显卡:不低于RTX30508G/WIN11/14L机箱云教室23.8</w:t>
            </w:r>
          </w:p>
        </w:tc>
        <w:tc>
          <w:tcPr>
            <w:tcW w:w="764" w:type="dxa"/>
            <w:gridSpan w:val="2"/>
            <w:vAlign w:val="center"/>
          </w:tcPr>
          <w:p w14:paraId="3DB5532C">
            <w:pPr>
              <w:jc w:val="center"/>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3</w:t>
            </w:r>
          </w:p>
        </w:tc>
      </w:tr>
      <w:tr w14:paraId="356A7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2" w:hRule="atLeast"/>
        </w:trPr>
        <w:tc>
          <w:tcPr>
            <w:tcW w:w="573" w:type="dxa"/>
            <w:shd w:val="clear" w:color="auto" w:fill="auto"/>
            <w:vAlign w:val="center"/>
          </w:tcPr>
          <w:p w14:paraId="40687B26">
            <w:pPr>
              <w:jc w:val="left"/>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5</w:t>
            </w:r>
          </w:p>
        </w:tc>
        <w:tc>
          <w:tcPr>
            <w:tcW w:w="1110" w:type="dxa"/>
            <w:shd w:val="clear" w:color="auto" w:fill="auto"/>
            <w:vAlign w:val="center"/>
          </w:tcPr>
          <w:p w14:paraId="0925E7E3">
            <w:pPr>
              <w:jc w:val="left"/>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配套课程与资源包</w:t>
            </w:r>
          </w:p>
        </w:tc>
        <w:tc>
          <w:tcPr>
            <w:tcW w:w="6270" w:type="dxa"/>
            <w:shd w:val="clear" w:color="auto" w:fill="auto"/>
            <w:vAlign w:val="center"/>
          </w:tcPr>
          <w:p w14:paraId="52E1DD3F">
            <w:pPr>
              <w:numPr>
                <w:ilvl w:val="0"/>
                <w:numId w:val="7"/>
              </w:numPr>
              <w:jc w:val="left"/>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★包含教学所需的实训手册10本；</w:t>
            </w:r>
          </w:p>
          <w:p w14:paraId="5394D990">
            <w:pPr>
              <w:numPr>
                <w:ilvl w:val="0"/>
                <w:numId w:val="0"/>
              </w:numPr>
              <w:jc w:val="left"/>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（1）实训手册由工业机器人专业领域相关院校及行业专家共同编制审核，印刷精美，排版合理，方便使用；</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（2）教材与所投标设备配套编写，内容编排合理，资料详实丰富。</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（3）主要内容至少包括：工作站设备安全规范；认识工作站系统；工作站基本操作；安装检测工装单元的拆装与调试；工业机器人基础认知； 标定工具坐标系；标定工件坐标系；配置DSQC652I/O信号板；定义快换工具的输出信号；安装与拆卸涂胶工具；涂胶轨迹编程；搬运码垛编程；工业机器人离线编程软件概述；离线轨迹编程；离线码垛编程；S7-200 SMART PLC简介；PLC编程软件概述；PLC软件的基本操作；PLC控制程序案例；HMI硬件与通讯；HMI组态案例；HMI编译和下载；OMRON视觉系统简介；分拣与安装的机器人程序编程。</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2.★包含教学所需多媒体资源1套，如课件、视频等，教学资源具体内容及最低数量要求如下：</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（1）演示文稿提供源文件，可编辑，采用最新版本软件制作，设计风格统一，内容充实，可作为素材库满足教学课程使用，数量不少于50个；</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（2）视频包括理论技术讲解、虚拟软件录屏、实际设备操作以及功能动作现象等内容，以设备为基础进行拍摄录制，画面稳定清晰，关键信息配有字幕和解说，数量不少于50个；</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（3）动画通过抽象化夸大化形式展示实际操作不易理解的理论知识或操作过程，作为实操视频的有效补充，关键信息配有字幕和解说，数量不少于2个；</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（4）提供基于设备制作的虚拟仿真模型文件，可通过软件解包后打开，所有设备规格与布置与真实设备相同，并可以在软件中完成工业机器人操作、编程和实训内容；</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（5）课程教案按照教学内容，提供预估课时参考、教学目标要求，并列举了各知识点与教材和教学资源的对应关系，数量不少于10个；</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（6）实训案例以本资源类别涉及到的知识点技能点为主，设计了较为复杂综合的实训任务，以供实训教学实施使用。</w:t>
            </w:r>
          </w:p>
        </w:tc>
        <w:tc>
          <w:tcPr>
            <w:tcW w:w="764" w:type="dxa"/>
            <w:gridSpan w:val="2"/>
            <w:shd w:val="clear" w:color="auto" w:fill="auto"/>
            <w:vAlign w:val="center"/>
          </w:tcPr>
          <w:p w14:paraId="18DD8A9B">
            <w:pPr>
              <w:jc w:val="left"/>
              <w:rPr>
                <w:rFonts w:hint="eastAsia" w:ascii="宋体" w:hAnsi="宋体" w:eastAsia="宋体" w:cs="宋体"/>
                <w:color w:val="000000" w:themeColor="text1"/>
                <w:kern w:val="2"/>
                <w:sz w:val="24"/>
                <w:szCs w:val="24"/>
                <w:lang w:val="en-US" w:eastAsia="zh-CN" w:bidi="ar-SA"/>
                <w14:textFill>
                  <w14:solidFill>
                    <w14:schemeClr w14:val="tx1"/>
                  </w14:solidFill>
                </w14:textFill>
              </w:rPr>
            </w:pPr>
          </w:p>
        </w:tc>
      </w:tr>
      <w:tr w14:paraId="17713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573" w:type="dxa"/>
            <w:vAlign w:val="center"/>
          </w:tcPr>
          <w:p w14:paraId="7B0BC717">
            <w:pPr>
              <w:jc w:val="left"/>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6</w:t>
            </w:r>
          </w:p>
        </w:tc>
        <w:tc>
          <w:tcPr>
            <w:tcW w:w="1110" w:type="dxa"/>
            <w:vAlign w:val="center"/>
          </w:tcPr>
          <w:p w14:paraId="084DD67B">
            <w:pPr>
              <w:jc w:val="left"/>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工业机器人离线编程软件</w:t>
            </w:r>
          </w:p>
        </w:tc>
        <w:tc>
          <w:tcPr>
            <w:tcW w:w="6270" w:type="dxa"/>
          </w:tcPr>
          <w:p w14:paraId="384041E6">
            <w:pPr>
              <w:jc w:val="left"/>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1）★正版软件，中文界面，可提供持续的中文技术支持服务，软件可使用所有功能模块，界面无“试用版”字样；</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2）★软件提供了100个以上品牌、多种不同型号的工业机器人进行场景搭建、轨迹规划、运动仿真和程序代码生成等操作；</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3）★轨迹生成基于CAD数据、可通过拾取实体模型、曲面或曲线等模型特征快速生成设备运动轨迹，简化了轨迹生成过程，大大提高轨迹生成精度和效率；</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4）软件可实现对工业机器人本体、导轨及变位机设备的自定义，同时支持多轴机器人的定义、轨迹生成及仿真，如4轴、8轴、10轴等；</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5）软件支持对工业机器人法兰工具、快换机构、外部工具的自定义，并且支持变位夹具设定多种姿态，如可以将一个变位夹具定义成直、弯两种状态。</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6）对生成的轨迹可进行分组管理，对不同轨迹组可以实现注释、删除等操作,实现对相似轨迹的统一管理；</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 xml:space="preserve">7）支持将仿真结果输出为3D仿真动画并上传云端自动生成二维码和链接，手机扫描二维码可缩放、平移仿真界面查看仿真流程，浏览器打开链接可以直接播放仿真流程，并可自由缩放和切换观看视角；  </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8）支持机器人后置模板自定义，在定义后置时可通过拖拽的方式定义模板格式，并实现程序代码的实时预显；支持根据机器品牌选择相应的后置模板；</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9）提供机器人运动节拍分析功能，可在性能分析界面查看机器人平均速度、总距离、总轨迹点数、总时间、节拍以及单条轨迹的长度、时间、平均速度、轨迹点数等信息，方便用户查看机器人工作效率；</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10）可实现机器人运行仿真和程序代码分屏同步调试运行，显示程序代码的行号、数字、注释、指令等信息，程序指针可实现实时查看机器人运行点位；</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11）具备轨迹优化功能，通过图形化方式展示机器人工作的最优区域，并通过调整曲线让机器人处于工作最优区内，解决不可达、轴超限和奇异点的问题；</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12）支持轨迹编辑功能，以图形化方式通过拖动参数曲线，来编辑一条轨迹中指定个数的点，达到让整条轨迹光滑过渡的效果；</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13）仿真面板支持以时间轴的方式呈现，拖动时间轴可以控制仿真进度，通过时间轴的方式同时展示多个机器人和运动机构的运动时序，并体现相互等待关系和轨迹起始时间、运行进度等；</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14）具备全屏显示功能并支持屏幕选择，在程序编辑和仿真调试模块中，可通过F11键将绘图区的仿真过程全屏突出显示；</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15）支持机器人在线查找。可以直接从云端机器人库中选择机器人进行离线编程，选择过程中支持搜索、筛选和排序，并推荐相似参数的机器人供用户选择；</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16）具备专业的后置代码编辑器。后置代码编辑器可以显示代码的行号，数字、注释和指令等关键字以不同颜色显示；函数在编辑过程中有参数提示；函数和注释可折叠隐藏。</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17）具有贴图功能，可通过贴图代替或简化离线编程软件虚拟场景中复杂的模型搭建，最大限度减小模型的大小；可极大加快绘图区的刷新帧速率，使绘图区操作响应更加灵敏。</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18）软件集成多类型、多行业在线工作站；集成部分全国职业院校技能大赛的工作站，方便在线模拟训练；</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19）可实现软件问题交流在线化；作品分享展示在线化；软件在线资源更新实时化</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20）可利用3D点云数据，使设计环境和真机环境内机器人、工具、被加工零部件之间的空间位置关系保持一致，实现高精度校准。</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21）★利用云服务平台，实时把控前端软件考试活动进度；考试结果通过云端智能算法自动进行打分评判；考试全程远程、自动化运行；</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22）支持开放的拓展指令功能，用户可根据机器人指令自行配置工艺参数模板，再通过给轨迹点添加相关的参数内容即可实现工艺指令参数化控制；</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23）支持对三维模型中的曲面网格部分进行裁剪，可通过设置的裁剪范围，对区域内或外的部分进行裁剪；</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24）支持三维模型中的曲面网格部分进行平滑处理，对网格出现棱形的交接处进行平滑过渡；</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25）软件具备输出视频功能，可将绘图区的仿真效果通过参数控制，输出为MP4、avi、mkv等格式的视频文件并保存在本地磁盘；</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26）支持视向动画，通过对仿真流程不同时间节点添加视图，可实现在仿真过程中自定切换设置的不同视角查看仿真流程；</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27）★支持C/C++、Python等语言开发，软件可实现通过调用编写的Python脚本导入零件模型，生成机器人轨迹；</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38）支持自定义UI界面；</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29）支持与软件内场景元素进行数据交互，获取场景元素信息，如名称、位姿、关节角等数据；</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30）支持更新软件内场景元素数据，如名称、位姿、关节角等数据；</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31）支持导入轨迹点信息生成软件内轨迹元素；</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32）支持在软件中创建零件；</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33）★支持触发软件中的仿真模块，包含整体场景仿真、轨迹组仿真、单轨迹仿真等；</w:t>
            </w:r>
            <w:r>
              <w:rPr>
                <w:rFonts w:hint="eastAsia" w:ascii="宋体" w:hAnsi="宋体" w:eastAsia="宋体" w:cs="宋体"/>
                <w:color w:val="000000" w:themeColor="text1"/>
                <w:kern w:val="2"/>
                <w:sz w:val="24"/>
                <w:szCs w:val="24"/>
                <w:lang w:val="en-US" w:eastAsia="zh-CN" w:bidi="ar-SA"/>
                <w14:textFill>
                  <w14:solidFill>
                    <w14:schemeClr w14:val="tx1"/>
                  </w14:solidFill>
                </w14:textFill>
              </w:rPr>
              <w:br w:type="textWrapping"/>
            </w:r>
            <w:r>
              <w:rPr>
                <w:rFonts w:hint="eastAsia" w:ascii="宋体" w:hAnsi="宋体" w:eastAsia="宋体" w:cs="宋体"/>
                <w:color w:val="000000" w:themeColor="text1"/>
                <w:kern w:val="2"/>
                <w:sz w:val="24"/>
                <w:szCs w:val="24"/>
                <w:lang w:val="en-US" w:eastAsia="zh-CN" w:bidi="ar-SA"/>
                <w14:textFill>
                  <w14:solidFill>
                    <w14:schemeClr w14:val="tx1"/>
                  </w14:solidFill>
                </w14:textFill>
              </w:rPr>
              <w:t>34）支持与软件进行命令交互，触发软件轨迹生成、编译、后置等命令操作；</w:t>
            </w:r>
          </w:p>
        </w:tc>
        <w:tc>
          <w:tcPr>
            <w:tcW w:w="764" w:type="dxa"/>
            <w:gridSpan w:val="2"/>
            <w:vAlign w:val="center"/>
          </w:tcPr>
          <w:p w14:paraId="1126D892">
            <w:pPr>
              <w:jc w:val="left"/>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10</w:t>
            </w:r>
          </w:p>
        </w:tc>
      </w:tr>
      <w:tr w14:paraId="7183A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573" w:type="dxa"/>
            <w:vAlign w:val="center"/>
          </w:tcPr>
          <w:p w14:paraId="2A341D20">
            <w:pPr>
              <w:jc w:val="left"/>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四</w:t>
            </w:r>
          </w:p>
        </w:tc>
        <w:tc>
          <w:tcPr>
            <w:tcW w:w="1110" w:type="dxa"/>
            <w:vAlign w:val="center"/>
          </w:tcPr>
          <w:p w14:paraId="4269851C">
            <w:pPr>
              <w:jc w:val="left"/>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培训与环创</w:t>
            </w:r>
          </w:p>
        </w:tc>
        <w:tc>
          <w:tcPr>
            <w:tcW w:w="6270" w:type="dxa"/>
          </w:tcPr>
          <w:p w14:paraId="06AB2ABF">
            <w:pPr>
              <w:jc w:val="left"/>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对学校专业教师的培训累计不少于30天，实训室相关文化创建。</w:t>
            </w:r>
          </w:p>
        </w:tc>
        <w:tc>
          <w:tcPr>
            <w:tcW w:w="764" w:type="dxa"/>
            <w:gridSpan w:val="2"/>
            <w:vAlign w:val="center"/>
          </w:tcPr>
          <w:p w14:paraId="18D24053">
            <w:pPr>
              <w:jc w:val="left"/>
              <w:rPr>
                <w:rFonts w:hint="eastAsia" w:ascii="宋体" w:hAnsi="宋体" w:eastAsia="宋体" w:cs="宋体"/>
                <w:color w:val="000000" w:themeColor="text1"/>
                <w:kern w:val="2"/>
                <w:sz w:val="24"/>
                <w:szCs w:val="24"/>
                <w:lang w:val="en-US" w:eastAsia="zh-CN" w:bidi="ar-SA"/>
                <w14:textFill>
                  <w14:solidFill>
                    <w14:schemeClr w14:val="tx1"/>
                  </w14:solidFill>
                </w14:textFill>
              </w:rPr>
            </w:pPr>
          </w:p>
        </w:tc>
      </w:tr>
    </w:tbl>
    <w:p w14:paraId="11391C2A">
      <w:pPr>
        <w:pStyle w:val="2"/>
        <w:keepNext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p>
    <w:p w14:paraId="35115E64">
      <w:pPr>
        <w:pStyle w:val="2"/>
        <w:keepNext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备注：1、“★”项为关键参数项（共34项），每项须提供与项目技术要求相应的证明材料，如：产品样式及材质清单或认证证书或产品检测报告或鉴定证书或制造商产品彩页或制造商官网截图或制造商技术白皮书或制造商产品说明书等彩页或彩色实物照片或承诺函等。</w:t>
      </w:r>
    </w:p>
    <w:p w14:paraId="07AFCCE9">
      <w:pPr>
        <w:pStyle w:val="2"/>
        <w:keepNext w:val="0"/>
        <w:pageBreakBefore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2、非‘★’项则表示属一般指标项，每项须提供与项目技术要求相应的证明材料，如：产品样式及材质清单或认证证书或产品检测报告或鉴定证书或制造商产品彩页或制造商官网截图或制造商技术白皮书或制造商产品说明书等彩页或彩色实物照片或承诺函等。</w:t>
      </w:r>
    </w:p>
    <w:p w14:paraId="512D78C7">
      <w:pPr>
        <w:keepNext w:val="0"/>
        <w:keepLines w:val="0"/>
        <w:pageBreakBefore w:val="0"/>
        <w:widowControl w:val="0"/>
        <w:kinsoku/>
        <w:wordWrap/>
        <w:overflowPunct/>
        <w:topLinePunct w:val="0"/>
        <w:autoSpaceDE/>
        <w:autoSpaceDN/>
        <w:bidi w:val="0"/>
        <w:adjustRightInd/>
        <w:snapToGrid/>
        <w:spacing w:line="380" w:lineRule="exact"/>
        <w:jc w:val="center"/>
        <w:textAlignment w:val="auto"/>
        <w:outlineLvl w:val="0"/>
        <w:rPr>
          <w:rFonts w:hint="eastAsia" w:ascii="宋体" w:hAnsi="宋体" w:eastAsia="宋体" w:cs="宋体"/>
          <w:b/>
          <w:bCs/>
          <w:color w:val="000000" w:themeColor="text1"/>
          <w:sz w:val="24"/>
          <w:szCs w:val="24"/>
          <w:highlight w:val="none"/>
          <w14:textFill>
            <w14:solidFill>
              <w14:schemeClr w14:val="tx1"/>
            </w14:solidFill>
          </w14:textFill>
        </w:rPr>
        <w:sectPr>
          <w:headerReference r:id="rId7" w:type="default"/>
          <w:pgSz w:w="11906" w:h="16838"/>
          <w:pgMar w:top="1440" w:right="1800" w:bottom="1440" w:left="1746" w:header="851" w:footer="992" w:gutter="0"/>
          <w:pgNumType w:fmt="decimal"/>
          <w:cols w:space="720" w:num="1"/>
          <w:docGrid w:type="lines" w:linePitch="312" w:charSpace="0"/>
        </w:sectPr>
      </w:pPr>
    </w:p>
    <w:p w14:paraId="6E7271F8">
      <w:pPr>
        <w:keepNext w:val="0"/>
        <w:keepLines w:val="0"/>
        <w:pageBreakBefore w:val="0"/>
        <w:widowControl w:val="0"/>
        <w:kinsoku/>
        <w:wordWrap/>
        <w:overflowPunct/>
        <w:topLinePunct w:val="0"/>
        <w:autoSpaceDE/>
        <w:autoSpaceDN/>
        <w:bidi w:val="0"/>
        <w:adjustRightInd/>
        <w:snapToGrid/>
        <w:spacing w:line="380" w:lineRule="exact"/>
        <w:jc w:val="center"/>
        <w:textAlignment w:val="auto"/>
        <w:outlineLvl w:val="0"/>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第五章  评标办法</w:t>
      </w:r>
      <w:bookmarkEnd w:id="145"/>
      <w:bookmarkEnd w:id="146"/>
      <w:bookmarkStart w:id="149" w:name="_Hlt101846155"/>
      <w:bookmarkEnd w:id="149"/>
      <w:bookmarkStart w:id="150" w:name="_Toc183682415"/>
      <w:bookmarkStart w:id="151" w:name="_Toc217446097"/>
      <w:bookmarkStart w:id="152" w:name="_Toc183582280"/>
      <w:bookmarkStart w:id="153" w:name="_Toc208849007"/>
    </w:p>
    <w:p w14:paraId="06290BD8">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 总则</w:t>
      </w:r>
      <w:bookmarkEnd w:id="150"/>
      <w:bookmarkEnd w:id="151"/>
      <w:bookmarkEnd w:id="152"/>
      <w:bookmarkEnd w:id="153"/>
    </w:p>
    <w:p w14:paraId="7D27EBB6">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 根据《中华人民共和国政府采购法》、《中华人民共和国政府采购法实施条例》和《政府采购货物和服务招标投标管理办法》（财政部第87号令）等法律法规、规章和相关规定，结合招标项目特点制定本评标办法。</w:t>
      </w:r>
    </w:p>
    <w:p w14:paraId="25DE4971">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1.2 </w:t>
      </w:r>
      <w:r>
        <w:rPr>
          <w:rFonts w:hint="eastAsia" w:ascii="宋体" w:hAnsi="宋体" w:eastAsia="宋体" w:cs="宋体"/>
          <w:bCs/>
          <w:color w:val="000000" w:themeColor="text1"/>
          <w:sz w:val="24"/>
          <w:szCs w:val="24"/>
          <w:highlight w:val="none"/>
          <w14:textFill>
            <w14:solidFill>
              <w14:schemeClr w14:val="tx1"/>
            </w14:solidFill>
          </w14:textFill>
        </w:rPr>
        <w:t>评标工作由采购人负责组织，具体评标工作由采购人依法组建的评标委员会负责。评标委员会由采购人代表和有关技术、经济等方面的专家组成。</w:t>
      </w:r>
    </w:p>
    <w:p w14:paraId="633F4657">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 评标工作应遵循公平、公正、科学及择优的原则。</w:t>
      </w:r>
    </w:p>
    <w:p w14:paraId="367ED45D">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 评标委员会按照</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规定的评标方法和标准进行评标，并独立履行下列职责：</w:t>
      </w:r>
    </w:p>
    <w:p w14:paraId="39927A1D">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（1）审查投标文件是否符合</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要求，并作出评价；</w:t>
      </w:r>
    </w:p>
    <w:p w14:paraId="30425FBA">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（2）要求投标投标人对投标文件有关事项作出解释或者澄清；</w:t>
      </w:r>
    </w:p>
    <w:p w14:paraId="4F80E7BC">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（3）推荐中标候选投标人名单，或者受采购人委托按照事先确定的办法直接确定中标投标人；</w:t>
      </w:r>
    </w:p>
    <w:p w14:paraId="03876E8D">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（4）向采购人或者有关部门报告非法干预评标工作的行为。</w:t>
      </w:r>
      <w:bookmarkStart w:id="154" w:name="_Toc217446098"/>
    </w:p>
    <w:p w14:paraId="3B44F06E">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 评标过程严格保密。投标人对评标委员会的评标过程或合同授予决定施加影响的任何行为都可能导致其投标被拒绝。</w:t>
      </w:r>
    </w:p>
    <w:p w14:paraId="1D6FF3CB">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1.6评标委员会决定投标文件的响应性应依据投标文件本身的内容，而不寻求外部的证据。</w:t>
      </w:r>
    </w:p>
    <w:p w14:paraId="47EF0271">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1.7评标委员会发现</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表述不明确或需要说明的事项，可提请采购人书面解释说明。发现</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违反法律、法规、规章和相关规定的，可以拒绝评标，并向采购人书面说明情况。</w:t>
      </w:r>
    </w:p>
    <w:p w14:paraId="6BFA5256">
      <w:pPr>
        <w:pageBreakBefore w:val="0"/>
        <w:kinsoku/>
        <w:wordWrap/>
        <w:overflowPunct/>
        <w:topLinePunct w:val="0"/>
        <w:autoSpaceDE/>
        <w:autoSpaceDN/>
        <w:bidi w:val="0"/>
        <w:adjustRightInd/>
        <w:spacing w:line="380" w:lineRule="exact"/>
        <w:ind w:firstLine="482"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b/>
          <w:color w:val="000000" w:themeColor="text1"/>
          <w:sz w:val="24"/>
          <w:szCs w:val="24"/>
          <w:highlight w:val="none"/>
          <w14:textFill>
            <w14:solidFill>
              <w14:schemeClr w14:val="tx1"/>
            </w14:solidFill>
          </w14:textFill>
        </w:rPr>
        <w:t>评标方法</w:t>
      </w:r>
    </w:p>
    <w:p w14:paraId="64BC3799">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本项目评标方法为：综合评分法。</w:t>
      </w:r>
    </w:p>
    <w:p w14:paraId="5DB7B334">
      <w:pPr>
        <w:pageBreakBefore w:val="0"/>
        <w:kinsoku/>
        <w:wordWrap/>
        <w:overflowPunct/>
        <w:topLinePunct w:val="0"/>
        <w:autoSpaceDE/>
        <w:autoSpaceDN/>
        <w:bidi w:val="0"/>
        <w:adjustRightInd/>
        <w:spacing w:line="380" w:lineRule="exact"/>
        <w:ind w:firstLine="482" w:firstLineChars="200"/>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b/>
          <w:color w:val="000000" w:themeColor="text1"/>
          <w:sz w:val="24"/>
          <w:szCs w:val="24"/>
          <w:highlight w:val="none"/>
          <w14:textFill>
            <w14:solidFill>
              <w14:schemeClr w14:val="tx1"/>
            </w14:solidFill>
          </w14:textFill>
        </w:rPr>
        <w:t>评标程序</w:t>
      </w:r>
      <w:bookmarkEnd w:id="154"/>
    </w:p>
    <w:p w14:paraId="5E2F17A2">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55" w:name="_Toc217446099"/>
      <w:r>
        <w:rPr>
          <w:rFonts w:hint="eastAsia" w:ascii="宋体" w:hAnsi="宋体" w:eastAsia="宋体" w:cs="宋体"/>
          <w:color w:val="000000" w:themeColor="text1"/>
          <w:sz w:val="24"/>
          <w:szCs w:val="24"/>
          <w:highlight w:val="none"/>
          <w14:textFill>
            <w14:solidFill>
              <w14:schemeClr w14:val="tx1"/>
            </w14:solidFill>
          </w14:textFill>
        </w:rPr>
        <w:t>3.1资格审查</w:t>
      </w:r>
    </w:p>
    <w:p w14:paraId="445D3512">
      <w:pPr>
        <w:keepNext/>
        <w:keepLines/>
        <w:pageBreakBefore w:val="0"/>
        <w:kinsoku/>
        <w:wordWrap/>
        <w:overflowPunct/>
        <w:topLinePunct w:val="0"/>
        <w:autoSpaceDE/>
        <w:autoSpaceDN/>
        <w:bidi w:val="0"/>
        <w:adjustRightInd/>
        <w:spacing w:line="380" w:lineRule="exact"/>
        <w:jc w:val="center"/>
        <w:rPr>
          <w:rFonts w:hint="eastAsia" w:ascii="宋体" w:hAnsi="宋体" w:eastAsia="宋体" w:cs="宋体"/>
          <w:b/>
          <w:bCs w:val="0"/>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br w:type="page"/>
      </w:r>
      <w:r>
        <w:rPr>
          <w:rFonts w:hint="eastAsia" w:ascii="宋体" w:hAnsi="宋体" w:eastAsia="宋体" w:cs="宋体"/>
          <w:b/>
          <w:bCs w:val="0"/>
          <w:color w:val="000000" w:themeColor="text1"/>
          <w:sz w:val="24"/>
          <w:szCs w:val="24"/>
          <w:highlight w:val="none"/>
          <w14:textFill>
            <w14:solidFill>
              <w14:schemeClr w14:val="tx1"/>
            </w14:solidFill>
          </w14:textFill>
        </w:rPr>
        <w:t>资格审查表</w:t>
      </w:r>
    </w:p>
    <w:tbl>
      <w:tblPr>
        <w:tblStyle w:val="29"/>
        <w:tblW w:w="503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529"/>
        <w:gridCol w:w="6541"/>
        <w:gridCol w:w="621"/>
        <w:gridCol w:w="682"/>
      </w:tblGrid>
      <w:tr w14:paraId="4A140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4" w:hRule="atLeast"/>
          <w:jc w:val="center"/>
        </w:trPr>
        <w:tc>
          <w:tcPr>
            <w:tcW w:w="316" w:type="pct"/>
            <w:vMerge w:val="restart"/>
            <w:vAlign w:val="center"/>
          </w:tcPr>
          <w:p w14:paraId="2E4AFE8F">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序号</w:t>
            </w:r>
          </w:p>
        </w:tc>
        <w:tc>
          <w:tcPr>
            <w:tcW w:w="3905" w:type="pct"/>
            <w:vMerge w:val="restart"/>
            <w:vAlign w:val="center"/>
          </w:tcPr>
          <w:p w14:paraId="1B2D89BC">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审   查   标   准</w:t>
            </w:r>
          </w:p>
        </w:tc>
        <w:tc>
          <w:tcPr>
            <w:tcW w:w="777" w:type="pct"/>
            <w:gridSpan w:val="2"/>
            <w:vAlign w:val="center"/>
          </w:tcPr>
          <w:p w14:paraId="61FD6287">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审查结果</w:t>
            </w:r>
          </w:p>
        </w:tc>
      </w:tr>
      <w:tr w14:paraId="3DE1B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jc w:val="center"/>
        </w:trPr>
        <w:tc>
          <w:tcPr>
            <w:tcW w:w="316" w:type="pct"/>
            <w:vMerge w:val="continue"/>
            <w:vAlign w:val="center"/>
          </w:tcPr>
          <w:p w14:paraId="51F88492">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3905" w:type="pct"/>
            <w:vMerge w:val="continue"/>
            <w:vAlign w:val="center"/>
          </w:tcPr>
          <w:p w14:paraId="5C707B70">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371" w:type="pct"/>
            <w:vAlign w:val="center"/>
          </w:tcPr>
          <w:p w14:paraId="5BA59BBA">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通过</w:t>
            </w:r>
          </w:p>
        </w:tc>
        <w:tc>
          <w:tcPr>
            <w:tcW w:w="405" w:type="pct"/>
            <w:vAlign w:val="center"/>
          </w:tcPr>
          <w:p w14:paraId="2026EDE0">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不通过</w:t>
            </w:r>
          </w:p>
        </w:tc>
      </w:tr>
      <w:tr w14:paraId="6C367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0" w:hRule="atLeast"/>
          <w:jc w:val="center"/>
        </w:trPr>
        <w:tc>
          <w:tcPr>
            <w:tcW w:w="316" w:type="pct"/>
            <w:vAlign w:val="center"/>
          </w:tcPr>
          <w:p w14:paraId="7F5E4D31">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p>
        </w:tc>
        <w:tc>
          <w:tcPr>
            <w:tcW w:w="3905" w:type="pct"/>
            <w:vAlign w:val="center"/>
          </w:tcPr>
          <w:p w14:paraId="45F7DD1A">
            <w:pPr>
              <w:pStyle w:val="48"/>
              <w:pageBreakBefore w:val="0"/>
              <w:kinsoku/>
              <w:wordWrap/>
              <w:overflowPunct/>
              <w:topLinePunct w:val="0"/>
              <w:autoSpaceDE/>
              <w:autoSpaceDN/>
              <w:bidi w:val="0"/>
              <w:adjustRightInd/>
              <w:spacing w:line="380" w:lineRule="exact"/>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具有独立承担民事责任的能力；</w:t>
            </w:r>
          </w:p>
          <w:p w14:paraId="70E8A951">
            <w:pPr>
              <w:pStyle w:val="48"/>
              <w:pageBreakBefore w:val="0"/>
              <w:kinsoku/>
              <w:wordWrap/>
              <w:overflowPunct/>
              <w:topLinePunct w:val="0"/>
              <w:autoSpaceDE/>
              <w:autoSpaceDN/>
              <w:bidi w:val="0"/>
              <w:adjustRightInd/>
              <w:spacing w:line="380" w:lineRule="exact"/>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【法人、其他组织投标须提供营业执照等证明文件，自然人投标须提供自然人的身份证明。】</w:t>
            </w:r>
          </w:p>
        </w:tc>
        <w:tc>
          <w:tcPr>
            <w:tcW w:w="371" w:type="pct"/>
            <w:vAlign w:val="center"/>
          </w:tcPr>
          <w:p w14:paraId="3573B596">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405" w:type="pct"/>
            <w:vAlign w:val="center"/>
          </w:tcPr>
          <w:p w14:paraId="70010BF5">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14:paraId="17FF2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316" w:type="pct"/>
            <w:vAlign w:val="center"/>
          </w:tcPr>
          <w:p w14:paraId="61A5D57F">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p>
        </w:tc>
        <w:tc>
          <w:tcPr>
            <w:tcW w:w="3905" w:type="pct"/>
            <w:vAlign w:val="center"/>
          </w:tcPr>
          <w:p w14:paraId="12D993AA">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具有良好的商业信誉和健全的财务会计制度；</w:t>
            </w:r>
          </w:p>
          <w:p w14:paraId="393A4AF9">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【①以开标截止时间点投标单位未列入“信用中国”&lt;www.creditchina.gov.cn&gt;网站的“失信被执行人”和“重大税收违法失信主体”（</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为自然人时无需提供）及“中国政府采购网”&lt;www.ccgp.gov.cn&gt;网站的“政府采购严重违法失信行为记录名单”，开标截止时间</w:t>
            </w:r>
            <w:r>
              <w:rPr>
                <w:rFonts w:hint="eastAsia" w:ascii="宋体" w:hAnsi="宋体" w:eastAsia="宋体" w:cs="宋体"/>
                <w:color w:val="000000" w:themeColor="text1"/>
                <w:sz w:val="24"/>
                <w:szCs w:val="24"/>
                <w:highlight w:val="none"/>
                <w:lang w:val="en-US" w:eastAsia="zh-CN"/>
                <w14:textFill>
                  <w14:solidFill>
                    <w14:schemeClr w14:val="tx1"/>
                  </w14:solidFill>
                </w14:textFill>
              </w:rPr>
              <w:t>点</w:t>
            </w:r>
            <w:r>
              <w:rPr>
                <w:rFonts w:hint="eastAsia" w:ascii="宋体" w:hAnsi="宋体" w:eastAsia="宋体" w:cs="宋体"/>
                <w:color w:val="000000" w:themeColor="text1"/>
                <w:sz w:val="24"/>
                <w:szCs w:val="24"/>
                <w:highlight w:val="none"/>
                <w14:textFill>
                  <w14:solidFill>
                    <w14:schemeClr w14:val="tx1"/>
                  </w14:solidFill>
                </w14:textFill>
              </w:rPr>
              <w:t>，由招标代理公司统一登陆网站查询</w:t>
            </w:r>
            <w:r>
              <w:rPr>
                <w:rFonts w:hint="eastAsia" w:ascii="宋体" w:hAnsi="宋体" w:eastAsia="宋体" w:cs="宋体"/>
                <w:color w:val="000000" w:themeColor="text1"/>
                <w:sz w:val="24"/>
                <w:szCs w:val="24"/>
                <w:highlight w:val="none"/>
                <w:lang w:eastAsia="zh-CN"/>
                <w14:textFill>
                  <w14:solidFill>
                    <w14:schemeClr w14:val="tx1"/>
                  </w14:solidFill>
                </w14:textFill>
              </w:rPr>
              <w:t>上传</w:t>
            </w:r>
            <w:r>
              <w:rPr>
                <w:rFonts w:hint="eastAsia" w:ascii="宋体" w:hAnsi="宋体" w:eastAsia="宋体" w:cs="宋体"/>
                <w:color w:val="000000" w:themeColor="text1"/>
                <w:sz w:val="24"/>
                <w:szCs w:val="24"/>
                <w:highlight w:val="none"/>
                <w14:textFill>
                  <w14:solidFill>
                    <w14:schemeClr w14:val="tx1"/>
                  </w14:solidFill>
                </w14:textFill>
              </w:rPr>
              <w:t>投标文件的投标单位信誉情况，并以保存的网页查询截图为准；②银行出具的近3个月内任意1个月资信证明（</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为自然人时无需提供）或近1年（202</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年度</w:t>
            </w:r>
            <w:r>
              <w:rPr>
                <w:rFonts w:hint="eastAsia" w:ascii="宋体" w:hAnsi="宋体" w:eastAsia="宋体" w:cs="宋体"/>
                <w:color w:val="000000" w:themeColor="text1"/>
                <w:sz w:val="24"/>
                <w:szCs w:val="24"/>
                <w:highlight w:val="none"/>
                <w:lang w:eastAsia="zh-CN"/>
                <w14:textFill>
                  <w14:solidFill>
                    <w14:schemeClr w14:val="tx1"/>
                  </w14:solidFill>
                </w14:textFill>
              </w:rPr>
              <w:t>或</w:t>
            </w:r>
            <w:r>
              <w:rPr>
                <w:rFonts w:hint="eastAsia" w:ascii="宋体" w:hAnsi="宋体" w:eastAsia="宋体" w:cs="宋体"/>
                <w:color w:val="000000" w:themeColor="text1"/>
                <w:sz w:val="24"/>
                <w:szCs w:val="24"/>
                <w:highlight w:val="none"/>
                <w:lang w:val="en-US" w:eastAsia="zh-CN"/>
                <w14:textFill>
                  <w14:solidFill>
                    <w14:schemeClr w14:val="tx1"/>
                  </w14:solidFill>
                </w14:textFill>
              </w:rPr>
              <w:t>2024年度</w:t>
            </w:r>
            <w:r>
              <w:rPr>
                <w:rFonts w:hint="eastAsia" w:ascii="宋体" w:hAnsi="宋体" w:eastAsia="宋体" w:cs="宋体"/>
                <w:color w:val="000000" w:themeColor="text1"/>
                <w:sz w:val="24"/>
                <w:szCs w:val="24"/>
                <w:highlight w:val="none"/>
                <w14:textFill>
                  <w14:solidFill>
                    <w14:schemeClr w14:val="tx1"/>
                  </w14:solidFill>
                </w14:textFill>
              </w:rPr>
              <w:t>）经审计的财务报告（新成立企业或</w:t>
            </w:r>
            <w:r>
              <w:rPr>
                <w:rFonts w:hint="eastAsia" w:ascii="宋体" w:hAnsi="宋体" w:eastAsia="宋体" w:cs="宋体"/>
                <w:color w:val="000000" w:themeColor="text1"/>
                <w:sz w:val="24"/>
                <w:szCs w:val="24"/>
                <w:highlight w:val="none"/>
                <w:lang w:eastAsia="zh-CN"/>
                <w14:textFill>
                  <w14:solidFill>
                    <w14:schemeClr w14:val="tx1"/>
                  </w14:solidFill>
                </w14:textFill>
              </w:rPr>
              <w:t>其他组织</w:t>
            </w:r>
            <w:r>
              <w:rPr>
                <w:rFonts w:hint="eastAsia" w:ascii="宋体" w:hAnsi="宋体" w:eastAsia="宋体" w:cs="宋体"/>
                <w:color w:val="000000" w:themeColor="text1"/>
                <w:sz w:val="24"/>
                <w:szCs w:val="24"/>
                <w:highlight w:val="none"/>
                <w14:textFill>
                  <w14:solidFill>
                    <w14:schemeClr w14:val="tx1"/>
                  </w14:solidFill>
                </w14:textFill>
              </w:rPr>
              <w:t>无需提供）。新成立企业是指：营业执照申领时间至今未满一年的企业。新成立企业须提供近3个月内任意1个月银行出具的资信证明。】</w:t>
            </w:r>
          </w:p>
        </w:tc>
        <w:tc>
          <w:tcPr>
            <w:tcW w:w="371" w:type="pct"/>
            <w:vAlign w:val="center"/>
          </w:tcPr>
          <w:p w14:paraId="0F3381E7">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405" w:type="pct"/>
            <w:vAlign w:val="center"/>
          </w:tcPr>
          <w:p w14:paraId="27177C21">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14:paraId="0D0D75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316" w:type="pct"/>
            <w:vAlign w:val="center"/>
          </w:tcPr>
          <w:p w14:paraId="6A429104">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p>
        </w:tc>
        <w:tc>
          <w:tcPr>
            <w:tcW w:w="3905" w:type="pct"/>
            <w:vAlign w:val="center"/>
          </w:tcPr>
          <w:p w14:paraId="1BD45A9C">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具有履行合同所必需的设备和专业技术能力；</w:t>
            </w:r>
          </w:p>
          <w:p w14:paraId="14F2E217">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【须提供：①相关设备或设施的购置发票或单据（任一）或提供承诺函；</w:t>
            </w:r>
            <w:r>
              <w:rPr>
                <w:rFonts w:hint="eastAsia" w:ascii="宋体" w:hAnsi="宋体" w:eastAsia="宋体" w:cs="宋体"/>
                <w:color w:val="000000" w:themeColor="text1"/>
                <w:sz w:val="24"/>
                <w:highlight w:val="none"/>
                <w14:textFill>
                  <w14:solidFill>
                    <w14:schemeClr w14:val="tx1"/>
                  </w14:solidFill>
                </w14:textFill>
              </w:rPr>
              <w:t>②专业人员用工合同（任一人）或技术人员的职称证书或职业（执业）资格证或等级证书等相关证书（任一人）</w:t>
            </w:r>
            <w:r>
              <w:rPr>
                <w:rFonts w:hint="eastAsia" w:ascii="宋体" w:hAnsi="宋体" w:eastAsia="宋体" w:cs="宋体"/>
                <w:color w:val="000000" w:themeColor="text1"/>
                <w:sz w:val="24"/>
                <w:highlight w:val="none"/>
                <w:lang w:val="en-US" w:eastAsia="zh-CN"/>
                <w14:textFill>
                  <w14:solidFill>
                    <w14:schemeClr w14:val="tx1"/>
                  </w14:solidFill>
                </w14:textFill>
              </w:rPr>
              <w:t>或提供承诺函</w:t>
            </w:r>
            <w:r>
              <w:rPr>
                <w:rFonts w:hint="eastAsia" w:ascii="宋体" w:hAnsi="宋体" w:eastAsia="宋体" w:cs="宋体"/>
                <w:color w:val="000000" w:themeColor="text1"/>
                <w:sz w:val="24"/>
                <w:highlight w:val="none"/>
                <w14:textFill>
                  <w14:solidFill>
                    <w14:schemeClr w14:val="tx1"/>
                  </w14:solidFill>
                </w14:textFill>
              </w:rPr>
              <w:t>等的证明材料</w:t>
            </w:r>
            <w:r>
              <w:rPr>
                <w:rFonts w:hint="eastAsia" w:ascii="宋体" w:hAnsi="宋体" w:eastAsia="宋体" w:cs="宋体"/>
                <w:color w:val="000000" w:themeColor="text1"/>
                <w:sz w:val="24"/>
                <w:szCs w:val="24"/>
                <w:highlight w:val="none"/>
                <w14:textFill>
                  <w14:solidFill>
                    <w14:schemeClr w14:val="tx1"/>
                  </w14:solidFill>
                </w14:textFill>
              </w:rPr>
              <w:t>。】</w:t>
            </w:r>
          </w:p>
        </w:tc>
        <w:tc>
          <w:tcPr>
            <w:tcW w:w="371" w:type="pct"/>
            <w:vAlign w:val="center"/>
          </w:tcPr>
          <w:p w14:paraId="63EE009A">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405" w:type="pct"/>
            <w:vAlign w:val="center"/>
          </w:tcPr>
          <w:p w14:paraId="0E2D033D">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14:paraId="5C171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316" w:type="pct"/>
            <w:vAlign w:val="center"/>
          </w:tcPr>
          <w:p w14:paraId="5804BF49">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w:t>
            </w:r>
          </w:p>
        </w:tc>
        <w:tc>
          <w:tcPr>
            <w:tcW w:w="3905" w:type="pct"/>
            <w:vAlign w:val="center"/>
          </w:tcPr>
          <w:p w14:paraId="6E61C996">
            <w:pPr>
              <w:pStyle w:val="2"/>
              <w:pageBreakBefore w:val="0"/>
              <w:widowControl/>
              <w:kinsoku/>
              <w:wordWrap/>
              <w:overflowPunct/>
              <w:topLinePunct w:val="0"/>
              <w:autoSpaceDE/>
              <w:autoSpaceDN/>
              <w:bidi w:val="0"/>
              <w:adjustRightInd/>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有依法缴纳税收和社会保障资金的良好记录；</w:t>
            </w:r>
          </w:p>
          <w:p w14:paraId="2718D209">
            <w:pPr>
              <w:pStyle w:val="2"/>
              <w:pageBreakBefore w:val="0"/>
              <w:widowControl/>
              <w:kinsoku/>
              <w:wordWrap/>
              <w:overflowPunct/>
              <w:topLinePunct w:val="0"/>
              <w:autoSpaceDE/>
              <w:autoSpaceDN/>
              <w:bidi w:val="0"/>
              <w:adjustRightInd/>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【须提供：①近</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个月内任意1个月已依法缴纳税收的凭据；②近</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个月内任意1个月已依法缴纳社会保险的凭据（依法免税或不需要缴纳</w:t>
            </w:r>
            <w:r>
              <w:rPr>
                <w:rFonts w:hint="eastAsia" w:ascii="宋体" w:hAnsi="宋体" w:eastAsia="宋体" w:cs="宋体"/>
                <w:color w:val="000000" w:themeColor="text1"/>
                <w:sz w:val="24"/>
                <w:szCs w:val="24"/>
                <w:highlight w:val="none"/>
                <w:lang w:val="en-US" w:eastAsia="zh-CN"/>
                <w14:textFill>
                  <w14:solidFill>
                    <w14:schemeClr w14:val="tx1"/>
                  </w14:solidFill>
                </w14:textFill>
              </w:rPr>
              <w:t>社会保险</w:t>
            </w:r>
            <w:r>
              <w:rPr>
                <w:rFonts w:hint="eastAsia" w:ascii="宋体" w:hAnsi="宋体" w:eastAsia="宋体" w:cs="宋体"/>
                <w:color w:val="000000" w:themeColor="text1"/>
                <w:sz w:val="24"/>
                <w:szCs w:val="24"/>
                <w:highlight w:val="none"/>
                <w14:textFill>
                  <w14:solidFill>
                    <w14:schemeClr w14:val="tx1"/>
                  </w14:solidFill>
                </w14:textFill>
              </w:rPr>
              <w:t>的投标人，应提供相应证明文件，新成立企业或</w:t>
            </w:r>
            <w:r>
              <w:rPr>
                <w:rFonts w:hint="eastAsia" w:ascii="宋体" w:hAnsi="宋体" w:eastAsia="宋体" w:cs="宋体"/>
                <w:color w:val="000000" w:themeColor="text1"/>
                <w:sz w:val="24"/>
                <w:szCs w:val="24"/>
                <w:highlight w:val="none"/>
                <w:lang w:eastAsia="zh-CN"/>
                <w14:textFill>
                  <w14:solidFill>
                    <w14:schemeClr w14:val="tx1"/>
                  </w14:solidFill>
                </w14:textFill>
              </w:rPr>
              <w:t>其他组织</w:t>
            </w:r>
            <w:r>
              <w:rPr>
                <w:rFonts w:hint="eastAsia" w:ascii="宋体" w:hAnsi="宋体" w:eastAsia="宋体" w:cs="宋体"/>
                <w:color w:val="000000" w:themeColor="text1"/>
                <w:sz w:val="24"/>
                <w:szCs w:val="24"/>
                <w:highlight w:val="none"/>
                <w14:textFill>
                  <w14:solidFill>
                    <w14:schemeClr w14:val="tx1"/>
                  </w14:solidFill>
                </w14:textFill>
              </w:rPr>
              <w:t>无需提供）】。</w:t>
            </w:r>
          </w:p>
        </w:tc>
        <w:tc>
          <w:tcPr>
            <w:tcW w:w="371" w:type="pct"/>
            <w:vAlign w:val="center"/>
          </w:tcPr>
          <w:p w14:paraId="165F513C">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405" w:type="pct"/>
            <w:vAlign w:val="center"/>
          </w:tcPr>
          <w:p w14:paraId="5728C111">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14:paraId="3A484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316" w:type="pct"/>
            <w:vAlign w:val="center"/>
          </w:tcPr>
          <w:p w14:paraId="465AAAD9">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p>
        </w:tc>
        <w:tc>
          <w:tcPr>
            <w:tcW w:w="3905" w:type="pct"/>
            <w:vAlign w:val="center"/>
          </w:tcPr>
          <w:p w14:paraId="37604AC4">
            <w:pPr>
              <w:widowControl/>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参加本次政府采购活动前三年内，在经营活动中没有重大违法记录；</w:t>
            </w:r>
          </w:p>
          <w:p w14:paraId="311C4F64">
            <w:pPr>
              <w:widowControl/>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【须提供</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书面承诺（投标人自行承诺并承担后果，声明不实的，按《政府采购法》及相关法律法规中提供虚假材料的有关规定处理】。 </w:t>
            </w:r>
          </w:p>
        </w:tc>
        <w:tc>
          <w:tcPr>
            <w:tcW w:w="371" w:type="pct"/>
            <w:vAlign w:val="center"/>
          </w:tcPr>
          <w:p w14:paraId="17C7740E">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405" w:type="pct"/>
            <w:vAlign w:val="center"/>
          </w:tcPr>
          <w:p w14:paraId="14D76409">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14:paraId="4459E5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316" w:type="pct"/>
            <w:vAlign w:val="center"/>
          </w:tcPr>
          <w:p w14:paraId="6A8E0EA8">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w:t>
            </w:r>
          </w:p>
        </w:tc>
        <w:tc>
          <w:tcPr>
            <w:tcW w:w="3905" w:type="pct"/>
            <w:vAlign w:val="center"/>
          </w:tcPr>
          <w:p w14:paraId="2ADB6596">
            <w:pPr>
              <w:widowControl/>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单位负责人为同一人或者存在直接控股、管理关系的不同投标人，不得参加同一合同项下的政府采购活动。</w:t>
            </w:r>
          </w:p>
          <w:p w14:paraId="14C7A664">
            <w:pPr>
              <w:widowControl/>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【须提供</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书面承诺（投标人自行承诺并承担后果，声明函不实的，按《政府采购法》及相关法律法规中提供虚假材料的有关规定处理】。 </w:t>
            </w:r>
          </w:p>
        </w:tc>
        <w:tc>
          <w:tcPr>
            <w:tcW w:w="371" w:type="pct"/>
            <w:vAlign w:val="center"/>
          </w:tcPr>
          <w:p w14:paraId="727AE9F5">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405" w:type="pct"/>
            <w:vAlign w:val="center"/>
          </w:tcPr>
          <w:p w14:paraId="14BBE728">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14:paraId="71D23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316" w:type="pct"/>
            <w:vAlign w:val="center"/>
          </w:tcPr>
          <w:p w14:paraId="577FD233">
            <w:pPr>
              <w:pStyle w:val="48"/>
              <w:pageBreakBefore w:val="0"/>
              <w:kinsoku/>
              <w:wordWrap/>
              <w:overflowPunct/>
              <w:topLinePunct w:val="0"/>
              <w:autoSpaceDE/>
              <w:autoSpaceDN/>
              <w:bidi w:val="0"/>
              <w:adjustRightInd/>
              <w:spacing w:line="380" w:lineRule="exact"/>
              <w:jc w:val="center"/>
              <w:textAlignment w:val="center"/>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7</w:t>
            </w:r>
          </w:p>
        </w:tc>
        <w:tc>
          <w:tcPr>
            <w:tcW w:w="3905" w:type="pct"/>
            <w:vAlign w:val="center"/>
          </w:tcPr>
          <w:p w14:paraId="12545662">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本项目为专门面向</w:t>
            </w:r>
            <w:r>
              <w:rPr>
                <w:rFonts w:hint="eastAsia" w:ascii="宋体" w:hAnsi="宋体" w:cs="宋体"/>
                <w:color w:val="000000" w:themeColor="text1"/>
                <w:kern w:val="0"/>
                <w:sz w:val="24"/>
                <w:lang w:val="en-US" w:eastAsia="zh-CN"/>
                <w14:textFill>
                  <w14:solidFill>
                    <w14:schemeClr w14:val="tx1"/>
                  </w14:solidFill>
                </w14:textFill>
              </w:rPr>
              <w:t>中小</w:t>
            </w:r>
            <w:r>
              <w:rPr>
                <w:rFonts w:hint="eastAsia" w:ascii="宋体" w:hAnsi="宋体" w:cs="宋体"/>
                <w:color w:val="000000" w:themeColor="text1"/>
                <w:kern w:val="0"/>
                <w:sz w:val="24"/>
                <w14:textFill>
                  <w14:solidFill>
                    <w14:schemeClr w14:val="tx1"/>
                  </w14:solidFill>
                </w14:textFill>
              </w:rPr>
              <w:t>企业（含</w:t>
            </w:r>
            <w:r>
              <w:rPr>
                <w:rFonts w:hint="eastAsia" w:ascii="宋体" w:hAnsi="宋体" w:cs="宋体"/>
                <w:color w:val="000000" w:themeColor="text1"/>
                <w:kern w:val="0"/>
                <w:sz w:val="24"/>
                <w:lang w:val="en-US" w:eastAsia="zh-CN"/>
                <w14:textFill>
                  <w14:solidFill>
                    <w14:schemeClr w14:val="tx1"/>
                  </w14:solidFill>
                </w14:textFill>
              </w:rPr>
              <w:t>中型、</w:t>
            </w:r>
            <w:r>
              <w:rPr>
                <w:rFonts w:hint="eastAsia" w:ascii="宋体" w:hAnsi="宋体" w:cs="宋体"/>
                <w:color w:val="000000" w:themeColor="text1"/>
                <w:kern w:val="0"/>
                <w:sz w:val="24"/>
                <w14:textFill>
                  <w14:solidFill>
                    <w14:schemeClr w14:val="tx1"/>
                  </w14:solidFill>
                </w14:textFill>
              </w:rPr>
              <w:t>小型、微型企业）采购项目，满足条件的企业需在响应文件中提供合格有效的《中小企业声明函》、《残疾人福利性单位声明函》（如有）或省级以上监狱管理局、戒毒管理局（含新疆生产建设兵团）出具的属于监狱企业的证明文件（如有）。</w:t>
            </w:r>
          </w:p>
        </w:tc>
        <w:tc>
          <w:tcPr>
            <w:tcW w:w="371" w:type="pct"/>
            <w:vAlign w:val="center"/>
          </w:tcPr>
          <w:p w14:paraId="631AED8A">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405" w:type="pct"/>
            <w:vAlign w:val="center"/>
          </w:tcPr>
          <w:p w14:paraId="4EE441A1">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14:paraId="60299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316" w:type="pct"/>
            <w:vAlign w:val="center"/>
          </w:tcPr>
          <w:p w14:paraId="5352D78E">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8</w:t>
            </w:r>
          </w:p>
        </w:tc>
        <w:tc>
          <w:tcPr>
            <w:tcW w:w="3905" w:type="pct"/>
            <w:vAlign w:val="center"/>
          </w:tcPr>
          <w:p w14:paraId="5088CF9C">
            <w:pPr>
              <w:widowControl/>
              <w:spacing w:line="380" w:lineRule="exac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本项目不接受联合体</w:t>
            </w:r>
            <w:r>
              <w:rPr>
                <w:rFonts w:hint="eastAsia" w:ascii="宋体" w:hAnsi="宋体" w:eastAsia="宋体" w:cs="宋体"/>
                <w:color w:val="000000" w:themeColor="text1"/>
                <w:sz w:val="24"/>
                <w:szCs w:val="24"/>
                <w:highlight w:val="none"/>
                <w:lang w:eastAsia="zh-CN"/>
                <w14:textFill>
                  <w14:solidFill>
                    <w14:schemeClr w14:val="tx1"/>
                  </w14:solidFill>
                </w14:textFill>
              </w:rPr>
              <w:t>。</w:t>
            </w:r>
          </w:p>
          <w:p w14:paraId="7FB12E9F">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【无需提供任何证明材料】。</w:t>
            </w:r>
          </w:p>
        </w:tc>
        <w:tc>
          <w:tcPr>
            <w:tcW w:w="371" w:type="pct"/>
            <w:vAlign w:val="center"/>
          </w:tcPr>
          <w:p w14:paraId="7E275249">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405" w:type="pct"/>
            <w:vAlign w:val="center"/>
          </w:tcPr>
          <w:p w14:paraId="0531A307">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14:paraId="527A7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4222" w:type="pct"/>
            <w:gridSpan w:val="2"/>
            <w:vAlign w:val="center"/>
          </w:tcPr>
          <w:p w14:paraId="65D94172">
            <w:pPr>
              <w:pageBreakBefore w:val="0"/>
              <w:widowControl/>
              <w:kinsoku/>
              <w:wordWrap/>
              <w:overflowPunct/>
              <w:topLinePunct w:val="0"/>
              <w:autoSpaceDE/>
              <w:autoSpaceDN/>
              <w:bidi w:val="0"/>
              <w:adjustRightInd/>
              <w:spacing w:line="38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审查结果（通过/不通过）</w:t>
            </w:r>
          </w:p>
        </w:tc>
        <w:tc>
          <w:tcPr>
            <w:tcW w:w="371" w:type="pct"/>
            <w:vAlign w:val="center"/>
          </w:tcPr>
          <w:p w14:paraId="2AFC4491">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405" w:type="pct"/>
            <w:vAlign w:val="center"/>
          </w:tcPr>
          <w:p w14:paraId="348D1678">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14:paraId="63ABC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74" w:hRule="atLeast"/>
          <w:jc w:val="center"/>
        </w:trPr>
        <w:tc>
          <w:tcPr>
            <w:tcW w:w="5000" w:type="pct"/>
            <w:gridSpan w:val="4"/>
            <w:vAlign w:val="center"/>
          </w:tcPr>
          <w:p w14:paraId="74085F9A">
            <w:pPr>
              <w:pStyle w:val="48"/>
              <w:pageBreakBefore w:val="0"/>
              <w:kinsoku/>
              <w:wordWrap/>
              <w:overflowPunct/>
              <w:topLinePunct w:val="0"/>
              <w:autoSpaceDE/>
              <w:autoSpaceDN/>
              <w:bidi w:val="0"/>
              <w:adjustRightInd/>
              <w:spacing w:line="380" w:lineRule="exact"/>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备注：如果</w:t>
            </w:r>
            <w:r>
              <w:rPr>
                <w:rFonts w:hint="eastAsia" w:ascii="宋体" w:hAnsi="宋体" w:eastAsia="宋体" w:cs="宋体"/>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sz w:val="24"/>
                <w:szCs w:val="24"/>
                <w:highlight w:val="none"/>
                <w14:textFill>
                  <w14:solidFill>
                    <w14:schemeClr w14:val="tx1"/>
                  </w14:solidFill>
                </w14:textFill>
              </w:rPr>
              <w:t>中有一项未通过上述审查标准，</w:t>
            </w:r>
            <w:r>
              <w:rPr>
                <w:rFonts w:hint="eastAsia" w:ascii="宋体" w:hAnsi="宋体" w:eastAsia="宋体" w:cs="宋体"/>
                <w:color w:val="000000" w:themeColor="text1"/>
                <w:sz w:val="24"/>
                <w:szCs w:val="24"/>
                <w:highlight w:val="none"/>
                <w:lang w:val="en-US" w:eastAsia="zh-CN"/>
                <w14:textFill>
                  <w14:solidFill>
                    <w14:schemeClr w14:val="tx1"/>
                  </w14:solidFill>
                </w14:textFill>
              </w:rPr>
              <w:t>采购人</w:t>
            </w:r>
            <w:r>
              <w:rPr>
                <w:rFonts w:hint="eastAsia" w:ascii="宋体" w:hAnsi="宋体" w:eastAsia="宋体" w:cs="宋体"/>
                <w:color w:val="000000" w:themeColor="text1"/>
                <w:sz w:val="24"/>
                <w:szCs w:val="24"/>
                <w:highlight w:val="none"/>
                <w14:textFill>
                  <w14:solidFill>
                    <w14:schemeClr w14:val="tx1"/>
                  </w14:solidFill>
                </w14:textFill>
              </w:rPr>
              <w:t>将认定整个</w:t>
            </w:r>
            <w:r>
              <w:rPr>
                <w:rFonts w:hint="eastAsia" w:ascii="宋体" w:hAnsi="宋体" w:eastAsia="宋体" w:cs="宋体"/>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sz w:val="24"/>
                <w:szCs w:val="24"/>
                <w:highlight w:val="none"/>
                <w14:textFill>
                  <w14:solidFill>
                    <w14:schemeClr w14:val="tx1"/>
                  </w14:solidFill>
                </w14:textFill>
              </w:rPr>
              <w:t>不响应</w:t>
            </w:r>
            <w:r>
              <w:rPr>
                <w:rFonts w:hint="eastAsia" w:ascii="宋体" w:hAnsi="宋体" w:eastAsia="宋体" w:cs="宋体"/>
                <w:color w:val="000000" w:themeColor="text1"/>
                <w:sz w:val="24"/>
                <w:szCs w:val="24"/>
                <w:highlight w:val="none"/>
                <w:lang w:val="en-US" w:eastAsia="zh-CN"/>
                <w14:textFill>
                  <w14:solidFill>
                    <w14:schemeClr w14:val="tx1"/>
                  </w14:solidFill>
                </w14:textFill>
              </w:rPr>
              <w:t>招标</w:t>
            </w:r>
            <w:r>
              <w:rPr>
                <w:rFonts w:hint="eastAsia" w:ascii="宋体" w:hAnsi="宋体" w:eastAsia="宋体" w:cs="宋体"/>
                <w:color w:val="000000" w:themeColor="text1"/>
                <w:sz w:val="24"/>
                <w:szCs w:val="24"/>
                <w:highlight w:val="none"/>
                <w14:textFill>
                  <w14:solidFill>
                    <w14:schemeClr w14:val="tx1"/>
                  </w14:solidFill>
                </w14:textFill>
              </w:rPr>
              <w:t>件而予以无效处理，并且不允许</w:t>
            </w:r>
            <w:r>
              <w:rPr>
                <w:rFonts w:hint="eastAsia" w:ascii="宋体" w:hAnsi="宋体" w:eastAsia="宋体" w:cs="宋体"/>
                <w:color w:val="000000" w:themeColor="text1"/>
                <w:sz w:val="24"/>
                <w:szCs w:val="24"/>
                <w:highlight w:val="none"/>
                <w:lang w:eastAsia="zh-CN"/>
                <w14:textFill>
                  <w14:solidFill>
                    <w14:schemeClr w14:val="tx1"/>
                  </w14:solidFill>
                </w14:textFill>
              </w:rPr>
              <w:t>投标人</w:t>
            </w:r>
            <w:r>
              <w:rPr>
                <w:rFonts w:hint="eastAsia" w:ascii="宋体" w:hAnsi="宋体" w:eastAsia="宋体" w:cs="宋体"/>
                <w:color w:val="000000" w:themeColor="text1"/>
                <w:sz w:val="24"/>
                <w:szCs w:val="24"/>
                <w:highlight w:val="none"/>
                <w14:textFill>
                  <w14:solidFill>
                    <w14:schemeClr w14:val="tx1"/>
                  </w14:solidFill>
                </w14:textFill>
              </w:rPr>
              <w:t>通过修改或撤销其不符合要求的差异或保留，使之成为具有响应性的</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w:t>
            </w:r>
            <w:r>
              <w:rPr>
                <w:rFonts w:hint="eastAsia" w:ascii="宋体" w:hAnsi="宋体" w:eastAsia="宋体" w:cs="宋体"/>
                <w:color w:val="000000" w:themeColor="text1"/>
                <w:sz w:val="24"/>
                <w:szCs w:val="24"/>
                <w:highlight w:val="none"/>
                <w14:textFill>
                  <w14:solidFill>
                    <w14:schemeClr w14:val="tx1"/>
                  </w14:solidFill>
                </w14:textFill>
              </w:rPr>
              <w:t>。</w:t>
            </w:r>
          </w:p>
        </w:tc>
      </w:tr>
    </w:tbl>
    <w:p w14:paraId="0276CC2C">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strike/>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3.2符合性审查。依据</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的规定，从投标文件的有效性、完整性和对</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的响应程度进行审查，以确定是否对</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的实质性要求作出响应。</w:t>
      </w:r>
    </w:p>
    <w:p w14:paraId="315F6AF2">
      <w:pPr>
        <w:pStyle w:val="28"/>
        <w:pageBreakBefore w:val="0"/>
        <w:kinsoku/>
        <w:wordWrap/>
        <w:overflowPunct/>
        <w:topLinePunct w:val="0"/>
        <w:autoSpaceDE/>
        <w:autoSpaceDN/>
        <w:bidi w:val="0"/>
        <w:adjustRightInd/>
        <w:spacing w:line="380" w:lineRule="exact"/>
        <w:jc w:val="center"/>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符合性审查表</w:t>
      </w:r>
    </w:p>
    <w:tbl>
      <w:tblPr>
        <w:tblStyle w:val="29"/>
        <w:tblW w:w="502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615"/>
        <w:gridCol w:w="6109"/>
        <w:gridCol w:w="783"/>
        <w:gridCol w:w="854"/>
      </w:tblGrid>
      <w:tr w14:paraId="0ABBE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4" w:hRule="atLeast"/>
          <w:jc w:val="center"/>
        </w:trPr>
        <w:tc>
          <w:tcPr>
            <w:tcW w:w="368" w:type="pct"/>
            <w:vMerge w:val="restart"/>
            <w:vAlign w:val="center"/>
          </w:tcPr>
          <w:p w14:paraId="0AB28353">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序号</w:t>
            </w:r>
          </w:p>
        </w:tc>
        <w:tc>
          <w:tcPr>
            <w:tcW w:w="3652" w:type="pct"/>
            <w:vMerge w:val="restart"/>
            <w:vAlign w:val="center"/>
          </w:tcPr>
          <w:p w14:paraId="2C80C16F">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审   查   标   准</w:t>
            </w:r>
          </w:p>
        </w:tc>
        <w:tc>
          <w:tcPr>
            <w:tcW w:w="978" w:type="pct"/>
            <w:gridSpan w:val="2"/>
            <w:vAlign w:val="center"/>
          </w:tcPr>
          <w:p w14:paraId="3DA93804">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审查结果</w:t>
            </w:r>
          </w:p>
        </w:tc>
      </w:tr>
      <w:tr w14:paraId="15368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4" w:hRule="atLeast"/>
          <w:jc w:val="center"/>
        </w:trPr>
        <w:tc>
          <w:tcPr>
            <w:tcW w:w="368" w:type="pct"/>
            <w:vMerge w:val="continue"/>
            <w:vAlign w:val="center"/>
          </w:tcPr>
          <w:p w14:paraId="3DA88AA7">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3652" w:type="pct"/>
            <w:vMerge w:val="continue"/>
            <w:vAlign w:val="center"/>
          </w:tcPr>
          <w:p w14:paraId="7A77DD1D">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468" w:type="pct"/>
            <w:vAlign w:val="center"/>
          </w:tcPr>
          <w:p w14:paraId="1B947AF0">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通过</w:t>
            </w:r>
          </w:p>
        </w:tc>
        <w:tc>
          <w:tcPr>
            <w:tcW w:w="510" w:type="pct"/>
            <w:vAlign w:val="center"/>
          </w:tcPr>
          <w:p w14:paraId="7B7F4AB4">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不通过</w:t>
            </w:r>
          </w:p>
        </w:tc>
      </w:tr>
      <w:tr w14:paraId="2BAA9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368" w:type="pct"/>
            <w:vAlign w:val="center"/>
          </w:tcPr>
          <w:p w14:paraId="7D7DFB05">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p>
        </w:tc>
        <w:tc>
          <w:tcPr>
            <w:tcW w:w="6109" w:type="dxa"/>
            <w:vAlign w:val="center"/>
          </w:tcPr>
          <w:p w14:paraId="2B5D751B">
            <w:pPr>
              <w:pStyle w:val="48"/>
              <w:spacing w:line="380" w:lineRule="exact"/>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投标文件的</w:t>
            </w:r>
            <w:r>
              <w:rPr>
                <w:rFonts w:hint="eastAsia" w:ascii="宋体" w:hAnsi="宋体" w:eastAsia="宋体" w:cs="宋体"/>
                <w:color w:val="000000" w:themeColor="text1"/>
                <w:sz w:val="24"/>
                <w:szCs w:val="24"/>
                <w:highlight w:val="none"/>
                <w:lang w:val="en-US" w:eastAsia="zh-CN"/>
                <w14:textFill>
                  <w14:solidFill>
                    <w14:schemeClr w14:val="tx1"/>
                  </w14:solidFill>
                </w14:textFill>
              </w:rPr>
              <w:t>编制</w:t>
            </w:r>
            <w:r>
              <w:rPr>
                <w:rFonts w:hint="eastAsia" w:ascii="宋体" w:hAnsi="宋体" w:eastAsia="宋体" w:cs="宋体"/>
                <w:color w:val="000000" w:themeColor="text1"/>
                <w:sz w:val="24"/>
                <w:szCs w:val="24"/>
                <w:highlight w:val="none"/>
                <w14:textFill>
                  <w14:solidFill>
                    <w14:schemeClr w14:val="tx1"/>
                  </w14:solidFill>
                </w14:textFill>
              </w:rPr>
              <w:t>符合招标文件要求；</w:t>
            </w:r>
          </w:p>
        </w:tc>
        <w:tc>
          <w:tcPr>
            <w:tcW w:w="468" w:type="pct"/>
            <w:vAlign w:val="center"/>
          </w:tcPr>
          <w:p w14:paraId="70394FD2">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510" w:type="pct"/>
            <w:vAlign w:val="center"/>
          </w:tcPr>
          <w:p w14:paraId="44FFA4A2">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14:paraId="1264D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368" w:type="pct"/>
            <w:vAlign w:val="center"/>
          </w:tcPr>
          <w:p w14:paraId="3BA0FA41">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p>
        </w:tc>
        <w:tc>
          <w:tcPr>
            <w:tcW w:w="6109" w:type="dxa"/>
            <w:vAlign w:val="center"/>
          </w:tcPr>
          <w:p w14:paraId="32E180BC">
            <w:pPr>
              <w:pStyle w:val="48"/>
              <w:spacing w:line="380" w:lineRule="exact"/>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投标文件按招标文件要求签署、盖章；</w:t>
            </w:r>
          </w:p>
        </w:tc>
        <w:tc>
          <w:tcPr>
            <w:tcW w:w="468" w:type="pct"/>
            <w:vAlign w:val="center"/>
          </w:tcPr>
          <w:p w14:paraId="7C94B5BB">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510" w:type="pct"/>
            <w:vAlign w:val="center"/>
          </w:tcPr>
          <w:p w14:paraId="2C4D402D">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14:paraId="6C039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368" w:type="pct"/>
            <w:vAlign w:val="center"/>
          </w:tcPr>
          <w:p w14:paraId="3872B50E">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p>
        </w:tc>
        <w:tc>
          <w:tcPr>
            <w:tcW w:w="6109" w:type="dxa"/>
            <w:vAlign w:val="center"/>
          </w:tcPr>
          <w:p w14:paraId="775FC7C0">
            <w:pPr>
              <w:pStyle w:val="48"/>
              <w:spacing w:line="380" w:lineRule="exact"/>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按照招标文件的规定</w:t>
            </w:r>
            <w:r>
              <w:rPr>
                <w:rFonts w:hint="eastAsia" w:ascii="宋体" w:hAnsi="宋体" w:eastAsia="宋体" w:cs="宋体"/>
                <w:color w:val="000000" w:themeColor="text1"/>
                <w:sz w:val="24"/>
                <w:szCs w:val="24"/>
                <w:highlight w:val="none"/>
                <w:lang w:eastAsia="zh-CN"/>
                <w14:textFill>
                  <w14:solidFill>
                    <w14:schemeClr w14:val="tx1"/>
                  </w14:solidFill>
                </w14:textFill>
              </w:rPr>
              <w:t>缴纳</w:t>
            </w:r>
            <w:r>
              <w:rPr>
                <w:rFonts w:hint="eastAsia" w:ascii="宋体" w:hAnsi="宋体" w:eastAsia="宋体" w:cs="宋体"/>
                <w:color w:val="000000" w:themeColor="text1"/>
                <w:sz w:val="24"/>
                <w:szCs w:val="24"/>
                <w:highlight w:val="none"/>
                <w14:textFill>
                  <w14:solidFill>
                    <w14:schemeClr w14:val="tx1"/>
                  </w14:solidFill>
                </w14:textFill>
              </w:rPr>
              <w:t>投标保证金；</w:t>
            </w:r>
          </w:p>
        </w:tc>
        <w:tc>
          <w:tcPr>
            <w:tcW w:w="468" w:type="pct"/>
            <w:vAlign w:val="center"/>
          </w:tcPr>
          <w:p w14:paraId="78710F63">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510" w:type="pct"/>
            <w:vAlign w:val="center"/>
          </w:tcPr>
          <w:p w14:paraId="78A27816">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14:paraId="27D0A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368" w:type="pct"/>
            <w:vAlign w:val="center"/>
          </w:tcPr>
          <w:p w14:paraId="5E882678">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w:t>
            </w:r>
          </w:p>
        </w:tc>
        <w:tc>
          <w:tcPr>
            <w:tcW w:w="6109" w:type="dxa"/>
            <w:vAlign w:val="center"/>
          </w:tcPr>
          <w:p w14:paraId="4485C287">
            <w:pPr>
              <w:pStyle w:val="48"/>
              <w:spacing w:line="380" w:lineRule="exact"/>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报价</w:t>
            </w:r>
            <w:r>
              <w:rPr>
                <w:rFonts w:hint="eastAsia" w:ascii="宋体" w:hAnsi="宋体" w:eastAsia="宋体" w:cs="宋体"/>
                <w:color w:val="000000" w:themeColor="text1"/>
                <w:sz w:val="24"/>
                <w:szCs w:val="24"/>
                <w:highlight w:val="none"/>
                <w:lang w:val="en-US" w:eastAsia="zh-CN"/>
                <w14:textFill>
                  <w14:solidFill>
                    <w14:schemeClr w14:val="tx1"/>
                  </w14:solidFill>
                </w14:textFill>
              </w:rPr>
              <w:t>未</w:t>
            </w:r>
            <w:r>
              <w:rPr>
                <w:rFonts w:hint="eastAsia" w:ascii="宋体" w:hAnsi="宋体" w:eastAsia="宋体" w:cs="宋体"/>
                <w:color w:val="000000" w:themeColor="text1"/>
                <w:sz w:val="24"/>
                <w:szCs w:val="24"/>
                <w:highlight w:val="none"/>
                <w14:textFill>
                  <w14:solidFill>
                    <w14:schemeClr w14:val="tx1"/>
                  </w14:solidFill>
                </w14:textFill>
              </w:rPr>
              <w:t>超过招标文件中规定的最高限价；</w:t>
            </w:r>
          </w:p>
        </w:tc>
        <w:tc>
          <w:tcPr>
            <w:tcW w:w="468" w:type="pct"/>
            <w:vAlign w:val="center"/>
          </w:tcPr>
          <w:p w14:paraId="3662DA9D">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510" w:type="pct"/>
            <w:vAlign w:val="center"/>
          </w:tcPr>
          <w:p w14:paraId="2E32DC19">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14:paraId="23B27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32" w:hRule="exact"/>
          <w:jc w:val="center"/>
        </w:trPr>
        <w:tc>
          <w:tcPr>
            <w:tcW w:w="368" w:type="pct"/>
            <w:vAlign w:val="center"/>
          </w:tcPr>
          <w:p w14:paraId="74B4F496">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p>
        </w:tc>
        <w:tc>
          <w:tcPr>
            <w:tcW w:w="6109" w:type="dxa"/>
            <w:vAlign w:val="center"/>
          </w:tcPr>
          <w:p w14:paraId="5A423617">
            <w:pPr>
              <w:pStyle w:val="48"/>
              <w:spacing w:line="380" w:lineRule="exact"/>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合同履约期限、</w:t>
            </w:r>
            <w:r>
              <w:rPr>
                <w:rFonts w:hint="eastAsia" w:ascii="宋体" w:hAnsi="宋体" w:eastAsia="宋体" w:cs="宋体"/>
                <w:color w:val="000000" w:themeColor="text1"/>
                <w:sz w:val="24"/>
                <w:szCs w:val="24"/>
                <w:highlight w:val="none"/>
                <w14:textFill>
                  <w14:solidFill>
                    <w14:schemeClr w14:val="tx1"/>
                  </w14:solidFill>
                </w14:textFill>
              </w:rPr>
              <w:t>质保期</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投标有效期</w:t>
            </w:r>
            <w:r>
              <w:rPr>
                <w:rFonts w:hint="eastAsia" w:ascii="宋体" w:hAnsi="宋体" w:eastAsia="宋体" w:cs="宋体"/>
                <w:color w:val="000000" w:themeColor="text1"/>
                <w:sz w:val="24"/>
                <w:szCs w:val="24"/>
                <w:highlight w:val="none"/>
                <w14:textFill>
                  <w14:solidFill>
                    <w14:schemeClr w14:val="tx1"/>
                  </w14:solidFill>
                </w14:textFill>
              </w:rPr>
              <w:t>符合招标文件规定期限；</w:t>
            </w:r>
          </w:p>
        </w:tc>
        <w:tc>
          <w:tcPr>
            <w:tcW w:w="468" w:type="pct"/>
            <w:vAlign w:val="center"/>
          </w:tcPr>
          <w:p w14:paraId="0A3A0146">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510" w:type="pct"/>
            <w:vAlign w:val="center"/>
          </w:tcPr>
          <w:p w14:paraId="149CBE68">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14:paraId="71EB6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9" w:hRule="exact"/>
          <w:jc w:val="center"/>
        </w:trPr>
        <w:tc>
          <w:tcPr>
            <w:tcW w:w="368" w:type="pct"/>
            <w:vAlign w:val="center"/>
          </w:tcPr>
          <w:p w14:paraId="1FD0F5B0">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w:t>
            </w:r>
          </w:p>
        </w:tc>
        <w:tc>
          <w:tcPr>
            <w:tcW w:w="6109" w:type="dxa"/>
            <w:vAlign w:val="center"/>
          </w:tcPr>
          <w:p w14:paraId="6D542D56">
            <w:pPr>
              <w:pStyle w:val="48"/>
              <w:spacing w:line="380" w:lineRule="exact"/>
              <w:textAlignment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实质性响应</w:t>
            </w:r>
            <w:r>
              <w:rPr>
                <w:rFonts w:hint="eastAsia" w:ascii="宋体" w:hAnsi="宋体" w:eastAsia="宋体" w:cs="宋体"/>
                <w:color w:val="000000" w:themeColor="text1"/>
                <w:sz w:val="24"/>
                <w:szCs w:val="24"/>
                <w:highlight w:val="none"/>
                <w:lang w:val="en-US" w:eastAsia="zh-CN"/>
                <w14:textFill>
                  <w14:solidFill>
                    <w14:schemeClr w14:val="tx1"/>
                  </w14:solidFill>
                </w14:textFill>
              </w:rPr>
              <w:t>招标</w:t>
            </w:r>
            <w:r>
              <w:rPr>
                <w:rFonts w:hint="eastAsia" w:ascii="宋体" w:hAnsi="宋体" w:eastAsia="宋体" w:cs="宋体"/>
                <w:color w:val="000000" w:themeColor="text1"/>
                <w:sz w:val="24"/>
                <w:szCs w:val="24"/>
                <w:highlight w:val="none"/>
                <w:lang w:eastAsia="zh-CN"/>
                <w14:textFill>
                  <w14:solidFill>
                    <w14:schemeClr w14:val="tx1"/>
                  </w14:solidFill>
                </w14:textFill>
              </w:rPr>
              <w:t>文件</w:t>
            </w:r>
            <w:r>
              <w:rPr>
                <w:rFonts w:hint="eastAsia" w:ascii="宋体" w:hAnsi="宋体" w:eastAsia="宋体" w:cs="宋体"/>
                <w:color w:val="000000" w:themeColor="text1"/>
                <w:sz w:val="24"/>
                <w:szCs w:val="24"/>
                <w:highlight w:val="none"/>
                <w14:textFill>
                  <w14:solidFill>
                    <w14:schemeClr w14:val="tx1"/>
                  </w14:solidFill>
                </w14:textFill>
              </w:rPr>
              <w:t>要求</w:t>
            </w:r>
            <w:r>
              <w:rPr>
                <w:rFonts w:hint="eastAsia" w:ascii="宋体" w:hAnsi="宋体" w:eastAsia="宋体" w:cs="宋体"/>
                <w:color w:val="000000" w:themeColor="text1"/>
                <w:sz w:val="24"/>
                <w:szCs w:val="24"/>
                <w:highlight w:val="none"/>
                <w:lang w:eastAsia="zh-CN"/>
                <w14:textFill>
                  <w14:solidFill>
                    <w14:schemeClr w14:val="tx1"/>
                  </w14:solidFill>
                </w14:textFill>
              </w:rPr>
              <w:t>；</w:t>
            </w:r>
          </w:p>
        </w:tc>
        <w:tc>
          <w:tcPr>
            <w:tcW w:w="468" w:type="pct"/>
            <w:vAlign w:val="center"/>
          </w:tcPr>
          <w:p w14:paraId="1C9BF8C8">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510" w:type="pct"/>
            <w:vAlign w:val="center"/>
          </w:tcPr>
          <w:p w14:paraId="5461E46F">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14:paraId="22278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85" w:hRule="exact"/>
          <w:jc w:val="center"/>
        </w:trPr>
        <w:tc>
          <w:tcPr>
            <w:tcW w:w="368" w:type="pct"/>
            <w:vAlign w:val="center"/>
          </w:tcPr>
          <w:p w14:paraId="4B7A12A5">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p>
        </w:tc>
        <w:tc>
          <w:tcPr>
            <w:tcW w:w="6109" w:type="dxa"/>
            <w:vAlign w:val="center"/>
          </w:tcPr>
          <w:p w14:paraId="535CEDFF">
            <w:pPr>
              <w:pStyle w:val="48"/>
              <w:spacing w:line="380" w:lineRule="exact"/>
              <w:textAlignment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投标文件</w:t>
            </w:r>
            <w:r>
              <w:rPr>
                <w:rFonts w:hint="eastAsia" w:ascii="宋体" w:hAnsi="宋体" w:eastAsia="宋体" w:cs="宋体"/>
                <w:color w:val="000000" w:themeColor="text1"/>
                <w:sz w:val="24"/>
                <w:szCs w:val="24"/>
                <w:highlight w:val="none"/>
                <w:lang w:val="en-US" w:eastAsia="zh-CN"/>
                <w14:textFill>
                  <w14:solidFill>
                    <w14:schemeClr w14:val="tx1"/>
                  </w14:solidFill>
                </w14:textFill>
              </w:rPr>
              <w:t>不存在</w:t>
            </w:r>
            <w:r>
              <w:rPr>
                <w:rFonts w:hint="eastAsia" w:ascii="宋体" w:hAnsi="宋体" w:eastAsia="宋体" w:cs="宋体"/>
                <w:color w:val="000000" w:themeColor="text1"/>
                <w:sz w:val="24"/>
                <w:szCs w:val="24"/>
                <w:highlight w:val="none"/>
                <w:lang w:eastAsia="zh-CN"/>
                <w14:textFill>
                  <w14:solidFill>
                    <w14:schemeClr w14:val="tx1"/>
                  </w14:solidFill>
                </w14:textFill>
              </w:rPr>
              <w:t>采购人不能接受的附加条件、</w:t>
            </w:r>
            <w:r>
              <w:rPr>
                <w:rFonts w:hint="eastAsia" w:ascii="宋体" w:hAnsi="宋体" w:eastAsia="宋体" w:cs="宋体"/>
                <w:color w:val="000000" w:themeColor="text1"/>
                <w:sz w:val="24"/>
                <w:szCs w:val="24"/>
                <w:highlight w:val="none"/>
                <w:lang w:val="en-US" w:eastAsia="zh-CN"/>
                <w14:textFill>
                  <w14:solidFill>
                    <w14:schemeClr w14:val="tx1"/>
                  </w14:solidFill>
                </w14:textFill>
              </w:rPr>
              <w:t>不存在法律、法规和招标文件规定的其他无效情形</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b/>
                <w:bCs/>
                <w:color w:val="000000" w:themeColor="text1"/>
                <w:sz w:val="24"/>
                <w:szCs w:val="24"/>
                <w:highlight w:val="none"/>
                <w:lang w:eastAsia="zh-CN"/>
                <w14:textFill>
                  <w14:solidFill>
                    <w14:schemeClr w14:val="tx1"/>
                  </w14:solidFill>
                </w14:textFill>
              </w:rPr>
              <w:t>（本次投标产品类别属于政府强制采购产品类别的，须按照要求提供依据国家确定的认证机构出具的节能产品或环境标志产品认证证书，否则投标无效。）</w:t>
            </w:r>
          </w:p>
        </w:tc>
        <w:tc>
          <w:tcPr>
            <w:tcW w:w="468" w:type="pct"/>
            <w:vAlign w:val="center"/>
          </w:tcPr>
          <w:p w14:paraId="3DE42BAC">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510" w:type="pct"/>
            <w:vAlign w:val="center"/>
          </w:tcPr>
          <w:p w14:paraId="3EE03179">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14:paraId="5A0F0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1" w:hRule="exact"/>
          <w:jc w:val="center"/>
        </w:trPr>
        <w:tc>
          <w:tcPr>
            <w:tcW w:w="4021" w:type="pct"/>
            <w:gridSpan w:val="2"/>
            <w:vAlign w:val="center"/>
          </w:tcPr>
          <w:p w14:paraId="0B9BF2E1">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审查结果（通过/不通过）</w:t>
            </w:r>
          </w:p>
        </w:tc>
        <w:tc>
          <w:tcPr>
            <w:tcW w:w="468" w:type="pct"/>
            <w:vAlign w:val="center"/>
          </w:tcPr>
          <w:p w14:paraId="26684C2C">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c>
          <w:tcPr>
            <w:tcW w:w="510" w:type="pct"/>
            <w:vAlign w:val="center"/>
          </w:tcPr>
          <w:p w14:paraId="629D96F8">
            <w:pPr>
              <w:pStyle w:val="48"/>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themeColor="text1"/>
                <w:sz w:val="24"/>
                <w:szCs w:val="24"/>
                <w:highlight w:val="none"/>
                <w14:textFill>
                  <w14:solidFill>
                    <w14:schemeClr w14:val="tx1"/>
                  </w14:solidFill>
                </w14:textFill>
              </w:rPr>
            </w:pPr>
          </w:p>
        </w:tc>
      </w:tr>
      <w:tr w14:paraId="69652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38" w:hRule="exact"/>
          <w:jc w:val="center"/>
        </w:trPr>
        <w:tc>
          <w:tcPr>
            <w:tcW w:w="5000" w:type="pct"/>
            <w:gridSpan w:val="4"/>
            <w:vAlign w:val="center"/>
          </w:tcPr>
          <w:p w14:paraId="0AE9DE52">
            <w:pPr>
              <w:pStyle w:val="48"/>
              <w:pageBreakBefore w:val="0"/>
              <w:kinsoku/>
              <w:wordWrap/>
              <w:overflowPunct/>
              <w:topLinePunct w:val="0"/>
              <w:autoSpaceDE/>
              <w:autoSpaceDN/>
              <w:bidi w:val="0"/>
              <w:adjustRightInd/>
              <w:spacing w:line="380" w:lineRule="exact"/>
              <w:jc w:val="left"/>
              <w:textAlignment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备注：如果投标文件中有一项未通过上述审查标准，评标委员会将认定整个投标文件不响应</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而予以无效处理，并且不允许投标人通过修改或撤销其不符合要求的差异或保留，使之成为具有响应性的投标。</w:t>
            </w:r>
          </w:p>
        </w:tc>
      </w:tr>
    </w:tbl>
    <w:p w14:paraId="202A9B4B">
      <w:pPr>
        <w:pStyle w:val="12"/>
        <w:pageBreakBefore w:val="0"/>
        <w:tabs>
          <w:tab w:val="left" w:pos="600"/>
        </w:tabs>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3.2.1在投标文件符合性审查过程中，如果出现评标委员会成员意见不一致的情况，按照少数服从多数的原则确定，但不得违背政府采购基本原则和</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规定。</w:t>
      </w:r>
    </w:p>
    <w:p w14:paraId="706E404D">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3.3澄清有关问题。对投标文件中含义不明确、同类问题表述不一致或者有明显文字和计算错误的内容，评标委员会可以书面形式（应当由评标委员会签字）要求投标人作出必要的澄清、说明或者补正。投标人的澄清、说明或者补正应当采用书面形式，由其授权人或者被授权人签字，并不得超出投标文件的范围或者改变投标文件的实质性内容。</w:t>
      </w:r>
      <w:bookmarkStart w:id="156" w:name="_Toc217446104"/>
      <w:bookmarkStart w:id="157" w:name="_Toc183582287"/>
      <w:bookmarkStart w:id="158" w:name="_Toc183682422"/>
    </w:p>
    <w:bookmarkEnd w:id="156"/>
    <w:bookmarkEnd w:id="157"/>
    <w:bookmarkEnd w:id="158"/>
    <w:p w14:paraId="46FC2E43">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3.4比较与评价。按</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中规定的评标方法和标准，对符合性审查合格的投标文件进行综合比较与评价。</w:t>
      </w:r>
    </w:p>
    <w:p w14:paraId="404C14B7">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3.5推荐中标候选人名单。中标候选人数量应当根据</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确定，但必须按顺序排列中标候选人。</w:t>
      </w:r>
    </w:p>
    <w:p w14:paraId="43A1F79F">
      <w:pPr>
        <w:pStyle w:val="42"/>
        <w:pageBreakBefore w:val="0"/>
        <w:kinsoku/>
        <w:wordWrap/>
        <w:overflowPunct/>
        <w:topLinePunct w:val="0"/>
        <w:autoSpaceDE/>
        <w:autoSpaceDN/>
        <w:bidi w:val="0"/>
        <w:adjustRightInd/>
        <w:spacing w:line="380" w:lineRule="exact"/>
        <w:rPr>
          <w:rFonts w:hint="eastAsia" w:ascii="宋体" w:hAnsi="宋体" w:eastAsia="宋体" w:cs="宋体"/>
          <w:b/>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3.5.1评标委员会根据综合评分情况，按照评标得分由高到低顺序推荐3名中标候选人，并编写评标报告。得分相同的，按投标报价由低到高顺序排列。得分且投标报价相同的</w:t>
      </w:r>
      <w:r>
        <w:rPr>
          <w:rFonts w:hint="eastAsia" w:ascii="宋体" w:hAnsi="宋体" w:eastAsia="宋体" w:cs="宋体"/>
          <w:color w:val="000000" w:themeColor="text1"/>
          <w:sz w:val="24"/>
          <w:szCs w:val="24"/>
          <w:highlight w:val="none"/>
          <w:shd w:val="clear" w:color="auto" w:fill="FAFAFA"/>
          <w14:textFill>
            <w14:solidFill>
              <w14:schemeClr w14:val="tx1"/>
            </w14:solidFill>
          </w14:textFill>
        </w:rPr>
        <w:t>，按照技术指标优劣顺序推荐</w:t>
      </w:r>
      <w:r>
        <w:rPr>
          <w:rFonts w:hint="eastAsia" w:ascii="宋体" w:hAnsi="宋体" w:eastAsia="宋体" w:cs="宋体"/>
          <w:color w:val="000000" w:themeColor="text1"/>
          <w:sz w:val="24"/>
          <w:szCs w:val="24"/>
          <w:highlight w:val="none"/>
          <w14:textFill>
            <w14:solidFill>
              <w14:schemeClr w14:val="tx1"/>
            </w14:solidFill>
          </w14:textFill>
        </w:rPr>
        <w:t>。</w:t>
      </w:r>
    </w:p>
    <w:p w14:paraId="309D217E">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3.6编写评标报告。评标报告是评标委员会根据评标委员成员签字的原始评标记录和评标结果编写的报告，其主要内容包括：</w:t>
      </w:r>
    </w:p>
    <w:p w14:paraId="269E87E1">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（1）项目概况、开标日期和地点；</w:t>
      </w:r>
    </w:p>
    <w:p w14:paraId="7CF2A33D">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（2）参与竞争的的投标人名单和评标委员会成员名单；</w:t>
      </w:r>
    </w:p>
    <w:p w14:paraId="32D8D8C7">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（3）评审因素和评分标准；</w:t>
      </w:r>
    </w:p>
    <w:p w14:paraId="685F967E">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（4）开标记录和评标情况及说明，包括投标无效投标人名单及原因；</w:t>
      </w:r>
    </w:p>
    <w:p w14:paraId="7F831C28">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（5）评标结果和中标候选人排序。</w:t>
      </w:r>
    </w:p>
    <w:p w14:paraId="624B314E">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59" w:name="_Toc217446103"/>
      <w:r>
        <w:rPr>
          <w:rFonts w:hint="eastAsia" w:ascii="宋体" w:hAnsi="宋体" w:eastAsia="宋体" w:cs="宋体"/>
          <w:color w:val="000000" w:themeColor="text1"/>
          <w:sz w:val="24"/>
          <w:szCs w:val="24"/>
          <w:highlight w:val="none"/>
          <w14:textFill>
            <w14:solidFill>
              <w14:schemeClr w14:val="tx1"/>
            </w14:solidFill>
          </w14:textFill>
        </w:rPr>
        <w:t>4. 评标细则及标准</w:t>
      </w:r>
      <w:bookmarkEnd w:id="159"/>
    </w:p>
    <w:p w14:paraId="79ABE03A">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4.1 评标委员会只对通过符合性审查的投标文件，根据</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的要求采用相同的评标程序、评分办法及标准进行评价和比较。</w:t>
      </w:r>
    </w:p>
    <w:p w14:paraId="094A2F32">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4.2 本次综合评分的因素是：商务、价格、技术服务、业绩、对</w:t>
      </w:r>
      <w:r>
        <w:rPr>
          <w:rFonts w:hint="eastAsia" w:ascii="宋体" w:hAnsi="宋体" w:eastAsia="宋体" w:cs="宋体"/>
          <w:color w:val="000000" w:themeColor="text1"/>
          <w:sz w:val="24"/>
          <w:szCs w:val="24"/>
          <w:highlight w:val="none"/>
          <w:lang w:eastAsia="zh-CN"/>
          <w14:textFill>
            <w14:solidFill>
              <w14:schemeClr w14:val="tx1"/>
            </w14:solidFill>
          </w14:textFill>
        </w:rPr>
        <w:t>招标文件</w:t>
      </w:r>
      <w:r>
        <w:rPr>
          <w:rFonts w:hint="eastAsia" w:ascii="宋体" w:hAnsi="宋体" w:eastAsia="宋体" w:cs="宋体"/>
          <w:color w:val="000000" w:themeColor="text1"/>
          <w:sz w:val="24"/>
          <w:szCs w:val="24"/>
          <w:highlight w:val="none"/>
          <w14:textFill>
            <w14:solidFill>
              <w14:schemeClr w14:val="tx1"/>
            </w14:solidFill>
          </w14:textFill>
        </w:rPr>
        <w:t>的响应程度以及投标文件规范性等。</w:t>
      </w:r>
    </w:p>
    <w:p w14:paraId="0CBE8F38">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4.3 除价格因素外，评标委员会成员应依据投标文件规定的评审因素和评分标准进行比较打分。</w:t>
      </w:r>
    </w:p>
    <w:p w14:paraId="6FAB1E1B">
      <w:pPr>
        <w:pStyle w:val="12"/>
        <w:pageBreakBefore w:val="0"/>
        <w:tabs>
          <w:tab w:val="left" w:pos="600"/>
        </w:tabs>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4.4评标细则及标准的制定以科学合理、降低评标委员会自由裁量权为原则。</w:t>
      </w:r>
    </w:p>
    <w:p w14:paraId="775548E2">
      <w:pPr>
        <w:pStyle w:val="12"/>
        <w:pageBreakBefore w:val="0"/>
        <w:tabs>
          <w:tab w:val="left" w:pos="600"/>
        </w:tabs>
        <w:kinsoku/>
        <w:wordWrap/>
        <w:overflowPunct/>
        <w:topLinePunct w:val="0"/>
        <w:autoSpaceDE/>
        <w:autoSpaceDN/>
        <w:bidi w:val="0"/>
        <w:adjustRightInd/>
        <w:spacing w:line="38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4.5评标委员会将按照下述评分标准对通过符合性审查的投标文件进行详细评标，投标人评标得分等于所有评委评分的算术平均值，结果保留两位小数。</w:t>
      </w:r>
    </w:p>
    <w:p w14:paraId="339DEAFE">
      <w:pPr>
        <w:pStyle w:val="12"/>
        <w:tabs>
          <w:tab w:val="left" w:pos="600"/>
        </w:tabs>
        <w:spacing w:line="360" w:lineRule="auto"/>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评审因素权重表</w:t>
      </w:r>
    </w:p>
    <w:tbl>
      <w:tblPr>
        <w:tblStyle w:val="2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06"/>
        <w:gridCol w:w="1974"/>
        <w:gridCol w:w="2241"/>
        <w:gridCol w:w="2698"/>
      </w:tblGrid>
      <w:tr w14:paraId="4AC51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942" w:type="pct"/>
            <w:tcBorders>
              <w:top w:val="single" w:color="auto" w:sz="4" w:space="0"/>
              <w:left w:val="single" w:color="auto" w:sz="4" w:space="0"/>
              <w:bottom w:val="single" w:color="auto" w:sz="4" w:space="0"/>
              <w:right w:val="single" w:color="auto" w:sz="4" w:space="0"/>
            </w:tcBorders>
            <w:vAlign w:val="center"/>
          </w:tcPr>
          <w:p w14:paraId="4AB56921">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序号</w:t>
            </w:r>
          </w:p>
        </w:tc>
        <w:tc>
          <w:tcPr>
            <w:tcW w:w="1158" w:type="pct"/>
            <w:tcBorders>
              <w:top w:val="single" w:color="auto" w:sz="4" w:space="0"/>
              <w:left w:val="single" w:color="auto" w:sz="4" w:space="0"/>
              <w:bottom w:val="single" w:color="auto" w:sz="4" w:space="0"/>
              <w:right w:val="single" w:color="auto" w:sz="4" w:space="0"/>
            </w:tcBorders>
            <w:vAlign w:val="center"/>
          </w:tcPr>
          <w:p w14:paraId="7076000E">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1</w:t>
            </w:r>
          </w:p>
        </w:tc>
        <w:tc>
          <w:tcPr>
            <w:tcW w:w="1315" w:type="pct"/>
            <w:tcBorders>
              <w:top w:val="single" w:color="auto" w:sz="4" w:space="0"/>
              <w:left w:val="single" w:color="auto" w:sz="4" w:space="0"/>
              <w:bottom w:val="single" w:color="auto" w:sz="4" w:space="0"/>
              <w:right w:val="single" w:color="auto" w:sz="4" w:space="0"/>
            </w:tcBorders>
            <w:vAlign w:val="center"/>
          </w:tcPr>
          <w:p w14:paraId="4E642DA1">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2</w:t>
            </w:r>
          </w:p>
        </w:tc>
        <w:tc>
          <w:tcPr>
            <w:tcW w:w="1583" w:type="pct"/>
            <w:tcBorders>
              <w:top w:val="single" w:color="auto" w:sz="4" w:space="0"/>
              <w:left w:val="single" w:color="auto" w:sz="4" w:space="0"/>
              <w:bottom w:val="single" w:color="auto" w:sz="4" w:space="0"/>
              <w:right w:val="single" w:color="auto" w:sz="4" w:space="0"/>
            </w:tcBorders>
            <w:vAlign w:val="center"/>
          </w:tcPr>
          <w:p w14:paraId="1255885D">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3</w:t>
            </w:r>
          </w:p>
        </w:tc>
      </w:tr>
      <w:tr w14:paraId="714AA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942" w:type="pct"/>
            <w:tcBorders>
              <w:top w:val="single" w:color="auto" w:sz="4" w:space="0"/>
              <w:left w:val="single" w:color="auto" w:sz="4" w:space="0"/>
              <w:bottom w:val="single" w:color="auto" w:sz="4" w:space="0"/>
              <w:right w:val="single" w:color="auto" w:sz="4" w:space="0"/>
            </w:tcBorders>
            <w:vAlign w:val="center"/>
          </w:tcPr>
          <w:p w14:paraId="0795E4AF">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评审因素</w:t>
            </w:r>
          </w:p>
        </w:tc>
        <w:tc>
          <w:tcPr>
            <w:tcW w:w="1158" w:type="pct"/>
            <w:tcBorders>
              <w:top w:val="single" w:color="auto" w:sz="4" w:space="0"/>
              <w:left w:val="single" w:color="auto" w:sz="4" w:space="0"/>
              <w:bottom w:val="single" w:color="auto" w:sz="4" w:space="0"/>
              <w:right w:val="single" w:color="auto" w:sz="4" w:space="0"/>
            </w:tcBorders>
            <w:vAlign w:val="center"/>
          </w:tcPr>
          <w:p w14:paraId="234474A3">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投标报价</w:t>
            </w:r>
          </w:p>
        </w:tc>
        <w:tc>
          <w:tcPr>
            <w:tcW w:w="1315" w:type="pct"/>
            <w:tcBorders>
              <w:top w:val="single" w:color="auto" w:sz="4" w:space="0"/>
              <w:left w:val="single" w:color="auto" w:sz="4" w:space="0"/>
              <w:bottom w:val="single" w:color="auto" w:sz="4" w:space="0"/>
              <w:right w:val="single" w:color="auto" w:sz="4" w:space="0"/>
            </w:tcBorders>
            <w:vAlign w:val="center"/>
          </w:tcPr>
          <w:p w14:paraId="35A40AF8">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技术、商务部分</w:t>
            </w:r>
          </w:p>
        </w:tc>
        <w:tc>
          <w:tcPr>
            <w:tcW w:w="1583" w:type="pct"/>
            <w:tcBorders>
              <w:top w:val="single" w:color="auto" w:sz="4" w:space="0"/>
              <w:left w:val="single" w:color="auto" w:sz="4" w:space="0"/>
              <w:bottom w:val="single" w:color="auto" w:sz="4" w:space="0"/>
              <w:right w:val="single" w:color="auto" w:sz="4" w:space="0"/>
            </w:tcBorders>
            <w:vAlign w:val="center"/>
          </w:tcPr>
          <w:p w14:paraId="3E5F8AC2">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合计</w:t>
            </w:r>
          </w:p>
        </w:tc>
      </w:tr>
      <w:tr w14:paraId="668B6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942" w:type="pct"/>
            <w:tcBorders>
              <w:top w:val="single" w:color="auto" w:sz="4" w:space="0"/>
              <w:left w:val="single" w:color="auto" w:sz="4" w:space="0"/>
              <w:bottom w:val="single" w:color="auto" w:sz="4" w:space="0"/>
              <w:right w:val="single" w:color="auto" w:sz="4" w:space="0"/>
            </w:tcBorders>
            <w:vAlign w:val="center"/>
          </w:tcPr>
          <w:p w14:paraId="4311901D">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权重</w:t>
            </w:r>
          </w:p>
        </w:tc>
        <w:tc>
          <w:tcPr>
            <w:tcW w:w="1158" w:type="pct"/>
            <w:tcBorders>
              <w:top w:val="single" w:color="auto" w:sz="4" w:space="0"/>
              <w:left w:val="single" w:color="auto" w:sz="4" w:space="0"/>
              <w:bottom w:val="single" w:color="auto" w:sz="4" w:space="0"/>
              <w:right w:val="single" w:color="auto" w:sz="4" w:space="0"/>
            </w:tcBorders>
            <w:vAlign w:val="center"/>
          </w:tcPr>
          <w:p w14:paraId="27C12429">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pacing w:val="6"/>
                <w:kern w:val="0"/>
                <w:sz w:val="24"/>
                <w:szCs w:val="24"/>
                <w:highlight w:val="none"/>
                <w14:textFill>
                  <w14:solidFill>
                    <w14:schemeClr w14:val="tx1"/>
                  </w14:solidFill>
                </w14:textFill>
              </w:rPr>
              <w:t>0%</w:t>
            </w:r>
          </w:p>
        </w:tc>
        <w:tc>
          <w:tcPr>
            <w:tcW w:w="1315" w:type="pct"/>
            <w:tcBorders>
              <w:top w:val="single" w:color="auto" w:sz="4" w:space="0"/>
              <w:left w:val="single" w:color="auto" w:sz="4" w:space="0"/>
              <w:bottom w:val="single" w:color="auto" w:sz="4" w:space="0"/>
              <w:right w:val="single" w:color="auto" w:sz="4" w:space="0"/>
            </w:tcBorders>
            <w:vAlign w:val="center"/>
          </w:tcPr>
          <w:p w14:paraId="716A7BF8">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pacing w:val="6"/>
                <w:kern w:val="0"/>
                <w:sz w:val="24"/>
                <w:szCs w:val="24"/>
                <w:highlight w:val="none"/>
                <w14:textFill>
                  <w14:solidFill>
                    <w14:schemeClr w14:val="tx1"/>
                  </w14:solidFill>
                </w14:textFill>
              </w:rPr>
              <w:t>0%</w:t>
            </w:r>
          </w:p>
        </w:tc>
        <w:tc>
          <w:tcPr>
            <w:tcW w:w="1583" w:type="pct"/>
            <w:tcBorders>
              <w:top w:val="single" w:color="auto" w:sz="4" w:space="0"/>
              <w:left w:val="single" w:color="auto" w:sz="4" w:space="0"/>
              <w:bottom w:val="single" w:color="auto" w:sz="4" w:space="0"/>
              <w:right w:val="single" w:color="auto" w:sz="4" w:space="0"/>
            </w:tcBorders>
            <w:vAlign w:val="center"/>
          </w:tcPr>
          <w:p w14:paraId="4C4311D4">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100%</w:t>
            </w:r>
          </w:p>
        </w:tc>
      </w:tr>
    </w:tbl>
    <w:p w14:paraId="134C10CA">
      <w:pPr>
        <w:pStyle w:val="12"/>
        <w:tabs>
          <w:tab w:val="left" w:pos="600"/>
        </w:tabs>
        <w:spacing w:line="360" w:lineRule="auto"/>
        <w:ind w:firstLine="0"/>
        <w:jc w:val="cente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技术、商务部分评审标准（</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7</w:t>
      </w:r>
      <w:r>
        <w:rPr>
          <w:rFonts w:hint="eastAsia" w:ascii="宋体" w:hAnsi="宋体" w:eastAsia="宋体" w:cs="宋体"/>
          <w:b/>
          <w:bCs/>
          <w:color w:val="000000" w:themeColor="text1"/>
          <w:sz w:val="24"/>
          <w:szCs w:val="24"/>
          <w:highlight w:val="none"/>
          <w14:textFill>
            <w14:solidFill>
              <w14:schemeClr w14:val="tx1"/>
            </w14:solidFill>
          </w14:textFill>
        </w:rPr>
        <w:t>0分）</w:t>
      </w:r>
    </w:p>
    <w:tbl>
      <w:tblPr>
        <w:tblStyle w:val="29"/>
        <w:tblW w:w="885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43"/>
        <w:gridCol w:w="1220"/>
        <w:gridCol w:w="992"/>
        <w:gridCol w:w="5898"/>
      </w:tblGrid>
      <w:tr w14:paraId="289649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9" w:hRule="atLeast"/>
          <w:jc w:val="center"/>
        </w:trPr>
        <w:tc>
          <w:tcPr>
            <w:tcW w:w="743" w:type="dxa"/>
            <w:tcBorders>
              <w:left w:val="single" w:color="auto" w:sz="4" w:space="0"/>
            </w:tcBorders>
            <w:noWrap w:val="0"/>
            <w:vAlign w:val="center"/>
          </w:tcPr>
          <w:p w14:paraId="29C86965">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序号</w:t>
            </w:r>
          </w:p>
        </w:tc>
        <w:tc>
          <w:tcPr>
            <w:tcW w:w="1220" w:type="dxa"/>
            <w:tcBorders>
              <w:left w:val="single" w:color="auto" w:sz="4" w:space="0"/>
            </w:tcBorders>
            <w:noWrap w:val="0"/>
            <w:vAlign w:val="center"/>
          </w:tcPr>
          <w:p w14:paraId="4418056C">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评审因素</w:t>
            </w:r>
          </w:p>
        </w:tc>
        <w:tc>
          <w:tcPr>
            <w:tcW w:w="992" w:type="dxa"/>
            <w:noWrap w:val="0"/>
            <w:vAlign w:val="center"/>
          </w:tcPr>
          <w:p w14:paraId="32AAA07F">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 xml:space="preserve">分值 </w:t>
            </w:r>
          </w:p>
          <w:p w14:paraId="0DC69D5D">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w:t>
            </w: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70</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分）</w:t>
            </w:r>
          </w:p>
        </w:tc>
        <w:tc>
          <w:tcPr>
            <w:tcW w:w="5898" w:type="dxa"/>
            <w:noWrap w:val="0"/>
            <w:vAlign w:val="center"/>
          </w:tcPr>
          <w:p w14:paraId="33ADA1FC">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评审标准</w:t>
            </w:r>
          </w:p>
        </w:tc>
      </w:tr>
      <w:tr w14:paraId="480182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46" w:hRule="atLeast"/>
          <w:jc w:val="center"/>
        </w:trPr>
        <w:tc>
          <w:tcPr>
            <w:tcW w:w="743" w:type="dxa"/>
            <w:noWrap w:val="0"/>
            <w:vAlign w:val="center"/>
          </w:tcPr>
          <w:p w14:paraId="79E2D59B">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1</w:t>
            </w:r>
          </w:p>
        </w:tc>
        <w:tc>
          <w:tcPr>
            <w:tcW w:w="1220" w:type="dxa"/>
            <w:noWrap w:val="0"/>
            <w:vAlign w:val="center"/>
          </w:tcPr>
          <w:p w14:paraId="7C12981C">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投标人业</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绩</w:t>
            </w:r>
          </w:p>
        </w:tc>
        <w:tc>
          <w:tcPr>
            <w:tcW w:w="992" w:type="dxa"/>
            <w:noWrap w:val="0"/>
            <w:vAlign w:val="center"/>
          </w:tcPr>
          <w:p w14:paraId="7E67D084">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7分</w:t>
            </w:r>
          </w:p>
        </w:tc>
        <w:tc>
          <w:tcPr>
            <w:tcW w:w="5898" w:type="dxa"/>
            <w:noWrap w:val="0"/>
            <w:vAlign w:val="center"/>
          </w:tcPr>
          <w:p w14:paraId="27394FF6">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textAlignment w:val="auto"/>
              <w:outlineLvl w:val="9"/>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根据</w:t>
            </w: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投标人</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提供</w:t>
            </w:r>
            <w:r>
              <w:rPr>
                <w:rFonts w:hint="eastAsia" w:ascii="宋体" w:hAnsi="宋体" w:eastAsia="宋体" w:cs="宋体"/>
                <w:bCs/>
                <w:color w:val="000000" w:themeColor="text1"/>
                <w:sz w:val="24"/>
                <w14:textFill>
                  <w14:solidFill>
                    <w14:schemeClr w14:val="tx1"/>
                  </w14:solidFill>
                </w14:textFill>
              </w:rPr>
              <w:t>自上传</w:t>
            </w:r>
            <w:r>
              <w:rPr>
                <w:rFonts w:hint="eastAsia" w:ascii="宋体" w:hAnsi="宋体" w:eastAsia="宋体" w:cs="宋体"/>
                <w:bCs/>
                <w:color w:val="000000" w:themeColor="text1"/>
                <w:sz w:val="24"/>
                <w:lang w:val="en-US" w:eastAsia="zh-CN"/>
                <w14:textFill>
                  <w14:solidFill>
                    <w14:schemeClr w14:val="tx1"/>
                  </w14:solidFill>
                </w14:textFill>
              </w:rPr>
              <w:t>投标</w:t>
            </w:r>
            <w:r>
              <w:rPr>
                <w:rFonts w:hint="eastAsia" w:ascii="宋体" w:hAnsi="宋体" w:eastAsia="宋体" w:cs="宋体"/>
                <w:bCs/>
                <w:color w:val="000000" w:themeColor="text1"/>
                <w:sz w:val="24"/>
                <w14:textFill>
                  <w14:solidFill>
                    <w14:schemeClr w14:val="tx1"/>
                  </w14:solidFill>
                </w14:textFill>
              </w:rPr>
              <w:t>文件截止时间向前推算三年</w:t>
            </w: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业绩认定日期以</w:t>
            </w: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合同签订日期</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为准）类似业绩进行评分，1项得</w:t>
            </w: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3.5</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分，最高得</w:t>
            </w: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7</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分。</w:t>
            </w:r>
          </w:p>
          <w:p w14:paraId="66DAF3C7">
            <w:pPr>
              <w:pStyle w:val="48"/>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textAlignment w:val="auto"/>
              <w:outlineLvl w:val="9"/>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须提供</w:t>
            </w:r>
            <w:r>
              <w:rPr>
                <w:rFonts w:hint="eastAsia" w:ascii="宋体" w:hAnsi="宋体" w:eastAsia="宋体" w:cs="宋体"/>
                <w:color w:val="000000" w:themeColor="text1"/>
                <w:sz w:val="24"/>
                <w:szCs w:val="24"/>
                <w:highlight w:val="none"/>
                <w:lang w:eastAsia="zh-CN"/>
                <w14:textFill>
                  <w14:solidFill>
                    <w14:schemeClr w14:val="tx1"/>
                  </w14:solidFill>
                </w14:textFill>
              </w:rPr>
              <w:t>中标通知书和</w:t>
            </w:r>
            <w:r>
              <w:rPr>
                <w:rFonts w:hint="eastAsia" w:ascii="宋体" w:hAnsi="宋体" w:eastAsia="宋体" w:cs="宋体"/>
                <w:color w:val="000000" w:themeColor="text1"/>
                <w:sz w:val="24"/>
                <w:szCs w:val="24"/>
                <w:highlight w:val="none"/>
                <w14:textFill>
                  <w14:solidFill>
                    <w14:schemeClr w14:val="tx1"/>
                  </w14:solidFill>
                </w14:textFill>
              </w:rPr>
              <w:t>合同（至少包括合同首页、标的页、签字</w:t>
            </w:r>
            <w:r>
              <w:rPr>
                <w:rFonts w:hint="eastAsia" w:ascii="宋体" w:hAnsi="宋体" w:eastAsia="宋体" w:cs="宋体"/>
                <w:color w:val="000000" w:themeColor="text1"/>
                <w:sz w:val="24"/>
                <w:szCs w:val="24"/>
                <w:highlight w:val="none"/>
                <w:lang w:eastAsia="zh-CN"/>
                <w14:textFill>
                  <w14:solidFill>
                    <w14:schemeClr w14:val="tx1"/>
                  </w14:solidFill>
                </w14:textFill>
              </w:rPr>
              <w:t>盖公章</w:t>
            </w:r>
            <w:r>
              <w:rPr>
                <w:rFonts w:hint="eastAsia" w:ascii="宋体" w:hAnsi="宋体" w:eastAsia="宋体" w:cs="宋体"/>
                <w:color w:val="000000" w:themeColor="text1"/>
                <w:sz w:val="24"/>
                <w:szCs w:val="24"/>
                <w:highlight w:val="none"/>
                <w14:textFill>
                  <w14:solidFill>
                    <w14:schemeClr w14:val="tx1"/>
                  </w14:solidFill>
                </w14:textFill>
              </w:rPr>
              <w:t>页、</w:t>
            </w:r>
            <w:r>
              <w:rPr>
                <w:rFonts w:hint="eastAsia" w:ascii="宋体" w:hAnsi="宋体" w:eastAsia="宋体" w:cs="宋体"/>
                <w:color w:val="000000" w:themeColor="text1"/>
                <w:sz w:val="24"/>
                <w:szCs w:val="24"/>
                <w:highlight w:val="none"/>
                <w:lang w:eastAsia="zh-CN"/>
                <w14:textFill>
                  <w14:solidFill>
                    <w14:schemeClr w14:val="tx1"/>
                  </w14:solidFill>
                </w14:textFill>
              </w:rPr>
              <w:t>采购</w:t>
            </w:r>
            <w:r>
              <w:rPr>
                <w:rFonts w:hint="eastAsia" w:ascii="宋体" w:hAnsi="宋体" w:eastAsia="宋体" w:cs="宋体"/>
                <w:color w:val="000000" w:themeColor="text1"/>
                <w:sz w:val="24"/>
                <w:szCs w:val="24"/>
                <w:highlight w:val="none"/>
                <w14:textFill>
                  <w14:solidFill>
                    <w14:schemeClr w14:val="tx1"/>
                  </w14:solidFill>
                </w14:textFill>
              </w:rPr>
              <w:t>内容页）</w:t>
            </w:r>
            <w:r>
              <w:rPr>
                <w:rFonts w:hint="eastAsia" w:ascii="宋体" w:hAnsi="宋体" w:eastAsia="宋体" w:cs="宋体"/>
                <w:color w:val="000000" w:themeColor="text1"/>
                <w:sz w:val="24"/>
                <w:szCs w:val="24"/>
                <w:highlight w:val="none"/>
                <w:lang w:eastAsia="zh-CN"/>
                <w14:textFill>
                  <w14:solidFill>
                    <w14:schemeClr w14:val="tx1"/>
                  </w14:solidFill>
                </w14:textFill>
              </w:rPr>
              <w:t>复印件</w:t>
            </w:r>
            <w:r>
              <w:rPr>
                <w:rFonts w:hint="eastAsia" w:ascii="宋体" w:hAnsi="宋体" w:eastAsia="宋体" w:cs="宋体"/>
                <w:color w:val="000000" w:themeColor="text1"/>
                <w:sz w:val="24"/>
                <w:szCs w:val="24"/>
                <w:highlight w:val="none"/>
                <w14:textFill>
                  <w14:solidFill>
                    <w14:schemeClr w14:val="tx1"/>
                  </w14:solidFill>
                </w14:textFill>
              </w:rPr>
              <w:t>等证明材料</w:t>
            </w:r>
            <w:r>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t>）。</w:t>
            </w:r>
          </w:p>
        </w:tc>
      </w:tr>
      <w:tr w14:paraId="4312B1E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743" w:type="dxa"/>
            <w:noWrap w:val="0"/>
            <w:vAlign w:val="center"/>
          </w:tcPr>
          <w:p w14:paraId="0E009C49">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pacing w:val="-9"/>
                <w:sz w:val="24"/>
                <w:szCs w:val="24"/>
                <w:highlight w:val="none"/>
                <w:lang w:val="en-US" w:eastAsia="zh-CN"/>
                <w14:textFill>
                  <w14:solidFill>
                    <w14:schemeClr w14:val="tx1"/>
                  </w14:solidFill>
                </w14:textFill>
              </w:rPr>
            </w:pPr>
            <w:r>
              <w:rPr>
                <w:rFonts w:hint="eastAsia" w:ascii="宋体" w:hAnsi="宋体" w:eastAsia="宋体" w:cs="宋体"/>
                <w:b w:val="0"/>
                <w:bCs/>
                <w:color w:val="000000" w:themeColor="text1"/>
                <w:spacing w:val="-9"/>
                <w:sz w:val="24"/>
                <w:szCs w:val="24"/>
                <w:highlight w:val="none"/>
                <w:lang w:val="en-US" w:eastAsia="zh-CN"/>
                <w14:textFill>
                  <w14:solidFill>
                    <w14:schemeClr w14:val="tx1"/>
                  </w14:solidFill>
                </w14:textFill>
              </w:rPr>
              <w:t>2</w:t>
            </w:r>
          </w:p>
        </w:tc>
        <w:tc>
          <w:tcPr>
            <w:tcW w:w="1220" w:type="dxa"/>
            <w:noWrap w:val="0"/>
            <w:vAlign w:val="center"/>
          </w:tcPr>
          <w:p w14:paraId="66148986">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14:textFill>
                  <w14:solidFill>
                    <w14:schemeClr w14:val="tx1"/>
                  </w14:solidFill>
                </w14:textFill>
              </w:rPr>
            </w:pPr>
            <w:r>
              <w:rPr>
                <w:rFonts w:hint="eastAsia" w:ascii="宋体" w:hAnsi="宋体" w:eastAsia="宋体" w:cs="宋体"/>
                <w:b w:val="0"/>
                <w:bCs/>
                <w:color w:val="000000" w:themeColor="text1"/>
                <w:spacing w:val="-9"/>
                <w:sz w:val="24"/>
                <w:szCs w:val="24"/>
                <w:highlight w:val="none"/>
                <w14:textFill>
                  <w14:solidFill>
                    <w14:schemeClr w14:val="tx1"/>
                  </w14:solidFill>
                </w14:textFill>
              </w:rPr>
              <w:t>服务保障的符合程度</w:t>
            </w:r>
          </w:p>
        </w:tc>
        <w:tc>
          <w:tcPr>
            <w:tcW w:w="992" w:type="dxa"/>
            <w:noWrap w:val="0"/>
            <w:vAlign w:val="center"/>
          </w:tcPr>
          <w:p w14:paraId="449867E5">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13.6分</w:t>
            </w:r>
          </w:p>
        </w:tc>
        <w:tc>
          <w:tcPr>
            <w:tcW w:w="5898" w:type="dxa"/>
            <w:noWrap w:val="0"/>
            <w:vAlign w:val="center"/>
          </w:tcPr>
          <w:p w14:paraId="593056D4">
            <w:pPr>
              <w:pStyle w:val="17"/>
              <w:keepNext w:val="0"/>
              <w:keepLines w:val="0"/>
              <w:pageBreakBefore w:val="0"/>
              <w:widowControl/>
              <w:shd w:val="clear" w:color="auto" w:fill="auto"/>
              <w:kinsoku/>
              <w:wordWrap/>
              <w:overflowPunct/>
              <w:topLinePunct w:val="0"/>
              <w:autoSpaceDE/>
              <w:autoSpaceDN/>
              <w:bidi w:val="0"/>
              <w:adjustRightInd/>
              <w:snapToGrid/>
              <w:spacing w:line="240" w:lineRule="auto"/>
              <w:ind w:left="240" w:hanging="240" w:hangingChars="100"/>
              <w:jc w:val="both"/>
              <w:textAlignment w:val="auto"/>
              <w:outlineLvl w:val="9"/>
              <w:rPr>
                <w:rFonts w:hint="eastAsia" w:ascii="宋体" w:hAnsi="宋体" w:eastAsia="宋体" w:cs="宋体"/>
                <w:b w:val="0"/>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color w:val="000000" w:themeColor="text1"/>
                <w:kern w:val="2"/>
                <w:sz w:val="24"/>
                <w:szCs w:val="24"/>
                <w:highlight w:val="none"/>
                <w:lang w:val="en-US" w:eastAsia="zh-CN" w:bidi="ar-SA"/>
                <w14:textFill>
                  <w14:solidFill>
                    <w14:schemeClr w14:val="tx1"/>
                  </w14:solidFill>
                </w14:textFill>
              </w:rPr>
              <w:t>第四章项目采购需求中</w:t>
            </w:r>
            <w:r>
              <w:rPr>
                <w:rFonts w:hint="eastAsia" w:ascii="宋体" w:hAnsi="宋体" w:eastAsia="宋体" w:cs="宋体"/>
                <w:color w:val="000000" w:themeColor="text1"/>
                <w:sz w:val="24"/>
                <w:szCs w:val="24"/>
                <w:highlight w:val="none"/>
                <w14:textFill>
                  <w14:solidFill>
                    <w14:schemeClr w14:val="tx1"/>
                  </w14:solidFill>
                </w14:textFill>
              </w:rPr>
              <w:t>‘★’项为关键参数项</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共34项</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b w:val="0"/>
                <w:bCs/>
                <w:color w:val="000000" w:themeColor="text1"/>
                <w:kern w:val="2"/>
                <w:sz w:val="24"/>
                <w:szCs w:val="24"/>
                <w:highlight w:val="none"/>
                <w:lang w:val="en-US" w:eastAsia="zh-CN" w:bidi="ar-SA"/>
                <w14:textFill>
                  <w14:solidFill>
                    <w14:schemeClr w14:val="tx1"/>
                  </w14:solidFill>
                </w14:textFill>
              </w:rPr>
              <w:t xml:space="preserve">，每一项满足得0.4分，满分13.6分。 </w:t>
            </w:r>
          </w:p>
          <w:p w14:paraId="6AA4D27C">
            <w:pPr>
              <w:pStyle w:val="17"/>
              <w:keepNext w:val="0"/>
              <w:keepLines w:val="0"/>
              <w:pageBreakBefore w:val="0"/>
              <w:widowControl/>
              <w:shd w:val="clear" w:color="auto" w:fill="auto"/>
              <w:kinsoku/>
              <w:wordWrap/>
              <w:overflowPunct/>
              <w:topLinePunct w:val="0"/>
              <w:autoSpaceDE/>
              <w:autoSpaceDN/>
              <w:bidi w:val="0"/>
              <w:adjustRightInd/>
              <w:snapToGrid/>
              <w:spacing w:line="240" w:lineRule="auto"/>
              <w:jc w:val="both"/>
              <w:textAlignment w:val="auto"/>
              <w:outlineLvl w:val="9"/>
              <w:rPr>
                <w:rFonts w:hint="eastAsia" w:ascii="宋体" w:hAnsi="宋体" w:eastAsia="宋体" w:cs="宋体"/>
                <w:b w:val="0"/>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color w:val="000000" w:themeColor="text1"/>
                <w:kern w:val="2"/>
                <w:sz w:val="24"/>
                <w:szCs w:val="24"/>
                <w:highlight w:val="none"/>
                <w:lang w:val="en-US" w:eastAsia="zh-CN" w:bidi="ar-SA"/>
                <w14:textFill>
                  <w14:solidFill>
                    <w14:schemeClr w14:val="tx1"/>
                  </w14:solidFill>
                </w14:textFill>
              </w:rPr>
              <w:t>（投标人需按第四章项目采购需求中的规定，提供证明材料复印件。如：产品样式及材质清单或认证证书或产品检测报告或鉴定证书或制造商产品彩页或制造商官网截图或制造商技术白皮书或制造商产品说明书等彩页或彩色实物照片或承诺函等，未提供、不清楚、不准确不得分。)</w:t>
            </w:r>
          </w:p>
        </w:tc>
      </w:tr>
      <w:tr w14:paraId="4B9623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743" w:type="dxa"/>
            <w:noWrap w:val="0"/>
            <w:vAlign w:val="center"/>
          </w:tcPr>
          <w:p w14:paraId="61525950">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3</w:t>
            </w:r>
          </w:p>
        </w:tc>
        <w:tc>
          <w:tcPr>
            <w:tcW w:w="1220" w:type="dxa"/>
            <w:noWrap w:val="0"/>
            <w:vAlign w:val="center"/>
          </w:tcPr>
          <w:p w14:paraId="23A64D97">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pacing w:val="-9"/>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所投产品的性能和质量</w:t>
            </w:r>
          </w:p>
        </w:tc>
        <w:tc>
          <w:tcPr>
            <w:tcW w:w="992" w:type="dxa"/>
            <w:noWrap w:val="0"/>
            <w:vAlign w:val="center"/>
          </w:tcPr>
          <w:p w14:paraId="777F8906">
            <w:pPr>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jc w:val="center"/>
              <w:textAlignment w:val="auto"/>
              <w:outlineLvl w:val="9"/>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b w:val="0"/>
                <w:bCs/>
                <w:color w:val="000000" w:themeColor="text1"/>
                <w:sz w:val="24"/>
                <w:szCs w:val="24"/>
                <w:highlight w:val="none"/>
                <w:shd w:val="clear" w:color="auto" w:fill="auto"/>
                <w:lang w:val="en-US" w:eastAsia="zh-CN"/>
                <w14:textFill>
                  <w14:solidFill>
                    <w14:schemeClr w14:val="tx1"/>
                  </w14:solidFill>
                </w14:textFill>
              </w:rPr>
              <w:t>13.4分</w:t>
            </w:r>
          </w:p>
        </w:tc>
        <w:tc>
          <w:tcPr>
            <w:tcW w:w="5898" w:type="dxa"/>
            <w:noWrap w:val="0"/>
            <w:vAlign w:val="center"/>
          </w:tcPr>
          <w:p w14:paraId="5C88FAF2">
            <w:pPr>
              <w:pStyle w:val="17"/>
              <w:keepNext w:val="0"/>
              <w:keepLines w:val="0"/>
              <w:pageBreakBefore w:val="0"/>
              <w:widowControl/>
              <w:shd w:val="clear" w:color="auto" w:fill="auto"/>
              <w:kinsoku/>
              <w:wordWrap/>
              <w:overflowPunct/>
              <w:topLinePunct w:val="0"/>
              <w:autoSpaceDE/>
              <w:autoSpaceDN/>
              <w:bidi w:val="0"/>
              <w:adjustRightInd/>
              <w:snapToGrid/>
              <w:spacing w:line="240" w:lineRule="auto"/>
              <w:jc w:val="both"/>
              <w:textAlignment w:val="auto"/>
              <w:outlineLvl w:val="9"/>
              <w:rPr>
                <w:rFonts w:hint="eastAsia" w:ascii="宋体" w:hAnsi="宋体" w:eastAsia="宋体" w:cs="宋体"/>
                <w:b w:val="0"/>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color w:val="000000" w:themeColor="text1"/>
                <w:kern w:val="2"/>
                <w:sz w:val="24"/>
                <w:szCs w:val="24"/>
                <w:highlight w:val="none"/>
                <w:lang w:val="en-US" w:eastAsia="zh-CN" w:bidi="ar-SA"/>
                <w14:textFill>
                  <w14:solidFill>
                    <w14:schemeClr w14:val="tx1"/>
                  </w14:solidFill>
                </w14:textFill>
              </w:rPr>
              <w:t>第四章项目采购需求中非</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b w:val="0"/>
                <w:bCs/>
                <w:color w:val="000000" w:themeColor="text1"/>
                <w:kern w:val="2"/>
                <w:sz w:val="24"/>
                <w:szCs w:val="24"/>
                <w:highlight w:val="none"/>
                <w:lang w:val="en-US" w:eastAsia="zh-CN" w:bidi="ar-SA"/>
                <w14:textFill>
                  <w14:solidFill>
                    <w14:schemeClr w14:val="tx1"/>
                  </w14:solidFill>
                </w14:textFill>
              </w:rPr>
              <w:t>则表示属一般指标项，满分13</w:t>
            </w:r>
            <w:r>
              <w:rPr>
                <w:rFonts w:hint="eastAsia" w:ascii="宋体" w:hAnsi="宋体" w:cs="宋体"/>
                <w:b w:val="0"/>
                <w:bCs/>
                <w:color w:val="000000" w:themeColor="text1"/>
                <w:kern w:val="2"/>
                <w:sz w:val="24"/>
                <w:szCs w:val="24"/>
                <w:highlight w:val="none"/>
                <w:lang w:val="en-US" w:eastAsia="zh-CN" w:bidi="ar-SA"/>
                <w14:textFill>
                  <w14:solidFill>
                    <w14:schemeClr w14:val="tx1"/>
                  </w14:solidFill>
                </w14:textFill>
              </w:rPr>
              <w:t>.4</w:t>
            </w:r>
            <w:r>
              <w:rPr>
                <w:rFonts w:hint="eastAsia" w:ascii="宋体" w:hAnsi="宋体" w:eastAsia="宋体" w:cs="宋体"/>
                <w:b w:val="0"/>
                <w:bCs/>
                <w:color w:val="000000" w:themeColor="text1"/>
                <w:kern w:val="2"/>
                <w:sz w:val="24"/>
                <w:szCs w:val="24"/>
                <w:highlight w:val="none"/>
                <w:lang w:val="en-US" w:eastAsia="zh-CN" w:bidi="ar-SA"/>
                <w14:textFill>
                  <w14:solidFill>
                    <w14:schemeClr w14:val="tx1"/>
                  </w14:solidFill>
                </w14:textFill>
              </w:rPr>
              <w:t xml:space="preserve">分，每一项不满足扣0.2分，扣完为止。 </w:t>
            </w:r>
          </w:p>
          <w:p w14:paraId="2E4F3E21">
            <w:pPr>
              <w:pStyle w:val="17"/>
              <w:keepNext w:val="0"/>
              <w:keepLines w:val="0"/>
              <w:pageBreakBefore w:val="0"/>
              <w:widowControl/>
              <w:shd w:val="clear" w:color="auto" w:fill="auto"/>
              <w:kinsoku/>
              <w:wordWrap/>
              <w:overflowPunct/>
              <w:topLinePunct w:val="0"/>
              <w:autoSpaceDE/>
              <w:autoSpaceDN/>
              <w:bidi w:val="0"/>
              <w:adjustRightInd/>
              <w:snapToGrid/>
              <w:spacing w:line="240" w:lineRule="auto"/>
              <w:jc w:val="both"/>
              <w:textAlignment w:val="auto"/>
              <w:outlineLvl w:val="9"/>
              <w:rPr>
                <w:rFonts w:hint="eastAsia" w:ascii="宋体" w:hAnsi="宋体" w:eastAsia="宋体" w:cs="宋体"/>
                <w:b w:val="0"/>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color w:val="000000" w:themeColor="text1"/>
                <w:kern w:val="2"/>
                <w:sz w:val="24"/>
                <w:szCs w:val="24"/>
                <w:highlight w:val="none"/>
                <w:lang w:val="en-US" w:eastAsia="zh-CN" w:bidi="ar-SA"/>
                <w14:textFill>
                  <w14:solidFill>
                    <w14:schemeClr w14:val="tx1"/>
                  </w14:solidFill>
                </w14:textFill>
              </w:rPr>
              <w:t>（投标人需按第四章项目采购需求中的规定，提供证明材料复印件。如：产品样式及材质清单或认证证书或产品检测报告或鉴定证书或制造商产品彩页或制造商官网截图或制造商技术白皮书或制造商产品说明书等彩页或彩色实物照片或承诺函等，未提供、不清楚、不准确不得分。)</w:t>
            </w:r>
          </w:p>
        </w:tc>
      </w:tr>
      <w:tr w14:paraId="3D39BA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743" w:type="dxa"/>
            <w:noWrap w:val="0"/>
            <w:vAlign w:val="center"/>
          </w:tcPr>
          <w:p w14:paraId="6E7E722F">
            <w:pPr>
              <w:keepNext w:val="0"/>
              <w:pageBreakBefore w:val="0"/>
              <w:kinsoku/>
              <w:wordWrap/>
              <w:overflowPunct/>
              <w:topLinePunct w:val="0"/>
              <w:bidi w:val="0"/>
              <w:spacing w:line="240" w:lineRule="auto"/>
              <w:jc w:val="cente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p>
        </w:tc>
        <w:tc>
          <w:tcPr>
            <w:tcW w:w="1220" w:type="dxa"/>
            <w:noWrap w:val="0"/>
            <w:vAlign w:val="center"/>
          </w:tcPr>
          <w:p w14:paraId="26137AFD">
            <w:pPr>
              <w:keepNext w:val="0"/>
              <w:pageBreakBefore w:val="0"/>
              <w:kinsoku/>
              <w:wordWrap/>
              <w:overflowPunct/>
              <w:topLinePunct w:val="0"/>
              <w:bidi w:val="0"/>
              <w:spacing w:line="240" w:lineRule="auto"/>
              <w:jc w:val="center"/>
              <w:rPr>
                <w:rFonts w:hint="eastAsia" w:ascii="宋体" w:hAnsi="宋体" w:eastAsia="宋体" w:cs="宋体"/>
                <w:color w:val="000000" w:themeColor="text1"/>
                <w:spacing w:val="6"/>
                <w:kern w:val="0"/>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视频演示</w:t>
            </w:r>
          </w:p>
        </w:tc>
        <w:tc>
          <w:tcPr>
            <w:tcW w:w="992" w:type="dxa"/>
            <w:noWrap w:val="0"/>
            <w:vAlign w:val="center"/>
          </w:tcPr>
          <w:p w14:paraId="29B3109E">
            <w:pPr>
              <w:keepNext w:val="0"/>
              <w:pageBreakBefore w:val="0"/>
              <w:kinsoku/>
              <w:wordWrap/>
              <w:overflowPunct/>
              <w:topLinePunct w:val="0"/>
              <w:bidi w:val="0"/>
              <w:spacing w:line="240" w:lineRule="auto"/>
              <w:jc w:val="cente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5分</w:t>
            </w:r>
          </w:p>
        </w:tc>
        <w:tc>
          <w:tcPr>
            <w:tcW w:w="5898" w:type="dxa"/>
            <w:noWrap w:val="0"/>
            <w:vAlign w:val="center"/>
          </w:tcPr>
          <w:p w14:paraId="2BFCCE33">
            <w:pPr>
              <w:spacing w:line="276" w:lineRule="auto"/>
              <w:ind w:firstLine="480" w:firstLineChars="200"/>
              <w:jc w:val="left"/>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b w:val="0"/>
                <w:bCs/>
                <w:color w:val="000000" w:themeColor="text1"/>
                <w:kern w:val="2"/>
                <w:sz w:val="24"/>
                <w:szCs w:val="24"/>
                <w:highlight w:val="none"/>
                <w:lang w:val="en-US" w:eastAsia="zh-CN" w:bidi="ar-SA"/>
                <w14:textFill>
                  <w14:solidFill>
                    <w14:schemeClr w14:val="tx1"/>
                  </w14:solidFill>
                </w14:textFill>
              </w:rPr>
              <w:t>第四章项目采购需求中</w:t>
            </w:r>
            <w:r>
              <w:rPr>
                <w:rFonts w:hint="eastAsia" w:ascii="宋体" w:hAnsi="宋体" w:eastAsia="宋体" w:cs="宋体"/>
                <w:color w:val="000000" w:themeColor="text1"/>
                <w:sz w:val="24"/>
                <w:szCs w:val="24"/>
                <w14:textFill>
                  <w14:solidFill>
                    <w14:schemeClr w14:val="tx1"/>
                  </w14:solidFill>
                </w14:textFill>
              </w:rPr>
              <w:t>可编程控制器综合实训装置（网络版）</w:t>
            </w:r>
            <w:r>
              <w:rPr>
                <w:rFonts w:hint="eastAsia" w:ascii="宋体" w:hAnsi="宋体" w:eastAsia="宋体" w:cs="宋体"/>
                <w:color w:val="000000" w:themeColor="text1"/>
                <w:sz w:val="24"/>
                <w:szCs w:val="24"/>
                <w:lang w:val="en-US" w:eastAsia="zh-CN"/>
                <w14:textFill>
                  <w14:solidFill>
                    <w14:schemeClr w14:val="tx1"/>
                  </w14:solidFill>
                </w14:textFill>
              </w:rPr>
              <w:t>第五条可供实训项目中水塔水位自动控制、交通灯自控与手控、四层电梯控制，此三项模块内容需</w:t>
            </w:r>
            <w:r>
              <w:rPr>
                <w:rFonts w:hint="eastAsia" w:ascii="宋体" w:hAnsi="宋体" w:eastAsia="宋体" w:cs="宋体"/>
                <w:color w:val="000000" w:themeColor="text1"/>
                <w:sz w:val="24"/>
                <w:szCs w:val="24"/>
                <w14:textFill>
                  <w14:solidFill>
                    <w14:schemeClr w14:val="tx1"/>
                  </w14:solidFill>
                </w14:textFill>
              </w:rPr>
              <w:t>供应商自行准备好相应的软件</w:t>
            </w:r>
            <w:r>
              <w:rPr>
                <w:rFonts w:hint="eastAsia" w:ascii="宋体" w:hAnsi="宋体" w:eastAsia="宋体" w:cs="宋体"/>
                <w:color w:val="000000" w:themeColor="text1"/>
                <w:sz w:val="24"/>
                <w:szCs w:val="24"/>
                <w:lang w:val="en-US" w:eastAsia="zh-CN"/>
                <w14:textFill>
                  <w14:solidFill>
                    <w14:schemeClr w14:val="tx1"/>
                  </w14:solidFill>
                </w14:textFill>
              </w:rPr>
              <w:t>进行产品演示。</w:t>
            </w:r>
          </w:p>
          <w:p w14:paraId="6835DC4E">
            <w:pPr>
              <w:spacing w:line="276" w:lineRule="auto"/>
              <w:ind w:firstLine="480" w:firstLineChars="200"/>
              <w:jc w:val="left"/>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第四章项目采购需求中配套工业机器人离线编程软件相关要求的第7、12、21、22、23、29、33小条需进行产品演示。</w:t>
            </w:r>
          </w:p>
          <w:p w14:paraId="14326D1D">
            <w:pPr>
              <w:spacing w:line="276" w:lineRule="auto"/>
              <w:ind w:firstLine="482" w:firstLineChars="200"/>
              <w:jc w:val="left"/>
              <w:rPr>
                <w:rFonts w:hint="eastAsia" w:ascii="宋体" w:hAnsi="宋体" w:eastAsia="宋体" w:cs="宋体"/>
                <w:b/>
                <w:bCs/>
                <w:color w:val="000000" w:themeColor="text1"/>
                <w:sz w:val="24"/>
                <w:szCs w:val="24"/>
                <w:lang w:val="en-US" w:eastAsia="zh-CN"/>
                <w14:textFill>
                  <w14:solidFill>
                    <w14:schemeClr w14:val="tx1"/>
                  </w14:solidFill>
                </w14:textFill>
              </w:rPr>
            </w:pPr>
            <w:r>
              <w:rPr>
                <w:rFonts w:hint="eastAsia" w:ascii="宋体" w:hAnsi="宋体" w:eastAsia="宋体" w:cs="宋体"/>
                <w:b/>
                <w:bCs/>
                <w:color w:val="000000" w:themeColor="text1"/>
                <w:sz w:val="24"/>
                <w:szCs w:val="24"/>
                <w:lang w:eastAsia="zh-CN"/>
                <w14:textFill>
                  <w14:solidFill>
                    <w14:schemeClr w14:val="tx1"/>
                  </w14:solidFill>
                </w14:textFill>
              </w:rPr>
              <w:t>产品演示由投标人提前录制好</w:t>
            </w:r>
            <w:r>
              <w:rPr>
                <w:rFonts w:hint="eastAsia" w:ascii="宋体" w:hAnsi="宋体" w:eastAsia="宋体" w:cs="宋体"/>
                <w:b/>
                <w:bCs/>
                <w:color w:val="000000" w:themeColor="text1"/>
                <w:sz w:val="24"/>
                <w:szCs w:val="24"/>
                <w14:textFill>
                  <w14:solidFill>
                    <w14:schemeClr w14:val="tx1"/>
                  </w14:solidFill>
                </w14:textFill>
              </w:rPr>
              <w:t>演示</w:t>
            </w:r>
            <w:r>
              <w:rPr>
                <w:rFonts w:hint="eastAsia" w:ascii="宋体" w:hAnsi="宋体" w:eastAsia="宋体" w:cs="宋体"/>
                <w:b/>
                <w:bCs/>
                <w:color w:val="000000" w:themeColor="text1"/>
                <w:sz w:val="24"/>
                <w:szCs w:val="24"/>
                <w:lang w:eastAsia="zh-CN"/>
                <w14:textFill>
                  <w14:solidFill>
                    <w14:schemeClr w14:val="tx1"/>
                  </w14:solidFill>
                </w14:textFill>
              </w:rPr>
              <w:t>视频，评标时由招标代理机构发起会议视频，投标人逐一进行产品演示。</w:t>
            </w:r>
          </w:p>
          <w:p w14:paraId="2CE9FF9D">
            <w:pPr>
              <w:ind w:firstLine="480" w:firstLineChars="200"/>
              <w:jc w:val="left"/>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投标人须自行搭建演示环境，使用真实产品（不得使用DEMO、PPT等进行演示）录制演示视频，</w:t>
            </w:r>
            <w:r>
              <w:rPr>
                <w:rFonts w:hint="eastAsia" w:ascii="宋体" w:hAnsi="宋体" w:eastAsia="宋体" w:cs="宋体"/>
                <w:color w:val="000000" w:themeColor="text1"/>
                <w:sz w:val="24"/>
                <w:szCs w:val="24"/>
                <w:lang w:val="en-US" w:eastAsia="zh-CN"/>
                <w14:textFill>
                  <w14:solidFill>
                    <w14:schemeClr w14:val="tx1"/>
                  </w14:solidFill>
                </w14:textFill>
              </w:rPr>
              <w:t>每个投标人</w:t>
            </w:r>
            <w:r>
              <w:rPr>
                <w:rFonts w:hint="eastAsia" w:ascii="宋体" w:hAnsi="宋体" w:eastAsia="宋体" w:cs="宋体"/>
                <w:color w:val="000000" w:themeColor="text1"/>
                <w:sz w:val="24"/>
                <w:szCs w:val="24"/>
                <w14:textFill>
                  <w14:solidFill>
                    <w14:schemeClr w14:val="tx1"/>
                  </w14:solidFill>
                </w14:textFill>
              </w:rPr>
              <w:t>演示环节不超过10分钟。</w:t>
            </w:r>
            <w:r>
              <w:rPr>
                <w:rFonts w:hint="eastAsia" w:ascii="宋体" w:hAnsi="宋体" w:eastAsia="宋体" w:cs="宋体"/>
                <w:color w:val="000000" w:themeColor="text1"/>
                <w:sz w:val="24"/>
                <w:szCs w:val="24"/>
                <w:lang w:val="en-US" w:eastAsia="zh-CN"/>
                <w14:textFill>
                  <w14:solidFill>
                    <w14:schemeClr w14:val="tx1"/>
                  </w14:solidFill>
                </w14:textFill>
              </w:rPr>
              <w:t>可供实训项目中水塔水位自动控制、交通灯自控与手控、四层电梯控制模块及配套工业机器人离线编程软件相关要求的第7、12、21、22、23、29、33小条（共10项）内容</w:t>
            </w:r>
            <w:r>
              <w:rPr>
                <w:rFonts w:hint="eastAsia" w:ascii="宋体" w:hAnsi="宋体" w:eastAsia="宋体" w:cs="宋体"/>
                <w:color w:val="000000" w:themeColor="text1"/>
                <w:sz w:val="24"/>
                <w:szCs w:val="24"/>
                <w14:textFill>
                  <w14:solidFill>
                    <w14:schemeClr w14:val="tx1"/>
                  </w14:solidFill>
                </w14:textFill>
              </w:rPr>
              <w:t>演示全部满足得</w:t>
            </w:r>
            <w:r>
              <w:rPr>
                <w:rFonts w:hint="eastAsia" w:ascii="宋体" w:hAnsi="宋体" w:eastAsia="宋体" w:cs="宋体"/>
                <w:color w:val="000000" w:themeColor="text1"/>
                <w:sz w:val="24"/>
                <w:szCs w:val="24"/>
                <w:lang w:val="en-US" w:eastAsia="zh-CN"/>
                <w14:textFill>
                  <w14:solidFill>
                    <w14:schemeClr w14:val="tx1"/>
                  </w14:solidFill>
                </w14:textFill>
              </w:rPr>
              <w:t>5</w:t>
            </w:r>
            <w:r>
              <w:rPr>
                <w:rFonts w:hint="eastAsia" w:ascii="宋体" w:hAnsi="宋体" w:eastAsia="宋体" w:cs="宋体"/>
                <w:color w:val="000000" w:themeColor="text1"/>
                <w:sz w:val="24"/>
                <w:szCs w:val="24"/>
                <w14:textFill>
                  <w14:solidFill>
                    <w14:schemeClr w14:val="tx1"/>
                  </w14:solidFill>
                </w14:textFill>
              </w:rPr>
              <w:t>分，每一项不满足或部分满足扣</w:t>
            </w:r>
            <w:r>
              <w:rPr>
                <w:rFonts w:hint="eastAsia" w:ascii="宋体" w:hAnsi="宋体" w:eastAsia="宋体" w:cs="宋体"/>
                <w:color w:val="000000" w:themeColor="text1"/>
                <w:sz w:val="24"/>
                <w:szCs w:val="24"/>
                <w:lang w:val="en-US" w:eastAsia="zh-CN"/>
                <w14:textFill>
                  <w14:solidFill>
                    <w14:schemeClr w14:val="tx1"/>
                  </w14:solidFill>
                </w14:textFill>
              </w:rPr>
              <w:t>0.5</w:t>
            </w:r>
            <w:r>
              <w:rPr>
                <w:rFonts w:hint="eastAsia" w:ascii="宋体" w:hAnsi="宋体" w:eastAsia="宋体" w:cs="宋体"/>
                <w:color w:val="000000" w:themeColor="text1"/>
                <w:sz w:val="24"/>
                <w:szCs w:val="24"/>
                <w14:textFill>
                  <w14:solidFill>
                    <w14:schemeClr w14:val="tx1"/>
                  </w14:solidFill>
                </w14:textFill>
              </w:rPr>
              <w:t>分，扣完为止。</w:t>
            </w:r>
          </w:p>
        </w:tc>
      </w:tr>
      <w:tr w14:paraId="241159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743" w:type="dxa"/>
            <w:noWrap w:val="0"/>
            <w:vAlign w:val="center"/>
          </w:tcPr>
          <w:p w14:paraId="7A01B45C">
            <w:pPr>
              <w:keepNext w:val="0"/>
              <w:pageBreakBefore w:val="0"/>
              <w:kinsoku/>
              <w:wordWrap/>
              <w:overflowPunct/>
              <w:topLinePunct w:val="0"/>
              <w:autoSpaceDE w:val="0"/>
              <w:autoSpaceDN w:val="0"/>
              <w:bidi w:val="0"/>
              <w:adjustRightInd w:val="0"/>
              <w:spacing w:line="240" w:lineRule="auto"/>
              <w:jc w:val="cente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5</w:t>
            </w:r>
          </w:p>
        </w:tc>
        <w:tc>
          <w:tcPr>
            <w:tcW w:w="1220" w:type="dxa"/>
            <w:noWrap w:val="0"/>
            <w:vAlign w:val="center"/>
          </w:tcPr>
          <w:p w14:paraId="21FE056B">
            <w:pPr>
              <w:keepNext w:val="0"/>
              <w:pageBreakBefore w:val="0"/>
              <w:kinsoku/>
              <w:wordWrap/>
              <w:overflowPunct/>
              <w:topLinePunct w:val="0"/>
              <w:autoSpaceDE w:val="0"/>
              <w:autoSpaceDN w:val="0"/>
              <w:bidi w:val="0"/>
              <w:adjustRightInd w:val="0"/>
              <w:spacing w:line="240" w:lineRule="auto"/>
              <w:jc w:val="center"/>
              <w:rPr>
                <w:rFonts w:hint="eastAsia" w:ascii="宋体" w:hAnsi="宋体" w:eastAsia="宋体" w:cs="宋体"/>
                <w:color w:val="000000" w:themeColor="text1"/>
                <w:spacing w:val="6"/>
                <w:kern w:val="0"/>
                <w:sz w:val="24"/>
                <w:szCs w:val="24"/>
                <w:highlight w:val="none"/>
                <w:lang w:eastAsia="zh-CN"/>
                <w14:textFill>
                  <w14:solidFill>
                    <w14:schemeClr w14:val="tx1"/>
                  </w14:solidFill>
                </w14:textFill>
              </w:rPr>
            </w:pPr>
            <w:r>
              <w:rPr>
                <w:rFonts w:hint="eastAsia" w:ascii="宋体" w:hAnsi="宋体" w:eastAsia="宋体" w:cs="宋体"/>
                <w:color w:val="000000" w:themeColor="text1"/>
                <w:spacing w:val="6"/>
                <w:kern w:val="0"/>
                <w:sz w:val="24"/>
                <w:szCs w:val="24"/>
                <w:highlight w:val="none"/>
                <w:lang w:eastAsia="zh-CN"/>
                <w14:textFill>
                  <w14:solidFill>
                    <w14:schemeClr w14:val="tx1"/>
                  </w14:solidFill>
                </w14:textFill>
              </w:rPr>
              <w:t>技术方案</w:t>
            </w:r>
          </w:p>
        </w:tc>
        <w:tc>
          <w:tcPr>
            <w:tcW w:w="992" w:type="dxa"/>
            <w:noWrap w:val="0"/>
            <w:vAlign w:val="center"/>
          </w:tcPr>
          <w:p w14:paraId="419EC978">
            <w:pPr>
              <w:keepNext w:val="0"/>
              <w:pageBreakBefore w:val="0"/>
              <w:kinsoku/>
              <w:wordWrap/>
              <w:overflowPunct/>
              <w:topLinePunct w:val="0"/>
              <w:autoSpaceDE w:val="0"/>
              <w:autoSpaceDN w:val="0"/>
              <w:bidi w:val="0"/>
              <w:adjustRightInd w:val="0"/>
              <w:spacing w:line="240" w:lineRule="auto"/>
              <w:jc w:val="cente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6分</w:t>
            </w:r>
          </w:p>
        </w:tc>
        <w:tc>
          <w:tcPr>
            <w:tcW w:w="5898" w:type="dxa"/>
            <w:noWrap w:val="0"/>
            <w:vAlign w:val="center"/>
          </w:tcPr>
          <w:p w14:paraId="4F2FB1B5">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left"/>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对本项目的软件和硬件建设方案进行阐述。</w:t>
            </w:r>
          </w:p>
          <w:p w14:paraId="40C3C815">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left"/>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xml:space="preserve">①提供软件系统建设方案：包括小程序、控制台、管理后台，场景展示等。 </w:t>
            </w:r>
          </w:p>
          <w:p w14:paraId="524C9201">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left"/>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②投标人应提供完整详细的硬件建设方案，包括硬件设备名称，设备数量，设备质量，设备性能等。</w:t>
            </w:r>
          </w:p>
          <w:p w14:paraId="1EC7418F">
            <w:pPr>
              <w:keepNext w:val="0"/>
              <w:keepLines w:val="0"/>
              <w:pageBreakBefore w:val="0"/>
              <w:kinsoku/>
              <w:wordWrap/>
              <w:overflowPunct/>
              <w:topLinePunct w:val="0"/>
              <w:autoSpaceDE/>
              <w:autoSpaceDN/>
              <w:bidi w:val="0"/>
              <w:adjustRightInd/>
              <w:snapToGrid/>
              <w:spacing w:line="240" w:lineRule="auto"/>
              <w:ind w:left="0" w:leftChars="0" w:right="0" w:rightChars="0" w:firstLine="0" w:firstLineChars="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以上每</w:t>
            </w:r>
            <w:r>
              <w:rPr>
                <w:rFonts w:hint="eastAsia" w:ascii="宋体" w:hAnsi="宋体" w:eastAsia="宋体" w:cs="宋体"/>
                <w:color w:val="000000" w:themeColor="text1"/>
                <w:sz w:val="24"/>
                <w:szCs w:val="24"/>
                <w:highlight w:val="none"/>
                <w:lang w:eastAsia="zh-CN"/>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eastAsia="zh-CN"/>
                <w14:textFill>
                  <w14:solidFill>
                    <w14:schemeClr w14:val="tx1"/>
                  </w14:solidFill>
                </w14:textFill>
              </w:rPr>
              <w:t>方</w:t>
            </w:r>
            <w:r>
              <w:rPr>
                <w:rFonts w:hint="eastAsia" w:ascii="宋体" w:hAnsi="宋体" w:eastAsia="宋体" w:cs="宋体"/>
                <w:color w:val="000000" w:themeColor="text1"/>
                <w:sz w:val="24"/>
                <w:szCs w:val="24"/>
                <w:highlight w:val="none"/>
                <w14:textFill>
                  <w14:solidFill>
                    <w14:schemeClr w14:val="tx1"/>
                  </w14:solidFill>
                </w14:textFill>
              </w:rPr>
              <w:t>案全面、切实可行、科学先进且符合实际操作得</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分；</w:t>
            </w:r>
          </w:p>
          <w:p w14:paraId="329ADD48">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）以</w:t>
            </w:r>
            <w:r>
              <w:rPr>
                <w:rFonts w:hint="eastAsia" w:ascii="宋体" w:hAnsi="宋体" w:eastAsia="宋体" w:cs="宋体"/>
                <w:color w:val="000000" w:themeColor="text1"/>
                <w:sz w:val="24"/>
                <w:szCs w:val="24"/>
                <w:highlight w:val="none"/>
                <w14:textFill>
                  <w14:solidFill>
                    <w14:schemeClr w14:val="tx1"/>
                  </w14:solidFill>
                </w14:textFill>
              </w:rPr>
              <w:t>上每</w:t>
            </w:r>
            <w:r>
              <w:rPr>
                <w:rFonts w:hint="eastAsia" w:ascii="宋体" w:hAnsi="宋体" w:eastAsia="宋体" w:cs="宋体"/>
                <w:color w:val="000000" w:themeColor="text1"/>
                <w:sz w:val="24"/>
                <w:szCs w:val="24"/>
                <w:highlight w:val="none"/>
                <w:lang w:eastAsia="zh-CN"/>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eastAsia="zh-CN"/>
                <w14:textFill>
                  <w14:solidFill>
                    <w14:schemeClr w14:val="tx1"/>
                  </w14:solidFill>
                </w14:textFill>
              </w:rPr>
              <w:t>方</w:t>
            </w:r>
            <w:r>
              <w:rPr>
                <w:rFonts w:hint="eastAsia" w:ascii="宋体" w:hAnsi="宋体" w:eastAsia="宋体" w:cs="宋体"/>
                <w:color w:val="000000" w:themeColor="text1"/>
                <w:sz w:val="24"/>
                <w:szCs w:val="24"/>
                <w:highlight w:val="none"/>
                <w14:textFill>
                  <w14:solidFill>
                    <w14:schemeClr w14:val="tx1"/>
                  </w14:solidFill>
                </w14:textFill>
              </w:rPr>
              <w:t>案基本全面、切实可行，科学先进且基本符合实际操作得</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分；</w:t>
            </w:r>
          </w:p>
          <w:p w14:paraId="4944A2BA">
            <w:pPr>
              <w:keepNext w:val="0"/>
              <w:keepLines w:val="0"/>
              <w:pageBreakBefore w:val="0"/>
              <w:widowControl/>
              <w:kinsoku/>
              <w:wordWrap/>
              <w:overflowPunct/>
              <w:topLinePunct w:val="0"/>
              <w:autoSpaceDE/>
              <w:autoSpaceDN/>
              <w:bidi w:val="0"/>
              <w:adjustRightInd/>
              <w:snapToGrid/>
              <w:spacing w:line="240" w:lineRule="auto"/>
              <w:ind w:left="0" w:leftChars="0" w:right="0" w:rightChars="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eastAsia="zh-CN"/>
                <w14:textFill>
                  <w14:solidFill>
                    <w14:schemeClr w14:val="tx1"/>
                  </w14:solidFill>
                </w14:textFill>
              </w:rPr>
              <w:t>）以</w:t>
            </w:r>
            <w:r>
              <w:rPr>
                <w:rFonts w:hint="eastAsia" w:ascii="宋体" w:hAnsi="宋体" w:eastAsia="宋体" w:cs="宋体"/>
                <w:color w:val="000000" w:themeColor="text1"/>
                <w:sz w:val="24"/>
                <w:szCs w:val="24"/>
                <w:highlight w:val="none"/>
                <w14:textFill>
                  <w14:solidFill>
                    <w14:schemeClr w14:val="tx1"/>
                  </w14:solidFill>
                </w14:textFill>
              </w:rPr>
              <w:t>上每</w:t>
            </w:r>
            <w:r>
              <w:rPr>
                <w:rFonts w:hint="eastAsia" w:ascii="宋体" w:hAnsi="宋体" w:eastAsia="宋体" w:cs="宋体"/>
                <w:color w:val="000000" w:themeColor="text1"/>
                <w:sz w:val="24"/>
                <w:szCs w:val="24"/>
                <w:highlight w:val="none"/>
                <w:lang w:eastAsia="zh-CN"/>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eastAsia="zh-CN"/>
                <w14:textFill>
                  <w14:solidFill>
                    <w14:schemeClr w14:val="tx1"/>
                  </w14:solidFill>
                </w14:textFill>
              </w:rPr>
              <w:t>方</w:t>
            </w:r>
            <w:r>
              <w:rPr>
                <w:rFonts w:hint="eastAsia" w:ascii="宋体" w:hAnsi="宋体" w:eastAsia="宋体" w:cs="宋体"/>
                <w:color w:val="000000" w:themeColor="text1"/>
                <w:sz w:val="24"/>
                <w:szCs w:val="24"/>
                <w:highlight w:val="none"/>
                <w14:textFill>
                  <w14:solidFill>
                    <w14:schemeClr w14:val="tx1"/>
                  </w14:solidFill>
                </w14:textFill>
              </w:rPr>
              <w:t>案不够全面、基本可行，不够科学先进且不符合实际操作得</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分。</w:t>
            </w:r>
          </w:p>
          <w:p w14:paraId="47D1C023">
            <w:pPr>
              <w:pStyle w:val="17"/>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投标文件中未作针对性描述的</w:t>
            </w:r>
            <w:r>
              <w:rPr>
                <w:rFonts w:hint="eastAsia" w:ascii="宋体" w:hAnsi="宋体" w:eastAsia="宋体" w:cs="宋体"/>
                <w:color w:val="000000" w:themeColor="text1"/>
                <w:sz w:val="24"/>
                <w:szCs w:val="24"/>
                <w:highlight w:val="none"/>
                <w:lang w:val="zh-CN"/>
                <w14:textFill>
                  <w14:solidFill>
                    <w14:schemeClr w14:val="tx1"/>
                  </w14:solidFill>
                </w14:textFill>
              </w:rPr>
              <w:t>得0分</w:t>
            </w:r>
            <w:r>
              <w:rPr>
                <w:rFonts w:hint="eastAsia" w:ascii="宋体" w:hAnsi="宋体" w:eastAsia="宋体" w:cs="宋体"/>
                <w:color w:val="000000" w:themeColor="text1"/>
                <w:sz w:val="24"/>
                <w:szCs w:val="24"/>
                <w:highlight w:val="none"/>
                <w14:textFill>
                  <w14:solidFill>
                    <w14:schemeClr w14:val="tx1"/>
                  </w14:solidFill>
                </w14:textFill>
              </w:rPr>
              <w:t>。</w:t>
            </w:r>
          </w:p>
        </w:tc>
      </w:tr>
      <w:tr w14:paraId="3DE090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743" w:type="dxa"/>
            <w:noWrap w:val="0"/>
            <w:vAlign w:val="center"/>
          </w:tcPr>
          <w:p w14:paraId="6637EEE4">
            <w:pPr>
              <w:keepNext w:val="0"/>
              <w:pageBreakBefore w:val="0"/>
              <w:kinsoku/>
              <w:wordWrap/>
              <w:overflowPunct/>
              <w:topLinePunct w:val="0"/>
              <w:autoSpaceDE w:val="0"/>
              <w:autoSpaceDN w:val="0"/>
              <w:bidi w:val="0"/>
              <w:adjustRightInd w:val="0"/>
              <w:spacing w:line="240" w:lineRule="auto"/>
              <w:jc w:val="cente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6</w:t>
            </w:r>
          </w:p>
        </w:tc>
        <w:tc>
          <w:tcPr>
            <w:tcW w:w="1220" w:type="dxa"/>
            <w:noWrap w:val="0"/>
            <w:vAlign w:val="center"/>
          </w:tcPr>
          <w:p w14:paraId="0EFF670F">
            <w:pPr>
              <w:keepNext w:val="0"/>
              <w:pageBreakBefore w:val="0"/>
              <w:kinsoku/>
              <w:wordWrap/>
              <w:overflowPunct/>
              <w:topLinePunct w:val="0"/>
              <w:autoSpaceDE w:val="0"/>
              <w:autoSpaceDN w:val="0"/>
              <w:bidi w:val="0"/>
              <w:adjustRightInd w:val="0"/>
              <w:spacing w:line="240" w:lineRule="auto"/>
              <w:jc w:val="center"/>
              <w:rPr>
                <w:rFonts w:hint="eastAsia" w:ascii="宋体" w:hAnsi="宋体" w:eastAsia="宋体" w:cs="宋体"/>
                <w:bCs/>
                <w:color w:val="000000" w:themeColor="text1"/>
                <w:sz w:val="24"/>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项目实施团队</w:t>
            </w:r>
          </w:p>
        </w:tc>
        <w:tc>
          <w:tcPr>
            <w:tcW w:w="992" w:type="dxa"/>
            <w:noWrap w:val="0"/>
            <w:vAlign w:val="center"/>
          </w:tcPr>
          <w:p w14:paraId="024FF350">
            <w:pPr>
              <w:keepNext w:val="0"/>
              <w:pageBreakBefore w:val="0"/>
              <w:kinsoku/>
              <w:wordWrap/>
              <w:overflowPunct/>
              <w:topLinePunct w:val="0"/>
              <w:autoSpaceDE w:val="0"/>
              <w:autoSpaceDN w:val="0"/>
              <w:bidi w:val="0"/>
              <w:adjustRightInd w:val="0"/>
              <w:spacing w:line="240" w:lineRule="auto"/>
              <w:jc w:val="center"/>
              <w:rPr>
                <w:rFonts w:hint="eastAsia" w:ascii="宋体" w:hAnsi="宋体" w:eastAsia="宋体" w:cs="宋体"/>
                <w:bCs/>
                <w:color w:val="000000" w:themeColor="text1"/>
                <w:sz w:val="24"/>
                <w:lang w:val="en-US" w:eastAsia="zh-CN"/>
                <w14:textFill>
                  <w14:solidFill>
                    <w14:schemeClr w14:val="tx1"/>
                  </w14:solidFill>
                </w14:textFill>
              </w:rPr>
            </w:pP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6分</w:t>
            </w:r>
          </w:p>
        </w:tc>
        <w:tc>
          <w:tcPr>
            <w:tcW w:w="5898" w:type="dxa"/>
            <w:noWrap w:val="0"/>
            <w:vAlign w:val="center"/>
          </w:tcPr>
          <w:p w14:paraId="579C92FB">
            <w:pPr>
              <w:keepNext w:val="0"/>
              <w:keepLines w:val="0"/>
              <w:pageBreakBefore w:val="0"/>
              <w:kinsoku/>
              <w:wordWrap/>
              <w:overflowPunct/>
              <w:topLinePunct w:val="0"/>
              <w:autoSpaceDE/>
              <w:autoSpaceDN/>
              <w:bidi w:val="0"/>
              <w:adjustRightInd w:val="0"/>
              <w:snapToGrid w:val="0"/>
              <w:spacing w:line="240" w:lineRule="auto"/>
              <w:ind w:left="0" w:leftChars="0" w:firstLine="0" w:firstLineChars="0"/>
              <w:jc w:val="lef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项目实施团队内容包括：①人员配备（含项目负责人、项目实施人员、售后服务人员等）和组织结构及专业搭配；②人员技术力量等（技术人员需提供相关证书）。</w:t>
            </w:r>
          </w:p>
          <w:p w14:paraId="154EEB5B">
            <w:pPr>
              <w:pStyle w:val="22"/>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baseline"/>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以上每</w:t>
            </w:r>
            <w:r>
              <w:rPr>
                <w:rFonts w:hint="eastAsia" w:ascii="宋体" w:hAnsi="宋体" w:eastAsia="宋体" w:cs="宋体"/>
                <w:color w:val="000000" w:themeColor="text1"/>
                <w:sz w:val="24"/>
                <w:szCs w:val="24"/>
                <w:highlight w:val="none"/>
                <w:lang w:eastAsia="zh-CN"/>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eastAsia="zh-CN"/>
                <w14:textFill>
                  <w14:solidFill>
                    <w14:schemeClr w14:val="tx1"/>
                  </w14:solidFill>
                </w14:textFill>
              </w:rPr>
              <w:t>内容</w:t>
            </w:r>
            <w:r>
              <w:rPr>
                <w:rFonts w:hint="eastAsia" w:ascii="宋体" w:hAnsi="宋体" w:eastAsia="宋体" w:cs="宋体"/>
                <w:color w:val="000000" w:themeColor="text1"/>
                <w:sz w:val="24"/>
                <w:szCs w:val="24"/>
                <w:highlight w:val="none"/>
                <w14:textFill>
                  <w14:solidFill>
                    <w14:schemeClr w14:val="tx1"/>
                  </w14:solidFill>
                </w14:textFill>
              </w:rPr>
              <w:t>全面、切实可行、完全符合实际情况，一项得</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分；</w:t>
            </w:r>
          </w:p>
          <w:p w14:paraId="51494CD4">
            <w:pPr>
              <w:pStyle w:val="22"/>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Chars="0"/>
              <w:textAlignment w:val="baseline"/>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以上每</w:t>
            </w:r>
            <w:r>
              <w:rPr>
                <w:rFonts w:hint="eastAsia" w:ascii="宋体" w:hAnsi="宋体" w:eastAsia="宋体" w:cs="宋体"/>
                <w:color w:val="000000" w:themeColor="text1"/>
                <w:sz w:val="24"/>
                <w:szCs w:val="24"/>
                <w:highlight w:val="none"/>
                <w:lang w:eastAsia="zh-CN"/>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eastAsia="zh-CN"/>
                <w14:textFill>
                  <w14:solidFill>
                    <w14:schemeClr w14:val="tx1"/>
                  </w14:solidFill>
                </w14:textFill>
              </w:rPr>
              <w:t>内容</w:t>
            </w:r>
            <w:r>
              <w:rPr>
                <w:rFonts w:hint="eastAsia" w:ascii="宋体" w:hAnsi="宋体" w:eastAsia="宋体" w:cs="宋体"/>
                <w:color w:val="000000" w:themeColor="text1"/>
                <w:sz w:val="24"/>
                <w:szCs w:val="24"/>
                <w:highlight w:val="none"/>
                <w14:textFill>
                  <w14:solidFill>
                    <w14:schemeClr w14:val="tx1"/>
                  </w14:solidFill>
                </w14:textFill>
              </w:rPr>
              <w:t>基本全面、</w:t>
            </w:r>
            <w:r>
              <w:rPr>
                <w:rFonts w:hint="eastAsia" w:ascii="宋体" w:hAnsi="宋体" w:eastAsia="宋体" w:cs="宋体"/>
                <w:color w:val="000000" w:themeColor="text1"/>
                <w:sz w:val="24"/>
                <w:szCs w:val="24"/>
                <w:highlight w:val="none"/>
                <w:lang w:eastAsia="zh-CN"/>
                <w14:textFill>
                  <w14:solidFill>
                    <w14:schemeClr w14:val="tx1"/>
                  </w14:solidFill>
                </w14:textFill>
              </w:rPr>
              <w:t>较</w:t>
            </w:r>
            <w:r>
              <w:rPr>
                <w:rFonts w:hint="eastAsia" w:ascii="宋体" w:hAnsi="宋体" w:eastAsia="宋体" w:cs="宋体"/>
                <w:color w:val="000000" w:themeColor="text1"/>
                <w:sz w:val="24"/>
                <w:szCs w:val="24"/>
                <w:highlight w:val="none"/>
                <w14:textFill>
                  <w14:solidFill>
                    <w14:schemeClr w14:val="tx1"/>
                  </w14:solidFill>
                </w14:textFill>
              </w:rPr>
              <w:t>可行、</w:t>
            </w:r>
            <w:r>
              <w:rPr>
                <w:rFonts w:hint="eastAsia" w:ascii="宋体" w:hAnsi="宋体" w:eastAsia="宋体" w:cs="宋体"/>
                <w:color w:val="000000" w:themeColor="text1"/>
                <w:sz w:val="24"/>
                <w:szCs w:val="24"/>
                <w:highlight w:val="none"/>
                <w:lang w:eastAsia="zh-CN"/>
                <w14:textFill>
                  <w14:solidFill>
                    <w14:schemeClr w14:val="tx1"/>
                  </w14:solidFill>
                </w14:textFill>
              </w:rPr>
              <w:t>较</w:t>
            </w:r>
            <w:r>
              <w:rPr>
                <w:rFonts w:hint="eastAsia" w:ascii="宋体" w:hAnsi="宋体" w:eastAsia="宋体" w:cs="宋体"/>
                <w:color w:val="000000" w:themeColor="text1"/>
                <w:sz w:val="24"/>
                <w:szCs w:val="24"/>
                <w:highlight w:val="none"/>
                <w14:textFill>
                  <w14:solidFill>
                    <w14:schemeClr w14:val="tx1"/>
                  </w14:solidFill>
                </w14:textFill>
              </w:rPr>
              <w:t>符合实际情况，一项得</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分；</w:t>
            </w:r>
          </w:p>
          <w:p w14:paraId="4EC788F0">
            <w:pPr>
              <w:pStyle w:val="22"/>
              <w:keepNext w:val="0"/>
              <w:keepLines w:val="0"/>
              <w:pageBreakBefore w:val="0"/>
              <w:widowControl w:val="0"/>
              <w:kinsoku/>
              <w:wordWrap/>
              <w:overflowPunct/>
              <w:topLinePunct w:val="0"/>
              <w:autoSpaceDE/>
              <w:autoSpaceDN/>
              <w:bidi w:val="0"/>
              <w:adjustRightInd w:val="0"/>
              <w:snapToGrid w:val="0"/>
              <w:spacing w:line="240" w:lineRule="auto"/>
              <w:textAlignment w:val="baseline"/>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）以上每</w:t>
            </w:r>
            <w:r>
              <w:rPr>
                <w:rFonts w:hint="eastAsia" w:ascii="宋体" w:hAnsi="宋体" w:eastAsia="宋体" w:cs="宋体"/>
                <w:color w:val="000000" w:themeColor="text1"/>
                <w:sz w:val="24"/>
                <w:szCs w:val="24"/>
                <w:highlight w:val="none"/>
                <w:lang w:eastAsia="zh-CN"/>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eastAsia="zh-CN"/>
                <w14:textFill>
                  <w14:solidFill>
                    <w14:schemeClr w14:val="tx1"/>
                  </w14:solidFill>
                </w14:textFill>
              </w:rPr>
              <w:t>内容</w:t>
            </w:r>
            <w:r>
              <w:rPr>
                <w:rFonts w:hint="eastAsia" w:ascii="宋体" w:hAnsi="宋体" w:eastAsia="宋体" w:cs="宋体"/>
                <w:color w:val="000000" w:themeColor="text1"/>
                <w:sz w:val="24"/>
                <w:szCs w:val="24"/>
                <w:highlight w:val="none"/>
                <w14:textFill>
                  <w14:solidFill>
                    <w14:schemeClr w14:val="tx1"/>
                  </w14:solidFill>
                </w14:textFill>
              </w:rPr>
              <w:t>不够全面、不可行，不符合实际情况，一项得</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分；</w:t>
            </w:r>
          </w:p>
          <w:p w14:paraId="41F8B921">
            <w:pPr>
              <w:pStyle w:val="17"/>
              <w:keepNext w:val="0"/>
              <w:keepLines w:val="0"/>
              <w:pageBreakBefore w:val="0"/>
              <w:widowControl/>
              <w:shd w:val="clear" w:color="auto" w:fill="auto"/>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宋体" w:hAnsi="宋体" w:eastAsia="宋体" w:cs="宋体"/>
                <w:bCs/>
                <w:color w:val="000000" w:themeColor="text1"/>
                <w:sz w:val="24"/>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w:t>
            </w:r>
            <w:r>
              <w:rPr>
                <w:rFonts w:hint="eastAsia" w:ascii="宋体" w:hAnsi="宋体" w:eastAsia="宋体" w:cs="宋体"/>
                <w:color w:val="000000" w:themeColor="text1"/>
                <w:sz w:val="24"/>
                <w:szCs w:val="24"/>
                <w:highlight w:val="none"/>
                <w14:textFill>
                  <w14:solidFill>
                    <w14:schemeClr w14:val="tx1"/>
                  </w14:solidFill>
                </w14:textFill>
              </w:rPr>
              <w:t>文件中未作针对性描述的得0分。</w:t>
            </w:r>
          </w:p>
        </w:tc>
      </w:tr>
      <w:tr w14:paraId="220711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743" w:type="dxa"/>
            <w:noWrap w:val="0"/>
            <w:vAlign w:val="center"/>
          </w:tcPr>
          <w:p w14:paraId="4385D13C">
            <w:pPr>
              <w:keepNext w:val="0"/>
              <w:pageBreakBefore w:val="0"/>
              <w:kinsoku/>
              <w:wordWrap/>
              <w:overflowPunct/>
              <w:topLinePunct w:val="0"/>
              <w:autoSpaceDE w:val="0"/>
              <w:autoSpaceDN w:val="0"/>
              <w:bidi w:val="0"/>
              <w:adjustRightInd w:val="0"/>
              <w:spacing w:line="240" w:lineRule="auto"/>
              <w:jc w:val="cente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7</w:t>
            </w:r>
          </w:p>
        </w:tc>
        <w:tc>
          <w:tcPr>
            <w:tcW w:w="1220" w:type="dxa"/>
            <w:noWrap w:val="0"/>
            <w:vAlign w:val="center"/>
          </w:tcPr>
          <w:p w14:paraId="400EE6DA">
            <w:pPr>
              <w:autoSpaceDE w:val="0"/>
              <w:autoSpaceDN w:val="0"/>
              <w:adjustRightInd w:val="0"/>
              <w:jc w:val="center"/>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配送</w:t>
            </w: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及安</w:t>
            </w:r>
            <w:r>
              <w:rPr>
                <w:rFonts w:hint="eastAsia" w:ascii="宋体" w:hAnsi="宋体" w:eastAsia="宋体" w:cs="宋体"/>
                <w:color w:val="000000" w:themeColor="text1"/>
                <w:spacing w:val="6"/>
                <w:kern w:val="0"/>
                <w:sz w:val="24"/>
                <w:szCs w:val="24"/>
                <w:highlight w:val="none"/>
                <w14:textFill>
                  <w14:solidFill>
                    <w14:schemeClr w14:val="tx1"/>
                  </w14:solidFill>
                </w14:textFill>
              </w:rPr>
              <w:t>装</w:t>
            </w:r>
            <w:r>
              <w:rPr>
                <w:rFonts w:hint="eastAsia" w:ascii="宋体" w:hAnsi="宋体" w:eastAsia="宋体" w:cs="宋体"/>
                <w:color w:val="000000" w:themeColor="text1"/>
                <w:spacing w:val="6"/>
                <w:kern w:val="0"/>
                <w:sz w:val="24"/>
                <w:szCs w:val="24"/>
                <w:highlight w:val="none"/>
                <w:lang w:eastAsia="zh-CN"/>
                <w14:textFill>
                  <w14:solidFill>
                    <w14:schemeClr w14:val="tx1"/>
                  </w14:solidFill>
                </w14:textFill>
              </w:rPr>
              <w:t>验收</w:t>
            </w:r>
            <w:r>
              <w:rPr>
                <w:rFonts w:hint="eastAsia" w:ascii="宋体" w:hAnsi="宋体" w:eastAsia="宋体" w:cs="宋体"/>
                <w:color w:val="000000" w:themeColor="text1"/>
                <w:spacing w:val="6"/>
                <w:kern w:val="0"/>
                <w:sz w:val="24"/>
                <w:szCs w:val="24"/>
                <w:highlight w:val="none"/>
                <w14:textFill>
                  <w14:solidFill>
                    <w14:schemeClr w14:val="tx1"/>
                  </w14:solidFill>
                </w14:textFill>
              </w:rPr>
              <w:t>方案</w:t>
            </w:r>
          </w:p>
        </w:tc>
        <w:tc>
          <w:tcPr>
            <w:tcW w:w="992" w:type="dxa"/>
            <w:noWrap w:val="0"/>
            <w:vAlign w:val="center"/>
          </w:tcPr>
          <w:p w14:paraId="348CBD71">
            <w:pPr>
              <w:autoSpaceDE w:val="0"/>
              <w:autoSpaceDN w:val="0"/>
              <w:adjustRightInd w:val="0"/>
              <w:jc w:val="cente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pacing w:val="6"/>
                <w:kern w:val="0"/>
                <w:sz w:val="24"/>
                <w:szCs w:val="24"/>
                <w:highlight w:val="none"/>
                <w14:textFill>
                  <w14:solidFill>
                    <w14:schemeClr w14:val="tx1"/>
                  </w14:solidFill>
                </w14:textFill>
              </w:rPr>
              <w:t>分</w:t>
            </w:r>
          </w:p>
        </w:tc>
        <w:tc>
          <w:tcPr>
            <w:tcW w:w="5898" w:type="dxa"/>
            <w:noWrap w:val="0"/>
            <w:vAlign w:val="center"/>
          </w:tcPr>
          <w:p w14:paraId="1FF57CDD">
            <w:pPr>
              <w:pStyle w:val="17"/>
              <w:keepNext w:val="0"/>
              <w:keepLines w:val="0"/>
              <w:pageBreakBefore w:val="0"/>
              <w:widowControl/>
              <w:shd w:val="clear" w:color="auto" w:fill="auto"/>
              <w:kinsoku/>
              <w:wordWrap/>
              <w:overflowPunct/>
              <w:topLinePunct w:val="0"/>
              <w:autoSpaceDE/>
              <w:autoSpaceDN/>
              <w:bidi w:val="0"/>
              <w:adjustRightInd/>
              <w:snapToGrid/>
              <w:spacing w:line="300" w:lineRule="exact"/>
              <w:ind w:left="0" w:leftChars="0" w:right="0" w:rightChars="0" w:firstLine="0" w:firstLineChars="0"/>
              <w:jc w:val="both"/>
              <w:textAlignment w:val="auto"/>
              <w:outlineLvl w:val="9"/>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根据投标人结合本项目实际情况提供的配送及安装验收方案（包括组织供应、运输储存、安装、验收等）进行评分：</w:t>
            </w:r>
          </w:p>
          <w:p w14:paraId="042CE5D3">
            <w:pPr>
              <w:pStyle w:val="17"/>
              <w:keepNext w:val="0"/>
              <w:keepLines w:val="0"/>
              <w:pageBreakBefore w:val="0"/>
              <w:widowControl/>
              <w:shd w:val="clear" w:color="auto" w:fill="auto"/>
              <w:kinsoku/>
              <w:wordWrap/>
              <w:overflowPunct/>
              <w:topLinePunct w:val="0"/>
              <w:autoSpaceDE/>
              <w:autoSpaceDN/>
              <w:bidi w:val="0"/>
              <w:adjustRightInd/>
              <w:snapToGrid/>
              <w:spacing w:line="300" w:lineRule="exact"/>
              <w:ind w:left="0" w:leftChars="0" w:right="0" w:rightChars="0" w:firstLine="0" w:firstLineChars="0"/>
              <w:jc w:val="both"/>
              <w:textAlignment w:val="auto"/>
              <w:outlineLvl w:val="9"/>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配送及安装验收方案全面、细节合理性强得5分；</w:t>
            </w:r>
          </w:p>
          <w:p w14:paraId="19654CCB">
            <w:pPr>
              <w:pStyle w:val="17"/>
              <w:keepNext w:val="0"/>
              <w:keepLines w:val="0"/>
              <w:pageBreakBefore w:val="0"/>
              <w:widowControl/>
              <w:shd w:val="clear" w:color="auto" w:fill="auto"/>
              <w:kinsoku/>
              <w:wordWrap/>
              <w:overflowPunct/>
              <w:topLinePunct w:val="0"/>
              <w:autoSpaceDE/>
              <w:autoSpaceDN/>
              <w:bidi w:val="0"/>
              <w:adjustRightInd/>
              <w:snapToGrid/>
              <w:spacing w:line="300" w:lineRule="exact"/>
              <w:ind w:left="0" w:leftChars="0" w:right="0" w:rightChars="0" w:firstLine="0" w:firstLineChars="0"/>
              <w:jc w:val="both"/>
              <w:textAlignment w:val="auto"/>
              <w:outlineLvl w:val="9"/>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配送及安装验收方案较全面、细节合理性较强得4分；</w:t>
            </w:r>
          </w:p>
          <w:p w14:paraId="49C75C02">
            <w:pPr>
              <w:pStyle w:val="17"/>
              <w:keepNext w:val="0"/>
              <w:keepLines w:val="0"/>
              <w:pageBreakBefore w:val="0"/>
              <w:widowControl/>
              <w:shd w:val="clear" w:color="auto" w:fill="auto"/>
              <w:kinsoku/>
              <w:wordWrap/>
              <w:overflowPunct/>
              <w:topLinePunct w:val="0"/>
              <w:autoSpaceDE/>
              <w:autoSpaceDN/>
              <w:bidi w:val="0"/>
              <w:adjustRightInd/>
              <w:snapToGrid/>
              <w:spacing w:line="300" w:lineRule="exact"/>
              <w:ind w:left="0" w:leftChars="0" w:right="0" w:rightChars="0" w:firstLine="0" w:firstLineChars="0"/>
              <w:jc w:val="both"/>
              <w:textAlignment w:val="auto"/>
              <w:outlineLvl w:val="9"/>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配送</w:t>
            </w: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及安</w:t>
            </w:r>
            <w:r>
              <w:rPr>
                <w:rFonts w:hint="eastAsia" w:ascii="宋体" w:hAnsi="宋体" w:eastAsia="宋体" w:cs="宋体"/>
                <w:color w:val="000000" w:themeColor="text1"/>
                <w:spacing w:val="6"/>
                <w:kern w:val="0"/>
                <w:sz w:val="24"/>
                <w:szCs w:val="24"/>
                <w:highlight w:val="none"/>
                <w14:textFill>
                  <w14:solidFill>
                    <w14:schemeClr w14:val="tx1"/>
                  </w14:solidFill>
                </w14:textFill>
              </w:rPr>
              <w:t>装</w:t>
            </w:r>
            <w:r>
              <w:rPr>
                <w:rFonts w:hint="eastAsia" w:ascii="宋体" w:hAnsi="宋体" w:eastAsia="宋体" w:cs="宋体"/>
                <w:color w:val="000000" w:themeColor="text1"/>
                <w:spacing w:val="6"/>
                <w:kern w:val="0"/>
                <w:sz w:val="24"/>
                <w:szCs w:val="24"/>
                <w:highlight w:val="none"/>
                <w:lang w:eastAsia="zh-CN"/>
                <w14:textFill>
                  <w14:solidFill>
                    <w14:schemeClr w14:val="tx1"/>
                  </w14:solidFill>
                </w14:textFill>
              </w:rPr>
              <w:t>验收</w:t>
            </w:r>
            <w:r>
              <w:rPr>
                <w:rFonts w:hint="eastAsia" w:ascii="宋体" w:hAnsi="宋体" w:eastAsia="宋体" w:cs="宋体"/>
                <w:color w:val="000000" w:themeColor="text1"/>
                <w:spacing w:val="6"/>
                <w:kern w:val="0"/>
                <w:sz w:val="24"/>
                <w:szCs w:val="24"/>
                <w:highlight w:val="none"/>
                <w14:textFill>
                  <w14:solidFill>
                    <w14:schemeClr w14:val="tx1"/>
                  </w14:solidFill>
                </w14:textFill>
              </w:rPr>
              <w:t>方案</w:t>
            </w: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一般、细节较合理性一般得3分；</w:t>
            </w:r>
          </w:p>
          <w:p w14:paraId="0C1B0B93">
            <w:pPr>
              <w:pStyle w:val="17"/>
              <w:keepNext w:val="0"/>
              <w:keepLines w:val="0"/>
              <w:pageBreakBefore w:val="0"/>
              <w:widowControl/>
              <w:shd w:val="clear" w:color="auto" w:fill="auto"/>
              <w:kinsoku/>
              <w:wordWrap/>
              <w:overflowPunct/>
              <w:topLinePunct w:val="0"/>
              <w:autoSpaceDE/>
              <w:autoSpaceDN/>
              <w:bidi w:val="0"/>
              <w:adjustRightInd/>
              <w:snapToGrid/>
              <w:spacing w:line="300" w:lineRule="exact"/>
              <w:ind w:left="0" w:leftChars="0" w:right="0" w:rightChars="0" w:firstLine="0" w:firstLineChars="0"/>
              <w:jc w:val="both"/>
              <w:textAlignment w:val="auto"/>
              <w:outlineLvl w:val="9"/>
              <w:rPr>
                <w:rFonts w:hint="eastAsia" w:ascii="宋体" w:hAnsi="宋体" w:eastAsia="宋体" w:cs="宋体"/>
                <w:color w:val="000000" w:themeColor="text1"/>
                <w:spacing w:val="6"/>
                <w:kern w:val="0"/>
                <w:sz w:val="24"/>
                <w:szCs w:val="24"/>
                <w:highlight w:val="none"/>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配送及安装验收方案</w:t>
            </w:r>
            <w:r>
              <w:rPr>
                <w:rFonts w:hint="eastAsia" w:ascii="宋体" w:hAnsi="宋体" w:eastAsia="宋体" w:cs="宋体"/>
                <w:color w:val="000000" w:themeColor="text1"/>
                <w:spacing w:val="6"/>
                <w:kern w:val="0"/>
                <w:sz w:val="24"/>
                <w:szCs w:val="24"/>
                <w:highlight w:val="none"/>
                <w:lang w:eastAsia="zh-CN"/>
                <w14:textFill>
                  <w14:solidFill>
                    <w14:schemeClr w14:val="tx1"/>
                  </w14:solidFill>
                </w14:textFill>
              </w:rPr>
              <w:t>较</w:t>
            </w:r>
            <w:r>
              <w:rPr>
                <w:rFonts w:hint="eastAsia" w:ascii="宋体" w:hAnsi="宋体" w:eastAsia="宋体" w:cs="宋体"/>
                <w:color w:val="000000" w:themeColor="text1"/>
                <w:spacing w:val="6"/>
                <w:kern w:val="0"/>
                <w:sz w:val="24"/>
                <w:szCs w:val="24"/>
                <w:highlight w:val="none"/>
                <w14:textFill>
                  <w14:solidFill>
                    <w14:schemeClr w14:val="tx1"/>
                  </w14:solidFill>
                </w14:textFill>
              </w:rPr>
              <w:t>差、细节较合理性</w:t>
            </w:r>
            <w:r>
              <w:rPr>
                <w:rFonts w:hint="eastAsia" w:ascii="宋体" w:hAnsi="宋体" w:eastAsia="宋体" w:cs="宋体"/>
                <w:color w:val="000000" w:themeColor="text1"/>
                <w:spacing w:val="6"/>
                <w:kern w:val="0"/>
                <w:sz w:val="24"/>
                <w:szCs w:val="24"/>
                <w:highlight w:val="none"/>
                <w:lang w:eastAsia="zh-CN"/>
                <w14:textFill>
                  <w14:solidFill>
                    <w14:schemeClr w14:val="tx1"/>
                  </w14:solidFill>
                </w14:textFill>
              </w:rPr>
              <w:t>较</w:t>
            </w:r>
            <w:r>
              <w:rPr>
                <w:rFonts w:hint="eastAsia" w:ascii="宋体" w:hAnsi="宋体" w:eastAsia="宋体" w:cs="宋体"/>
                <w:color w:val="000000" w:themeColor="text1"/>
                <w:spacing w:val="6"/>
                <w:kern w:val="0"/>
                <w:sz w:val="24"/>
                <w:szCs w:val="24"/>
                <w:highlight w:val="none"/>
                <w14:textFill>
                  <w14:solidFill>
                    <w14:schemeClr w14:val="tx1"/>
                  </w14:solidFill>
                </w14:textFill>
              </w:rPr>
              <w:t>差得</w:t>
            </w: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pacing w:val="6"/>
                <w:kern w:val="0"/>
                <w:sz w:val="24"/>
                <w:szCs w:val="24"/>
                <w:highlight w:val="none"/>
                <w14:textFill>
                  <w14:solidFill>
                    <w14:schemeClr w14:val="tx1"/>
                  </w14:solidFill>
                </w14:textFill>
              </w:rPr>
              <w:t>分；</w:t>
            </w:r>
          </w:p>
          <w:p w14:paraId="66A6AC22">
            <w:pPr>
              <w:pStyle w:val="17"/>
              <w:keepNext w:val="0"/>
              <w:keepLines w:val="0"/>
              <w:pageBreakBefore w:val="0"/>
              <w:widowControl/>
              <w:shd w:val="clear" w:color="auto" w:fill="auto"/>
              <w:kinsoku/>
              <w:wordWrap/>
              <w:overflowPunct/>
              <w:topLinePunct w:val="0"/>
              <w:autoSpaceDE/>
              <w:autoSpaceDN/>
              <w:bidi w:val="0"/>
              <w:adjustRightInd/>
              <w:snapToGrid/>
              <w:spacing w:line="300" w:lineRule="exact"/>
              <w:ind w:left="0" w:leftChars="0" w:right="0" w:rightChars="0" w:firstLine="0" w:firstLineChars="0"/>
              <w:jc w:val="both"/>
              <w:textAlignment w:val="auto"/>
              <w:outlineLvl w:val="9"/>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pacing w:val="6"/>
                <w:kern w:val="0"/>
                <w:sz w:val="24"/>
                <w:szCs w:val="24"/>
                <w:highlight w:val="none"/>
                <w14:textFill>
                  <w14:solidFill>
                    <w14:schemeClr w14:val="tx1"/>
                  </w14:solidFill>
                </w14:textFill>
              </w:rPr>
              <w:t>配送</w:t>
            </w:r>
            <w:r>
              <w:rPr>
                <w:rFonts w:hint="eastAsia" w:ascii="宋体" w:hAnsi="宋体" w:eastAsia="宋体" w:cs="宋体"/>
                <w:color w:val="000000" w:themeColor="text1"/>
                <w:spacing w:val="6"/>
                <w:kern w:val="0"/>
                <w:sz w:val="24"/>
                <w:szCs w:val="24"/>
                <w:highlight w:val="none"/>
                <w:lang w:val="en-US" w:eastAsia="zh-CN"/>
                <w14:textFill>
                  <w14:solidFill>
                    <w14:schemeClr w14:val="tx1"/>
                  </w14:solidFill>
                </w14:textFill>
              </w:rPr>
              <w:t>及安</w:t>
            </w:r>
            <w:r>
              <w:rPr>
                <w:rFonts w:hint="eastAsia" w:ascii="宋体" w:hAnsi="宋体" w:eastAsia="宋体" w:cs="宋体"/>
                <w:color w:val="000000" w:themeColor="text1"/>
                <w:spacing w:val="6"/>
                <w:kern w:val="0"/>
                <w:sz w:val="24"/>
                <w:szCs w:val="24"/>
                <w:highlight w:val="none"/>
                <w14:textFill>
                  <w14:solidFill>
                    <w14:schemeClr w14:val="tx1"/>
                  </w14:solidFill>
                </w14:textFill>
              </w:rPr>
              <w:t>装</w:t>
            </w:r>
            <w:r>
              <w:rPr>
                <w:rFonts w:hint="eastAsia" w:ascii="宋体" w:hAnsi="宋体" w:eastAsia="宋体" w:cs="宋体"/>
                <w:color w:val="000000" w:themeColor="text1"/>
                <w:spacing w:val="6"/>
                <w:kern w:val="0"/>
                <w:sz w:val="24"/>
                <w:szCs w:val="24"/>
                <w:highlight w:val="none"/>
                <w:lang w:eastAsia="zh-CN"/>
                <w14:textFill>
                  <w14:solidFill>
                    <w14:schemeClr w14:val="tx1"/>
                  </w14:solidFill>
                </w14:textFill>
              </w:rPr>
              <w:t>验收</w:t>
            </w:r>
            <w:r>
              <w:rPr>
                <w:rFonts w:hint="eastAsia" w:ascii="宋体" w:hAnsi="宋体" w:eastAsia="宋体" w:cs="宋体"/>
                <w:color w:val="000000" w:themeColor="text1"/>
                <w:spacing w:val="6"/>
                <w:kern w:val="0"/>
                <w:sz w:val="24"/>
                <w:szCs w:val="24"/>
                <w:highlight w:val="none"/>
                <w14:textFill>
                  <w14:solidFill>
                    <w14:schemeClr w14:val="tx1"/>
                  </w14:solidFill>
                </w14:textFill>
              </w:rPr>
              <w:t>方案</w:t>
            </w: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差、细节较合理性差得1分；</w:t>
            </w:r>
          </w:p>
          <w:p w14:paraId="3615765D">
            <w:pPr>
              <w:pStyle w:val="17"/>
              <w:keepNext w:val="0"/>
              <w:keepLines w:val="0"/>
              <w:pageBreakBefore w:val="0"/>
              <w:widowControl/>
              <w:shd w:val="clear" w:color="auto" w:fill="auto"/>
              <w:kinsoku/>
              <w:wordWrap/>
              <w:overflowPunct/>
              <w:topLinePunct w:val="0"/>
              <w:autoSpaceDE/>
              <w:autoSpaceDN/>
              <w:bidi w:val="0"/>
              <w:adjustRightInd/>
              <w:snapToGrid/>
              <w:spacing w:line="300" w:lineRule="exact"/>
              <w:ind w:left="0" w:leftChars="0" w:right="0" w:rightChars="0" w:firstLine="0" w:firstLineChars="0"/>
              <w:jc w:val="both"/>
              <w:textAlignment w:val="auto"/>
              <w:outlineLvl w:val="9"/>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投标文件中未作针对性描述的</w:t>
            </w:r>
            <w:r>
              <w:rPr>
                <w:rFonts w:hint="eastAsia" w:ascii="宋体" w:hAnsi="宋体" w:eastAsia="宋体" w:cs="宋体"/>
                <w:color w:val="000000" w:themeColor="text1"/>
                <w:sz w:val="24"/>
                <w:szCs w:val="24"/>
                <w:highlight w:val="none"/>
                <w:shd w:val="clear" w:color="auto" w:fill="auto"/>
                <w:lang w:val="zh-CN" w:eastAsia="zh-CN"/>
                <w14:textFill>
                  <w14:solidFill>
                    <w14:schemeClr w14:val="tx1"/>
                  </w14:solidFill>
                </w14:textFill>
              </w:rPr>
              <w:t>得0分</w:t>
            </w:r>
            <w:r>
              <w:rPr>
                <w:rFonts w:hint="eastAsia" w:ascii="宋体" w:hAnsi="宋体" w:eastAsia="宋体" w:cs="宋体"/>
                <w:color w:val="000000" w:themeColor="text1"/>
                <w:sz w:val="24"/>
                <w:szCs w:val="24"/>
                <w:highlight w:val="none"/>
                <w:shd w:val="clear" w:color="auto" w:fill="auto"/>
                <w:lang w:val="en-US" w:eastAsia="zh-CN"/>
                <w14:textFill>
                  <w14:solidFill>
                    <w14:schemeClr w14:val="tx1"/>
                  </w14:solidFill>
                </w14:textFill>
              </w:rPr>
              <w:t>。</w:t>
            </w:r>
          </w:p>
        </w:tc>
      </w:tr>
      <w:tr w14:paraId="048D2D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743" w:type="dxa"/>
            <w:noWrap w:val="0"/>
            <w:vAlign w:val="center"/>
          </w:tcPr>
          <w:p w14:paraId="1BB35886">
            <w:pPr>
              <w:keepNext w:val="0"/>
              <w:pageBreakBefore w:val="0"/>
              <w:tabs>
                <w:tab w:val="left" w:pos="749"/>
                <w:tab w:val="left" w:pos="3346"/>
                <w:tab w:val="left" w:pos="3873"/>
                <w:tab w:val="left" w:pos="9611"/>
              </w:tabs>
              <w:kinsoku/>
              <w:wordWrap/>
              <w:overflowPunct/>
              <w:topLinePunct w:val="0"/>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p>
        </w:tc>
        <w:tc>
          <w:tcPr>
            <w:tcW w:w="1220" w:type="dxa"/>
            <w:noWrap w:val="0"/>
            <w:vAlign w:val="center"/>
          </w:tcPr>
          <w:p w14:paraId="61AD4832">
            <w:pPr>
              <w:keepNext w:val="0"/>
              <w:pageBreakBefore w:val="0"/>
              <w:tabs>
                <w:tab w:val="left" w:pos="749"/>
                <w:tab w:val="left" w:pos="3346"/>
                <w:tab w:val="left" w:pos="3873"/>
                <w:tab w:val="left" w:pos="9611"/>
              </w:tabs>
              <w:kinsoku/>
              <w:wordWrap/>
              <w:overflowPunct/>
              <w:topLinePunct w:val="0"/>
              <w:bidi w:val="0"/>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进度计划及保障措施</w:t>
            </w:r>
          </w:p>
        </w:tc>
        <w:tc>
          <w:tcPr>
            <w:tcW w:w="992" w:type="dxa"/>
            <w:noWrap w:val="0"/>
            <w:vAlign w:val="center"/>
          </w:tcPr>
          <w:p w14:paraId="6977ED14">
            <w:pPr>
              <w:keepNext w:val="0"/>
              <w:pageBreakBefore w:val="0"/>
              <w:kinsoku/>
              <w:wordWrap/>
              <w:overflowPunct/>
              <w:topLinePunct w:val="0"/>
              <w:autoSpaceDE w:val="0"/>
              <w:autoSpaceDN w:val="0"/>
              <w:bidi w:val="0"/>
              <w:adjustRightInd w:val="0"/>
              <w:spacing w:line="24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分</w:t>
            </w:r>
          </w:p>
        </w:tc>
        <w:tc>
          <w:tcPr>
            <w:tcW w:w="5898" w:type="dxa"/>
            <w:noWrap w:val="0"/>
            <w:vAlign w:val="center"/>
          </w:tcPr>
          <w:p w14:paraId="1ED57D53">
            <w:pPr>
              <w:keepNext w:val="0"/>
              <w:pageBreakBefore w:val="0"/>
              <w:kinsoku/>
              <w:wordWrap/>
              <w:overflowPunct/>
              <w:topLinePunct w:val="0"/>
              <w:autoSpaceDE w:val="0"/>
              <w:autoSpaceDN w:val="0"/>
              <w:bidi w:val="0"/>
              <w:adjustRightInd w:val="0"/>
              <w:spacing w:line="240" w:lineRule="auto"/>
              <w:jc w:val="lef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根据</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投标人</w:t>
            </w:r>
            <w:r>
              <w:rPr>
                <w:rFonts w:hint="eastAsia" w:ascii="宋体" w:hAnsi="宋体" w:eastAsia="宋体" w:cs="宋体"/>
                <w:color w:val="000000" w:themeColor="text1"/>
                <w:sz w:val="24"/>
                <w:szCs w:val="24"/>
                <w:highlight w:val="none"/>
                <w:lang w:val="zh-CN"/>
                <w14:textFill>
                  <w14:solidFill>
                    <w14:schemeClr w14:val="tx1"/>
                  </w14:solidFill>
                </w14:textFill>
              </w:rPr>
              <w:t>提供的</w:t>
            </w:r>
            <w:r>
              <w:rPr>
                <w:rFonts w:hint="eastAsia" w:ascii="宋体" w:hAnsi="宋体" w:eastAsia="宋体" w:cs="宋体"/>
                <w:color w:val="000000" w:themeColor="text1"/>
                <w:sz w:val="24"/>
                <w:szCs w:val="24"/>
                <w:highlight w:val="none"/>
                <w14:textFill>
                  <w14:solidFill>
                    <w14:schemeClr w14:val="tx1"/>
                  </w14:solidFill>
                </w14:textFill>
              </w:rPr>
              <w:t>进度计划及保障措施</w:t>
            </w:r>
            <w:r>
              <w:rPr>
                <w:rFonts w:hint="eastAsia" w:ascii="宋体" w:hAnsi="宋体" w:eastAsia="宋体" w:cs="宋体"/>
                <w:color w:val="000000" w:themeColor="text1"/>
                <w:sz w:val="24"/>
                <w:szCs w:val="24"/>
                <w:highlight w:val="none"/>
                <w:lang w:val="zh-CN"/>
                <w14:textFill>
                  <w14:solidFill>
                    <w14:schemeClr w14:val="tx1"/>
                  </w14:solidFill>
                </w14:textFill>
              </w:rPr>
              <w:t>进行评分：</w:t>
            </w:r>
          </w:p>
          <w:p w14:paraId="09D30291">
            <w:pPr>
              <w:keepNext w:val="0"/>
              <w:pageBreakBefore w:val="0"/>
              <w:kinsoku/>
              <w:wordWrap/>
              <w:overflowPunct/>
              <w:topLinePunct w:val="0"/>
              <w:autoSpaceDE w:val="0"/>
              <w:autoSpaceDN w:val="0"/>
              <w:bidi w:val="0"/>
              <w:adjustRightInd w:val="0"/>
              <w:spacing w:line="240" w:lineRule="auto"/>
              <w:jc w:val="lef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实施进度计划合理、保障措施内容具体详细切实可行得</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 xml:space="preserve">分；  </w:t>
            </w:r>
          </w:p>
          <w:p w14:paraId="53A992A2">
            <w:pPr>
              <w:keepNext w:val="0"/>
              <w:pageBreakBefore w:val="0"/>
              <w:kinsoku/>
              <w:wordWrap/>
              <w:overflowPunct/>
              <w:topLinePunct w:val="0"/>
              <w:autoSpaceDE w:val="0"/>
              <w:autoSpaceDN w:val="0"/>
              <w:bidi w:val="0"/>
              <w:adjustRightInd w:val="0"/>
              <w:spacing w:line="240" w:lineRule="auto"/>
              <w:jc w:val="lef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实施进度计划一般、保障措施内容基本可行得</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zh-CN"/>
                <w14:textFill>
                  <w14:solidFill>
                    <w14:schemeClr w14:val="tx1"/>
                  </w14:solidFill>
                </w14:textFill>
              </w:rPr>
              <w:t>分。</w:t>
            </w:r>
          </w:p>
          <w:p w14:paraId="32C227E8">
            <w:pPr>
              <w:keepNext w:val="0"/>
              <w:pageBreakBefore w:val="0"/>
              <w:kinsoku/>
              <w:wordWrap/>
              <w:overflowPunct/>
              <w:topLinePunct w:val="0"/>
              <w:autoSpaceDE w:val="0"/>
              <w:autoSpaceDN w:val="0"/>
              <w:bidi w:val="0"/>
              <w:adjustRightInd w:val="0"/>
              <w:spacing w:line="240" w:lineRule="auto"/>
              <w:jc w:val="lef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实施进度计划差、保障措施内容不可行得</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lang w:val="zh-CN"/>
                <w14:textFill>
                  <w14:solidFill>
                    <w14:schemeClr w14:val="tx1"/>
                  </w14:solidFill>
                </w14:textFill>
              </w:rPr>
              <w:t>分。</w:t>
            </w:r>
          </w:p>
          <w:p w14:paraId="3B1A15D4">
            <w:pPr>
              <w:keepNext w:val="0"/>
              <w:pageBreakBefore w:val="0"/>
              <w:kinsoku/>
              <w:wordWrap/>
              <w:overflowPunct/>
              <w:topLinePunct w:val="0"/>
              <w:autoSpaceDE w:val="0"/>
              <w:autoSpaceDN w:val="0"/>
              <w:bidi w:val="0"/>
              <w:adjustRightInd w:val="0"/>
              <w:spacing w:line="240" w:lineRule="auto"/>
              <w:jc w:val="lef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投标文件</w:t>
            </w:r>
            <w:r>
              <w:rPr>
                <w:rFonts w:hint="eastAsia" w:ascii="宋体" w:hAnsi="宋体" w:eastAsia="宋体" w:cs="宋体"/>
                <w:color w:val="000000" w:themeColor="text1"/>
                <w:sz w:val="24"/>
                <w:szCs w:val="24"/>
                <w:highlight w:val="none"/>
                <w:lang w:val="zh-CN"/>
                <w14:textFill>
                  <w14:solidFill>
                    <w14:schemeClr w14:val="tx1"/>
                  </w14:solidFill>
                </w14:textFill>
              </w:rPr>
              <w:t>中未作针对性描述的得0分。</w:t>
            </w:r>
          </w:p>
        </w:tc>
      </w:tr>
      <w:tr w14:paraId="2ACD691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743" w:type="dxa"/>
            <w:noWrap w:val="0"/>
            <w:vAlign w:val="center"/>
          </w:tcPr>
          <w:p w14:paraId="3B72DB2B">
            <w:pPr>
              <w:keepNext w:val="0"/>
              <w:pageBreakBefore w:val="0"/>
              <w:kinsoku/>
              <w:wordWrap/>
              <w:overflowPunct/>
              <w:topLinePunct w:val="0"/>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p>
        </w:tc>
        <w:tc>
          <w:tcPr>
            <w:tcW w:w="1220" w:type="dxa"/>
            <w:noWrap w:val="0"/>
            <w:vAlign w:val="center"/>
          </w:tcPr>
          <w:p w14:paraId="5537149D">
            <w:pPr>
              <w:autoSpaceDE w:val="0"/>
              <w:autoSpaceDN w:val="0"/>
              <w:adjustRightInd w:val="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pacing w:val="6"/>
                <w:kern w:val="0"/>
                <w:sz w:val="24"/>
                <w:szCs w:val="24"/>
                <w14:textFill>
                  <w14:solidFill>
                    <w14:schemeClr w14:val="tx1"/>
                  </w14:solidFill>
                </w14:textFill>
              </w:rPr>
              <w:t>培训方案</w:t>
            </w:r>
          </w:p>
        </w:tc>
        <w:tc>
          <w:tcPr>
            <w:tcW w:w="992" w:type="dxa"/>
            <w:noWrap w:val="0"/>
            <w:vAlign w:val="center"/>
          </w:tcPr>
          <w:p w14:paraId="3ED5E4D8">
            <w:pPr>
              <w:autoSpaceDE w:val="0"/>
              <w:autoSpaceDN w:val="0"/>
              <w:adjustRightInd w:val="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pacing w:val="6"/>
                <w:kern w:val="0"/>
                <w:sz w:val="24"/>
                <w:szCs w:val="24"/>
                <w:lang w:val="en-US" w:eastAsia="zh-CN"/>
                <w14:textFill>
                  <w14:solidFill>
                    <w14:schemeClr w14:val="tx1"/>
                  </w14:solidFill>
                </w14:textFill>
              </w:rPr>
              <w:t>3</w:t>
            </w:r>
            <w:r>
              <w:rPr>
                <w:rFonts w:hint="eastAsia" w:ascii="宋体" w:hAnsi="宋体" w:eastAsia="宋体" w:cs="宋体"/>
                <w:color w:val="000000" w:themeColor="text1"/>
                <w:spacing w:val="6"/>
                <w:kern w:val="0"/>
                <w:sz w:val="24"/>
                <w:szCs w:val="24"/>
                <w14:textFill>
                  <w14:solidFill>
                    <w14:schemeClr w14:val="tx1"/>
                  </w14:solidFill>
                </w14:textFill>
              </w:rPr>
              <w:t>分</w:t>
            </w:r>
          </w:p>
        </w:tc>
        <w:tc>
          <w:tcPr>
            <w:tcW w:w="5898" w:type="dxa"/>
            <w:noWrap w:val="0"/>
            <w:vAlign w:val="center"/>
          </w:tcPr>
          <w:p w14:paraId="23C851CA">
            <w:pPr>
              <w:autoSpaceDE w:val="0"/>
              <w:autoSpaceDN w:val="0"/>
              <w:adjustRightInd w:val="0"/>
              <w:jc w:val="left"/>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pacing w:val="6"/>
                <w:kern w:val="0"/>
                <w:sz w:val="24"/>
                <w:szCs w:val="24"/>
                <w:lang w:eastAsia="zh-CN"/>
                <w14:textFill>
                  <w14:solidFill>
                    <w14:schemeClr w14:val="tx1"/>
                  </w14:solidFill>
                </w14:textFill>
              </w:rPr>
              <w:t>根据</w:t>
            </w:r>
            <w:r>
              <w:rPr>
                <w:rFonts w:hint="eastAsia" w:ascii="宋体" w:hAnsi="宋体" w:eastAsia="宋体" w:cs="宋体"/>
                <w:color w:val="000000" w:themeColor="text1"/>
                <w:sz w:val="24"/>
                <w:szCs w:val="24"/>
                <w:lang w:eastAsia="zh-CN"/>
                <w14:textFill>
                  <w14:solidFill>
                    <w14:schemeClr w14:val="tx1"/>
                  </w14:solidFill>
                </w14:textFill>
              </w:rPr>
              <w:t>供应商</w:t>
            </w:r>
            <w:r>
              <w:rPr>
                <w:rFonts w:hint="eastAsia" w:ascii="宋体" w:hAnsi="宋体" w:eastAsia="宋体" w:cs="宋体"/>
                <w:color w:val="000000" w:themeColor="text1"/>
                <w:sz w:val="24"/>
                <w:szCs w:val="24"/>
                <w14:textFill>
                  <w14:solidFill>
                    <w14:schemeClr w14:val="tx1"/>
                  </w14:solidFill>
                </w14:textFill>
              </w:rPr>
              <w:t>提供的</w:t>
            </w:r>
            <w:r>
              <w:rPr>
                <w:rFonts w:hint="eastAsia" w:ascii="宋体" w:hAnsi="宋体" w:eastAsia="宋体" w:cs="宋体"/>
                <w:color w:val="000000" w:themeColor="text1"/>
                <w:spacing w:val="6"/>
                <w:kern w:val="0"/>
                <w:sz w:val="24"/>
                <w:szCs w:val="24"/>
                <w14:textFill>
                  <w14:solidFill>
                    <w14:schemeClr w14:val="tx1"/>
                  </w14:solidFill>
                </w14:textFill>
              </w:rPr>
              <w:t>培训方案</w:t>
            </w:r>
            <w:r>
              <w:rPr>
                <w:rFonts w:hint="eastAsia" w:ascii="宋体" w:hAnsi="宋体" w:eastAsia="宋体" w:cs="宋体"/>
                <w:color w:val="000000" w:themeColor="text1"/>
                <w:sz w:val="24"/>
                <w:szCs w:val="24"/>
                <w14:textFill>
                  <w14:solidFill>
                    <w14:schemeClr w14:val="tx1"/>
                  </w14:solidFill>
                </w14:textFill>
              </w:rPr>
              <w:t>进行评分</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培训方案包括</w:t>
            </w:r>
            <w:r>
              <w:rPr>
                <w:rFonts w:hint="eastAsia" w:ascii="宋体" w:hAnsi="宋体" w:eastAsia="宋体" w:cs="宋体"/>
                <w:color w:val="000000" w:themeColor="text1"/>
                <w:kern w:val="2"/>
                <w:sz w:val="24"/>
                <w:szCs w:val="24"/>
                <w:lang w:val="en-US" w:eastAsia="zh-CN" w:bidi="ar-SA"/>
                <w14:textFill>
                  <w14:solidFill>
                    <w14:schemeClr w14:val="tx1"/>
                  </w14:solidFill>
                </w14:textFill>
              </w:rPr>
              <w:t>对学校专业教师的培训累计不少于30天的承诺、培训方式、培训目标、培训人员、培训内容等</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14:textFill>
                  <w14:solidFill>
                    <w14:schemeClr w14:val="tx1"/>
                  </w14:solidFill>
                </w14:textFill>
              </w:rPr>
              <w:t>。</w:t>
            </w:r>
          </w:p>
          <w:p w14:paraId="5D3F7ECB">
            <w:pPr>
              <w:pStyle w:val="17"/>
              <w:widowControl/>
              <w:snapToGrid/>
              <w:spacing w:line="300" w:lineRule="exact"/>
              <w:jc w:val="both"/>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培训方案内容全面、思路清晰，设计合理得</w:t>
            </w:r>
            <w:r>
              <w:rPr>
                <w:rFonts w:hint="eastAsia" w:ascii="宋体" w:hAnsi="宋体" w:eastAsia="宋体" w:cs="宋体"/>
                <w:color w:val="000000" w:themeColor="text1"/>
                <w:sz w:val="24"/>
                <w:szCs w:val="24"/>
                <w:lang w:val="en-US" w:eastAsia="zh-CN"/>
                <w14:textFill>
                  <w14:solidFill>
                    <w14:schemeClr w14:val="tx1"/>
                  </w14:solidFill>
                </w14:textFill>
              </w:rPr>
              <w:t>3</w:t>
            </w:r>
            <w:r>
              <w:rPr>
                <w:rFonts w:hint="eastAsia" w:ascii="宋体" w:hAnsi="宋体" w:eastAsia="宋体" w:cs="宋体"/>
                <w:color w:val="000000" w:themeColor="text1"/>
                <w:sz w:val="24"/>
                <w:szCs w:val="24"/>
                <w14:textFill>
                  <w14:solidFill>
                    <w14:schemeClr w14:val="tx1"/>
                  </w14:solidFill>
                </w14:textFill>
              </w:rPr>
              <w:t>分；</w:t>
            </w:r>
          </w:p>
          <w:p w14:paraId="20E9C2F4">
            <w:pPr>
              <w:pStyle w:val="17"/>
              <w:widowControl/>
              <w:snapToGrid/>
              <w:spacing w:line="300" w:lineRule="exact"/>
              <w:jc w:val="both"/>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培训方案内容较全面，但不够细致，设计简单得</w:t>
            </w:r>
            <w:r>
              <w:rPr>
                <w:rFonts w:hint="eastAsia" w:ascii="宋体" w:hAnsi="宋体" w:eastAsia="宋体" w:cs="宋体"/>
                <w:color w:val="000000" w:themeColor="text1"/>
                <w:sz w:val="24"/>
                <w:szCs w:val="24"/>
                <w:lang w:val="en-US" w:eastAsia="zh-CN"/>
                <w14:textFill>
                  <w14:solidFill>
                    <w14:schemeClr w14:val="tx1"/>
                  </w14:solidFill>
                </w14:textFill>
              </w:rPr>
              <w:t>2</w:t>
            </w:r>
            <w:r>
              <w:rPr>
                <w:rFonts w:hint="eastAsia" w:ascii="宋体" w:hAnsi="宋体" w:eastAsia="宋体" w:cs="宋体"/>
                <w:color w:val="000000" w:themeColor="text1"/>
                <w:sz w:val="24"/>
                <w:szCs w:val="24"/>
                <w14:textFill>
                  <w14:solidFill>
                    <w14:schemeClr w14:val="tx1"/>
                  </w14:solidFill>
                </w14:textFill>
              </w:rPr>
              <w:t>分；</w:t>
            </w:r>
          </w:p>
          <w:p w14:paraId="7A8B94AC">
            <w:pPr>
              <w:pStyle w:val="17"/>
              <w:widowControl/>
              <w:snapToGrid/>
              <w:spacing w:line="300" w:lineRule="exact"/>
              <w:jc w:val="both"/>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培训方案内容一般，无细节处理，基本不适用于本项目服务需求得</w:t>
            </w:r>
            <w:r>
              <w:rPr>
                <w:rFonts w:hint="eastAsia" w:ascii="宋体" w:hAnsi="宋体" w:eastAsia="宋体" w:cs="宋体"/>
                <w:color w:val="000000" w:themeColor="text1"/>
                <w:sz w:val="24"/>
                <w:szCs w:val="24"/>
                <w:lang w:val="en-US" w:eastAsia="zh-CN"/>
                <w14:textFill>
                  <w14:solidFill>
                    <w14:schemeClr w14:val="tx1"/>
                  </w14:solidFill>
                </w14:textFill>
              </w:rPr>
              <w:t>1</w:t>
            </w:r>
            <w:r>
              <w:rPr>
                <w:rFonts w:hint="eastAsia" w:ascii="宋体" w:hAnsi="宋体" w:eastAsia="宋体" w:cs="宋体"/>
                <w:color w:val="000000" w:themeColor="text1"/>
                <w:sz w:val="24"/>
                <w:szCs w:val="24"/>
                <w14:textFill>
                  <w14:solidFill>
                    <w14:schemeClr w14:val="tx1"/>
                  </w14:solidFill>
                </w14:textFill>
              </w:rPr>
              <w:t>分；</w:t>
            </w:r>
          </w:p>
          <w:p w14:paraId="1AF12616">
            <w:pPr>
              <w:autoSpaceDE w:val="0"/>
              <w:autoSpaceDN w:val="0"/>
              <w:adjustRightInd w:val="0"/>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lang w:eastAsia="zh-CN"/>
                <w14:textFill>
                  <w14:solidFill>
                    <w14:schemeClr w14:val="tx1"/>
                  </w14:solidFill>
                </w14:textFill>
              </w:rPr>
              <w:t>响应文件</w:t>
            </w:r>
            <w:r>
              <w:rPr>
                <w:rFonts w:hint="eastAsia" w:ascii="宋体" w:hAnsi="宋体" w:eastAsia="宋体" w:cs="宋体"/>
                <w:color w:val="000000" w:themeColor="text1"/>
                <w:sz w:val="24"/>
                <w:szCs w:val="24"/>
                <w14:textFill>
                  <w14:solidFill>
                    <w14:schemeClr w14:val="tx1"/>
                  </w14:solidFill>
                </w14:textFill>
              </w:rPr>
              <w:t>中未作针对性描述的</w:t>
            </w:r>
            <w:r>
              <w:rPr>
                <w:rFonts w:hint="eastAsia" w:ascii="宋体" w:hAnsi="宋体" w:eastAsia="宋体" w:cs="宋体"/>
                <w:color w:val="000000" w:themeColor="text1"/>
                <w:sz w:val="24"/>
                <w:szCs w:val="24"/>
                <w:lang w:val="zh-CN"/>
                <w14:textFill>
                  <w14:solidFill>
                    <w14:schemeClr w14:val="tx1"/>
                  </w14:solidFill>
                </w14:textFill>
              </w:rPr>
              <w:t>得0分</w:t>
            </w:r>
            <w:r>
              <w:rPr>
                <w:rFonts w:hint="eastAsia" w:ascii="宋体" w:hAnsi="宋体" w:eastAsia="宋体" w:cs="宋体"/>
                <w:color w:val="000000" w:themeColor="text1"/>
                <w:sz w:val="24"/>
                <w:szCs w:val="24"/>
                <w14:textFill>
                  <w14:solidFill>
                    <w14:schemeClr w14:val="tx1"/>
                  </w14:solidFill>
                </w14:textFill>
              </w:rPr>
              <w:t>。</w:t>
            </w:r>
          </w:p>
        </w:tc>
      </w:tr>
      <w:tr w14:paraId="698ABD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743" w:type="dxa"/>
            <w:noWrap w:val="0"/>
            <w:vAlign w:val="center"/>
          </w:tcPr>
          <w:p w14:paraId="6DD376B9">
            <w:pPr>
              <w:keepNext w:val="0"/>
              <w:pageBreakBefore w:val="0"/>
              <w:kinsoku/>
              <w:wordWrap/>
              <w:overflowPunct/>
              <w:topLinePunct w:val="0"/>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10</w:t>
            </w:r>
          </w:p>
        </w:tc>
        <w:tc>
          <w:tcPr>
            <w:tcW w:w="1220" w:type="dxa"/>
            <w:noWrap w:val="0"/>
            <w:vAlign w:val="center"/>
          </w:tcPr>
          <w:p w14:paraId="72E531B2">
            <w:pPr>
              <w:keepNext w:val="0"/>
              <w:pageBreakBefore w:val="0"/>
              <w:kinsoku/>
              <w:wordWrap/>
              <w:overflowPunct/>
              <w:topLinePunct w:val="0"/>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售后服务方案</w:t>
            </w:r>
          </w:p>
        </w:tc>
        <w:tc>
          <w:tcPr>
            <w:tcW w:w="992" w:type="dxa"/>
            <w:noWrap w:val="0"/>
            <w:vAlign w:val="center"/>
          </w:tcPr>
          <w:p w14:paraId="5ECEECC2">
            <w:pPr>
              <w:keepNext w:val="0"/>
              <w:pageBreakBefore w:val="0"/>
              <w:kinsoku/>
              <w:wordWrap/>
              <w:overflowPunct/>
              <w:topLinePunct w:val="0"/>
              <w:bidi w:val="0"/>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8分</w:t>
            </w:r>
          </w:p>
        </w:tc>
        <w:tc>
          <w:tcPr>
            <w:tcW w:w="5898" w:type="dxa"/>
            <w:noWrap w:val="0"/>
            <w:vAlign w:val="center"/>
          </w:tcPr>
          <w:p w14:paraId="2D3D8875">
            <w:pPr>
              <w:keepNext w:val="0"/>
              <w:pageBreakBefore w:val="0"/>
              <w:numPr>
                <w:ilvl w:val="0"/>
                <w:numId w:val="0"/>
              </w:numPr>
              <w:kinsoku/>
              <w:wordWrap/>
              <w:overflowPunct/>
              <w:topLinePunct w:val="0"/>
              <w:bidi w:val="0"/>
              <w:spacing w:line="240" w:lineRule="auto"/>
              <w:jc w:val="left"/>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售后服务方案包括：①</w:t>
            </w:r>
            <w:r>
              <w:rPr>
                <w:rFonts w:hint="eastAsia" w:ascii="宋体" w:hAnsi="宋体" w:eastAsia="宋体" w:cs="宋体"/>
                <w:color w:val="000000" w:themeColor="text1"/>
                <w:sz w:val="24"/>
                <w:szCs w:val="24"/>
                <w:highlight w:val="none"/>
                <w14:textFill>
                  <w14:solidFill>
                    <w14:schemeClr w14:val="tx1"/>
                  </w14:solidFill>
                </w14:textFill>
              </w:rPr>
              <w:t>售后服务体系</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售后服务响应时间</w:t>
            </w:r>
            <w:r>
              <w:rPr>
                <w:rFonts w:hint="eastAsia" w:ascii="宋体" w:hAnsi="宋体" w:eastAsia="宋体" w:cs="宋体"/>
                <w:color w:val="000000" w:themeColor="text1"/>
                <w:sz w:val="24"/>
                <w:szCs w:val="24"/>
                <w:highlight w:val="none"/>
                <w:lang w:eastAsia="zh-CN"/>
                <w14:textFill>
                  <w14:solidFill>
                    <w14:schemeClr w14:val="tx1"/>
                  </w14:solidFill>
                </w14:textFill>
              </w:rPr>
              <w:t>及</w:t>
            </w:r>
            <w:r>
              <w:rPr>
                <w:rFonts w:hint="eastAsia" w:ascii="宋体" w:hAnsi="宋体" w:eastAsia="宋体" w:cs="宋体"/>
                <w:color w:val="000000" w:themeColor="text1"/>
                <w:sz w:val="24"/>
                <w:szCs w:val="24"/>
                <w:highlight w:val="none"/>
                <w14:textFill>
                  <w14:solidFill>
                    <w14:schemeClr w14:val="tx1"/>
                  </w14:solidFill>
                </w14:textFill>
              </w:rPr>
              <w:t>售后服务计划</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②定期回访制度、项目应急预案</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③</w:t>
            </w:r>
            <w:r>
              <w:rPr>
                <w:rFonts w:hint="eastAsia" w:ascii="宋体" w:hAnsi="宋体" w:eastAsia="宋体" w:cs="宋体"/>
                <w:color w:val="000000" w:themeColor="text1"/>
                <w:kern w:val="0"/>
                <w:sz w:val="24"/>
                <w:szCs w:val="24"/>
                <w:highlight w:val="none"/>
                <w14:textFill>
                  <w14:solidFill>
                    <w14:schemeClr w14:val="tx1"/>
                  </w14:solidFill>
                </w14:textFill>
              </w:rPr>
              <w:t>故障检修方案</w:t>
            </w:r>
            <w:r>
              <w:rPr>
                <w:rFonts w:hint="eastAsia" w:ascii="宋体" w:hAnsi="宋体" w:eastAsia="宋体" w:cs="宋体"/>
                <w:color w:val="000000" w:themeColor="text1"/>
                <w:kern w:val="0"/>
                <w:sz w:val="24"/>
                <w:szCs w:val="24"/>
                <w:highlight w:val="none"/>
                <w:lang w:eastAsia="zh-CN"/>
                <w14:textFill>
                  <w14:solidFill>
                    <w14:schemeClr w14:val="tx1"/>
                  </w14:solidFill>
                </w14:textFill>
              </w:rPr>
              <w:t>；</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④零配件保障方案</w:t>
            </w:r>
            <w:r>
              <w:rPr>
                <w:rFonts w:hint="eastAsia" w:ascii="宋体" w:hAnsi="宋体" w:eastAsia="宋体" w:cs="宋体"/>
                <w:color w:val="000000" w:themeColor="text1"/>
                <w:kern w:val="0"/>
                <w:sz w:val="24"/>
                <w:szCs w:val="24"/>
                <w:highlight w:val="none"/>
                <w:lang w:eastAsia="zh-CN"/>
                <w14:textFill>
                  <w14:solidFill>
                    <w14:schemeClr w14:val="tx1"/>
                  </w14:solidFill>
                </w14:textFill>
              </w:rPr>
              <w:t>。</w:t>
            </w:r>
          </w:p>
          <w:p w14:paraId="34A4EB9C">
            <w:pPr>
              <w:pStyle w:val="22"/>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baseline"/>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以上每</w:t>
            </w:r>
            <w:r>
              <w:rPr>
                <w:rFonts w:hint="eastAsia" w:ascii="宋体" w:hAnsi="宋体" w:eastAsia="宋体" w:cs="宋体"/>
                <w:color w:val="000000" w:themeColor="text1"/>
                <w:sz w:val="24"/>
                <w:szCs w:val="24"/>
                <w:highlight w:val="none"/>
                <w:lang w:eastAsia="zh-CN"/>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eastAsia="zh-CN"/>
                <w14:textFill>
                  <w14:solidFill>
                    <w14:schemeClr w14:val="tx1"/>
                  </w14:solidFill>
                </w14:textFill>
              </w:rPr>
              <w:t>内容</w:t>
            </w:r>
            <w:r>
              <w:rPr>
                <w:rFonts w:hint="eastAsia" w:ascii="宋体" w:hAnsi="宋体" w:eastAsia="宋体" w:cs="宋体"/>
                <w:color w:val="000000" w:themeColor="text1"/>
                <w:sz w:val="24"/>
                <w:szCs w:val="24"/>
                <w:highlight w:val="none"/>
                <w14:textFill>
                  <w14:solidFill>
                    <w14:schemeClr w14:val="tx1"/>
                  </w14:solidFill>
                </w14:textFill>
              </w:rPr>
              <w:t>全面、切实可行、完全符合实际情况，一项得</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分；</w:t>
            </w:r>
          </w:p>
          <w:p w14:paraId="0B634244">
            <w:pPr>
              <w:pStyle w:val="22"/>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Chars="0"/>
              <w:textAlignment w:val="baseline"/>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以上每</w:t>
            </w:r>
            <w:r>
              <w:rPr>
                <w:rFonts w:hint="eastAsia" w:ascii="宋体" w:hAnsi="宋体" w:eastAsia="宋体" w:cs="宋体"/>
                <w:color w:val="000000" w:themeColor="text1"/>
                <w:sz w:val="24"/>
                <w:szCs w:val="24"/>
                <w:highlight w:val="none"/>
                <w:lang w:eastAsia="zh-CN"/>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eastAsia="zh-CN"/>
                <w14:textFill>
                  <w14:solidFill>
                    <w14:schemeClr w14:val="tx1"/>
                  </w14:solidFill>
                </w14:textFill>
              </w:rPr>
              <w:t>内容</w:t>
            </w:r>
            <w:r>
              <w:rPr>
                <w:rFonts w:hint="eastAsia" w:ascii="宋体" w:hAnsi="宋体" w:eastAsia="宋体" w:cs="宋体"/>
                <w:color w:val="000000" w:themeColor="text1"/>
                <w:sz w:val="24"/>
                <w:szCs w:val="24"/>
                <w:highlight w:val="none"/>
                <w14:textFill>
                  <w14:solidFill>
                    <w14:schemeClr w14:val="tx1"/>
                  </w14:solidFill>
                </w14:textFill>
              </w:rPr>
              <w:t>基本全面、</w:t>
            </w:r>
            <w:r>
              <w:rPr>
                <w:rFonts w:hint="eastAsia" w:ascii="宋体" w:hAnsi="宋体" w:eastAsia="宋体" w:cs="宋体"/>
                <w:color w:val="000000" w:themeColor="text1"/>
                <w:sz w:val="24"/>
                <w:szCs w:val="24"/>
                <w:highlight w:val="none"/>
                <w:lang w:eastAsia="zh-CN"/>
                <w14:textFill>
                  <w14:solidFill>
                    <w14:schemeClr w14:val="tx1"/>
                  </w14:solidFill>
                </w14:textFill>
              </w:rPr>
              <w:t>较</w:t>
            </w:r>
            <w:r>
              <w:rPr>
                <w:rFonts w:hint="eastAsia" w:ascii="宋体" w:hAnsi="宋体" w:eastAsia="宋体" w:cs="宋体"/>
                <w:color w:val="000000" w:themeColor="text1"/>
                <w:sz w:val="24"/>
                <w:szCs w:val="24"/>
                <w:highlight w:val="none"/>
                <w14:textFill>
                  <w14:solidFill>
                    <w14:schemeClr w14:val="tx1"/>
                  </w14:solidFill>
                </w14:textFill>
              </w:rPr>
              <w:t>可行、</w:t>
            </w:r>
            <w:r>
              <w:rPr>
                <w:rFonts w:hint="eastAsia" w:ascii="宋体" w:hAnsi="宋体" w:eastAsia="宋体" w:cs="宋体"/>
                <w:color w:val="000000" w:themeColor="text1"/>
                <w:sz w:val="24"/>
                <w:szCs w:val="24"/>
                <w:highlight w:val="none"/>
                <w:lang w:eastAsia="zh-CN"/>
                <w14:textFill>
                  <w14:solidFill>
                    <w14:schemeClr w14:val="tx1"/>
                  </w14:solidFill>
                </w14:textFill>
              </w:rPr>
              <w:t>较</w:t>
            </w:r>
            <w:r>
              <w:rPr>
                <w:rFonts w:hint="eastAsia" w:ascii="宋体" w:hAnsi="宋体" w:eastAsia="宋体" w:cs="宋体"/>
                <w:color w:val="000000" w:themeColor="text1"/>
                <w:sz w:val="24"/>
                <w:szCs w:val="24"/>
                <w:highlight w:val="none"/>
                <w14:textFill>
                  <w14:solidFill>
                    <w14:schemeClr w14:val="tx1"/>
                  </w14:solidFill>
                </w14:textFill>
              </w:rPr>
              <w:t>符合实际情况，一项得</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分；</w:t>
            </w:r>
          </w:p>
          <w:p w14:paraId="322E15CC">
            <w:pPr>
              <w:pStyle w:val="22"/>
              <w:keepNext w:val="0"/>
              <w:keepLines w:val="0"/>
              <w:pageBreakBefore w:val="0"/>
              <w:widowControl w:val="0"/>
              <w:kinsoku/>
              <w:wordWrap/>
              <w:overflowPunct/>
              <w:topLinePunct w:val="0"/>
              <w:autoSpaceDE/>
              <w:autoSpaceDN/>
              <w:bidi w:val="0"/>
              <w:adjustRightInd w:val="0"/>
              <w:snapToGrid w:val="0"/>
              <w:spacing w:line="240" w:lineRule="auto"/>
              <w:textAlignment w:val="baseline"/>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）以上每</w:t>
            </w:r>
            <w:r>
              <w:rPr>
                <w:rFonts w:hint="eastAsia" w:ascii="宋体" w:hAnsi="宋体" w:eastAsia="宋体" w:cs="宋体"/>
                <w:color w:val="000000" w:themeColor="text1"/>
                <w:sz w:val="24"/>
                <w:szCs w:val="24"/>
                <w:highlight w:val="none"/>
                <w:lang w:eastAsia="zh-CN"/>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项</w:t>
            </w:r>
            <w:r>
              <w:rPr>
                <w:rFonts w:hint="eastAsia" w:ascii="宋体" w:hAnsi="宋体" w:eastAsia="宋体" w:cs="宋体"/>
                <w:color w:val="000000" w:themeColor="text1"/>
                <w:sz w:val="24"/>
                <w:szCs w:val="24"/>
                <w:highlight w:val="none"/>
                <w:lang w:eastAsia="zh-CN"/>
                <w14:textFill>
                  <w14:solidFill>
                    <w14:schemeClr w14:val="tx1"/>
                  </w14:solidFill>
                </w14:textFill>
              </w:rPr>
              <w:t>内容</w:t>
            </w:r>
            <w:r>
              <w:rPr>
                <w:rFonts w:hint="eastAsia" w:ascii="宋体" w:hAnsi="宋体" w:eastAsia="宋体" w:cs="宋体"/>
                <w:color w:val="000000" w:themeColor="text1"/>
                <w:sz w:val="24"/>
                <w:szCs w:val="24"/>
                <w:highlight w:val="none"/>
                <w14:textFill>
                  <w14:solidFill>
                    <w14:schemeClr w14:val="tx1"/>
                  </w14:solidFill>
                </w14:textFill>
              </w:rPr>
              <w:t>不够全面、不可行，不符合实际情况，一项得</w:t>
            </w:r>
            <w:r>
              <w:rPr>
                <w:rFonts w:hint="eastAsia" w:ascii="宋体" w:hAnsi="宋体" w:eastAsia="宋体" w:cs="宋体"/>
                <w:color w:val="000000" w:themeColor="text1"/>
                <w:sz w:val="24"/>
                <w:szCs w:val="24"/>
                <w:highlight w:val="none"/>
                <w:lang w:val="en-US" w:eastAsia="zh-CN"/>
                <w14:textFill>
                  <w14:solidFill>
                    <w14:schemeClr w14:val="tx1"/>
                  </w14:solidFill>
                </w14:textFill>
              </w:rPr>
              <w:t>0.5</w:t>
            </w:r>
            <w:r>
              <w:rPr>
                <w:rFonts w:hint="eastAsia" w:ascii="宋体" w:hAnsi="宋体" w:eastAsia="宋体" w:cs="宋体"/>
                <w:color w:val="000000" w:themeColor="text1"/>
                <w:sz w:val="24"/>
                <w:szCs w:val="24"/>
                <w:highlight w:val="none"/>
                <w14:textFill>
                  <w14:solidFill>
                    <w14:schemeClr w14:val="tx1"/>
                  </w14:solidFill>
                </w14:textFill>
              </w:rPr>
              <w:t>分；</w:t>
            </w:r>
          </w:p>
          <w:p w14:paraId="268C51F6">
            <w:pPr>
              <w:pStyle w:val="4"/>
              <w:keepNext w:val="0"/>
              <w:pageBreakBefore w:val="0"/>
              <w:widowControl w:val="0"/>
              <w:kinsoku/>
              <w:wordWrap/>
              <w:overflowPunct/>
              <w:topLinePunct w:val="0"/>
              <w:autoSpaceDE/>
              <w:autoSpaceDN/>
              <w:bidi w:val="0"/>
              <w:spacing w:before="0" w:after="0" w:line="240" w:lineRule="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投标</w:t>
            </w:r>
            <w:r>
              <w:rPr>
                <w:rFonts w:hint="eastAsia" w:ascii="宋体" w:hAnsi="宋体" w:eastAsia="宋体" w:cs="宋体"/>
                <w:color w:val="000000" w:themeColor="text1"/>
                <w:sz w:val="24"/>
                <w:szCs w:val="24"/>
                <w:highlight w:val="none"/>
                <w14:textFill>
                  <w14:solidFill>
                    <w14:schemeClr w14:val="tx1"/>
                  </w14:solidFill>
                </w14:textFill>
              </w:rPr>
              <w:t>文件中未作针对性描述的得0分。</w:t>
            </w:r>
          </w:p>
        </w:tc>
      </w:tr>
    </w:tbl>
    <w:p w14:paraId="035E80E4">
      <w:pPr>
        <w:jc w:val="center"/>
        <w:rPr>
          <w:rFonts w:hint="eastAsia" w:ascii="宋体" w:hAnsi="宋体" w:eastAsia="宋体" w:cs="宋体"/>
          <w:b/>
          <w:bCs/>
          <w:color w:val="000000" w:themeColor="text1"/>
          <w:sz w:val="24"/>
          <w:szCs w:val="24"/>
          <w:highlight w:val="none"/>
          <w14:textFill>
            <w14:solidFill>
              <w14:schemeClr w14:val="tx1"/>
            </w14:solidFill>
          </w14:textFill>
        </w:rPr>
      </w:pPr>
    </w:p>
    <w:p w14:paraId="5C92CAE1">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报价部分评</w:t>
      </w:r>
      <w:r>
        <w:rPr>
          <w:rFonts w:hint="eastAsia" w:ascii="宋体" w:hAnsi="宋体" w:eastAsia="宋体" w:cs="宋体"/>
          <w:b/>
          <w:bCs/>
          <w:color w:val="000000" w:themeColor="text1"/>
          <w:sz w:val="24"/>
          <w:szCs w:val="24"/>
          <w:highlight w:val="none"/>
          <w:lang w:val="zh-CN"/>
          <w14:textFill>
            <w14:solidFill>
              <w14:schemeClr w14:val="tx1"/>
            </w14:solidFill>
          </w14:textFill>
        </w:rPr>
        <w:t>审</w:t>
      </w:r>
      <w:r>
        <w:rPr>
          <w:rFonts w:hint="eastAsia" w:ascii="宋体" w:hAnsi="宋体" w:eastAsia="宋体" w:cs="宋体"/>
          <w:b/>
          <w:bCs/>
          <w:color w:val="000000" w:themeColor="text1"/>
          <w:sz w:val="24"/>
          <w:szCs w:val="24"/>
          <w:highlight w:val="none"/>
          <w14:textFill>
            <w14:solidFill>
              <w14:schemeClr w14:val="tx1"/>
            </w14:solidFill>
          </w14:textFill>
        </w:rPr>
        <w:t>标准（</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30</w:t>
      </w:r>
      <w:r>
        <w:rPr>
          <w:rFonts w:hint="eastAsia" w:ascii="宋体" w:hAnsi="宋体" w:eastAsia="宋体" w:cs="宋体"/>
          <w:b/>
          <w:bCs/>
          <w:color w:val="000000" w:themeColor="text1"/>
          <w:sz w:val="24"/>
          <w:szCs w:val="24"/>
          <w:highlight w:val="none"/>
          <w14:textFill>
            <w14:solidFill>
              <w14:schemeClr w14:val="tx1"/>
            </w14:solidFill>
          </w14:textFill>
        </w:rPr>
        <w:t>分）</w:t>
      </w:r>
    </w:p>
    <w:tbl>
      <w:tblPr>
        <w:tblStyle w:val="29"/>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52"/>
        <w:gridCol w:w="1661"/>
        <w:gridCol w:w="6304"/>
      </w:tblGrid>
      <w:tr w14:paraId="45B74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324" w:type="pct"/>
            <w:vAlign w:val="center"/>
          </w:tcPr>
          <w:p w14:paraId="74E6229B">
            <w:pPr>
              <w:autoSpaceDE w:val="0"/>
              <w:autoSpaceDN w:val="0"/>
              <w:adjustRightInd w:val="0"/>
              <w:jc w:val="center"/>
              <w:rPr>
                <w:rFonts w:hint="eastAsia" w:ascii="宋体" w:hAnsi="宋体" w:eastAsia="宋体" w:cs="宋体"/>
                <w:b/>
                <w:bCs/>
                <w:color w:val="000000" w:themeColor="text1"/>
                <w:sz w:val="24"/>
                <w:szCs w:val="24"/>
                <w:highlight w:val="none"/>
                <w:lang w:val="zh-CN"/>
                <w14:textFill>
                  <w14:solidFill>
                    <w14:schemeClr w14:val="tx1"/>
                  </w14:solidFill>
                </w14:textFill>
              </w:rPr>
            </w:pPr>
            <w:bookmarkStart w:id="160" w:name="_Toc217446060"/>
            <w:r>
              <w:rPr>
                <w:rFonts w:hint="eastAsia" w:ascii="宋体" w:hAnsi="宋体" w:eastAsia="宋体" w:cs="宋体"/>
                <w:b/>
                <w:bCs/>
                <w:color w:val="000000" w:themeColor="text1"/>
                <w:sz w:val="24"/>
                <w:szCs w:val="24"/>
                <w:highlight w:val="none"/>
                <w:lang w:val="zh-CN"/>
                <w14:textFill>
                  <w14:solidFill>
                    <w14:schemeClr w14:val="tx1"/>
                  </w14:solidFill>
                </w14:textFill>
              </w:rPr>
              <w:t>序号</w:t>
            </w:r>
          </w:p>
        </w:tc>
        <w:tc>
          <w:tcPr>
            <w:tcW w:w="975" w:type="pct"/>
            <w:vAlign w:val="center"/>
          </w:tcPr>
          <w:p w14:paraId="65B1AD68">
            <w:pPr>
              <w:autoSpaceDE w:val="0"/>
              <w:autoSpaceDN w:val="0"/>
              <w:adjustRightInd w:val="0"/>
              <w:jc w:val="center"/>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评审因素</w:t>
            </w:r>
          </w:p>
        </w:tc>
        <w:tc>
          <w:tcPr>
            <w:tcW w:w="3700" w:type="pct"/>
            <w:vAlign w:val="center"/>
          </w:tcPr>
          <w:p w14:paraId="584D7FDC">
            <w:pPr>
              <w:autoSpaceDE w:val="0"/>
              <w:autoSpaceDN w:val="0"/>
              <w:adjustRightInd w:val="0"/>
              <w:jc w:val="center"/>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评审标准</w:t>
            </w:r>
          </w:p>
        </w:tc>
      </w:tr>
      <w:tr w14:paraId="6B9AA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324" w:type="pct"/>
            <w:vAlign w:val="center"/>
          </w:tcPr>
          <w:p w14:paraId="08FA8246">
            <w:pPr>
              <w:autoSpaceDE w:val="0"/>
              <w:autoSpaceDN w:val="0"/>
              <w:adjustRightInd w:val="0"/>
              <w:jc w:val="center"/>
              <w:rPr>
                <w:rFonts w:hint="eastAsia" w:ascii="宋体" w:hAnsi="宋体" w:eastAsia="宋体" w:cs="宋体"/>
                <w:bCs/>
                <w:color w:val="000000" w:themeColor="text1"/>
                <w:sz w:val="24"/>
                <w:szCs w:val="24"/>
                <w:highlight w:val="none"/>
                <w:lang w:val="zh-CN"/>
                <w14:textFill>
                  <w14:solidFill>
                    <w14:schemeClr w14:val="tx1"/>
                  </w14:solidFill>
                </w14:textFill>
              </w:rPr>
            </w:pPr>
            <w:r>
              <w:rPr>
                <w:rFonts w:hint="eastAsia" w:ascii="宋体" w:hAnsi="宋体" w:eastAsia="宋体" w:cs="宋体"/>
                <w:bCs/>
                <w:color w:val="000000" w:themeColor="text1"/>
                <w:sz w:val="24"/>
                <w:szCs w:val="24"/>
                <w:highlight w:val="none"/>
                <w:lang w:val="zh-CN"/>
                <w14:textFill>
                  <w14:solidFill>
                    <w14:schemeClr w14:val="tx1"/>
                  </w14:solidFill>
                </w14:textFill>
              </w:rPr>
              <w:t>1</w:t>
            </w:r>
          </w:p>
        </w:tc>
        <w:tc>
          <w:tcPr>
            <w:tcW w:w="975" w:type="pct"/>
            <w:vAlign w:val="center"/>
          </w:tcPr>
          <w:p w14:paraId="59BFCD66">
            <w:pPr>
              <w:autoSpaceDE w:val="0"/>
              <w:autoSpaceDN w:val="0"/>
              <w:adjustRightInd w:val="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投标报价</w:t>
            </w:r>
          </w:p>
        </w:tc>
        <w:tc>
          <w:tcPr>
            <w:tcW w:w="3700" w:type="pct"/>
            <w:vAlign w:val="center"/>
          </w:tcPr>
          <w:p w14:paraId="40399297">
            <w:pPr>
              <w:autoSpaceDE w:val="0"/>
              <w:autoSpaceDN w:val="0"/>
              <w:adjustRightInd w:val="0"/>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评标基准价即满足招标文件要求且投标价格最低的投标报价</w:t>
            </w:r>
            <w:r>
              <w:rPr>
                <w:rFonts w:hint="eastAsia" w:ascii="宋体" w:hAnsi="宋体" w:cs="宋体"/>
                <w:color w:val="000000" w:themeColor="text1"/>
                <w:sz w:val="24"/>
                <w:szCs w:val="24"/>
                <w:highlight w:val="none"/>
                <w:lang w:val="zh-CN"/>
                <w14:textFill>
                  <w14:solidFill>
                    <w14:schemeClr w14:val="tx1"/>
                  </w14:solidFill>
                </w14:textFill>
              </w:rPr>
              <w:t>，</w:t>
            </w:r>
            <w:r>
              <w:rPr>
                <w:rFonts w:hint="eastAsia" w:ascii="宋体" w:hAnsi="宋体" w:eastAsia="宋体" w:cs="宋体"/>
                <w:color w:val="000000" w:themeColor="text1"/>
                <w:sz w:val="24"/>
                <w:szCs w:val="24"/>
                <w:highlight w:val="none"/>
                <w:lang w:val="zh-CN"/>
                <w14:textFill>
                  <w14:solidFill>
                    <w14:schemeClr w14:val="tx1"/>
                  </w14:solidFill>
                </w14:textFill>
              </w:rPr>
              <w:t>其价格分为满分，项目评审过程中，不得去掉最后报价中的最高报价和最低报价。</w:t>
            </w:r>
          </w:p>
          <w:p w14:paraId="3BDCBDCC">
            <w:pPr>
              <w:autoSpaceDE w:val="0"/>
              <w:autoSpaceDN w:val="0"/>
              <w:adjustRightInd w:val="0"/>
              <w:rPr>
                <w:rFonts w:hint="eastAsia" w:ascii="宋体" w:hAnsi="宋体" w:cs="宋体"/>
                <w:color w:val="000000" w:themeColor="text1"/>
                <w:sz w:val="24"/>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投标报价得分=（评标基准价/投标报价）×</w:t>
            </w:r>
            <w:r>
              <w:rPr>
                <w:rFonts w:hint="eastAsia" w:ascii="宋体" w:hAnsi="宋体" w:eastAsia="宋体" w:cs="宋体"/>
                <w:color w:val="000000" w:themeColor="text1"/>
                <w:sz w:val="24"/>
                <w:szCs w:val="24"/>
                <w:highlight w:val="none"/>
                <w:lang w:val="en-US" w:eastAsia="zh-CN"/>
                <w14:textFill>
                  <w14:solidFill>
                    <w14:schemeClr w14:val="tx1"/>
                  </w14:solidFill>
                </w14:textFill>
              </w:rPr>
              <w:t>30</w:t>
            </w:r>
            <w:r>
              <w:rPr>
                <w:rFonts w:hint="eastAsia" w:ascii="宋体" w:hAnsi="宋体" w:cs="宋体"/>
                <w:color w:val="000000" w:themeColor="text1"/>
                <w:sz w:val="24"/>
                <w:szCs w:val="24"/>
                <w:highlight w:val="none"/>
                <w:lang w:val="en-US" w:eastAsia="zh-CN"/>
                <w14:textFill>
                  <w14:solidFill>
                    <w14:schemeClr w14:val="tx1"/>
                  </w14:solidFill>
                </w14:textFill>
              </w:rPr>
              <w:t>%</w:t>
            </w:r>
            <w:r>
              <w:rPr>
                <w:rFonts w:hint="eastAsia" w:ascii="宋体" w:hAnsi="宋体" w:cs="宋体"/>
                <w:color w:val="000000" w:themeColor="text1"/>
                <w:sz w:val="24"/>
                <w14:textFill>
                  <w14:solidFill>
                    <w14:schemeClr w14:val="tx1"/>
                  </w14:solidFill>
                </w14:textFill>
              </w:rPr>
              <w:t>×100</w:t>
            </w:r>
          </w:p>
          <w:p w14:paraId="75B371BE">
            <w:pPr>
              <w:pStyle w:val="2"/>
              <w:rPr>
                <w:rFonts w:hint="eastAsia"/>
                <w:color w:val="000000" w:themeColor="text1"/>
                <w:lang w:val="en-US" w:eastAsia="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注：1、</w:t>
            </w:r>
            <w:r>
              <w:rPr>
                <w:rFonts w:hint="eastAsia" w:ascii="宋体" w:hAnsi="宋体" w:cs="宋体"/>
                <w:color w:val="000000" w:themeColor="text1"/>
                <w:sz w:val="24"/>
                <w:lang w:val="zh-CN"/>
                <w14:textFill>
                  <w14:solidFill>
                    <w14:schemeClr w14:val="tx1"/>
                  </w14:solidFill>
                </w14:textFill>
              </w:rPr>
              <w:t>本项目的价格权重为</w:t>
            </w:r>
            <w:r>
              <w:rPr>
                <w:rFonts w:hint="eastAsia" w:ascii="宋体" w:hAnsi="宋体" w:cs="宋体"/>
                <w:color w:val="000000" w:themeColor="text1"/>
                <w:sz w:val="24"/>
                <w14:textFill>
                  <w14:solidFill>
                    <w14:schemeClr w14:val="tx1"/>
                  </w14:solidFill>
                </w14:textFill>
              </w:rPr>
              <w:t>30</w:t>
            </w:r>
            <w:r>
              <w:rPr>
                <w:rFonts w:hint="eastAsia" w:ascii="宋体" w:hAnsi="宋体" w:cs="宋体"/>
                <w:color w:val="000000" w:themeColor="text1"/>
                <w:sz w:val="24"/>
                <w:lang w:val="zh-CN"/>
                <w14:textFill>
                  <w14:solidFill>
                    <w14:schemeClr w14:val="tx1"/>
                  </w14:solidFill>
                </w14:textFill>
              </w:rPr>
              <w:t>%。</w:t>
            </w:r>
            <w:r>
              <w:rPr>
                <w:rFonts w:hint="eastAsia" w:ascii="宋体" w:hAnsi="宋体" w:cs="宋体"/>
                <w:color w:val="000000" w:themeColor="text1"/>
                <w:sz w:val="24"/>
                <w14:textFill>
                  <w14:solidFill>
                    <w14:schemeClr w14:val="tx1"/>
                  </w14:solidFill>
                </w14:textFill>
              </w:rPr>
              <w:t>2、在经济标评审阶段，经评审委员会认为无效的</w:t>
            </w:r>
            <w:r>
              <w:rPr>
                <w:rFonts w:hint="eastAsia" w:ascii="宋体" w:hAnsi="宋体" w:cs="宋体"/>
                <w:color w:val="000000" w:themeColor="text1"/>
                <w:sz w:val="24"/>
                <w:lang w:val="en-US" w:eastAsia="zh-CN"/>
                <w14:textFill>
                  <w14:solidFill>
                    <w14:schemeClr w14:val="tx1"/>
                  </w14:solidFill>
                </w14:textFill>
              </w:rPr>
              <w:t>投标</w:t>
            </w:r>
            <w:r>
              <w:rPr>
                <w:rFonts w:hint="eastAsia" w:ascii="宋体" w:hAnsi="宋体" w:cs="宋体"/>
                <w:color w:val="000000" w:themeColor="text1"/>
                <w:sz w:val="24"/>
                <w14:textFill>
                  <w14:solidFill>
                    <w14:schemeClr w14:val="tx1"/>
                  </w14:solidFill>
                </w14:textFill>
              </w:rPr>
              <w:t>报价，经济部分得分按“0”计。</w:t>
            </w:r>
          </w:p>
        </w:tc>
      </w:tr>
    </w:tbl>
    <w:p w14:paraId="13042A82">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4.5.1投标人总分=报价部分得分+技术、商务部分得分，结果保留两位小数。</w:t>
      </w:r>
    </w:p>
    <w:bookmarkEnd w:id="155"/>
    <w:bookmarkEnd w:id="160"/>
    <w:p w14:paraId="19FE0FF8">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 终止招标</w:t>
      </w:r>
    </w:p>
    <w:p w14:paraId="25C025F5">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采购人、采购代理机构在发布招标公告、资格预审公告或者发出投标邀请书后，除因重大变故采购任务取消情况外，不得擅自终止招标活动。</w:t>
      </w:r>
    </w:p>
    <w:p w14:paraId="4276925D">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终止招标的，采购人或者采购代理机构应当及时在原公告发布媒体上发布终止公告，以书面形式通知已经获取招标文件、资格预审文件或者被邀请的潜在投标人，并将项目实施情况和采购任务取消原因报告本级财政部门。已经收取招标文件费用或者投标保证金的，采购人或者采购代理机构应当在终止采购活动后5个工作日内，退还所收取的招标文件费用和所收取的投标保证金及其在银行产生的孳息。</w:t>
      </w:r>
    </w:p>
    <w:p w14:paraId="4CB58A27">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 定标</w:t>
      </w:r>
      <w:bookmarkStart w:id="161" w:name="_Toc217446061"/>
    </w:p>
    <w:p w14:paraId="71760B1C">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6.1. 定标原则</w:t>
      </w:r>
      <w:bookmarkEnd w:id="161"/>
      <w:r>
        <w:rPr>
          <w:rFonts w:hint="eastAsia" w:ascii="宋体" w:hAnsi="宋体" w:eastAsia="宋体" w:cs="宋体"/>
          <w:color w:val="000000" w:themeColor="text1"/>
          <w:sz w:val="24"/>
          <w:szCs w:val="24"/>
          <w:highlight w:val="none"/>
          <w14:textFill>
            <w14:solidFill>
              <w14:schemeClr w14:val="tx1"/>
            </w14:solidFill>
          </w14:textFill>
        </w:rPr>
        <w:t>：本项目根据评标委员会推荐的中标候选人名单，按顺序确定中标人。</w:t>
      </w:r>
    </w:p>
    <w:p w14:paraId="0591C6FA">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62" w:name="_Toc217446062"/>
      <w:r>
        <w:rPr>
          <w:rFonts w:hint="eastAsia" w:ascii="宋体" w:hAnsi="宋体" w:eastAsia="宋体" w:cs="宋体"/>
          <w:color w:val="000000" w:themeColor="text1"/>
          <w:sz w:val="24"/>
          <w:szCs w:val="24"/>
          <w:highlight w:val="none"/>
          <w14:textFill>
            <w14:solidFill>
              <w14:schemeClr w14:val="tx1"/>
            </w14:solidFill>
          </w14:textFill>
        </w:rPr>
        <w:t>6.2. 定标程序</w:t>
      </w:r>
      <w:bookmarkEnd w:id="162"/>
    </w:p>
    <w:p w14:paraId="0B13D6C0">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6.2.1 评标委员会将评标情况写出书面报告，推荐中标候选人，并按照综合得分高低标明排列顺序。本项目采用综合评分法，评标结果按评标后得分由高到低顺序排列。得分相同的，按投标报价由低到高顺序排列。得分且投标报价相同的按照技术指标优劣顺序推荐。</w:t>
      </w:r>
    </w:p>
    <w:p w14:paraId="49F70A3C">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6.2.2 采购代理机构在评标结束后两个工作日内将评标报告送至采购人。</w:t>
      </w:r>
    </w:p>
    <w:p w14:paraId="14058A31">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6.2.3 采购人应当自收到评标报告之日起5个工作日内在评标报告推荐的中标候选人中按顺序确定中标人。</w:t>
      </w:r>
    </w:p>
    <w:p w14:paraId="6B3D4F9D">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6.2.4 根据采购人确定的中标人，采购人在招标公告发布的媒体上发布中标公告，同时向中标人发出中标通知书。</w:t>
      </w:r>
    </w:p>
    <w:p w14:paraId="7119F5CF">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6.2.5 采购人不退回投标文件和其他投标资料。</w:t>
      </w:r>
    </w:p>
    <w:p w14:paraId="3C4B7AF2">
      <w:pPr>
        <w:spacing w:line="46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63" w:name="_Toc183582297"/>
      <w:bookmarkStart w:id="164" w:name="_Toc217446105"/>
      <w:bookmarkStart w:id="165" w:name="_Toc208849022"/>
      <w:bookmarkStart w:id="166" w:name="_Toc183682432"/>
      <w:r>
        <w:rPr>
          <w:rFonts w:hint="eastAsia" w:ascii="宋体" w:hAnsi="宋体" w:eastAsia="宋体" w:cs="宋体"/>
          <w:color w:val="000000" w:themeColor="text1"/>
          <w:sz w:val="24"/>
          <w:szCs w:val="24"/>
          <w:highlight w:val="none"/>
          <w14:textFill>
            <w14:solidFill>
              <w14:schemeClr w14:val="tx1"/>
            </w14:solidFill>
          </w14:textFill>
        </w:rPr>
        <w:t xml:space="preserve">7. </w:t>
      </w:r>
      <w:bookmarkEnd w:id="163"/>
      <w:bookmarkEnd w:id="164"/>
      <w:bookmarkEnd w:id="165"/>
      <w:bookmarkEnd w:id="166"/>
      <w:r>
        <w:rPr>
          <w:rFonts w:hint="eastAsia" w:ascii="宋体" w:hAnsi="宋体" w:eastAsia="宋体" w:cs="宋体"/>
          <w:color w:val="000000" w:themeColor="text1"/>
          <w:sz w:val="24"/>
          <w:szCs w:val="24"/>
          <w:highlight w:val="none"/>
          <w14:textFill>
            <w14:solidFill>
              <w14:schemeClr w14:val="tx1"/>
            </w14:solidFill>
          </w14:textFill>
        </w:rPr>
        <w:t>评标专家在政府采购活动中承担以下义务：</w:t>
      </w:r>
    </w:p>
    <w:p w14:paraId="093ECF93">
      <w:pPr>
        <w:widowControl/>
        <w:autoSpaceDE w:val="0"/>
        <w:autoSpaceDN w:val="0"/>
        <w:spacing w:line="460" w:lineRule="exact"/>
        <w:ind w:firstLine="480" w:firstLineChars="200"/>
        <w:textAlignment w:val="bottom"/>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7.1 遵纪守法，客观、公正、廉洁地履行职责。</w:t>
      </w:r>
    </w:p>
    <w:p w14:paraId="51103C9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7.2 按照政府采购相关法律法规和招标文件的规定对投标人的资格条件和投标人提供的商务、价格、技术服务、业绩、对招标文件的响应程度以及投标文件规范性等方面进行评价，提供科学合理、公平公正的评标意见，参与起草评标报告，并予签字确认。</w:t>
      </w:r>
    </w:p>
    <w:p w14:paraId="668D52D6">
      <w:pPr>
        <w:widowControl/>
        <w:autoSpaceDE w:val="0"/>
        <w:autoSpaceDN w:val="0"/>
        <w:spacing w:line="460" w:lineRule="exact"/>
        <w:ind w:firstLine="480" w:firstLineChars="200"/>
        <w:textAlignment w:val="bottom"/>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7.3 保守秘密。不得透露招标项目情况，不得泄漏投标人的投标文件及知悉的商业秘密，不得向投标人透露评标情况。</w:t>
      </w:r>
    </w:p>
    <w:p w14:paraId="1504AB33">
      <w:pPr>
        <w:widowControl/>
        <w:autoSpaceDE w:val="0"/>
        <w:autoSpaceDN w:val="0"/>
        <w:spacing w:line="460" w:lineRule="exact"/>
        <w:ind w:firstLine="480" w:firstLineChars="200"/>
        <w:textAlignment w:val="bottom"/>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7.4 发现投标人在政府采购活动中有不正当竞争或恶意串通等违规行为，及时向政府采购评标工作的组织者或财政部门报告并加以制止。</w:t>
      </w:r>
    </w:p>
    <w:p w14:paraId="0D4FD9CF">
      <w:pPr>
        <w:widowControl/>
        <w:autoSpaceDE w:val="0"/>
        <w:autoSpaceDN w:val="0"/>
        <w:spacing w:line="460" w:lineRule="exact"/>
        <w:ind w:firstLine="480" w:firstLineChars="200"/>
        <w:textAlignment w:val="bottom"/>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发现采购人、采购代理机构及其工作人员在招标活动中有干预评标、发表倾向性和歧视性言论、受贿或者接受投标人的其他好处及其他违法违规行为，及时向财政部门报告。</w:t>
      </w:r>
    </w:p>
    <w:p w14:paraId="3B3A39EC">
      <w:pPr>
        <w:widowControl/>
        <w:autoSpaceDE w:val="0"/>
        <w:autoSpaceDN w:val="0"/>
        <w:spacing w:line="360" w:lineRule="auto"/>
        <w:ind w:firstLine="480" w:firstLineChars="200"/>
        <w:textAlignment w:val="bottom"/>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7.5 配合采购人或者采购代理机构答复投标人质疑，配合投诉处理工作等事宜。</w:t>
      </w:r>
    </w:p>
    <w:p w14:paraId="59605768">
      <w:pPr>
        <w:widowControl/>
        <w:autoSpaceDE w:val="0"/>
        <w:autoSpaceDN w:val="0"/>
        <w:spacing w:line="460" w:lineRule="exact"/>
        <w:ind w:firstLine="480" w:firstLineChars="200"/>
        <w:textAlignment w:val="bottom"/>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7.6 法律、法规和规章规定的其他义务。</w:t>
      </w:r>
    </w:p>
    <w:p w14:paraId="7FB4C1D7">
      <w:pPr>
        <w:widowControl/>
        <w:autoSpaceDE w:val="0"/>
        <w:autoSpaceDN w:val="0"/>
        <w:spacing w:line="460" w:lineRule="exact"/>
        <w:ind w:firstLine="482" w:firstLineChars="200"/>
        <w:textAlignment w:val="bottom"/>
        <w:rPr>
          <w:rFonts w:hint="eastAsia" w:ascii="宋体" w:hAnsi="宋体" w:eastAsia="宋体" w:cs="宋体"/>
          <w:b/>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8</w:t>
      </w:r>
      <w:r>
        <w:rPr>
          <w:rFonts w:hint="eastAsia" w:ascii="宋体" w:hAnsi="宋体" w:eastAsia="宋体" w:cs="宋体"/>
          <w:color w:val="000000" w:themeColor="text1"/>
          <w:sz w:val="24"/>
          <w:szCs w:val="24"/>
          <w:highlight w:val="none"/>
          <w14:textFill>
            <w14:solidFill>
              <w14:schemeClr w14:val="tx1"/>
            </w14:solidFill>
          </w14:textFill>
        </w:rPr>
        <w:t xml:space="preserve">. </w:t>
      </w:r>
      <w:r>
        <w:rPr>
          <w:rFonts w:hint="eastAsia" w:ascii="宋体" w:hAnsi="宋体" w:eastAsia="宋体" w:cs="宋体"/>
          <w:b/>
          <w:color w:val="000000" w:themeColor="text1"/>
          <w:sz w:val="24"/>
          <w:szCs w:val="24"/>
          <w:highlight w:val="none"/>
          <w14:textFill>
            <w14:solidFill>
              <w14:schemeClr w14:val="tx1"/>
            </w14:solidFill>
          </w14:textFill>
        </w:rPr>
        <w:t>评标专家在招标活动中应当遵守以下工作纪律：</w:t>
      </w:r>
    </w:p>
    <w:p w14:paraId="2FD29515">
      <w:pPr>
        <w:widowControl/>
        <w:autoSpaceDE w:val="0"/>
        <w:autoSpaceDN w:val="0"/>
        <w:spacing w:line="460" w:lineRule="exact"/>
        <w:ind w:firstLine="480" w:firstLineChars="200"/>
        <w:textAlignment w:val="bottom"/>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8.1 应邀按时参加评标活动。遇特殊情况不能出席或途中遇阻不能按时参加评标的，应及时告知财政部门或者采购人或者采购代理机构，不得私自转托他人。</w:t>
      </w:r>
    </w:p>
    <w:p w14:paraId="2AD7FED6">
      <w:pPr>
        <w:widowControl/>
        <w:autoSpaceDE w:val="0"/>
        <w:autoSpaceDN w:val="0"/>
        <w:spacing w:line="460" w:lineRule="exact"/>
        <w:ind w:firstLine="480" w:firstLineChars="200"/>
        <w:textAlignment w:val="bottom"/>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8.2 不得参加与自己有利害关系的招标项目的评标活动。对与自己有利害关系的评标项目，如受到邀请，应主动提出回避。财政部门、采购人或采购代理机构也可要求该评标专家回避。</w:t>
      </w:r>
    </w:p>
    <w:p w14:paraId="051CC01A">
      <w:pPr>
        <w:widowControl/>
        <w:autoSpaceDE w:val="0"/>
        <w:autoSpaceDN w:val="0"/>
        <w:spacing w:line="460" w:lineRule="exact"/>
        <w:ind w:firstLine="480" w:firstLineChars="200"/>
        <w:textAlignment w:val="bottom"/>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有利害关系主要是指三年内曾在参加该招标项目投标人中任职(包括一般工作)或担任顾问，配偶或直系亲属在参加该招标项目的投标人中任职或担任顾问，与参加该招标项目投标人发生过法律纠纷，以及其他可能影响公正评标的情况。</w:t>
      </w:r>
    </w:p>
    <w:p w14:paraId="5450CEFE">
      <w:pPr>
        <w:widowControl/>
        <w:autoSpaceDE w:val="0"/>
        <w:autoSpaceDN w:val="0"/>
        <w:spacing w:line="460" w:lineRule="exact"/>
        <w:ind w:firstLine="480" w:firstLineChars="200"/>
        <w:textAlignment w:val="bottom"/>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8.3 评标过程中关闭通讯设备，不得与外界联系。</w:t>
      </w:r>
    </w:p>
    <w:p w14:paraId="4AD08984">
      <w:pPr>
        <w:pStyle w:val="3"/>
        <w:keepNext/>
        <w:keepLines/>
        <w:pageBreakBefore w:val="0"/>
        <w:widowControl w:val="0"/>
        <w:kinsoku/>
        <w:wordWrap/>
        <w:overflowPunct/>
        <w:topLinePunct w:val="0"/>
        <w:autoSpaceDE/>
        <w:autoSpaceDN/>
        <w:bidi w:val="0"/>
        <w:adjustRightInd/>
        <w:snapToGrid/>
        <w:spacing w:before="0" w:after="0" w:line="460" w:lineRule="exact"/>
        <w:ind w:firstLine="480" w:firstLineChars="200"/>
        <w:jc w:val="lef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8.4 评标过程中，不得发表影响评标公正的倾向性、歧视性言论；不得以任何明示或暗示的方式要求参加该招标项目的投标人以澄清、说明或补正为借口，表达与其原投标文件原意不同的新意见；不得以招标文件没有规定的方法和标准作为评标的依据；不得违反规定的评标格式评分和撰写评标意见；不得拒绝对自己的评标意见签字确认。</w:t>
      </w:r>
      <w:r>
        <w:rPr>
          <w:rFonts w:hint="eastAsia" w:ascii="宋体" w:hAnsi="宋体" w:eastAsia="宋体" w:cs="宋体"/>
          <w:b w:val="0"/>
          <w:bCs w:val="0"/>
          <w:color w:val="000000" w:themeColor="text1"/>
          <w:sz w:val="24"/>
          <w:szCs w:val="24"/>
          <w:highlight w:val="none"/>
          <w14:textFill>
            <w14:solidFill>
              <w14:schemeClr w14:val="tx1"/>
            </w14:solidFill>
          </w14:textFill>
        </w:rPr>
        <w:br w:type="page"/>
      </w:r>
      <w:bookmarkStart w:id="167" w:name="_Toc19827"/>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第六章 </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合同文本</w:t>
      </w:r>
      <w:bookmarkEnd w:id="167"/>
    </w:p>
    <w:p w14:paraId="38391E7E">
      <w:pPr>
        <w:pStyle w:val="49"/>
        <w:widowControl/>
        <w:spacing w:line="480" w:lineRule="atLeast"/>
        <w:ind w:firstLine="480" w:firstLineChars="200"/>
        <w:jc w:val="center"/>
        <w:rPr>
          <w:rStyle w:val="31"/>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（本合同仅供参考，具体以实际签订的为准）</w:t>
      </w:r>
    </w:p>
    <w:p w14:paraId="07F98B65">
      <w:pPr>
        <w:pStyle w:val="49"/>
        <w:widowControl/>
        <w:spacing w:line="480" w:lineRule="atLeast"/>
        <w:ind w:firstLine="480" w:firstLineChars="200"/>
        <w:jc w:val="both"/>
        <w:rPr>
          <w:rFonts w:hint="eastAsia" w:ascii="宋体" w:hAnsi="宋体" w:eastAsia="宋体" w:cs="宋体"/>
          <w:color w:val="000000" w:themeColor="text1"/>
          <w:highlight w:val="none"/>
          <w:u w:val="singl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xml:space="preserve">甲方(采购单位)： </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，电话：</w:t>
      </w:r>
      <w:r>
        <w:rPr>
          <w:rFonts w:hint="eastAsia" w:ascii="宋体" w:hAnsi="宋体" w:eastAsia="宋体" w:cs="宋体"/>
          <w:color w:val="000000" w:themeColor="text1"/>
          <w:highlight w:val="none"/>
          <w:u w:val="single"/>
          <w14:textFill>
            <w14:solidFill>
              <w14:schemeClr w14:val="tx1"/>
            </w14:solidFill>
          </w14:textFill>
        </w:rPr>
        <w:t xml:space="preserve">                </w:t>
      </w:r>
    </w:p>
    <w:p w14:paraId="66BF1B3C">
      <w:pPr>
        <w:pStyle w:val="49"/>
        <w:widowControl/>
        <w:spacing w:line="480" w:lineRule="atLeast"/>
        <w:ind w:firstLine="480" w:firstLineChars="200"/>
        <w:jc w:val="both"/>
        <w:rPr>
          <w:rFonts w:hint="eastAsia" w:ascii="宋体" w:hAnsi="宋体" w:eastAsia="宋体" w:cs="宋体"/>
          <w:color w:val="000000" w:themeColor="text1"/>
          <w:highlight w:val="none"/>
          <w:u w:val="singl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乙方(供货单位)：</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 xml:space="preserve"> ，电话：</w:t>
      </w:r>
      <w:r>
        <w:rPr>
          <w:rFonts w:hint="eastAsia" w:ascii="宋体" w:hAnsi="宋体" w:eastAsia="宋体" w:cs="宋体"/>
          <w:color w:val="000000" w:themeColor="text1"/>
          <w:highlight w:val="none"/>
          <w:u w:val="single"/>
          <w14:textFill>
            <w14:solidFill>
              <w14:schemeClr w14:val="tx1"/>
            </w14:solidFill>
          </w14:textFill>
        </w:rPr>
        <w:t xml:space="preserve">                </w:t>
      </w:r>
    </w:p>
    <w:p w14:paraId="01B10144">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根据《中华人民共和国</w:t>
      </w:r>
      <w:r>
        <w:rPr>
          <w:rFonts w:hint="eastAsia" w:ascii="宋体" w:hAnsi="宋体" w:eastAsia="宋体" w:cs="宋体"/>
          <w:color w:val="000000" w:themeColor="text1"/>
          <w:sz w:val="24"/>
          <w:szCs w:val="24"/>
          <w:highlight w:val="none"/>
          <w:lang w:val="en-US"/>
          <w14:textFill>
            <w14:solidFill>
              <w14:schemeClr w14:val="tx1"/>
            </w14:solidFill>
          </w14:textFill>
        </w:rPr>
        <w:t>民法典</w:t>
      </w:r>
      <w:r>
        <w:rPr>
          <w:rFonts w:hint="eastAsia" w:ascii="宋体" w:hAnsi="宋体" w:eastAsia="宋体" w:cs="宋体"/>
          <w:color w:val="000000" w:themeColor="text1"/>
          <w:sz w:val="24"/>
          <w:szCs w:val="24"/>
          <w:highlight w:val="none"/>
          <w14:textFill>
            <w14:solidFill>
              <w14:schemeClr w14:val="tx1"/>
            </w14:solidFill>
          </w14:textFill>
        </w:rPr>
        <w:t>》、参照《中华人民共和国政府采购法》等法律法规的</w:t>
      </w:r>
      <w:r>
        <w:rPr>
          <w:rFonts w:hint="eastAsia" w:ascii="宋体" w:hAnsi="宋体" w:eastAsia="宋体" w:cs="宋体"/>
          <w:color w:val="000000" w:themeColor="text1"/>
          <w:sz w:val="24"/>
          <w:szCs w:val="24"/>
          <w:highlight w:val="none"/>
          <w:lang w:val="en-US"/>
          <w14:textFill>
            <w14:solidFill>
              <w14:schemeClr w14:val="tx1"/>
            </w14:solidFill>
          </w14:textFill>
        </w:rPr>
        <w:t>相关</w:t>
      </w:r>
      <w:r>
        <w:rPr>
          <w:rFonts w:hint="eastAsia" w:ascii="宋体" w:hAnsi="宋体" w:eastAsia="宋体" w:cs="宋体"/>
          <w:color w:val="000000" w:themeColor="text1"/>
          <w:sz w:val="24"/>
          <w:szCs w:val="24"/>
          <w:highlight w:val="none"/>
          <w14:textFill>
            <w14:solidFill>
              <w14:schemeClr w14:val="tx1"/>
            </w14:solidFill>
          </w14:textFill>
        </w:rPr>
        <w:t>规定，在</w:t>
      </w:r>
      <w:r>
        <w:rPr>
          <w:rFonts w:hint="eastAsia" w:ascii="宋体" w:hAnsi="宋体" w:eastAsia="宋体" w:cs="宋体"/>
          <w:color w:val="000000" w:themeColor="text1"/>
          <w:sz w:val="24"/>
          <w:szCs w:val="24"/>
          <w:highlight w:val="none"/>
          <w:u w:val="singl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招标办</w:t>
      </w:r>
      <w:r>
        <w:rPr>
          <w:rFonts w:hint="eastAsia" w:ascii="宋体" w:hAnsi="宋体" w:eastAsia="宋体" w:cs="宋体"/>
          <w:color w:val="000000" w:themeColor="text1"/>
          <w:sz w:val="24"/>
          <w:szCs w:val="24"/>
          <w:highlight w:val="none"/>
          <w:lang w:val="en-US"/>
          <w14:textFill>
            <w14:solidFill>
              <w14:schemeClr w14:val="tx1"/>
            </w14:solidFill>
          </w14:textFill>
        </w:rPr>
        <w:t>的</w:t>
      </w:r>
      <w:r>
        <w:rPr>
          <w:rFonts w:hint="eastAsia" w:ascii="宋体" w:hAnsi="宋体" w:eastAsia="宋体" w:cs="宋体"/>
          <w:color w:val="000000" w:themeColor="text1"/>
          <w:sz w:val="24"/>
          <w:szCs w:val="24"/>
          <w:highlight w:val="none"/>
          <w14:textFill>
            <w14:solidFill>
              <w14:schemeClr w14:val="tx1"/>
            </w14:solidFill>
          </w14:textFill>
        </w:rPr>
        <w:t>监督管理下，甲方按照采购程序进行</w:t>
      </w:r>
      <w:r>
        <w:rPr>
          <w:rFonts w:hint="eastAsia" w:ascii="宋体" w:hAnsi="宋体" w:eastAsia="宋体" w:cs="宋体"/>
          <w:color w:val="000000" w:themeColor="text1"/>
          <w:sz w:val="24"/>
          <w:szCs w:val="24"/>
          <w:highlight w:val="none"/>
          <w:lang w:val="en-US"/>
          <w14:textFill>
            <w14:solidFill>
              <w14:schemeClr w14:val="tx1"/>
            </w14:solidFill>
          </w14:textFill>
        </w:rPr>
        <w:t>招标</w:t>
      </w:r>
      <w:r>
        <w:rPr>
          <w:rFonts w:hint="eastAsia" w:ascii="宋体" w:hAnsi="宋体" w:eastAsia="宋体" w:cs="宋体"/>
          <w:color w:val="000000" w:themeColor="text1"/>
          <w:sz w:val="24"/>
          <w:szCs w:val="24"/>
          <w:highlight w:val="none"/>
          <w14:textFill>
            <w14:solidFill>
              <w14:schemeClr w14:val="tx1"/>
            </w14:solidFill>
          </w14:textFill>
        </w:rPr>
        <w:t>，确定乙方为</w:t>
      </w:r>
      <w:r>
        <w:rPr>
          <w:rFonts w:hint="eastAsia" w:ascii="宋体" w:hAnsi="宋体" w:eastAsia="宋体" w:cs="宋体"/>
          <w:color w:val="000000" w:themeColor="text1"/>
          <w:sz w:val="24"/>
          <w:szCs w:val="24"/>
          <w:highlight w:val="none"/>
          <w:lang w:val="en-US"/>
          <w14:textFill>
            <w14:solidFill>
              <w14:schemeClr w14:val="tx1"/>
            </w14:solidFill>
          </w14:textFill>
        </w:rPr>
        <w:t>中标人</w:t>
      </w:r>
      <w:r>
        <w:rPr>
          <w:rFonts w:hint="eastAsia" w:ascii="宋体" w:hAnsi="宋体" w:eastAsia="宋体" w:cs="宋体"/>
          <w:color w:val="000000" w:themeColor="text1"/>
          <w:sz w:val="24"/>
          <w:szCs w:val="24"/>
          <w:highlight w:val="none"/>
          <w14:textFill>
            <w14:solidFill>
              <w14:schemeClr w14:val="tx1"/>
            </w14:solidFill>
          </w14:textFill>
        </w:rPr>
        <w:t>。</w:t>
      </w:r>
    </w:p>
    <w:p w14:paraId="287483DD">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甲乙双方根据</w:t>
      </w:r>
      <w:r>
        <w:rPr>
          <w:rFonts w:hint="eastAsia" w:ascii="宋体" w:hAnsi="宋体" w:eastAsia="宋体" w:cs="宋体"/>
          <w:color w:val="000000" w:themeColor="text1"/>
          <w:sz w:val="24"/>
          <w:szCs w:val="24"/>
          <w:highlight w:val="none"/>
          <w:u w:val="singl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w:t>
      </w:r>
      <w:r>
        <w:rPr>
          <w:rFonts w:hint="eastAsia" w:ascii="宋体" w:hAnsi="宋体" w:eastAsia="宋体" w:cs="宋体"/>
          <w:color w:val="000000" w:themeColor="text1"/>
          <w:sz w:val="24"/>
          <w:szCs w:val="24"/>
          <w:highlight w:val="non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14:textFill>
            <w14:solidFill>
              <w14:schemeClr w14:val="tx1"/>
            </w14:solidFill>
          </w14:textFill>
        </w:rPr>
        <w:t xml:space="preserve"> （项目名称） （项目编号）      </w:t>
      </w:r>
      <w:r>
        <w:rPr>
          <w:rFonts w:hint="eastAsia" w:ascii="宋体" w:hAnsi="宋体" w:eastAsia="宋体" w:cs="宋体"/>
          <w:color w:val="000000" w:themeColor="text1"/>
          <w:sz w:val="24"/>
          <w:szCs w:val="24"/>
          <w:highlight w:val="none"/>
          <w14:textFill>
            <w14:solidFill>
              <w14:schemeClr w14:val="tx1"/>
            </w14:solidFill>
          </w14:textFill>
        </w:rPr>
        <w:t>项目评审结果及相关</w:t>
      </w:r>
      <w:r>
        <w:rPr>
          <w:rFonts w:hint="eastAsia" w:ascii="宋体" w:hAnsi="宋体" w:eastAsia="宋体" w:cs="宋体"/>
          <w:color w:val="000000" w:themeColor="text1"/>
          <w:sz w:val="24"/>
          <w:szCs w:val="24"/>
          <w:highlight w:val="none"/>
          <w:lang w:val="en-US"/>
          <w14:textFill>
            <w14:solidFill>
              <w14:schemeClr w14:val="tx1"/>
            </w14:solidFill>
          </w14:textFill>
        </w:rPr>
        <w:t>招标、投标</w:t>
      </w:r>
      <w:r>
        <w:rPr>
          <w:rFonts w:hint="eastAsia" w:ascii="宋体" w:hAnsi="宋体" w:eastAsia="宋体" w:cs="宋体"/>
          <w:color w:val="000000" w:themeColor="text1"/>
          <w:sz w:val="24"/>
          <w:szCs w:val="24"/>
          <w:highlight w:val="none"/>
          <w14:textFill>
            <w14:solidFill>
              <w14:schemeClr w14:val="tx1"/>
            </w14:solidFill>
          </w14:textFill>
        </w:rPr>
        <w:t>文件，经</w:t>
      </w:r>
      <w:r>
        <w:rPr>
          <w:rFonts w:hint="eastAsia" w:ascii="宋体" w:hAnsi="宋体" w:eastAsia="宋体" w:cs="宋体"/>
          <w:color w:val="000000" w:themeColor="text1"/>
          <w:sz w:val="24"/>
          <w:szCs w:val="24"/>
          <w:highlight w:val="none"/>
          <w:lang w:val="en-US"/>
          <w14:textFill>
            <w14:solidFill>
              <w14:schemeClr w14:val="tx1"/>
            </w14:solidFill>
          </w14:textFill>
        </w:rPr>
        <w:t>友好</w:t>
      </w:r>
      <w:r>
        <w:rPr>
          <w:rFonts w:hint="eastAsia" w:ascii="宋体" w:hAnsi="宋体" w:eastAsia="宋体" w:cs="宋体"/>
          <w:color w:val="000000" w:themeColor="text1"/>
          <w:sz w:val="24"/>
          <w:szCs w:val="24"/>
          <w:highlight w:val="none"/>
          <w14:textFill>
            <w14:solidFill>
              <w14:schemeClr w14:val="tx1"/>
            </w14:solidFill>
          </w14:textFill>
        </w:rPr>
        <w:t>协商一致，</w:t>
      </w:r>
      <w:r>
        <w:rPr>
          <w:rFonts w:hint="eastAsia" w:ascii="宋体" w:hAnsi="宋体" w:eastAsia="宋体" w:cs="宋体"/>
          <w:color w:val="000000" w:themeColor="text1"/>
          <w:sz w:val="24"/>
          <w:szCs w:val="24"/>
          <w:highlight w:val="none"/>
          <w:lang w:val="en-US"/>
          <w14:textFill>
            <w14:solidFill>
              <w14:schemeClr w14:val="tx1"/>
            </w14:solidFill>
          </w14:textFill>
        </w:rPr>
        <w:t>在平等、自愿的基础上，</w:t>
      </w:r>
      <w:r>
        <w:rPr>
          <w:rFonts w:hint="eastAsia" w:ascii="宋体" w:hAnsi="宋体" w:eastAsia="宋体" w:cs="宋体"/>
          <w:color w:val="000000" w:themeColor="text1"/>
          <w:sz w:val="24"/>
          <w:szCs w:val="24"/>
          <w:highlight w:val="none"/>
          <w14:textFill>
            <w14:solidFill>
              <w14:schemeClr w14:val="tx1"/>
            </w14:solidFill>
          </w14:textFill>
        </w:rPr>
        <w:t>订立本合同，供双方共同遵守：</w:t>
      </w:r>
    </w:p>
    <w:p w14:paraId="386EB4CE">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第</w:t>
      </w:r>
      <w:r>
        <w:rPr>
          <w:rFonts w:hint="eastAsia" w:ascii="宋体" w:hAnsi="宋体" w:eastAsia="宋体" w:cs="宋体"/>
          <w:color w:val="000000" w:themeColor="text1"/>
          <w:sz w:val="24"/>
          <w:szCs w:val="24"/>
          <w:highlight w:val="none"/>
          <w:lang w:val="en-US"/>
          <w14:textFill>
            <w14:solidFill>
              <w14:schemeClr w14:val="tx1"/>
            </w14:solidFill>
          </w14:textFill>
        </w:rPr>
        <w:t>一</w:t>
      </w:r>
      <w:r>
        <w:rPr>
          <w:rFonts w:hint="eastAsia" w:ascii="宋体" w:hAnsi="宋体" w:eastAsia="宋体" w:cs="宋体"/>
          <w:color w:val="000000" w:themeColor="text1"/>
          <w:sz w:val="24"/>
          <w:szCs w:val="24"/>
          <w:highlight w:val="none"/>
          <w14:textFill>
            <w14:solidFill>
              <w14:schemeClr w14:val="tx1"/>
            </w14:solidFill>
          </w14:textFill>
        </w:rPr>
        <w:t>条</w:t>
      </w:r>
      <w:r>
        <w:rPr>
          <w:rFonts w:hint="eastAsia" w:ascii="宋体" w:hAnsi="宋体" w:eastAsia="宋体" w:cs="宋体"/>
          <w:color w:val="000000" w:themeColor="text1"/>
          <w:sz w:val="24"/>
          <w:szCs w:val="24"/>
          <w:highlight w:val="non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组成本合同的有关文件：</w:t>
      </w:r>
    </w:p>
    <w:p w14:paraId="2A9889B9">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本采购服务项目</w:t>
      </w:r>
      <w:r>
        <w:rPr>
          <w:rFonts w:hint="eastAsia" w:ascii="宋体" w:hAnsi="宋体" w:eastAsia="宋体" w:cs="宋体"/>
          <w:color w:val="000000" w:themeColor="text1"/>
          <w:sz w:val="24"/>
          <w:szCs w:val="24"/>
          <w:highlight w:val="none"/>
          <w:lang w:val="en-US" w:eastAsia="zh-CN"/>
          <w14:textFill>
            <w14:solidFill>
              <w14:schemeClr w14:val="tx1"/>
            </w14:solidFill>
          </w14:textFill>
        </w:rPr>
        <w:t>采购文件</w:t>
      </w:r>
      <w:r>
        <w:rPr>
          <w:rFonts w:hint="eastAsia" w:ascii="宋体" w:hAnsi="宋体" w:eastAsia="宋体" w:cs="宋体"/>
          <w:color w:val="000000" w:themeColor="text1"/>
          <w:sz w:val="24"/>
          <w:szCs w:val="24"/>
          <w:highlight w:val="none"/>
          <w:lang w:val="en-US"/>
          <w14:textFill>
            <w14:solidFill>
              <w14:schemeClr w14:val="tx1"/>
            </w14:solidFill>
          </w14:textFill>
        </w:rPr>
        <w:t>及投标</w:t>
      </w:r>
      <w:r>
        <w:rPr>
          <w:rFonts w:hint="eastAsia" w:ascii="宋体" w:hAnsi="宋体" w:eastAsia="宋体" w:cs="宋体"/>
          <w:color w:val="000000" w:themeColor="text1"/>
          <w:sz w:val="24"/>
          <w:szCs w:val="24"/>
          <w:highlight w:val="none"/>
          <w14:textFill>
            <w14:solidFill>
              <w14:schemeClr w14:val="tx1"/>
            </w14:solidFill>
          </w14:textFill>
        </w:rPr>
        <w:t>文件，属于本合同的相关文件，与本合同具有同等法律效力，</w:t>
      </w:r>
      <w:r>
        <w:rPr>
          <w:rFonts w:hint="eastAsia" w:ascii="宋体" w:hAnsi="宋体" w:eastAsia="宋体" w:cs="宋体"/>
          <w:color w:val="000000" w:themeColor="text1"/>
          <w:sz w:val="24"/>
          <w:szCs w:val="24"/>
          <w:highlight w:val="none"/>
          <w:lang w:val="en-US"/>
          <w14:textFill>
            <w14:solidFill>
              <w14:schemeClr w14:val="tx1"/>
            </w14:solidFill>
          </w14:textFill>
        </w:rPr>
        <w:t>包括但不限于：1、</w:t>
      </w:r>
      <w:r>
        <w:rPr>
          <w:rFonts w:hint="eastAsia" w:ascii="宋体" w:hAnsi="宋体" w:eastAsia="宋体" w:cs="宋体"/>
          <w:color w:val="000000" w:themeColor="text1"/>
          <w:sz w:val="24"/>
          <w:szCs w:val="24"/>
          <w:highlight w:val="none"/>
          <w:lang w:val="en-US" w:eastAsia="zh-CN"/>
          <w14:textFill>
            <w14:solidFill>
              <w14:schemeClr w14:val="tx1"/>
            </w14:solidFill>
          </w14:textFill>
        </w:rPr>
        <w:t>招标文件</w:t>
      </w:r>
      <w:r>
        <w:rPr>
          <w:rFonts w:hint="eastAsia" w:ascii="宋体" w:hAnsi="宋体" w:eastAsia="宋体" w:cs="宋体"/>
          <w:color w:val="000000" w:themeColor="text1"/>
          <w:sz w:val="24"/>
          <w:szCs w:val="24"/>
          <w:highlight w:val="none"/>
          <w:lang w:val="en-US"/>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乙方提供的</w:t>
      </w:r>
      <w:r>
        <w:rPr>
          <w:rFonts w:hint="eastAsia" w:ascii="宋体" w:hAnsi="宋体" w:eastAsia="宋体" w:cs="宋体"/>
          <w:color w:val="000000" w:themeColor="text1"/>
          <w:sz w:val="24"/>
          <w:szCs w:val="24"/>
          <w:highlight w:val="none"/>
          <w:lang w:val="en-US"/>
          <w14:textFill>
            <w14:solidFill>
              <w14:schemeClr w14:val="tx1"/>
            </w14:solidFill>
          </w14:textFill>
        </w:rPr>
        <w:t>投标</w:t>
      </w:r>
      <w:r>
        <w:rPr>
          <w:rFonts w:hint="eastAsia" w:ascii="宋体" w:hAnsi="宋体" w:eastAsia="宋体" w:cs="宋体"/>
          <w:color w:val="000000" w:themeColor="text1"/>
          <w:sz w:val="24"/>
          <w:szCs w:val="24"/>
          <w:highlight w:val="none"/>
          <w14:textFill>
            <w14:solidFill>
              <w14:schemeClr w14:val="tx1"/>
            </w14:solidFill>
          </w14:textFill>
        </w:rPr>
        <w:t>文件和</w:t>
      </w:r>
      <w:r>
        <w:rPr>
          <w:rFonts w:hint="eastAsia" w:ascii="宋体" w:hAnsi="宋体" w:eastAsia="宋体" w:cs="宋体"/>
          <w:color w:val="000000" w:themeColor="text1"/>
          <w:sz w:val="24"/>
          <w:szCs w:val="24"/>
          <w:highlight w:val="none"/>
          <w:lang w:val="en-US"/>
          <w14:textFill>
            <w14:solidFill>
              <w14:schemeClr w14:val="tx1"/>
            </w14:solidFill>
          </w14:textFill>
        </w:rPr>
        <w:t>投标函</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14:textFill>
            <w14:solidFill>
              <w14:schemeClr w14:val="tx1"/>
            </w14:solidFill>
          </w14:textFill>
        </w:rPr>
        <w:t>3、乙方提供的书面承诺；4、中标通知书，5、</w:t>
      </w:r>
      <w:r>
        <w:rPr>
          <w:rFonts w:hint="eastAsia" w:ascii="宋体" w:hAnsi="宋体" w:eastAsia="宋体" w:cs="宋体"/>
          <w:color w:val="000000" w:themeColor="text1"/>
          <w:sz w:val="24"/>
          <w:szCs w:val="24"/>
          <w:highlight w:val="none"/>
          <w14:textFill>
            <w14:solidFill>
              <w14:schemeClr w14:val="tx1"/>
            </w14:solidFill>
          </w14:textFill>
        </w:rPr>
        <w:t>甲乙双方商定的其他文件。</w:t>
      </w:r>
    </w:p>
    <w:p w14:paraId="1AE7A648">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w:t>
      </w:r>
      <w:r>
        <w:rPr>
          <w:rFonts w:hint="eastAsia" w:ascii="宋体" w:hAnsi="宋体" w:eastAsia="宋体" w:cs="宋体"/>
          <w:color w:val="000000" w:themeColor="text1"/>
          <w:sz w:val="24"/>
          <w:szCs w:val="24"/>
          <w:highlight w:val="none"/>
          <w:lang w:val="en-US"/>
          <w14:textFill>
            <w14:solidFill>
              <w14:schemeClr w14:val="tx1"/>
            </w14:solidFill>
          </w14:textFill>
        </w:rPr>
        <w:t>二</w:t>
      </w:r>
      <w:r>
        <w:rPr>
          <w:rFonts w:hint="eastAsia" w:ascii="宋体" w:hAnsi="宋体" w:eastAsia="宋体" w:cs="宋体"/>
          <w:color w:val="000000" w:themeColor="text1"/>
          <w:sz w:val="24"/>
          <w:szCs w:val="24"/>
          <w:highlight w:val="none"/>
          <w14:textFill>
            <w14:solidFill>
              <w14:schemeClr w14:val="tx1"/>
            </w14:solidFill>
          </w14:textFill>
        </w:rPr>
        <w:t>条</w:t>
      </w:r>
      <w:r>
        <w:rPr>
          <w:rFonts w:hint="eastAsia" w:ascii="宋体" w:hAnsi="宋体" w:eastAsia="宋体" w:cs="宋体"/>
          <w:color w:val="000000" w:themeColor="text1"/>
          <w:sz w:val="24"/>
          <w:szCs w:val="24"/>
          <w:highlight w:val="non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甲方采购的物品内容和成交价格：(金额单位：人民币元)</w:t>
      </w:r>
    </w:p>
    <w:p w14:paraId="2D9C3A55">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物品名称规格型号质量标准数量成交价格(元)</w:t>
      </w:r>
    </w:p>
    <w:tbl>
      <w:tblPr>
        <w:tblStyle w:val="2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4"/>
        <w:gridCol w:w="1704"/>
        <w:gridCol w:w="1704"/>
        <w:gridCol w:w="1705"/>
        <w:gridCol w:w="1705"/>
      </w:tblGrid>
      <w:tr w14:paraId="6CDEA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04" w:type="dxa"/>
            <w:noWrap w:val="0"/>
            <w:vAlign w:val="top"/>
          </w:tcPr>
          <w:p w14:paraId="4EE7B710">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tc>
        <w:tc>
          <w:tcPr>
            <w:tcW w:w="1704" w:type="dxa"/>
            <w:noWrap w:val="0"/>
            <w:vAlign w:val="top"/>
          </w:tcPr>
          <w:p w14:paraId="05524E93">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tc>
        <w:tc>
          <w:tcPr>
            <w:tcW w:w="1704" w:type="dxa"/>
            <w:noWrap w:val="0"/>
            <w:vAlign w:val="top"/>
          </w:tcPr>
          <w:p w14:paraId="40D6666A">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tc>
        <w:tc>
          <w:tcPr>
            <w:tcW w:w="1705" w:type="dxa"/>
            <w:noWrap w:val="0"/>
            <w:vAlign w:val="top"/>
          </w:tcPr>
          <w:p w14:paraId="37DDBCA2">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tc>
        <w:tc>
          <w:tcPr>
            <w:tcW w:w="1705" w:type="dxa"/>
            <w:noWrap w:val="0"/>
            <w:vAlign w:val="top"/>
          </w:tcPr>
          <w:p w14:paraId="5BACAA66">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tc>
      </w:tr>
      <w:tr w14:paraId="594C0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04" w:type="dxa"/>
            <w:noWrap w:val="0"/>
            <w:vAlign w:val="top"/>
          </w:tcPr>
          <w:p w14:paraId="62D487B1">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tc>
        <w:tc>
          <w:tcPr>
            <w:tcW w:w="1704" w:type="dxa"/>
            <w:noWrap w:val="0"/>
            <w:vAlign w:val="top"/>
          </w:tcPr>
          <w:p w14:paraId="35C30518">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tc>
        <w:tc>
          <w:tcPr>
            <w:tcW w:w="1704" w:type="dxa"/>
            <w:noWrap w:val="0"/>
            <w:vAlign w:val="top"/>
          </w:tcPr>
          <w:p w14:paraId="45A506BF">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tc>
        <w:tc>
          <w:tcPr>
            <w:tcW w:w="1705" w:type="dxa"/>
            <w:noWrap w:val="0"/>
            <w:vAlign w:val="top"/>
          </w:tcPr>
          <w:p w14:paraId="4243190A">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tc>
        <w:tc>
          <w:tcPr>
            <w:tcW w:w="1705" w:type="dxa"/>
            <w:noWrap w:val="0"/>
            <w:vAlign w:val="top"/>
          </w:tcPr>
          <w:p w14:paraId="4EE16234">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tc>
      </w:tr>
    </w:tbl>
    <w:p w14:paraId="477230D3">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2、合同总金额：</w:t>
      </w:r>
      <w:r>
        <w:rPr>
          <w:rFonts w:hint="eastAsia" w:ascii="宋体" w:hAnsi="宋体" w:eastAsia="宋体" w:cs="宋体"/>
          <w:color w:val="000000" w:themeColor="text1"/>
          <w:sz w:val="24"/>
          <w:szCs w:val="24"/>
          <w:highlight w:val="none"/>
          <w14:textFill>
            <w14:solidFill>
              <w14:schemeClr w14:val="tx1"/>
            </w14:solidFill>
          </w14:textFill>
        </w:rPr>
        <w:t>(大写)￥</w:t>
      </w:r>
    </w:p>
    <w:p w14:paraId="76C07A55">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本合同价格已含税费、检验试验、包装、装车、运输、</w:t>
      </w:r>
      <w:r>
        <w:rPr>
          <w:rFonts w:hint="eastAsia" w:ascii="宋体" w:hAnsi="宋体" w:eastAsia="宋体" w:cs="宋体"/>
          <w:color w:val="000000" w:themeColor="text1"/>
          <w:sz w:val="24"/>
          <w:szCs w:val="24"/>
          <w:highlight w:val="none"/>
          <w:lang w:val="en-US" w:eastAsia="zh-CN"/>
          <w14:textFill>
            <w14:solidFill>
              <w14:schemeClr w14:val="tx1"/>
            </w14:solidFill>
          </w14:textFill>
        </w:rPr>
        <w:t>安装、调试、</w:t>
      </w:r>
      <w:r>
        <w:rPr>
          <w:rFonts w:hint="eastAsia" w:ascii="宋体" w:hAnsi="宋体" w:eastAsia="宋体" w:cs="宋体"/>
          <w:color w:val="000000" w:themeColor="text1"/>
          <w:sz w:val="24"/>
          <w:szCs w:val="24"/>
          <w:highlight w:val="none"/>
          <w14:textFill>
            <w14:solidFill>
              <w14:schemeClr w14:val="tx1"/>
            </w14:solidFill>
          </w14:textFill>
        </w:rPr>
        <w:t>保险以及考虑除不可抗力外的其他任何风险而增加的所有费用。</w:t>
      </w:r>
    </w:p>
    <w:p w14:paraId="7CF4E4AD">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免费配送物品：</w:t>
      </w:r>
    </w:p>
    <w:p w14:paraId="08D4B74B">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甲方不再另付任何费用。</w:t>
      </w:r>
    </w:p>
    <w:p w14:paraId="01F6E16A">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w:t>
      </w:r>
      <w:r>
        <w:rPr>
          <w:rFonts w:hint="eastAsia" w:ascii="宋体" w:hAnsi="宋体" w:eastAsia="宋体" w:cs="宋体"/>
          <w:color w:val="000000" w:themeColor="text1"/>
          <w:sz w:val="24"/>
          <w:szCs w:val="24"/>
          <w:highlight w:val="none"/>
          <w:lang w:val="en-US"/>
          <w14:textFill>
            <w14:solidFill>
              <w14:schemeClr w14:val="tx1"/>
            </w14:solidFill>
          </w14:textFill>
        </w:rPr>
        <w:t>三</w:t>
      </w:r>
      <w:r>
        <w:rPr>
          <w:rFonts w:hint="eastAsia" w:ascii="宋体" w:hAnsi="宋体" w:eastAsia="宋体" w:cs="宋体"/>
          <w:color w:val="000000" w:themeColor="text1"/>
          <w:sz w:val="24"/>
          <w:szCs w:val="24"/>
          <w:highlight w:val="none"/>
          <w14:textFill>
            <w14:solidFill>
              <w14:schemeClr w14:val="tx1"/>
            </w14:solidFill>
          </w14:textFill>
        </w:rPr>
        <w:t>条</w:t>
      </w:r>
      <w:r>
        <w:rPr>
          <w:rFonts w:hint="eastAsia" w:ascii="宋体" w:hAnsi="宋体" w:eastAsia="宋体" w:cs="宋体"/>
          <w:color w:val="000000" w:themeColor="text1"/>
          <w:sz w:val="24"/>
          <w:szCs w:val="24"/>
          <w:highlight w:val="non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物品的质量技术标准、乙方售后服务及损害赔偿</w:t>
      </w:r>
    </w:p>
    <w:p w14:paraId="32E094E0">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1、物品的质量技术标准按国家法律法规规定的标准、</w:t>
      </w:r>
      <w:r>
        <w:rPr>
          <w:rFonts w:hint="eastAsia" w:ascii="宋体" w:hAnsi="宋体" w:eastAsia="宋体" w:cs="宋体"/>
          <w:color w:val="000000" w:themeColor="text1"/>
          <w:sz w:val="24"/>
          <w:szCs w:val="24"/>
          <w:highlight w:val="none"/>
          <w:lang w:eastAsia="zh-CN"/>
          <w14:textFill>
            <w14:solidFill>
              <w14:schemeClr w14:val="tx1"/>
            </w14:solidFill>
          </w14:textFill>
        </w:rPr>
        <w:t>采购文件</w:t>
      </w:r>
      <w:r>
        <w:rPr>
          <w:rFonts w:hint="eastAsia" w:ascii="宋体" w:hAnsi="宋体" w:eastAsia="宋体" w:cs="宋体"/>
          <w:color w:val="000000" w:themeColor="text1"/>
          <w:sz w:val="24"/>
          <w:szCs w:val="24"/>
          <w:highlight w:val="none"/>
          <w14:textFill>
            <w14:solidFill>
              <w14:schemeClr w14:val="tx1"/>
            </w14:solidFill>
          </w14:textFill>
        </w:rPr>
        <w:t>和乙方投标文件所要求的技术标准执行。</w:t>
      </w:r>
    </w:p>
    <w:p w14:paraId="7E9CA4C8">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2、乙方应按生产厂家的保修规定和投标文件说明的服务承诺做好保修等免费服务。</w:t>
      </w:r>
    </w:p>
    <w:p w14:paraId="4EB60677">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乙方售后服务响应时间：__________。否则，甲方可自行组织或委托第三方维修，费用由乙方承担，甲方可在货款和其他应付乙方的款项中扣除，乙方应付费用超过甲方未付货款的，乙方应当在甲方限期内付清全部费用，否则乙方应当按照合同总额的1%向甲方支付违约金。</w:t>
      </w:r>
    </w:p>
    <w:p w14:paraId="734FB682">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4、如因乙方物品质量原因，导致甲方损失，乙方应</w:t>
      </w:r>
      <w:r>
        <w:rPr>
          <w:rFonts w:hint="eastAsia" w:ascii="宋体" w:hAnsi="宋体" w:eastAsia="宋体" w:cs="宋体"/>
          <w:color w:val="000000" w:themeColor="text1"/>
          <w:sz w:val="24"/>
          <w:szCs w:val="24"/>
          <w:highlight w:val="none"/>
          <w:lang w:eastAsia="zh-CN"/>
          <w14:textFill>
            <w14:solidFill>
              <w14:schemeClr w14:val="tx1"/>
            </w14:solidFill>
          </w14:textFill>
        </w:rPr>
        <w:t>承担全部赔偿责任</w:t>
      </w:r>
      <w:r>
        <w:rPr>
          <w:rFonts w:hint="eastAsia" w:ascii="宋体" w:hAnsi="宋体" w:eastAsia="宋体" w:cs="宋体"/>
          <w:color w:val="000000" w:themeColor="text1"/>
          <w:sz w:val="24"/>
          <w:szCs w:val="24"/>
          <w:highlight w:val="none"/>
          <w14:textFill>
            <w14:solidFill>
              <w14:schemeClr w14:val="tx1"/>
            </w14:solidFill>
          </w14:textFill>
        </w:rPr>
        <w:t>。</w:t>
      </w:r>
    </w:p>
    <w:p w14:paraId="368AE120">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5、乙方应保证乙方在履行本合同义务时提供的货物或其任何一部分免受第三方侵犯其知识产权或合法权益的起诉，如因此引发争议或违法导致甲方受损的，乙方应赔偿甲方的一切损失。</w:t>
      </w:r>
    </w:p>
    <w:p w14:paraId="50E568B5">
      <w:pPr>
        <w:pStyle w:val="50"/>
        <w:tabs>
          <w:tab w:val="left" w:pos="8309"/>
        </w:tabs>
        <w:spacing w:line="480" w:lineRule="atLeast"/>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6、乙方及乙方人员在合同履行过程中造成自身、甲乙双方或第三方的一切人身、财产损害责任均由乙方承担并负责赔偿；如因此导致甲方被追偿或受损的，由乙方承担甲方遭受的全部损失。</w:t>
      </w:r>
    </w:p>
    <w:p w14:paraId="4471F71C">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w:t>
      </w:r>
      <w:r>
        <w:rPr>
          <w:rFonts w:hint="eastAsia" w:ascii="宋体" w:hAnsi="宋体" w:eastAsia="宋体" w:cs="宋体"/>
          <w:color w:val="000000" w:themeColor="text1"/>
          <w:sz w:val="24"/>
          <w:szCs w:val="24"/>
          <w:highlight w:val="none"/>
          <w:lang w:val="en-US"/>
          <w14:textFill>
            <w14:solidFill>
              <w14:schemeClr w14:val="tx1"/>
            </w14:solidFill>
          </w14:textFill>
        </w:rPr>
        <w:t>四</w:t>
      </w:r>
      <w:r>
        <w:rPr>
          <w:rFonts w:hint="eastAsia" w:ascii="宋体" w:hAnsi="宋体" w:eastAsia="宋体" w:cs="宋体"/>
          <w:color w:val="000000" w:themeColor="text1"/>
          <w:sz w:val="24"/>
          <w:szCs w:val="24"/>
          <w:highlight w:val="none"/>
          <w14:textFill>
            <w14:solidFill>
              <w14:schemeClr w14:val="tx1"/>
            </w14:solidFill>
          </w14:textFill>
        </w:rPr>
        <w:t>条</w:t>
      </w:r>
      <w:r>
        <w:rPr>
          <w:rFonts w:hint="eastAsia" w:ascii="宋体" w:hAnsi="宋体" w:eastAsia="宋体" w:cs="宋体"/>
          <w:color w:val="000000" w:themeColor="text1"/>
          <w:sz w:val="24"/>
          <w:szCs w:val="24"/>
          <w:highlight w:val="non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交付和验收</w:t>
      </w:r>
    </w:p>
    <w:p w14:paraId="5834FFF3">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1、交付时间：</w:t>
      </w:r>
      <w:r>
        <w:rPr>
          <w:rFonts w:hint="eastAsia" w:ascii="宋体" w:hAnsi="宋体" w:eastAsia="宋体" w:cs="宋体"/>
          <w:color w:val="000000" w:themeColor="text1"/>
          <w:sz w:val="24"/>
          <w:szCs w:val="24"/>
          <w:highlight w:val="none"/>
          <w:lang w:val="en-US" w:eastAsia="zh-CN"/>
          <w14:textFill>
            <w14:solidFill>
              <w14:schemeClr w14:val="tx1"/>
            </w14:solidFill>
          </w14:textFill>
        </w:rPr>
        <w:t>合同签订后15日历天内完成</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交付地点</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沙湾市</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26240A70">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2、乙方负责物品的运送、安装、调试等工作，</w:t>
      </w:r>
      <w:r>
        <w:rPr>
          <w:rFonts w:hint="eastAsia" w:ascii="宋体" w:hAnsi="宋体" w:eastAsia="宋体" w:cs="宋体"/>
          <w:color w:val="000000" w:themeColor="text1"/>
          <w:sz w:val="24"/>
          <w:szCs w:val="24"/>
          <w:highlight w:val="none"/>
          <w:lang w:val="en-US"/>
          <w14:textFill>
            <w14:solidFill>
              <w14:schemeClr w14:val="tx1"/>
            </w14:solidFill>
          </w14:textFill>
        </w:rPr>
        <w:t>确保</w:t>
      </w:r>
      <w:r>
        <w:rPr>
          <w:rFonts w:hint="eastAsia" w:ascii="宋体" w:hAnsi="宋体" w:eastAsia="宋体" w:cs="宋体"/>
          <w:color w:val="000000" w:themeColor="text1"/>
          <w:sz w:val="24"/>
          <w:szCs w:val="24"/>
          <w:highlight w:val="none"/>
          <w14:textFill>
            <w14:solidFill>
              <w14:schemeClr w14:val="tx1"/>
            </w14:solidFill>
          </w14:textFill>
        </w:rPr>
        <w:t>该物品可以正常使用为止;负责提供物品的使用说明等相关资料，并承担由此产生的全部费用。</w:t>
      </w:r>
    </w:p>
    <w:p w14:paraId="1BFCDC25">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3、验收时间：甲方必须于乙方提出验收申请后</w:t>
      </w:r>
      <w:r>
        <w:rPr>
          <w:rFonts w:hint="eastAsia" w:ascii="宋体" w:hAnsi="宋体" w:eastAsia="宋体" w:cs="宋体"/>
          <w:color w:val="000000" w:themeColor="text1"/>
          <w:sz w:val="24"/>
          <w:szCs w:val="24"/>
          <w:highlight w:val="none"/>
          <w:lang w:val="en-US"/>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个工作日内组织验收，甲方因正当理由或者不可抗力可以延期组织验收，但应通知乙方。甲方验收合格后应当出具</w:t>
      </w:r>
      <w:r>
        <w:rPr>
          <w:rFonts w:hint="eastAsia" w:ascii="宋体" w:hAnsi="宋体" w:eastAsia="宋体" w:cs="宋体"/>
          <w:color w:val="000000" w:themeColor="text1"/>
          <w:sz w:val="24"/>
          <w:szCs w:val="24"/>
          <w:highlight w:val="none"/>
          <w:lang w:val="en-US"/>
          <w14:textFill>
            <w14:solidFill>
              <w14:schemeClr w14:val="tx1"/>
            </w14:solidFill>
          </w14:textFill>
        </w:rPr>
        <w:t>相关</w:t>
      </w:r>
      <w:r>
        <w:rPr>
          <w:rFonts w:hint="eastAsia" w:ascii="宋体" w:hAnsi="宋体" w:eastAsia="宋体" w:cs="宋体"/>
          <w:color w:val="000000" w:themeColor="text1"/>
          <w:highlight w:val="none"/>
          <w14:textFill>
            <w14:solidFill>
              <w14:schemeClr w14:val="tx1"/>
            </w14:solidFill>
          </w14:textFill>
        </w:rPr>
        <w:fldChar w:fldCharType="begin"/>
      </w:r>
      <w:r>
        <w:rPr>
          <w:rFonts w:hint="eastAsia" w:ascii="宋体" w:hAnsi="宋体" w:eastAsia="宋体" w:cs="宋体"/>
          <w:color w:val="000000" w:themeColor="text1"/>
          <w:highlight w:val="none"/>
          <w14:textFill>
            <w14:solidFill>
              <w14:schemeClr w14:val="tx1"/>
            </w14:solidFill>
          </w14:textFill>
        </w:rPr>
        <w:instrText xml:space="preserve"> HYPERLINK "http://www.xuexila.com/fwn/reportyanshou/" \t "_blank" </w:instrText>
      </w:r>
      <w:r>
        <w:rPr>
          <w:rFonts w:hint="eastAsia" w:ascii="宋体" w:hAnsi="宋体" w:eastAsia="宋体" w:cs="宋体"/>
          <w:color w:val="000000" w:themeColor="text1"/>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验收</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lang w:val="en-US"/>
          <w14:textFill>
            <w14:solidFill>
              <w14:schemeClr w14:val="tx1"/>
            </w14:solidFill>
          </w14:textFill>
        </w:rPr>
        <w:t>手续</w:t>
      </w:r>
      <w:r>
        <w:rPr>
          <w:rFonts w:hint="eastAsia" w:ascii="宋体" w:hAnsi="宋体" w:eastAsia="宋体" w:cs="宋体"/>
          <w:color w:val="000000" w:themeColor="text1"/>
          <w:sz w:val="24"/>
          <w:szCs w:val="24"/>
          <w:highlight w:val="none"/>
          <w14:textFill>
            <w14:solidFill>
              <w14:schemeClr w14:val="tx1"/>
            </w14:solidFill>
          </w14:textFill>
        </w:rPr>
        <w:t>。</w:t>
      </w:r>
    </w:p>
    <w:p w14:paraId="4073477A">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4、验收标准：</w:t>
      </w:r>
    </w:p>
    <w:p w14:paraId="7C9CAFAD">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1)单证齐全：应有产品合格证(或质量证明)、使用说明、保修证明、发票和</w:t>
      </w:r>
      <w:r>
        <w:rPr>
          <w:rFonts w:hint="eastAsia" w:ascii="宋体" w:hAnsi="宋体" w:eastAsia="宋体" w:cs="宋体"/>
          <w:color w:val="000000" w:themeColor="text1"/>
          <w:highlight w:val="none"/>
          <w14:textFill>
            <w14:solidFill>
              <w14:schemeClr w14:val="tx1"/>
            </w14:solidFill>
          </w14:textFill>
        </w:rPr>
        <w:fldChar w:fldCharType="begin"/>
      </w:r>
      <w:r>
        <w:rPr>
          <w:rFonts w:hint="eastAsia" w:ascii="宋体" w:hAnsi="宋体" w:eastAsia="宋体" w:cs="宋体"/>
          <w:color w:val="000000" w:themeColor="text1"/>
          <w:highlight w:val="none"/>
          <w14:textFill>
            <w14:solidFill>
              <w14:schemeClr w14:val="tx1"/>
            </w14:solidFill>
          </w14:textFill>
        </w:rPr>
        <w:instrText xml:space="preserve"> HYPERLINK "http://www.xuexila.com/meng/xiaqita/" \t "_blank" </w:instrText>
      </w:r>
      <w:r>
        <w:rPr>
          <w:rFonts w:hint="eastAsia" w:ascii="宋体" w:hAnsi="宋体" w:eastAsia="宋体" w:cs="宋体"/>
          <w:color w:val="000000" w:themeColor="text1"/>
          <w:highlight w:val="none"/>
          <w14:textFill>
            <w14:solidFill>
              <w14:schemeClr w14:val="tx1"/>
            </w14:solidFill>
          </w14:textFill>
        </w:rPr>
        <w:fldChar w:fldCharType="separate"/>
      </w:r>
      <w:r>
        <w:rPr>
          <w:rFonts w:hint="eastAsia" w:ascii="宋体" w:hAnsi="宋体" w:eastAsia="宋体" w:cs="宋体"/>
          <w:color w:val="000000" w:themeColor="text1"/>
          <w:sz w:val="24"/>
          <w:szCs w:val="24"/>
          <w:highlight w:val="none"/>
          <w14:textFill>
            <w14:solidFill>
              <w14:schemeClr w14:val="tx1"/>
            </w14:solidFill>
          </w14:textFill>
        </w:rPr>
        <w:t>其它</w: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t>应具有的单证;</w:t>
      </w:r>
    </w:p>
    <w:p w14:paraId="63D19E69">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2)质量符合国家法律法规规定的标准、</w:t>
      </w:r>
      <w:r>
        <w:rPr>
          <w:rFonts w:hint="eastAsia" w:ascii="宋体" w:hAnsi="宋体" w:eastAsia="宋体" w:cs="宋体"/>
          <w:color w:val="000000" w:themeColor="text1"/>
          <w:sz w:val="24"/>
          <w:szCs w:val="24"/>
          <w:highlight w:val="none"/>
          <w:lang w:eastAsia="zh-CN"/>
          <w14:textFill>
            <w14:solidFill>
              <w14:schemeClr w14:val="tx1"/>
            </w14:solidFill>
          </w14:textFill>
        </w:rPr>
        <w:t>采购文件</w:t>
      </w:r>
      <w:r>
        <w:rPr>
          <w:rFonts w:hint="eastAsia" w:ascii="宋体" w:hAnsi="宋体" w:eastAsia="宋体" w:cs="宋体"/>
          <w:color w:val="000000" w:themeColor="text1"/>
          <w:sz w:val="24"/>
          <w:szCs w:val="24"/>
          <w:highlight w:val="none"/>
          <w14:textFill>
            <w14:solidFill>
              <w14:schemeClr w14:val="tx1"/>
            </w14:solidFill>
          </w14:textFill>
        </w:rPr>
        <w:t>和投标文件的要求（以较高者为准）。</w:t>
      </w:r>
    </w:p>
    <w:p w14:paraId="69D78B04">
      <w:pPr>
        <w:pStyle w:val="50"/>
        <w:tabs>
          <w:tab w:val="left" w:pos="8309"/>
        </w:tabs>
        <w:spacing w:line="480" w:lineRule="atLeast"/>
        <w:jc w:val="left"/>
        <w:rPr>
          <w:rFonts w:hint="eastAsia"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5、质保期：</w:t>
      </w:r>
      <w:r>
        <w:rPr>
          <w:rFonts w:hint="eastAsia" w:ascii="宋体" w:hAnsi="宋体" w:eastAsia="宋体" w:cs="宋体"/>
          <w:color w:val="000000" w:themeColor="text1"/>
          <w:sz w:val="24"/>
          <w:szCs w:val="24"/>
          <w:highlight w:val="none"/>
          <w:lang w:val="en-US"/>
          <w14:textFill>
            <w14:solidFill>
              <w14:schemeClr w14:val="tx1"/>
            </w14:solidFill>
          </w14:textFill>
        </w:rPr>
        <w:t>自验收合格之日起质保</w:t>
      </w:r>
      <w:r>
        <w:rPr>
          <w:rFonts w:hint="eastAsia" w:ascii="宋体" w:hAnsi="宋体" w:eastAsia="宋体" w:cs="宋体"/>
          <w:color w:val="000000" w:themeColor="text1"/>
          <w:sz w:val="24"/>
          <w:szCs w:val="24"/>
          <w:highlight w:val="none"/>
          <w:lang w:val="en-US" w:eastAsia="zh-CN"/>
          <w14:textFill>
            <w14:solidFill>
              <w14:schemeClr w14:val="tx1"/>
            </w14:solidFill>
          </w14:textFill>
        </w:rPr>
        <w:t>三</w:t>
      </w:r>
      <w:r>
        <w:rPr>
          <w:rFonts w:hint="eastAsia" w:ascii="宋体" w:hAnsi="宋体" w:eastAsia="宋体" w:cs="宋体"/>
          <w:color w:val="000000" w:themeColor="text1"/>
          <w:sz w:val="24"/>
          <w:szCs w:val="24"/>
          <w:highlight w:val="none"/>
          <w:lang w:val="en-US"/>
          <w14:textFill>
            <w14:solidFill>
              <w14:schemeClr w14:val="tx1"/>
            </w14:solidFill>
          </w14:textFill>
        </w:rPr>
        <w:t>年。</w:t>
      </w:r>
    </w:p>
    <w:p w14:paraId="25C41267">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第五条 付款方式　　</w:t>
      </w:r>
    </w:p>
    <w:p w14:paraId="74BF2828">
      <w:pPr>
        <w:pStyle w:val="50"/>
        <w:tabs>
          <w:tab w:val="left" w:pos="8309"/>
        </w:tabs>
        <w:spacing w:line="480" w:lineRule="atLeast"/>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1、本合同项下所有款均以人民币支付；</w:t>
      </w:r>
    </w:p>
    <w:p w14:paraId="4B629149">
      <w:pPr>
        <w:pStyle w:val="50"/>
        <w:tabs>
          <w:tab w:val="left" w:pos="8309"/>
        </w:tabs>
        <w:spacing w:line="480" w:lineRule="atLeast"/>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highlight w:val="none"/>
          <w:lang w:eastAsia="zh-CN"/>
          <w14:textFill>
            <w14:solidFill>
              <w14:schemeClr w14:val="tx1"/>
            </w14:solidFill>
          </w14:textFill>
        </w:rPr>
        <w:t>合同签订后预付合同价款的30%，待供货安装完毕并验收合格后支付合同价款的67%，剩余合同价款的3%为质保金，质保期满后一次性无息付清</w:t>
      </w:r>
      <w:r>
        <w:rPr>
          <w:rFonts w:hint="eastAsia" w:ascii="宋体" w:hAnsi="宋体" w:eastAsia="宋体" w:cs="宋体"/>
          <w:color w:val="000000" w:themeColor="text1"/>
          <w:sz w:val="24"/>
          <w:highlight w:val="none"/>
          <w14:textFill>
            <w14:solidFill>
              <w14:schemeClr w14:val="tx1"/>
            </w14:solidFill>
          </w14:textFill>
        </w:rPr>
        <w:t>。</w:t>
      </w:r>
    </w:p>
    <w:p w14:paraId="4369C314">
      <w:pPr>
        <w:pStyle w:val="50"/>
        <w:tabs>
          <w:tab w:val="left" w:pos="8309"/>
        </w:tabs>
        <w:spacing w:line="480" w:lineRule="atLeast"/>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3、乙方应当在甲方付款前开具并交付足额、符合甲方要求的增值税发票，否则甲方有权拒绝付款。</w:t>
      </w:r>
    </w:p>
    <w:p w14:paraId="10527E63">
      <w:pPr>
        <w:pStyle w:val="49"/>
        <w:widowControl/>
        <w:spacing w:line="480" w:lineRule="atLeast"/>
        <w:ind w:firstLine="480" w:firstLineChars="200"/>
        <w:jc w:val="both"/>
        <w:rPr>
          <w:rFonts w:hint="eastAsia" w:ascii="宋体" w:hAnsi="宋体" w:eastAsia="宋体" w:cs="宋体"/>
          <w:color w:val="000000" w:themeColor="text1"/>
          <w:highlight w:val="none"/>
          <w:u w:val="singl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第六条 乙方违约责任：</w:t>
      </w:r>
    </w:p>
    <w:p w14:paraId="5E259E39">
      <w:pPr>
        <w:pStyle w:val="50"/>
        <w:tabs>
          <w:tab w:val="left" w:pos="8309"/>
        </w:tabs>
        <w:spacing w:line="480" w:lineRule="atLeast"/>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1、乙方不能交货的，甲方不向乙方付款。乙方应向甲方偿付相当于不能交货部分货款的10%的违约金并且赔偿甲方一切损失;</w:t>
      </w:r>
    </w:p>
    <w:p w14:paraId="468FBBF5">
      <w:pPr>
        <w:pStyle w:val="50"/>
        <w:tabs>
          <w:tab w:val="left" w:pos="8309"/>
        </w:tabs>
        <w:spacing w:line="480" w:lineRule="atLeast"/>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2、乙方所交物品品种、数量、规格、质量不符合国家法律法规和合同规定的，由乙方负责在甲方限期内包修、包换或退货，并承担由此而支付的实际费用;</w:t>
      </w:r>
    </w:p>
    <w:p w14:paraId="17C2E7A7">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3、乙方逾期交货的，按逾期交货部分货款计算，向甲方偿付每日千分之五的违约金，并承担甲方因此所受的损失费用。</w:t>
      </w:r>
    </w:p>
    <w:p w14:paraId="5C1D703B">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4、乙方不按照本合同约定履行义务或者履行义务不符合合同约定的，除合同约定的责任外，甲方有权解除合同，乙方应当全额退还甲方已付费用</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同时</w:t>
      </w:r>
      <w:r>
        <w:rPr>
          <w:rFonts w:hint="eastAsia" w:ascii="宋体" w:hAnsi="宋体" w:eastAsia="宋体" w:cs="宋体"/>
          <w:color w:val="000000" w:themeColor="text1"/>
          <w:sz w:val="24"/>
          <w:szCs w:val="24"/>
          <w:highlight w:val="none"/>
          <w14:textFill>
            <w14:solidFill>
              <w14:schemeClr w14:val="tx1"/>
            </w14:solidFill>
          </w14:textFill>
        </w:rPr>
        <w:t>支付甲方合同总价款20%的违约金并且赔偿甲方全部损失。</w:t>
      </w:r>
    </w:p>
    <w:p w14:paraId="40C8352E">
      <w:pPr>
        <w:pStyle w:val="50"/>
        <w:tabs>
          <w:tab w:val="left" w:pos="8309"/>
        </w:tabs>
        <w:spacing w:line="480" w:lineRule="atLeast"/>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甲方不行使合同解除权的，乙方仍应按照上述条款的约定承担违约责任并且继续履行合同义务。</w:t>
      </w:r>
    </w:p>
    <w:p w14:paraId="42299AB7">
      <w:pPr>
        <w:pStyle w:val="50"/>
        <w:tabs>
          <w:tab w:val="left" w:pos="8309"/>
        </w:tabs>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本合同提及甲方“损失”，包括但不限于人身及财产损害、行政罚款等直接损失、预期利益损失及维权产生的公证费、调查取证费、交通费、律师费等。</w:t>
      </w:r>
    </w:p>
    <w:p w14:paraId="2FF0D2A5">
      <w:pPr>
        <w:pStyle w:val="56"/>
        <w:widowControl/>
        <w:spacing w:line="360" w:lineRule="auto"/>
        <w:ind w:firstLine="535" w:firstLineChars="223"/>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第七条 甲方的违约责任：</w:t>
      </w:r>
    </w:p>
    <w:p w14:paraId="4A47ACBA">
      <w:pPr>
        <w:pStyle w:val="49"/>
        <w:widowControl/>
        <w:spacing w:line="480" w:lineRule="atLeast"/>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1、甲方如因财政原因无法按期支付合同款的，应及时通知乙方，支付顺延，甲方不承担因此造成的逾期付款违约责任；</w:t>
      </w:r>
    </w:p>
    <w:p w14:paraId="724649F3">
      <w:pPr>
        <w:pStyle w:val="49"/>
        <w:widowControl/>
        <w:spacing w:line="480" w:lineRule="atLeast"/>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2、如因甲方自身原因逾期付款的，应按照每日千分之</w:t>
      </w:r>
      <w:r>
        <w:rPr>
          <w:rFonts w:hint="eastAsia" w:ascii="宋体" w:hAnsi="宋体" w:eastAsia="宋体" w:cs="宋体"/>
          <w:color w:val="000000" w:themeColor="text1"/>
          <w:highlight w:val="none"/>
          <w:lang w:eastAsia="zh-CN"/>
          <w14:textFill>
            <w14:solidFill>
              <w14:schemeClr w14:val="tx1"/>
            </w14:solidFill>
          </w14:textFill>
        </w:rPr>
        <w:t>一</w:t>
      </w:r>
      <w:r>
        <w:rPr>
          <w:rFonts w:hint="eastAsia" w:ascii="宋体" w:hAnsi="宋体" w:eastAsia="宋体" w:cs="宋体"/>
          <w:color w:val="000000" w:themeColor="text1"/>
          <w:highlight w:val="none"/>
          <w14:textFill>
            <w14:solidFill>
              <w14:schemeClr w14:val="tx1"/>
            </w14:solidFill>
          </w14:textFill>
        </w:rPr>
        <w:t>的比例向乙方偿付逾期付款的违约金，最高不超过合同总额的1%。</w:t>
      </w:r>
    </w:p>
    <w:p w14:paraId="47F1EB69">
      <w:pPr>
        <w:pStyle w:val="49"/>
        <w:widowControl/>
        <w:spacing w:line="480" w:lineRule="atLeast"/>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第八条 保密条款</w:t>
      </w:r>
    </w:p>
    <w:p w14:paraId="43E66789">
      <w:pPr>
        <w:pStyle w:val="49"/>
        <w:widowControl/>
        <w:spacing w:line="480" w:lineRule="atLeast"/>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1、本合同履行过程中双方获悉的对方的相关资料、信息等技术秘密和商业秘密，双方均应采取严格保密措施，不得泄露给任何第三方。</w:t>
      </w:r>
    </w:p>
    <w:p w14:paraId="54156A74">
      <w:pPr>
        <w:pStyle w:val="56"/>
        <w:widowControl/>
        <w:spacing w:line="360" w:lineRule="auto"/>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2、双方的保密义务期限为自本合同生效之日起至本合同终止后   年(由双方商定)。</w:t>
      </w:r>
    </w:p>
    <w:p w14:paraId="307E40E0">
      <w:pPr>
        <w:pStyle w:val="56"/>
        <w:widowControl/>
        <w:spacing w:line="360" w:lineRule="auto"/>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3、除非得到甲方的书面许可，乙方不得将本合同中的内容及在本合同执行过程中获得的甲方任何信息向任何第三方泄露。乙方的保密义务应在本协议期满、解除或终止后仍然有效。</w:t>
      </w:r>
    </w:p>
    <w:p w14:paraId="56E396E5">
      <w:pPr>
        <w:pStyle w:val="49"/>
        <w:widowControl/>
        <w:spacing w:line="480" w:lineRule="atLeast"/>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第九条 不可抗力</w:t>
      </w:r>
    </w:p>
    <w:p w14:paraId="1E6FB845">
      <w:pPr>
        <w:pStyle w:val="49"/>
        <w:widowControl/>
        <w:spacing w:line="480" w:lineRule="atLeast"/>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甲乙双方任何一方由于不可抗力原因不能履行合同时，应及时向对方通报不能履行或不能完全履行的理由，以减轻可能给对方造成的损失，在取得有关机构证明后，允许延期履行、部分履行或不履行合同，并根据情况可部分或全部免予承担违约责任。</w:t>
      </w:r>
    </w:p>
    <w:p w14:paraId="139DFE1E">
      <w:pPr>
        <w:pStyle w:val="49"/>
        <w:widowControl/>
        <w:numPr>
          <w:ilvl w:val="0"/>
          <w:numId w:val="8"/>
        </w:numPr>
        <w:spacing w:line="480" w:lineRule="atLeast"/>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争议的解决</w:t>
      </w:r>
    </w:p>
    <w:p w14:paraId="670DFC63">
      <w:pPr>
        <w:pStyle w:val="56"/>
        <w:widowControl/>
        <w:spacing w:line="360" w:lineRule="auto"/>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1、因货物的质量问题发生争议，由法律及有关规章规定的、双方共同认可的有相关资质的技术单位进行质量鉴定;</w:t>
      </w:r>
    </w:p>
    <w:p w14:paraId="6C7CC797">
      <w:pPr>
        <w:pStyle w:val="49"/>
        <w:widowControl/>
        <w:spacing w:line="480" w:lineRule="atLeast"/>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2、执行本合同发生纠纷，甲乙双方应当及时友好协商解决，协商不成的，任何一方均可向</w:t>
      </w:r>
      <w:r>
        <w:rPr>
          <w:rFonts w:hint="eastAsia" w:ascii="宋体" w:hAnsi="宋体" w:eastAsia="宋体" w:cs="宋体"/>
          <w:color w:val="000000" w:themeColor="text1"/>
          <w:highlight w:val="none"/>
          <w:lang w:eastAsia="zh-CN"/>
          <w14:textFill>
            <w14:solidFill>
              <w14:schemeClr w14:val="tx1"/>
            </w14:solidFill>
          </w14:textFill>
        </w:rPr>
        <w:t>沙湾市</w:t>
      </w:r>
      <w:r>
        <w:rPr>
          <w:rFonts w:hint="eastAsia" w:ascii="宋体" w:hAnsi="宋体" w:eastAsia="宋体" w:cs="宋体"/>
          <w:color w:val="000000" w:themeColor="text1"/>
          <w:highlight w:val="none"/>
          <w14:textFill>
            <w14:solidFill>
              <w14:schemeClr w14:val="tx1"/>
            </w14:solidFill>
          </w14:textFill>
        </w:rPr>
        <w:t>人民法院提起诉讼。</w:t>
      </w:r>
    </w:p>
    <w:p w14:paraId="1A91B546">
      <w:pPr>
        <w:pStyle w:val="49"/>
        <w:widowControl/>
        <w:spacing w:line="480" w:lineRule="atLeast"/>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第十一条补充合同</w:t>
      </w:r>
    </w:p>
    <w:p w14:paraId="7EC20456">
      <w:pPr>
        <w:pStyle w:val="56"/>
        <w:widowControl/>
        <w:spacing w:line="360" w:lineRule="auto"/>
        <w:ind w:firstLine="480" w:firstLineChars="2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合同订立后，双方经协商一致需变更合同实质性条款或订立补充合同的，与本合同具有同等法律效力。</w:t>
      </w:r>
    </w:p>
    <w:p w14:paraId="64AFA6D2">
      <w:pPr>
        <w:pStyle w:val="50"/>
        <w:spacing w:line="480" w:lineRule="atLeas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第十</w:t>
      </w:r>
      <w:r>
        <w:rPr>
          <w:rFonts w:hint="eastAsia" w:ascii="宋体" w:hAnsi="宋体" w:eastAsia="宋体" w:cs="宋体"/>
          <w:color w:val="000000" w:themeColor="text1"/>
          <w:sz w:val="24"/>
          <w:szCs w:val="24"/>
          <w:highlight w:val="none"/>
          <w:lang w:val="en-US"/>
          <w14:textFill>
            <w14:solidFill>
              <w14:schemeClr w14:val="tx1"/>
            </w14:solidFill>
          </w14:textFill>
        </w:rPr>
        <w:t>二</w:t>
      </w:r>
      <w:r>
        <w:rPr>
          <w:rFonts w:hint="eastAsia" w:ascii="宋体" w:hAnsi="宋体" w:eastAsia="宋体" w:cs="宋体"/>
          <w:color w:val="000000" w:themeColor="text1"/>
          <w:sz w:val="24"/>
          <w:szCs w:val="24"/>
          <w:highlight w:val="none"/>
          <w14:textFill>
            <w14:solidFill>
              <w14:schemeClr w14:val="tx1"/>
            </w14:solidFill>
          </w14:textFill>
        </w:rPr>
        <w:t>条</w:t>
      </w:r>
      <w:r>
        <w:rPr>
          <w:rFonts w:hint="eastAsia" w:ascii="宋体" w:hAnsi="宋体" w:eastAsia="宋体" w:cs="宋体"/>
          <w:color w:val="000000" w:themeColor="text1"/>
          <w:sz w:val="24"/>
          <w:szCs w:val="24"/>
          <w:highlight w:val="non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合同生效及其他</w:t>
      </w:r>
    </w:p>
    <w:p w14:paraId="3301F7BA">
      <w:pPr>
        <w:pStyle w:val="50"/>
        <w:tabs>
          <w:tab w:val="left" w:pos="354"/>
        </w:tabs>
        <w:spacing w:line="480" w:lineRule="atLeast"/>
        <w:ind w:left="0" w:leftChars="0"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bookmarkStart w:id="168" w:name="bookmark26"/>
      <w:r>
        <w:rPr>
          <w:rFonts w:hint="eastAsia" w:ascii="宋体" w:hAnsi="宋体" w:eastAsia="宋体" w:cs="宋体"/>
          <w:color w:val="000000" w:themeColor="text1"/>
          <w:sz w:val="24"/>
          <w:szCs w:val="24"/>
          <w:highlight w:val="none"/>
          <w14:textFill>
            <w14:solidFill>
              <w14:schemeClr w14:val="tx1"/>
            </w14:solidFill>
          </w14:textFill>
        </w:rPr>
        <w:t>1</w:t>
      </w:r>
      <w:bookmarkEnd w:id="168"/>
      <w:r>
        <w:rPr>
          <w:rFonts w:hint="eastAsia" w:ascii="宋体" w:hAnsi="宋体" w:eastAsia="宋体" w:cs="宋体"/>
          <w:color w:val="000000" w:themeColor="text1"/>
          <w:sz w:val="24"/>
          <w:szCs w:val="24"/>
          <w:highlight w:val="none"/>
          <w14:textFill>
            <w14:solidFill>
              <w14:schemeClr w14:val="tx1"/>
            </w14:solidFill>
          </w14:textFill>
        </w:rPr>
        <w:t>、本合同自签</w:t>
      </w:r>
      <w:r>
        <w:rPr>
          <w:rFonts w:hint="eastAsia" w:ascii="宋体" w:hAnsi="宋体" w:eastAsia="宋体" w:cs="宋体"/>
          <w:color w:val="000000" w:themeColor="text1"/>
          <w:sz w:val="24"/>
          <w:szCs w:val="24"/>
          <w:highlight w:val="none"/>
          <w:lang w:val="en-US"/>
          <w14:textFill>
            <w14:solidFill>
              <w14:schemeClr w14:val="tx1"/>
            </w14:solidFill>
          </w14:textFill>
        </w:rPr>
        <w:t>字</w:t>
      </w:r>
      <w:r>
        <w:rPr>
          <w:rFonts w:hint="eastAsia" w:ascii="宋体" w:hAnsi="宋体" w:eastAsia="宋体" w:cs="宋体"/>
          <w:color w:val="000000" w:themeColor="text1"/>
          <w:sz w:val="24"/>
          <w:szCs w:val="24"/>
          <w:highlight w:val="none"/>
          <w:lang w:val="en-US" w:eastAsia="zh-CN"/>
          <w14:textFill>
            <w14:solidFill>
              <w14:schemeClr w14:val="tx1"/>
            </w14:solidFill>
          </w14:textFill>
        </w:rPr>
        <w:t>盖公章</w:t>
      </w:r>
      <w:r>
        <w:rPr>
          <w:rFonts w:hint="eastAsia" w:ascii="宋体" w:hAnsi="宋体" w:eastAsia="宋体" w:cs="宋体"/>
          <w:color w:val="000000" w:themeColor="text1"/>
          <w:sz w:val="24"/>
          <w:szCs w:val="24"/>
          <w:highlight w:val="none"/>
          <w14:textFill>
            <w14:solidFill>
              <w14:schemeClr w14:val="tx1"/>
            </w14:solidFill>
          </w14:textFill>
        </w:rPr>
        <w:t>之日起生效。</w:t>
      </w:r>
    </w:p>
    <w:p w14:paraId="19B1F5EE">
      <w:pPr>
        <w:pStyle w:val="50"/>
        <w:tabs>
          <w:tab w:val="left" w:pos="354"/>
        </w:tabs>
        <w:spacing w:line="480" w:lineRule="atLeast"/>
        <w:ind w:left="0" w:leftChars="0"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本合同一式</w:t>
      </w:r>
      <w:r>
        <w:rPr>
          <w:rFonts w:hint="eastAsia" w:ascii="宋体" w:hAnsi="宋体" w:eastAsia="宋体" w:cs="宋体"/>
          <w:color w:val="000000" w:themeColor="text1"/>
          <w:sz w:val="24"/>
          <w:szCs w:val="24"/>
          <w:highlight w:val="none"/>
          <w:u w:val="singl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份，甲乙双方各执</w:t>
      </w:r>
      <w:r>
        <w:rPr>
          <w:rFonts w:hint="eastAsia" w:ascii="宋体" w:hAnsi="宋体" w:eastAsia="宋体" w:cs="宋体"/>
          <w:color w:val="000000" w:themeColor="text1"/>
          <w:sz w:val="24"/>
          <w:szCs w:val="24"/>
          <w:highlight w:val="none"/>
          <w:u w:val="single"/>
          <w:lang w:val="en-US"/>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份。</w:t>
      </w:r>
    </w:p>
    <w:p w14:paraId="078C41BD">
      <w:pPr>
        <w:pStyle w:val="50"/>
        <w:tabs>
          <w:tab w:val="left" w:pos="363"/>
          <w:tab w:val="left" w:pos="1766"/>
          <w:tab w:val="left" w:leader="underscore" w:pos="3667"/>
          <w:tab w:val="left" w:leader="underscore" w:pos="4531"/>
          <w:tab w:val="left" w:leader="underscore" w:pos="7066"/>
        </w:tabs>
        <w:spacing w:line="340" w:lineRule="exact"/>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p w14:paraId="633258C2">
      <w:pPr>
        <w:pStyle w:val="49"/>
        <w:widowControl/>
        <w:spacing w:line="480" w:lineRule="atLeast"/>
        <w:ind w:firstLine="960" w:firstLineChars="4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甲方(</w:t>
      </w:r>
      <w:r>
        <w:rPr>
          <w:rFonts w:hint="eastAsia" w:ascii="宋体" w:hAnsi="宋体" w:eastAsia="宋体" w:cs="宋体"/>
          <w:color w:val="000000" w:themeColor="text1"/>
          <w:highlight w:val="none"/>
          <w:lang w:eastAsia="zh-CN"/>
          <w14:textFill>
            <w14:solidFill>
              <w14:schemeClr w14:val="tx1"/>
            </w14:solidFill>
          </w14:textFill>
        </w:rPr>
        <w:t>盖公章</w:t>
      </w:r>
      <w:r>
        <w:rPr>
          <w:rFonts w:hint="eastAsia" w:ascii="宋体" w:hAnsi="宋体" w:eastAsia="宋体" w:cs="宋体"/>
          <w:color w:val="000000" w:themeColor="text1"/>
          <w:highlight w:val="none"/>
          <w14:textFill>
            <w14:solidFill>
              <w14:schemeClr w14:val="tx1"/>
            </w14:solidFill>
          </w14:textFill>
        </w:rPr>
        <w:t>)：_________           乙方(</w:t>
      </w:r>
      <w:r>
        <w:rPr>
          <w:rFonts w:hint="eastAsia" w:ascii="宋体" w:hAnsi="宋体" w:eastAsia="宋体" w:cs="宋体"/>
          <w:color w:val="000000" w:themeColor="text1"/>
          <w:highlight w:val="none"/>
          <w:lang w:eastAsia="zh-CN"/>
          <w14:textFill>
            <w14:solidFill>
              <w14:schemeClr w14:val="tx1"/>
            </w14:solidFill>
          </w14:textFill>
        </w:rPr>
        <w:t>盖公章</w:t>
      </w:r>
      <w:r>
        <w:rPr>
          <w:rFonts w:hint="eastAsia" w:ascii="宋体" w:hAnsi="宋体" w:eastAsia="宋体" w:cs="宋体"/>
          <w:color w:val="000000" w:themeColor="text1"/>
          <w:highlight w:val="none"/>
          <w14:textFill>
            <w14:solidFill>
              <w14:schemeClr w14:val="tx1"/>
            </w14:solidFill>
          </w14:textFill>
        </w:rPr>
        <w:t>)：_________</w:t>
      </w:r>
    </w:p>
    <w:p w14:paraId="394C72C5">
      <w:pPr>
        <w:pStyle w:val="49"/>
        <w:widowControl/>
        <w:spacing w:line="480" w:lineRule="atLeast"/>
        <w:ind w:firstLine="960" w:firstLineChars="4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经办人(签字)：________          经办人(签字)：_________</w:t>
      </w:r>
    </w:p>
    <w:p w14:paraId="48D64BF4">
      <w:pPr>
        <w:pStyle w:val="49"/>
        <w:widowControl/>
        <w:spacing w:line="480" w:lineRule="atLeast"/>
        <w:ind w:firstLine="960" w:firstLineChars="4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负责人(签字)：_________         负责人(签字)：_________</w:t>
      </w:r>
    </w:p>
    <w:p w14:paraId="76E878CE">
      <w:pPr>
        <w:pStyle w:val="49"/>
        <w:widowControl/>
        <w:spacing w:line="480" w:lineRule="atLeast"/>
        <w:ind w:firstLine="960" w:firstLineChars="4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地　址：______________          地　址：_________</w:t>
      </w:r>
    </w:p>
    <w:p w14:paraId="48206F7B">
      <w:pPr>
        <w:pStyle w:val="49"/>
        <w:widowControl/>
        <w:spacing w:line="480" w:lineRule="atLeast"/>
        <w:ind w:firstLine="960" w:firstLineChars="4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电　话：______________          电　话：_________</w:t>
      </w:r>
    </w:p>
    <w:p w14:paraId="5AFA6F83">
      <w:pPr>
        <w:pStyle w:val="49"/>
        <w:widowControl/>
        <w:spacing w:line="480" w:lineRule="atLeast"/>
        <w:ind w:firstLine="960" w:firstLineChars="400"/>
        <w:jc w:val="both"/>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开户银行：_____________         开户银行：_________</w:t>
      </w:r>
    </w:p>
    <w:p w14:paraId="7ADB6761">
      <w:pPr>
        <w:pStyle w:val="28"/>
        <w:ind w:left="0" w:leftChars="0" w:firstLine="0" w:firstLineChars="0"/>
        <w:rPr>
          <w:rFonts w:hint="eastAsia" w:ascii="宋体" w:hAnsi="宋体" w:eastAsia="宋体" w:cs="宋体"/>
          <w:color w:val="000000" w:themeColor="text1"/>
          <w:sz w:val="24"/>
          <w:szCs w:val="24"/>
          <w:highlight w:val="none"/>
          <w14:textFill>
            <w14:solidFill>
              <w14:schemeClr w14:val="tx1"/>
            </w14:solidFill>
          </w14:textFill>
        </w:rPr>
      </w:pPr>
    </w:p>
    <w:sectPr>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00006FF" w:usb1="4000205B" w:usb2="00000010" w:usb3="00000000" w:csb0="2000019F" w:csb1="00000000"/>
  </w:font>
  <w:font w:name="等线">
    <w:panose1 w:val="02010600030101010101"/>
    <w:charset w:val="86"/>
    <w:family w:val="auto"/>
    <w:pitch w:val="default"/>
    <w:sig w:usb0="A00002BF" w:usb1="38CF7CFA" w:usb2="00000016" w:usb3="00000000" w:csb0="0004000F" w:csb1="00000000"/>
  </w:font>
  <w:font w:name="Segoe UI">
    <w:panose1 w:val="020B0502040204020203"/>
    <w:charset w:val="00"/>
    <w:family w:val="auto"/>
    <w:pitch w:val="default"/>
    <w:sig w:usb0="E4002EFF" w:usb1="C000E47F"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C07A7B">
    <w:pPr>
      <w:pStyle w:val="1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F816E7">
    <w:pPr>
      <w:pStyle w:val="1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EE3637">
    <w:pPr>
      <w:autoSpaceDE w:val="0"/>
      <w:autoSpaceDN w:val="0"/>
      <w:adjustRightInd w:val="0"/>
      <w:spacing w:line="200" w:lineRule="exact"/>
      <w:jc w:val="left"/>
      <w:rPr>
        <w:rFonts w:hint="default" w:ascii="Times New Roman" w:eastAsia="Times New Roman"/>
        <w:kern w:val="0"/>
        <w:sz w:val="20"/>
      </w:rPr>
    </w:pPr>
    <w:r>
      <w:rPr>
        <w:sz w:val="20"/>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91C0A8">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D91C0A8">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E3969A">
    <w:pPr>
      <w:pStyle w:val="18"/>
    </w:pPr>
    <w:r>
      <w:rPr>
        <w:rStyle w:val="37"/>
        <w:rFonts w:hint="eastAsia"/>
        <w:sz w:val="24"/>
      </w:rPr>
      <w:t xml:space="preserve">  </w:t>
    </w:r>
    <w:r>
      <w:rPr>
        <w:rStyle w:val="37"/>
        <w:sz w:val="24"/>
      </w:rPr>
      <w:drawing>
        <wp:inline distT="0" distB="0" distL="114300" distR="114300">
          <wp:extent cx="374015" cy="375920"/>
          <wp:effectExtent l="0" t="0" r="6985" b="5080"/>
          <wp:docPr id="2" name="图片 2" descr="D:\用户目录\我的文档\Tencent Files\742054343\Image\C2C\0UZ3YQ7QPT[@M_F(FE]QHF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D:\用户目录\我的文档\Tencent Files\742054343\Image\C2C\0UZ3YQ7QPT[@M_F(FE]QHFN.png"/>
                  <pic:cNvPicPr>
                    <a:picLocks noChangeAspect="1"/>
                  </pic:cNvPicPr>
                </pic:nvPicPr>
                <pic:blipFill>
                  <a:blip r:embed="rId1"/>
                  <a:stretch>
                    <a:fillRect/>
                  </a:stretch>
                </pic:blipFill>
                <pic:spPr>
                  <a:xfrm>
                    <a:off x="0" y="0"/>
                    <a:ext cx="374015" cy="375920"/>
                  </a:xfrm>
                  <a:prstGeom prst="rect">
                    <a:avLst/>
                  </a:prstGeom>
                  <a:noFill/>
                  <a:ln>
                    <a:noFill/>
                  </a:ln>
                </pic:spPr>
              </pic:pic>
            </a:graphicData>
          </a:graphic>
        </wp:inline>
      </w:drawing>
    </w:r>
    <w:r>
      <w:rPr>
        <w:rStyle w:val="37"/>
        <w:rFonts w:hint="eastAsia"/>
        <w:sz w:val="24"/>
      </w:rPr>
      <w:t xml:space="preserve">                                </w:t>
    </w:r>
    <w:r>
      <w:rPr>
        <w:rStyle w:val="37"/>
        <w:rFonts w:hint="eastAsia"/>
        <w:sz w:val="24"/>
        <w:lang w:val="en-US" w:eastAsia="zh-CN"/>
      </w:rPr>
      <w:t xml:space="preserve">  </w:t>
    </w:r>
    <w:r>
      <w:rPr>
        <w:rStyle w:val="37"/>
        <w:rFonts w:hint="eastAsia"/>
        <w:sz w:val="24"/>
      </w:rPr>
      <w:t>新疆拓源工程管理咨询有限公司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148E04">
    <w:pPr>
      <w:pStyle w:val="1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B97A35"/>
    <w:multiLevelType w:val="singleLevel"/>
    <w:tmpl w:val="83B97A35"/>
    <w:lvl w:ilvl="0" w:tentative="0">
      <w:start w:val="2"/>
      <w:numFmt w:val="chineseCounting"/>
      <w:suff w:val="nothing"/>
      <w:lvlText w:val="%1、"/>
      <w:lvlJc w:val="left"/>
      <w:rPr>
        <w:rFonts w:hint="eastAsia"/>
      </w:rPr>
    </w:lvl>
  </w:abstractNum>
  <w:abstractNum w:abstractNumId="1">
    <w:nsid w:val="A145CCAE"/>
    <w:multiLevelType w:val="singleLevel"/>
    <w:tmpl w:val="A145CCAE"/>
    <w:lvl w:ilvl="0" w:tentative="0">
      <w:start w:val="1"/>
      <w:numFmt w:val="decimal"/>
      <w:suff w:val="nothing"/>
      <w:lvlText w:val="%1、"/>
      <w:lvlJc w:val="left"/>
    </w:lvl>
  </w:abstractNum>
  <w:abstractNum w:abstractNumId="2">
    <w:nsid w:val="ACE84ABB"/>
    <w:multiLevelType w:val="singleLevel"/>
    <w:tmpl w:val="ACE84ABB"/>
    <w:lvl w:ilvl="0" w:tentative="0">
      <w:start w:val="1"/>
      <w:numFmt w:val="decimal"/>
      <w:lvlText w:val="%1."/>
      <w:lvlJc w:val="left"/>
      <w:pPr>
        <w:tabs>
          <w:tab w:val="left" w:pos="312"/>
        </w:tabs>
      </w:pPr>
    </w:lvl>
  </w:abstractNum>
  <w:abstractNum w:abstractNumId="3">
    <w:nsid w:val="F3290AE7"/>
    <w:multiLevelType w:val="singleLevel"/>
    <w:tmpl w:val="F3290AE7"/>
    <w:lvl w:ilvl="0" w:tentative="0">
      <w:start w:val="10"/>
      <w:numFmt w:val="chineseCounting"/>
      <w:suff w:val="space"/>
      <w:lvlText w:val="第%1条"/>
      <w:lvlJc w:val="left"/>
      <w:rPr>
        <w:rFonts w:hint="eastAsia"/>
      </w:rPr>
    </w:lvl>
  </w:abstractNum>
  <w:abstractNum w:abstractNumId="4">
    <w:nsid w:val="00000008"/>
    <w:multiLevelType w:val="multilevel"/>
    <w:tmpl w:val="00000008"/>
    <w:lvl w:ilvl="0" w:tentative="0">
      <w:start w:val="1"/>
      <w:numFmt w:val="decimal"/>
      <w:suff w:val="nothing"/>
      <w:lvlText w:val="%1、"/>
      <w:lvlJc w:val="left"/>
    </w:lvl>
    <w:lvl w:ilvl="1" w:tentative="0">
      <w:start w:val="1"/>
      <w:numFmt w:val="decimalFullWidth"/>
      <w:lvlText w:val="%1.%2"/>
      <w:lvlJc w:val="left"/>
      <w:pPr>
        <w:ind w:left="575" w:hanging="575"/>
      </w:pPr>
      <w:rPr>
        <w:rFonts w:hint="eastAsia" w:ascii="宋体" w:hAnsi="宋体" w:eastAsia="宋体" w:cs="宋体"/>
      </w:rPr>
    </w:lvl>
    <w:lvl w:ilvl="2" w:tentative="0">
      <w:start w:val="1"/>
      <w:numFmt w:val="decimal"/>
      <w:lvlText w:val="%1.%2.%3 "/>
      <w:lvlJc w:val="left"/>
      <w:pPr>
        <w:ind w:left="720" w:hanging="720"/>
      </w:pPr>
      <w:rPr>
        <w:rFonts w:hint="eastAsia" w:ascii="宋体" w:hAnsi="宋体" w:eastAsia="宋体" w:cs="宋体"/>
      </w:rPr>
    </w:lvl>
    <w:lvl w:ilvl="3" w:tentative="0">
      <w:start w:val="1"/>
      <w:numFmt w:val="decimal"/>
      <w:lvlText w:val="%1.%2.%3.%4."/>
      <w:lvlJc w:val="left"/>
      <w:pPr>
        <w:ind w:left="864" w:hanging="864"/>
      </w:pPr>
      <w:rPr>
        <w:rFonts w:hint="eastAsia"/>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1" w:hanging="1151"/>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3" w:hanging="1583"/>
      </w:pPr>
      <w:rPr>
        <w:rFonts w:hint="eastAsia"/>
      </w:rPr>
    </w:lvl>
  </w:abstractNum>
  <w:abstractNum w:abstractNumId="5">
    <w:nsid w:val="0000000A"/>
    <w:multiLevelType w:val="multilevel"/>
    <w:tmpl w:val="0000000A"/>
    <w:lvl w:ilvl="0" w:tentative="0">
      <w:start w:val="1"/>
      <w:numFmt w:val="decimal"/>
      <w:lvlText w:val="第%1章"/>
      <w:lvlJc w:val="left"/>
      <w:pPr>
        <w:ind w:left="432" w:hanging="432"/>
      </w:pPr>
      <w:rPr>
        <w:rFonts w:hint="eastAsia" w:ascii="宋体" w:hAnsi="宋体" w:eastAsia="宋体" w:cs="宋体"/>
      </w:rPr>
    </w:lvl>
    <w:lvl w:ilvl="1" w:tentative="0">
      <w:start w:val="1"/>
      <w:numFmt w:val="decimalFullWidth"/>
      <w:lvlText w:val="%1.%2"/>
      <w:lvlJc w:val="left"/>
      <w:pPr>
        <w:ind w:left="575" w:hanging="575"/>
      </w:pPr>
      <w:rPr>
        <w:rFonts w:hint="eastAsia" w:ascii="宋体" w:hAnsi="宋体" w:eastAsia="宋体" w:cs="宋体"/>
      </w:rPr>
    </w:lvl>
    <w:lvl w:ilvl="2" w:tentative="0">
      <w:start w:val="1"/>
      <w:numFmt w:val="decimal"/>
      <w:lvlText w:val="%1.%2.%3 "/>
      <w:lvlJc w:val="left"/>
      <w:pPr>
        <w:ind w:left="720" w:hanging="720"/>
      </w:pPr>
      <w:rPr>
        <w:rFonts w:hint="eastAsia" w:ascii="宋体" w:hAnsi="宋体" w:eastAsia="宋体" w:cs="宋体"/>
      </w:rPr>
    </w:lvl>
    <w:lvl w:ilvl="3" w:tentative="0">
      <w:start w:val="1"/>
      <w:numFmt w:val="decimal"/>
      <w:pStyle w:val="6"/>
      <w:lvlText w:val="%1.%2.%3.%4."/>
      <w:lvlJc w:val="left"/>
      <w:pPr>
        <w:ind w:left="864" w:hanging="864"/>
      </w:pPr>
      <w:rPr>
        <w:rFonts w:hint="eastAsia"/>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1" w:hanging="1151"/>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3" w:hanging="1583"/>
      </w:pPr>
      <w:rPr>
        <w:rFonts w:hint="eastAsia"/>
      </w:rPr>
    </w:lvl>
  </w:abstractNum>
  <w:abstractNum w:abstractNumId="6">
    <w:nsid w:val="47B24A7F"/>
    <w:multiLevelType w:val="multilevel"/>
    <w:tmpl w:val="47B24A7F"/>
    <w:lvl w:ilvl="0" w:tentative="0">
      <w:start w:val="1"/>
      <w:numFmt w:val="decimal"/>
      <w:lvlText w:val="%1、"/>
      <w:lvlJc w:val="left"/>
      <w:pPr>
        <w:tabs>
          <w:tab w:val="left" w:pos="740"/>
        </w:tabs>
        <w:ind w:left="1081" w:hanging="1081"/>
      </w:pPr>
      <w:rPr>
        <w:rFonts w:hint="default"/>
      </w:rPr>
    </w:lvl>
    <w:lvl w:ilvl="1" w:tentative="0">
      <w:start w:val="1"/>
      <w:numFmt w:val="decimal"/>
      <w:pStyle w:val="59"/>
      <w:lvlText w:val="%2、"/>
      <w:lvlJc w:val="left"/>
      <w:pPr>
        <w:tabs>
          <w:tab w:val="left" w:pos="1160"/>
        </w:tabs>
        <w:ind w:left="1501" w:hanging="1081"/>
      </w:pPr>
      <w:rPr>
        <w:rFonts w:hint="default" w:ascii="Arial" w:hAnsi="Arial" w:cs="Arial"/>
        <w:b/>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60C8F99C"/>
    <w:multiLevelType w:val="singleLevel"/>
    <w:tmpl w:val="60C8F99C"/>
    <w:lvl w:ilvl="0" w:tentative="0">
      <w:start w:val="6"/>
      <w:numFmt w:val="chineseCounting"/>
      <w:suff w:val="nothing"/>
      <w:lvlText w:val="%1、"/>
      <w:lvlJc w:val="left"/>
      <w:rPr>
        <w:rFonts w:hint="eastAsia"/>
      </w:rPr>
    </w:lvl>
  </w:abstractNum>
  <w:num w:numId="1">
    <w:abstractNumId w:val="5"/>
  </w:num>
  <w:num w:numId="2">
    <w:abstractNumId w:val="6"/>
  </w:num>
  <w:num w:numId="3">
    <w:abstractNumId w:val="4"/>
  </w:num>
  <w:num w:numId="4">
    <w:abstractNumId w:val="1"/>
  </w:num>
  <w:num w:numId="5">
    <w:abstractNumId w:val="0"/>
  </w:num>
  <w:num w:numId="6">
    <w:abstractNumId w:val="7"/>
  </w:num>
  <w:num w:numId="7">
    <w:abstractNumId w:val="2"/>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1Y2I2YTYzMjY3NDc0YjNmMmI1MTZmMzM3OGYzYjAifQ=="/>
    <w:docVar w:name="KSO_WPS_MARK_KEY" w:val="2542d0e4-db01-47bc-9e30-3b31ec68f3a9"/>
  </w:docVars>
  <w:rsids>
    <w:rsidRoot w:val="006D6F44"/>
    <w:rsid w:val="00083A7D"/>
    <w:rsid w:val="00085DA1"/>
    <w:rsid w:val="001119CD"/>
    <w:rsid w:val="001343B1"/>
    <w:rsid w:val="00167918"/>
    <w:rsid w:val="00177ECA"/>
    <w:rsid w:val="002021CC"/>
    <w:rsid w:val="0022674C"/>
    <w:rsid w:val="00252FC0"/>
    <w:rsid w:val="003C111D"/>
    <w:rsid w:val="00436CBC"/>
    <w:rsid w:val="0049263D"/>
    <w:rsid w:val="004D5BB6"/>
    <w:rsid w:val="005F58DE"/>
    <w:rsid w:val="006351B6"/>
    <w:rsid w:val="006D6F44"/>
    <w:rsid w:val="00736F86"/>
    <w:rsid w:val="00754BD2"/>
    <w:rsid w:val="00A21929"/>
    <w:rsid w:val="00AD511E"/>
    <w:rsid w:val="00BD6145"/>
    <w:rsid w:val="00CC135F"/>
    <w:rsid w:val="00D651EE"/>
    <w:rsid w:val="00DF7C4C"/>
    <w:rsid w:val="00E47163"/>
    <w:rsid w:val="00F846DC"/>
    <w:rsid w:val="011A058D"/>
    <w:rsid w:val="019B461B"/>
    <w:rsid w:val="01F36A43"/>
    <w:rsid w:val="02146ECA"/>
    <w:rsid w:val="02387951"/>
    <w:rsid w:val="02563B57"/>
    <w:rsid w:val="02F11C19"/>
    <w:rsid w:val="02FC7F3E"/>
    <w:rsid w:val="03D305A2"/>
    <w:rsid w:val="057C2119"/>
    <w:rsid w:val="065A49AA"/>
    <w:rsid w:val="06F81C40"/>
    <w:rsid w:val="07C97589"/>
    <w:rsid w:val="082F62F4"/>
    <w:rsid w:val="09BD30A0"/>
    <w:rsid w:val="0A3F692F"/>
    <w:rsid w:val="0ACE6829"/>
    <w:rsid w:val="0AE36F06"/>
    <w:rsid w:val="0AF41C12"/>
    <w:rsid w:val="0B0D4C33"/>
    <w:rsid w:val="0B4F565B"/>
    <w:rsid w:val="0B607223"/>
    <w:rsid w:val="0CF602B9"/>
    <w:rsid w:val="0D2D03D2"/>
    <w:rsid w:val="0D3E71B8"/>
    <w:rsid w:val="0D5741F4"/>
    <w:rsid w:val="0D850FBB"/>
    <w:rsid w:val="0DBD2424"/>
    <w:rsid w:val="0DD87DE8"/>
    <w:rsid w:val="0DF86007"/>
    <w:rsid w:val="0F146C3D"/>
    <w:rsid w:val="0F2310FF"/>
    <w:rsid w:val="0F887012"/>
    <w:rsid w:val="1055163A"/>
    <w:rsid w:val="107734BE"/>
    <w:rsid w:val="10A325C2"/>
    <w:rsid w:val="11000D61"/>
    <w:rsid w:val="111D5E02"/>
    <w:rsid w:val="117B5769"/>
    <w:rsid w:val="11AB0DFD"/>
    <w:rsid w:val="12BD4B37"/>
    <w:rsid w:val="134C19FE"/>
    <w:rsid w:val="13DD2CE4"/>
    <w:rsid w:val="14F00AA2"/>
    <w:rsid w:val="14F275B8"/>
    <w:rsid w:val="15A825BE"/>
    <w:rsid w:val="15BA29AC"/>
    <w:rsid w:val="15EB1150"/>
    <w:rsid w:val="16247C45"/>
    <w:rsid w:val="16874642"/>
    <w:rsid w:val="16A27DFA"/>
    <w:rsid w:val="16B65467"/>
    <w:rsid w:val="16E86EC4"/>
    <w:rsid w:val="17764E3E"/>
    <w:rsid w:val="17AD43A0"/>
    <w:rsid w:val="17FF6452"/>
    <w:rsid w:val="180F2C31"/>
    <w:rsid w:val="18975082"/>
    <w:rsid w:val="18A04871"/>
    <w:rsid w:val="18B6017C"/>
    <w:rsid w:val="18F52A9C"/>
    <w:rsid w:val="192A37EB"/>
    <w:rsid w:val="196D5E11"/>
    <w:rsid w:val="19C17CAA"/>
    <w:rsid w:val="19FF64A2"/>
    <w:rsid w:val="1A0A6A8E"/>
    <w:rsid w:val="1A246465"/>
    <w:rsid w:val="1A7D486B"/>
    <w:rsid w:val="1B064823"/>
    <w:rsid w:val="1B912A8E"/>
    <w:rsid w:val="1BD7260B"/>
    <w:rsid w:val="1BE331C5"/>
    <w:rsid w:val="1BF55BDB"/>
    <w:rsid w:val="1C111736"/>
    <w:rsid w:val="1C37598E"/>
    <w:rsid w:val="1C481E69"/>
    <w:rsid w:val="1CA05B4B"/>
    <w:rsid w:val="1D5252D9"/>
    <w:rsid w:val="1D95194F"/>
    <w:rsid w:val="1DC57731"/>
    <w:rsid w:val="1DD957B9"/>
    <w:rsid w:val="1DEA1950"/>
    <w:rsid w:val="1E55089B"/>
    <w:rsid w:val="1E842620"/>
    <w:rsid w:val="1F48390E"/>
    <w:rsid w:val="1F644AE8"/>
    <w:rsid w:val="1F684E59"/>
    <w:rsid w:val="20001D6A"/>
    <w:rsid w:val="202C2802"/>
    <w:rsid w:val="206A5E42"/>
    <w:rsid w:val="20914128"/>
    <w:rsid w:val="21550B40"/>
    <w:rsid w:val="215E0A93"/>
    <w:rsid w:val="21D80B71"/>
    <w:rsid w:val="21F17D04"/>
    <w:rsid w:val="22500A99"/>
    <w:rsid w:val="226A7409"/>
    <w:rsid w:val="23E03502"/>
    <w:rsid w:val="242242C9"/>
    <w:rsid w:val="246C62EA"/>
    <w:rsid w:val="24925A07"/>
    <w:rsid w:val="24AE1898"/>
    <w:rsid w:val="24C93DF2"/>
    <w:rsid w:val="24D65801"/>
    <w:rsid w:val="25190209"/>
    <w:rsid w:val="25302162"/>
    <w:rsid w:val="255C218F"/>
    <w:rsid w:val="256F4866"/>
    <w:rsid w:val="259F08BF"/>
    <w:rsid w:val="25BB686D"/>
    <w:rsid w:val="25BC5F46"/>
    <w:rsid w:val="260C30AD"/>
    <w:rsid w:val="26592325"/>
    <w:rsid w:val="267C3185"/>
    <w:rsid w:val="2725176B"/>
    <w:rsid w:val="2745745A"/>
    <w:rsid w:val="27BC2A5B"/>
    <w:rsid w:val="283E4C57"/>
    <w:rsid w:val="28D601EB"/>
    <w:rsid w:val="2929735B"/>
    <w:rsid w:val="296C3771"/>
    <w:rsid w:val="298968A9"/>
    <w:rsid w:val="29EB48A9"/>
    <w:rsid w:val="2ACF41CB"/>
    <w:rsid w:val="2AEC5A97"/>
    <w:rsid w:val="2B8773B3"/>
    <w:rsid w:val="2C730B86"/>
    <w:rsid w:val="2C8608B9"/>
    <w:rsid w:val="2CB2345D"/>
    <w:rsid w:val="2CD900FA"/>
    <w:rsid w:val="2E096E23"/>
    <w:rsid w:val="2E7F2A0C"/>
    <w:rsid w:val="2EFE507F"/>
    <w:rsid w:val="2F210137"/>
    <w:rsid w:val="2F7143A8"/>
    <w:rsid w:val="2FB971F8"/>
    <w:rsid w:val="2FC23EB4"/>
    <w:rsid w:val="3009791E"/>
    <w:rsid w:val="301A2DFD"/>
    <w:rsid w:val="30495A64"/>
    <w:rsid w:val="304A3722"/>
    <w:rsid w:val="3062625C"/>
    <w:rsid w:val="30715502"/>
    <w:rsid w:val="30C02372"/>
    <w:rsid w:val="31542FBB"/>
    <w:rsid w:val="31D609DB"/>
    <w:rsid w:val="31E01A47"/>
    <w:rsid w:val="321948A0"/>
    <w:rsid w:val="32382833"/>
    <w:rsid w:val="329E236C"/>
    <w:rsid w:val="33BB7ADC"/>
    <w:rsid w:val="350A08F1"/>
    <w:rsid w:val="35A013B7"/>
    <w:rsid w:val="364F6877"/>
    <w:rsid w:val="36710DB6"/>
    <w:rsid w:val="368A6A0B"/>
    <w:rsid w:val="36E01665"/>
    <w:rsid w:val="374271D8"/>
    <w:rsid w:val="37D739CE"/>
    <w:rsid w:val="381B0296"/>
    <w:rsid w:val="38BB1E22"/>
    <w:rsid w:val="38E01351"/>
    <w:rsid w:val="38ED692C"/>
    <w:rsid w:val="38EF5A38"/>
    <w:rsid w:val="39162FC5"/>
    <w:rsid w:val="396E6DCE"/>
    <w:rsid w:val="399B34CA"/>
    <w:rsid w:val="39D550EC"/>
    <w:rsid w:val="3A292476"/>
    <w:rsid w:val="3ACE4EEE"/>
    <w:rsid w:val="3AF870AB"/>
    <w:rsid w:val="3B284357"/>
    <w:rsid w:val="3BA5557E"/>
    <w:rsid w:val="3C1A4E00"/>
    <w:rsid w:val="3CD07877"/>
    <w:rsid w:val="3D024861"/>
    <w:rsid w:val="3D276170"/>
    <w:rsid w:val="3D402D06"/>
    <w:rsid w:val="3D661449"/>
    <w:rsid w:val="3DA6700D"/>
    <w:rsid w:val="3DA70D1F"/>
    <w:rsid w:val="3DAE3162"/>
    <w:rsid w:val="3DEA15D4"/>
    <w:rsid w:val="3E267E8F"/>
    <w:rsid w:val="3EA76402"/>
    <w:rsid w:val="3F143436"/>
    <w:rsid w:val="40A50767"/>
    <w:rsid w:val="40AA1DF7"/>
    <w:rsid w:val="41686388"/>
    <w:rsid w:val="419378A9"/>
    <w:rsid w:val="42835A3D"/>
    <w:rsid w:val="428C078D"/>
    <w:rsid w:val="42DD6902"/>
    <w:rsid w:val="43B64841"/>
    <w:rsid w:val="442E0633"/>
    <w:rsid w:val="445145E4"/>
    <w:rsid w:val="449D459A"/>
    <w:rsid w:val="44F71EFD"/>
    <w:rsid w:val="451F126E"/>
    <w:rsid w:val="45867106"/>
    <w:rsid w:val="458E1839"/>
    <w:rsid w:val="45AB2CE7"/>
    <w:rsid w:val="46CE1383"/>
    <w:rsid w:val="477D2E4A"/>
    <w:rsid w:val="47C70A38"/>
    <w:rsid w:val="47CC56D0"/>
    <w:rsid w:val="480908C5"/>
    <w:rsid w:val="487469E2"/>
    <w:rsid w:val="48F14EB5"/>
    <w:rsid w:val="48F91625"/>
    <w:rsid w:val="494C5A26"/>
    <w:rsid w:val="49AB391A"/>
    <w:rsid w:val="49BB52D6"/>
    <w:rsid w:val="49C337B5"/>
    <w:rsid w:val="4ABA3D35"/>
    <w:rsid w:val="4AEF3D32"/>
    <w:rsid w:val="4B663938"/>
    <w:rsid w:val="4BB350A6"/>
    <w:rsid w:val="4C0554CB"/>
    <w:rsid w:val="4C260A4D"/>
    <w:rsid w:val="4C361B97"/>
    <w:rsid w:val="4C522C98"/>
    <w:rsid w:val="4CC27294"/>
    <w:rsid w:val="4E01222A"/>
    <w:rsid w:val="4EB84DF2"/>
    <w:rsid w:val="4EFD78B0"/>
    <w:rsid w:val="4F182DE3"/>
    <w:rsid w:val="4F7A3CCF"/>
    <w:rsid w:val="4F9A2DCC"/>
    <w:rsid w:val="4FB20A99"/>
    <w:rsid w:val="501A62B0"/>
    <w:rsid w:val="504E280B"/>
    <w:rsid w:val="50C3182D"/>
    <w:rsid w:val="511215A9"/>
    <w:rsid w:val="512968E0"/>
    <w:rsid w:val="51DC2BA6"/>
    <w:rsid w:val="5223325C"/>
    <w:rsid w:val="523E46C3"/>
    <w:rsid w:val="53000AE3"/>
    <w:rsid w:val="54AB554E"/>
    <w:rsid w:val="54C71B28"/>
    <w:rsid w:val="54EE6402"/>
    <w:rsid w:val="55A56FD0"/>
    <w:rsid w:val="55A7171D"/>
    <w:rsid w:val="567E11E9"/>
    <w:rsid w:val="56933C1B"/>
    <w:rsid w:val="56A45C5C"/>
    <w:rsid w:val="57DF5237"/>
    <w:rsid w:val="57F819DC"/>
    <w:rsid w:val="57FA24E2"/>
    <w:rsid w:val="58D00F8B"/>
    <w:rsid w:val="59211849"/>
    <w:rsid w:val="59410F0D"/>
    <w:rsid w:val="594E3CA4"/>
    <w:rsid w:val="595A420C"/>
    <w:rsid w:val="599E6993"/>
    <w:rsid w:val="5A092C2B"/>
    <w:rsid w:val="5AEB1782"/>
    <w:rsid w:val="5B072BC8"/>
    <w:rsid w:val="5CA028CF"/>
    <w:rsid w:val="5D0412C5"/>
    <w:rsid w:val="5D54355A"/>
    <w:rsid w:val="5D917CE4"/>
    <w:rsid w:val="5F4B0BA9"/>
    <w:rsid w:val="5F51605A"/>
    <w:rsid w:val="5F776C17"/>
    <w:rsid w:val="5F850BD3"/>
    <w:rsid w:val="5F9F1226"/>
    <w:rsid w:val="60077FCA"/>
    <w:rsid w:val="610738E0"/>
    <w:rsid w:val="612B4288"/>
    <w:rsid w:val="615A0A81"/>
    <w:rsid w:val="616427FD"/>
    <w:rsid w:val="61E67F77"/>
    <w:rsid w:val="61F10144"/>
    <w:rsid w:val="62226386"/>
    <w:rsid w:val="625F3AF3"/>
    <w:rsid w:val="62C423F5"/>
    <w:rsid w:val="62FF671D"/>
    <w:rsid w:val="631D6B7A"/>
    <w:rsid w:val="63D77534"/>
    <w:rsid w:val="64261F1A"/>
    <w:rsid w:val="652F2220"/>
    <w:rsid w:val="656A1E1F"/>
    <w:rsid w:val="66417024"/>
    <w:rsid w:val="66CE7BBE"/>
    <w:rsid w:val="68741CC5"/>
    <w:rsid w:val="68B30AFA"/>
    <w:rsid w:val="68BA3557"/>
    <w:rsid w:val="68BE5C06"/>
    <w:rsid w:val="694D1201"/>
    <w:rsid w:val="6990454A"/>
    <w:rsid w:val="69A022B3"/>
    <w:rsid w:val="6A433B3D"/>
    <w:rsid w:val="6A6634FD"/>
    <w:rsid w:val="6B13136D"/>
    <w:rsid w:val="6B216746"/>
    <w:rsid w:val="6B4E536C"/>
    <w:rsid w:val="6B6C35FC"/>
    <w:rsid w:val="6B6D6DE2"/>
    <w:rsid w:val="6BB27887"/>
    <w:rsid w:val="6BD928AA"/>
    <w:rsid w:val="6C183D6E"/>
    <w:rsid w:val="6D4441CE"/>
    <w:rsid w:val="6D8A0DDF"/>
    <w:rsid w:val="6E775CD9"/>
    <w:rsid w:val="6EC300C5"/>
    <w:rsid w:val="6ED07197"/>
    <w:rsid w:val="6FAE12B7"/>
    <w:rsid w:val="70055A8F"/>
    <w:rsid w:val="70FE6A90"/>
    <w:rsid w:val="724E21E5"/>
    <w:rsid w:val="729D385E"/>
    <w:rsid w:val="7352461E"/>
    <w:rsid w:val="74E00676"/>
    <w:rsid w:val="755E374E"/>
    <w:rsid w:val="757B4FC6"/>
    <w:rsid w:val="75BF456A"/>
    <w:rsid w:val="761152BC"/>
    <w:rsid w:val="7654306E"/>
    <w:rsid w:val="76931E28"/>
    <w:rsid w:val="78BF1DB2"/>
    <w:rsid w:val="790A7749"/>
    <w:rsid w:val="795641A9"/>
    <w:rsid w:val="79684279"/>
    <w:rsid w:val="7AC36DD6"/>
    <w:rsid w:val="7AD26B8E"/>
    <w:rsid w:val="7B7875A5"/>
    <w:rsid w:val="7BA63759"/>
    <w:rsid w:val="7CCD055A"/>
    <w:rsid w:val="7CCD4D16"/>
    <w:rsid w:val="7D2B2213"/>
    <w:rsid w:val="7D7257F9"/>
    <w:rsid w:val="7D896857"/>
    <w:rsid w:val="7D95153D"/>
    <w:rsid w:val="7D980184"/>
    <w:rsid w:val="7D9F0FBC"/>
    <w:rsid w:val="7DB87774"/>
    <w:rsid w:val="7EE27891"/>
    <w:rsid w:val="7F080287"/>
    <w:rsid w:val="7F211E66"/>
    <w:rsid w:val="7F29553D"/>
    <w:rsid w:val="7F5F07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link w:val="44"/>
    <w:autoRedefine/>
    <w:qFormat/>
    <w:uiPriority w:val="0"/>
    <w:pPr>
      <w:keepNext/>
      <w:keepLines/>
      <w:spacing w:before="340" w:after="330" w:line="578" w:lineRule="auto"/>
    </w:pPr>
    <w:rPr>
      <w:rFonts w:ascii="Calibri" w:hAnsi="Calibri"/>
      <w:kern w:val="44"/>
      <w:sz w:val="44"/>
      <w:szCs w:val="44"/>
    </w:rPr>
  </w:style>
  <w:style w:type="paragraph" w:styleId="4">
    <w:name w:val="heading 2"/>
    <w:basedOn w:val="1"/>
    <w:next w:val="1"/>
    <w:autoRedefine/>
    <w:qFormat/>
    <w:uiPriority w:val="0"/>
    <w:pPr>
      <w:keepLines/>
      <w:spacing w:before="260" w:after="260" w:line="416" w:lineRule="auto"/>
      <w:outlineLvl w:val="1"/>
    </w:pPr>
    <w:rPr>
      <w:rFonts w:ascii="Arial" w:hAnsi="Arial" w:eastAsia="黑体"/>
      <w:bCs/>
      <w:szCs w:val="32"/>
    </w:rPr>
  </w:style>
  <w:style w:type="paragraph" w:styleId="5">
    <w:name w:val="heading 3"/>
    <w:basedOn w:val="1"/>
    <w:next w:val="1"/>
    <w:autoRedefine/>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6">
    <w:name w:val="heading 4"/>
    <w:basedOn w:val="1"/>
    <w:next w:val="1"/>
    <w:autoRedefine/>
    <w:qFormat/>
    <w:uiPriority w:val="0"/>
    <w:pPr>
      <w:keepNext/>
      <w:keepLines/>
      <w:numPr>
        <w:ilvl w:val="3"/>
        <w:numId w:val="1"/>
      </w:numPr>
      <w:spacing w:before="280" w:beforeLines="0" w:beforeAutospacing="0" w:after="290" w:afterLines="0" w:afterAutospacing="0" w:line="372" w:lineRule="auto"/>
      <w:ind w:left="864" w:hanging="864"/>
      <w:outlineLvl w:val="3"/>
    </w:pPr>
    <w:rPr>
      <w:rFonts w:ascii="Arial" w:hAnsi="Arial" w:eastAsia="黑体" w:cs="Times New Roman"/>
      <w:b/>
      <w:sz w:val="28"/>
    </w:rPr>
  </w:style>
  <w:style w:type="character" w:default="1" w:styleId="30">
    <w:name w:val="Default Paragraph Font"/>
    <w:autoRedefine/>
    <w:semiHidden/>
    <w:unhideWhenUsed/>
    <w:qFormat/>
    <w:uiPriority w:val="1"/>
  </w:style>
  <w:style w:type="table" w:default="1" w:styleId="29">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autoRedefine/>
    <w:qFormat/>
    <w:uiPriority w:val="0"/>
    <w:pPr>
      <w:spacing w:after="120"/>
    </w:pPr>
  </w:style>
  <w:style w:type="paragraph" w:styleId="7">
    <w:name w:val="Normal Indent"/>
    <w:basedOn w:val="1"/>
    <w:next w:val="1"/>
    <w:autoRedefine/>
    <w:qFormat/>
    <w:uiPriority w:val="0"/>
    <w:pPr>
      <w:ind w:firstLine="420" w:firstLineChars="200"/>
    </w:pPr>
  </w:style>
  <w:style w:type="paragraph" w:styleId="8">
    <w:name w:val="caption"/>
    <w:basedOn w:val="1"/>
    <w:next w:val="1"/>
    <w:autoRedefine/>
    <w:qFormat/>
    <w:uiPriority w:val="0"/>
    <w:rPr>
      <w:rFonts w:ascii="Arial" w:hAnsi="Arial" w:eastAsia="黑体" w:cs="Arial"/>
      <w:sz w:val="20"/>
      <w:szCs w:val="20"/>
    </w:rPr>
  </w:style>
  <w:style w:type="paragraph" w:styleId="9">
    <w:name w:val="toa heading"/>
    <w:basedOn w:val="1"/>
    <w:next w:val="1"/>
    <w:autoRedefine/>
    <w:qFormat/>
    <w:uiPriority w:val="0"/>
    <w:pPr>
      <w:spacing w:before="120"/>
    </w:pPr>
    <w:rPr>
      <w:rFonts w:ascii="Cambria" w:hAnsi="Cambria"/>
      <w:sz w:val="24"/>
    </w:rPr>
  </w:style>
  <w:style w:type="paragraph" w:styleId="10">
    <w:name w:val="annotation text"/>
    <w:basedOn w:val="1"/>
    <w:link w:val="54"/>
    <w:autoRedefine/>
    <w:qFormat/>
    <w:uiPriority w:val="0"/>
    <w:pPr>
      <w:jc w:val="left"/>
    </w:pPr>
  </w:style>
  <w:style w:type="paragraph" w:styleId="11">
    <w:name w:val="index 6"/>
    <w:basedOn w:val="1"/>
    <w:next w:val="1"/>
    <w:autoRedefine/>
    <w:qFormat/>
    <w:uiPriority w:val="99"/>
    <w:pPr>
      <w:adjustRightInd w:val="0"/>
      <w:snapToGrid w:val="0"/>
      <w:ind w:left="2100"/>
    </w:pPr>
    <w:rPr>
      <w:rFonts w:ascii="Times New Roman" w:hAnsi="Times New Roman"/>
      <w:szCs w:val="21"/>
    </w:rPr>
  </w:style>
  <w:style w:type="paragraph" w:styleId="12">
    <w:name w:val="Body Text Indent"/>
    <w:basedOn w:val="1"/>
    <w:next w:val="13"/>
    <w:autoRedefine/>
    <w:qFormat/>
    <w:uiPriority w:val="0"/>
    <w:pPr>
      <w:ind w:firstLine="630"/>
    </w:pPr>
    <w:rPr>
      <w:sz w:val="32"/>
      <w:szCs w:val="20"/>
    </w:rPr>
  </w:style>
  <w:style w:type="paragraph" w:styleId="13">
    <w:name w:val="envelope return"/>
    <w:basedOn w:val="1"/>
    <w:autoRedefine/>
    <w:qFormat/>
    <w:uiPriority w:val="99"/>
    <w:pPr>
      <w:snapToGrid w:val="0"/>
    </w:pPr>
    <w:rPr>
      <w:rFonts w:ascii="Arial" w:hAnsi="Arial" w:cs="Arial"/>
    </w:rPr>
  </w:style>
  <w:style w:type="paragraph" w:styleId="14">
    <w:name w:val="Plain Text"/>
    <w:basedOn w:val="1"/>
    <w:autoRedefine/>
    <w:qFormat/>
    <w:uiPriority w:val="0"/>
    <w:rPr>
      <w:rFonts w:ascii="宋体" w:hAnsi="Courier New"/>
      <w:szCs w:val="20"/>
    </w:rPr>
  </w:style>
  <w:style w:type="paragraph" w:styleId="15">
    <w:name w:val="Body Text Indent 2"/>
    <w:basedOn w:val="1"/>
    <w:autoRedefine/>
    <w:qFormat/>
    <w:uiPriority w:val="0"/>
    <w:pPr>
      <w:spacing w:after="120" w:line="480" w:lineRule="auto"/>
      <w:ind w:left="420" w:leftChars="200"/>
    </w:pPr>
  </w:style>
  <w:style w:type="paragraph" w:styleId="16">
    <w:name w:val="Balloon Text"/>
    <w:basedOn w:val="1"/>
    <w:link w:val="53"/>
    <w:autoRedefine/>
    <w:qFormat/>
    <w:uiPriority w:val="0"/>
    <w:rPr>
      <w:sz w:val="18"/>
      <w:szCs w:val="18"/>
    </w:rPr>
  </w:style>
  <w:style w:type="paragraph" w:styleId="17">
    <w:name w:val="footer"/>
    <w:basedOn w:val="1"/>
    <w:autoRedefine/>
    <w:qFormat/>
    <w:uiPriority w:val="0"/>
    <w:pPr>
      <w:tabs>
        <w:tab w:val="center" w:pos="4153"/>
        <w:tab w:val="right" w:pos="8306"/>
      </w:tabs>
      <w:snapToGrid w:val="0"/>
      <w:jc w:val="left"/>
    </w:pPr>
    <w:rPr>
      <w:sz w:val="18"/>
    </w:rPr>
  </w:style>
  <w:style w:type="paragraph" w:styleId="18">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9">
    <w:name w:val="toc 1"/>
    <w:basedOn w:val="1"/>
    <w:next w:val="1"/>
    <w:autoRedefine/>
    <w:qFormat/>
    <w:uiPriority w:val="0"/>
    <w:pPr>
      <w:spacing w:line="480" w:lineRule="auto"/>
    </w:pPr>
    <w:rPr>
      <w:rFonts w:ascii="Times New Roman" w:hAnsi="Times New Roman"/>
      <w:sz w:val="30"/>
    </w:rPr>
  </w:style>
  <w:style w:type="paragraph" w:styleId="20">
    <w:name w:val="index heading"/>
    <w:basedOn w:val="1"/>
    <w:next w:val="21"/>
    <w:autoRedefine/>
    <w:qFormat/>
    <w:uiPriority w:val="0"/>
    <w:pPr>
      <w:adjustRightInd w:val="0"/>
      <w:spacing w:line="312" w:lineRule="atLeast"/>
      <w:textAlignment w:val="baseline"/>
    </w:pPr>
    <w:rPr>
      <w:rFonts w:ascii="Arial" w:hAnsi="Arial" w:eastAsia="仿宋" w:cs="Arial"/>
      <w:b/>
      <w:bCs/>
      <w:kern w:val="0"/>
      <w:sz w:val="32"/>
      <w:szCs w:val="20"/>
    </w:rPr>
  </w:style>
  <w:style w:type="paragraph" w:styleId="21">
    <w:name w:val="index 1"/>
    <w:basedOn w:val="1"/>
    <w:next w:val="1"/>
    <w:autoRedefine/>
    <w:unhideWhenUsed/>
    <w:qFormat/>
    <w:uiPriority w:val="0"/>
  </w:style>
  <w:style w:type="paragraph" w:styleId="22">
    <w:name w:val="footnote text"/>
    <w:basedOn w:val="1"/>
    <w:autoRedefine/>
    <w:qFormat/>
    <w:uiPriority w:val="0"/>
    <w:pPr>
      <w:adjustRightInd w:val="0"/>
      <w:snapToGrid w:val="0"/>
      <w:spacing w:line="312" w:lineRule="atLeast"/>
      <w:jc w:val="left"/>
      <w:textAlignment w:val="baseline"/>
    </w:pPr>
    <w:rPr>
      <w:rFonts w:eastAsia="仿宋"/>
      <w:kern w:val="0"/>
      <w:sz w:val="18"/>
      <w:szCs w:val="18"/>
    </w:rPr>
  </w:style>
  <w:style w:type="paragraph" w:styleId="23">
    <w:name w:val="List 5"/>
    <w:basedOn w:val="1"/>
    <w:autoRedefine/>
    <w:qFormat/>
    <w:uiPriority w:val="0"/>
    <w:pPr>
      <w:ind w:left="2100" w:hanging="420"/>
    </w:pPr>
    <w:rPr>
      <w:rFonts w:eastAsia="楷体_GB2312"/>
      <w:sz w:val="32"/>
      <w:szCs w:val="20"/>
    </w:rPr>
  </w:style>
  <w:style w:type="paragraph" w:styleId="24">
    <w:name w:val="Normal (Web)"/>
    <w:basedOn w:val="1"/>
    <w:next w:val="1"/>
    <w:autoRedefine/>
    <w:qFormat/>
    <w:uiPriority w:val="0"/>
    <w:pPr>
      <w:widowControl/>
      <w:spacing w:before="100" w:beforeAutospacing="1" w:after="100" w:afterAutospacing="1"/>
      <w:jc w:val="left"/>
    </w:pPr>
    <w:rPr>
      <w:rFonts w:ascii="宋体" w:hAnsi="宋体"/>
      <w:kern w:val="0"/>
      <w:sz w:val="18"/>
      <w:szCs w:val="18"/>
    </w:rPr>
  </w:style>
  <w:style w:type="paragraph" w:styleId="25">
    <w:name w:val="Title"/>
    <w:basedOn w:val="1"/>
    <w:next w:val="1"/>
    <w:autoRedefine/>
    <w:qFormat/>
    <w:uiPriority w:val="10"/>
    <w:pPr>
      <w:spacing w:before="240" w:after="60"/>
      <w:jc w:val="center"/>
      <w:outlineLvl w:val="0"/>
    </w:pPr>
    <w:rPr>
      <w:rFonts w:ascii="Cambria" w:hAnsi="Cambria"/>
      <w:b/>
      <w:bCs/>
      <w:sz w:val="32"/>
      <w:szCs w:val="32"/>
    </w:rPr>
  </w:style>
  <w:style w:type="paragraph" w:styleId="26">
    <w:name w:val="annotation subject"/>
    <w:basedOn w:val="10"/>
    <w:next w:val="10"/>
    <w:link w:val="55"/>
    <w:autoRedefine/>
    <w:qFormat/>
    <w:uiPriority w:val="0"/>
    <w:rPr>
      <w:b/>
      <w:bCs/>
    </w:rPr>
  </w:style>
  <w:style w:type="paragraph" w:styleId="27">
    <w:name w:val="Body Text First Indent"/>
    <w:basedOn w:val="2"/>
    <w:next w:val="1"/>
    <w:autoRedefine/>
    <w:qFormat/>
    <w:uiPriority w:val="0"/>
    <w:pPr>
      <w:ind w:firstLine="420" w:firstLineChars="100"/>
    </w:pPr>
  </w:style>
  <w:style w:type="paragraph" w:styleId="28">
    <w:name w:val="Body Text First Indent 2"/>
    <w:basedOn w:val="12"/>
    <w:next w:val="1"/>
    <w:autoRedefine/>
    <w:qFormat/>
    <w:uiPriority w:val="0"/>
    <w:pPr>
      <w:ind w:firstLine="420"/>
    </w:pPr>
  </w:style>
  <w:style w:type="character" w:styleId="31">
    <w:name w:val="Strong"/>
    <w:basedOn w:val="30"/>
    <w:autoRedefine/>
    <w:qFormat/>
    <w:uiPriority w:val="22"/>
    <w:rPr>
      <w:b/>
      <w:bCs/>
    </w:rPr>
  </w:style>
  <w:style w:type="character" w:styleId="32">
    <w:name w:val="Hyperlink"/>
    <w:basedOn w:val="30"/>
    <w:autoRedefine/>
    <w:qFormat/>
    <w:uiPriority w:val="0"/>
    <w:rPr>
      <w:rFonts w:ascii="Times New Roman" w:hAnsi="Times New Roman" w:eastAsia="微软雅黑" w:cs="Times New Roman"/>
      <w:color w:val="0000FF"/>
      <w:u w:val="single"/>
    </w:rPr>
  </w:style>
  <w:style w:type="character" w:styleId="33">
    <w:name w:val="annotation reference"/>
    <w:basedOn w:val="30"/>
    <w:autoRedefine/>
    <w:qFormat/>
    <w:uiPriority w:val="0"/>
    <w:rPr>
      <w:sz w:val="21"/>
      <w:szCs w:val="21"/>
    </w:rPr>
  </w:style>
  <w:style w:type="paragraph" w:customStyle="1" w:styleId="34">
    <w:name w:val="3）三级标题 与下段同页"/>
    <w:basedOn w:val="1"/>
    <w:autoRedefine/>
    <w:qFormat/>
    <w:uiPriority w:val="0"/>
    <w:pPr>
      <w:keepNext/>
      <w:spacing w:beforeLines="50" w:afterLines="50"/>
      <w:jc w:val="center"/>
      <w:outlineLvl w:val="2"/>
    </w:pPr>
    <w:rPr>
      <w:rFonts w:ascii="仿宋_GB2312" w:eastAsia="仿宋_GB2312"/>
      <w:b/>
      <w:sz w:val="32"/>
    </w:rPr>
  </w:style>
  <w:style w:type="paragraph" w:customStyle="1" w:styleId="35">
    <w:name w:val="样式1"/>
    <w:basedOn w:val="1"/>
    <w:next w:val="36"/>
    <w:autoRedefine/>
    <w:qFormat/>
    <w:uiPriority w:val="0"/>
    <w:pPr>
      <w:spacing w:before="120" w:beforeLines="0" w:after="120" w:afterLines="0"/>
    </w:pPr>
  </w:style>
  <w:style w:type="paragraph" w:customStyle="1" w:styleId="36">
    <w:name w:val="样式2"/>
    <w:basedOn w:val="1"/>
    <w:autoRedefine/>
    <w:qFormat/>
    <w:uiPriority w:val="0"/>
    <w:pPr>
      <w:spacing w:before="120" w:beforeLines="0" w:after="120" w:afterLines="0"/>
    </w:pPr>
  </w:style>
  <w:style w:type="character" w:customStyle="1" w:styleId="37">
    <w:name w:val="NormalCharacter"/>
    <w:link w:val="38"/>
    <w:autoRedefine/>
    <w:qFormat/>
    <w:uiPriority w:val="0"/>
    <w:rPr>
      <w:rFonts w:ascii="Verdana" w:hAnsi="Verdana" w:eastAsia="仿宋_GB2312"/>
      <w:kern w:val="0"/>
      <w:sz w:val="24"/>
      <w:szCs w:val="20"/>
      <w:lang w:eastAsia="en-US"/>
    </w:rPr>
  </w:style>
  <w:style w:type="paragraph" w:customStyle="1" w:styleId="38">
    <w:name w:val="UserStyle_20"/>
    <w:basedOn w:val="1"/>
    <w:link w:val="37"/>
    <w:qFormat/>
    <w:uiPriority w:val="0"/>
    <w:pPr>
      <w:spacing w:after="160" w:line="240" w:lineRule="exact"/>
      <w:jc w:val="left"/>
    </w:pPr>
    <w:rPr>
      <w:rFonts w:ascii="Verdana" w:hAnsi="Verdana" w:eastAsia="仿宋_GB2312"/>
      <w:kern w:val="0"/>
      <w:sz w:val="24"/>
      <w:szCs w:val="20"/>
      <w:lang w:eastAsia="en-US"/>
    </w:rPr>
  </w:style>
  <w:style w:type="paragraph" w:customStyle="1" w:styleId="39">
    <w:name w:val="UserStyle_5"/>
    <w:basedOn w:val="1"/>
    <w:link w:val="37"/>
    <w:autoRedefine/>
    <w:qFormat/>
    <w:uiPriority w:val="0"/>
    <w:pPr>
      <w:widowControl/>
      <w:spacing w:after="160" w:line="240" w:lineRule="exact"/>
      <w:jc w:val="left"/>
      <w:textAlignment w:val="baseline"/>
    </w:pPr>
  </w:style>
  <w:style w:type="character" w:customStyle="1" w:styleId="40">
    <w:name w:val="UserStyle_3"/>
    <w:autoRedefine/>
    <w:qFormat/>
    <w:uiPriority w:val="0"/>
    <w:rPr>
      <w:rFonts w:ascii="宋体" w:hAnsi="宋体" w:eastAsia="宋体"/>
      <w:b/>
      <w:sz w:val="32"/>
      <w:szCs w:val="32"/>
    </w:rPr>
  </w:style>
  <w:style w:type="paragraph" w:customStyle="1" w:styleId="41">
    <w:name w:val="正文_2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2">
    <w:name w:val="4正文"/>
    <w:basedOn w:val="1"/>
    <w:autoRedefine/>
    <w:qFormat/>
    <w:uiPriority w:val="0"/>
    <w:pPr>
      <w:snapToGrid w:val="0"/>
      <w:spacing w:line="360" w:lineRule="auto"/>
      <w:ind w:firstLine="480" w:firstLineChars="200"/>
    </w:pPr>
    <w:rPr>
      <w:rFonts w:eastAsia="仿宋"/>
      <w:sz w:val="24"/>
    </w:rPr>
  </w:style>
  <w:style w:type="paragraph" w:customStyle="1" w:styleId="43">
    <w:name w:val="首行缩进:  0.85 厘米"/>
    <w:basedOn w:val="1"/>
    <w:autoRedefine/>
    <w:qFormat/>
    <w:uiPriority w:val="0"/>
    <w:pPr>
      <w:widowControl/>
      <w:spacing w:after="100" w:line="360" w:lineRule="auto"/>
      <w:ind w:firstLine="482"/>
      <w:jc w:val="left"/>
    </w:pPr>
    <w:rPr>
      <w:kern w:val="0"/>
      <w:sz w:val="24"/>
      <w:lang w:eastAsia="en-US"/>
    </w:rPr>
  </w:style>
  <w:style w:type="character" w:customStyle="1" w:styleId="44">
    <w:name w:val="标题 1 Char"/>
    <w:link w:val="3"/>
    <w:autoRedefine/>
    <w:qFormat/>
    <w:uiPriority w:val="0"/>
    <w:rPr>
      <w:rFonts w:ascii="Calibri" w:hAnsi="Calibri" w:eastAsia="宋体" w:cs="Times New Roman"/>
      <w:kern w:val="44"/>
      <w:sz w:val="44"/>
      <w:szCs w:val="44"/>
    </w:rPr>
  </w:style>
  <w:style w:type="paragraph" w:customStyle="1" w:styleId="45">
    <w:name w:val="Table Paragraph"/>
    <w:basedOn w:val="1"/>
    <w:autoRedefine/>
    <w:unhideWhenUsed/>
    <w:qFormat/>
    <w:uiPriority w:val="1"/>
    <w:rPr>
      <w:sz w:val="24"/>
    </w:rPr>
  </w:style>
  <w:style w:type="paragraph" w:customStyle="1" w:styleId="46">
    <w:name w:val="列出段落1"/>
    <w:basedOn w:val="1"/>
    <w:autoRedefine/>
    <w:qFormat/>
    <w:uiPriority w:val="0"/>
    <w:pPr>
      <w:spacing w:line="360" w:lineRule="auto"/>
      <w:ind w:firstLine="420" w:firstLineChars="200"/>
    </w:pPr>
    <w:rPr>
      <w:rFonts w:ascii="等线" w:hAnsi="等线"/>
      <w:szCs w:val="22"/>
    </w:rPr>
  </w:style>
  <w:style w:type="paragraph" w:customStyle="1" w:styleId="47">
    <w:name w:val="样式 正文缩进 + 首行缩进:  2 字符"/>
    <w:basedOn w:val="7"/>
    <w:autoRedefine/>
    <w:qFormat/>
    <w:uiPriority w:val="0"/>
    <w:pPr>
      <w:spacing w:line="360" w:lineRule="auto"/>
      <w:ind w:firstLine="200"/>
    </w:pPr>
    <w:rPr>
      <w:rFonts w:cs="宋体"/>
      <w:sz w:val="24"/>
      <w:szCs w:val="20"/>
    </w:rPr>
  </w:style>
  <w:style w:type="paragraph" w:customStyle="1" w:styleId="48">
    <w:name w:val="WPS Plain"/>
    <w:basedOn w:val="1"/>
    <w:autoRedefine/>
    <w:qFormat/>
    <w:uiPriority w:val="0"/>
    <w:pPr>
      <w:widowControl/>
      <w:jc w:val="left"/>
    </w:pPr>
    <w:rPr>
      <w:rFonts w:ascii="Times New Roman"/>
      <w:sz w:val="24"/>
    </w:rPr>
  </w:style>
  <w:style w:type="paragraph" w:customStyle="1" w:styleId="49">
    <w:name w:val="普通(网站)1"/>
    <w:basedOn w:val="1"/>
    <w:autoRedefine/>
    <w:qFormat/>
    <w:uiPriority w:val="0"/>
    <w:pPr>
      <w:jc w:val="left"/>
    </w:pPr>
    <w:rPr>
      <w:kern w:val="0"/>
      <w:sz w:val="24"/>
    </w:rPr>
  </w:style>
  <w:style w:type="paragraph" w:customStyle="1" w:styleId="50">
    <w:name w:val="Body text|1"/>
    <w:basedOn w:val="1"/>
    <w:autoRedefine/>
    <w:qFormat/>
    <w:uiPriority w:val="0"/>
    <w:pPr>
      <w:spacing w:line="290" w:lineRule="auto"/>
      <w:ind w:firstLine="400"/>
    </w:pPr>
    <w:rPr>
      <w:rFonts w:ascii="宋体" w:hAnsi="宋体" w:cs="宋体"/>
      <w:sz w:val="22"/>
      <w:szCs w:val="22"/>
      <w:lang w:val="zh-CN" w:bidi="zh-CN"/>
    </w:rPr>
  </w:style>
  <w:style w:type="paragraph" w:customStyle="1" w:styleId="51">
    <w:name w:val="纯文本1"/>
    <w:basedOn w:val="1"/>
    <w:autoRedefine/>
    <w:qFormat/>
    <w:uiPriority w:val="0"/>
    <w:rPr>
      <w:rFonts w:ascii="宋体" w:hAnsi="Courier New"/>
      <w:szCs w:val="22"/>
    </w:rPr>
  </w:style>
  <w:style w:type="paragraph" w:styleId="52">
    <w:name w:val="List Paragraph"/>
    <w:basedOn w:val="1"/>
    <w:autoRedefine/>
    <w:qFormat/>
    <w:uiPriority w:val="99"/>
    <w:pPr>
      <w:ind w:firstLine="420" w:firstLineChars="200"/>
    </w:pPr>
  </w:style>
  <w:style w:type="character" w:customStyle="1" w:styleId="53">
    <w:name w:val="批注框文本 Char"/>
    <w:basedOn w:val="30"/>
    <w:link w:val="16"/>
    <w:autoRedefine/>
    <w:qFormat/>
    <w:uiPriority w:val="0"/>
    <w:rPr>
      <w:rFonts w:ascii="Calibri" w:hAnsi="Calibri"/>
      <w:kern w:val="2"/>
      <w:sz w:val="18"/>
      <w:szCs w:val="18"/>
    </w:rPr>
  </w:style>
  <w:style w:type="character" w:customStyle="1" w:styleId="54">
    <w:name w:val="批注文字 Char"/>
    <w:basedOn w:val="30"/>
    <w:link w:val="10"/>
    <w:autoRedefine/>
    <w:qFormat/>
    <w:uiPriority w:val="0"/>
    <w:rPr>
      <w:rFonts w:ascii="Calibri" w:hAnsi="Calibri"/>
      <w:kern w:val="2"/>
      <w:sz w:val="21"/>
      <w:szCs w:val="24"/>
    </w:rPr>
  </w:style>
  <w:style w:type="character" w:customStyle="1" w:styleId="55">
    <w:name w:val="批注主题 Char"/>
    <w:basedOn w:val="54"/>
    <w:link w:val="26"/>
    <w:autoRedefine/>
    <w:qFormat/>
    <w:uiPriority w:val="0"/>
    <w:rPr>
      <w:rFonts w:ascii="Calibri" w:hAnsi="Calibri"/>
      <w:b/>
      <w:bCs/>
      <w:kern w:val="2"/>
      <w:sz w:val="21"/>
      <w:szCs w:val="24"/>
    </w:rPr>
  </w:style>
  <w:style w:type="paragraph" w:customStyle="1" w:styleId="56">
    <w:name w:val="普通(网站)2"/>
    <w:basedOn w:val="1"/>
    <w:autoRedefine/>
    <w:qFormat/>
    <w:uiPriority w:val="0"/>
    <w:pPr>
      <w:jc w:val="left"/>
    </w:pPr>
    <w:rPr>
      <w:rFonts w:ascii="Times New Roman" w:hAnsi="Times New Roman"/>
      <w:kern w:val="0"/>
      <w:sz w:val="24"/>
    </w:rPr>
  </w:style>
  <w:style w:type="paragraph" w:customStyle="1" w:styleId="57">
    <w:name w:val="Normal (Web)"/>
    <w:basedOn w:val="1"/>
    <w:autoRedefine/>
    <w:qFormat/>
    <w:uiPriority w:val="0"/>
    <w:pPr>
      <w:spacing w:before="0" w:beforeLines="0" w:beforeAutospacing="0" w:after="0" w:afterLines="0" w:afterAutospacing="0"/>
      <w:ind w:left="0" w:right="0"/>
      <w:jc w:val="left"/>
    </w:pPr>
    <w:rPr>
      <w:kern w:val="0"/>
      <w:sz w:val="24"/>
      <w:lang w:val="en-US" w:eastAsia="zh-CN"/>
    </w:rPr>
  </w:style>
  <w:style w:type="paragraph" w:customStyle="1" w:styleId="58">
    <w:name w:val="图"/>
    <w:basedOn w:val="1"/>
    <w:autoRedefine/>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59">
    <w:name w:val="题注5"/>
    <w:basedOn w:val="1"/>
    <w:next w:val="8"/>
    <w:autoRedefine/>
    <w:qFormat/>
    <w:uiPriority w:val="0"/>
    <w:pPr>
      <w:numPr>
        <w:ilvl w:val="1"/>
        <w:numId w:val="2"/>
      </w:numPr>
      <w:tabs>
        <w:tab w:val="left" w:pos="0"/>
        <w:tab w:val="left" w:pos="720"/>
      </w:tabs>
      <w:spacing w:line="360" w:lineRule="auto"/>
      <w:ind w:left="720" w:hanging="720"/>
    </w:pPr>
    <w:rPr>
      <w:b/>
      <w:color w:val="000000"/>
      <w:sz w:val="28"/>
      <w:szCs w:val="28"/>
    </w:rPr>
  </w:style>
  <w:style w:type="paragraph" w:customStyle="1" w:styleId="60">
    <w:name w:val="Normal"/>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61">
    <w:name w:val="正文_1"/>
    <w:autoRedefine/>
    <w:qFormat/>
    <w:uiPriority w:val="0"/>
    <w:pPr>
      <w:widowControl w:val="0"/>
      <w:jc w:val="both"/>
    </w:pPr>
    <w:rPr>
      <w:rFonts w:ascii="Calibri" w:hAnsi="Calibri" w:eastAsia="宋体" w:cs="Times New Roman"/>
      <w:kern w:val="2"/>
      <w:sz w:val="21"/>
      <w:szCs w:val="24"/>
      <w:lang w:val="en-US" w:eastAsia="zh-CN" w:bidi="ar-SA"/>
    </w:rPr>
  </w:style>
  <w:style w:type="table" w:customStyle="1" w:styleId="62">
    <w:name w:val="无格式表格 11"/>
    <w:basedOn w:val="29"/>
    <w:autoRedefine/>
    <w:qFormat/>
    <w:uiPriority w:val="41"/>
    <w:rPr>
      <w:rFonts w:ascii="Calibri" w:hAnsi="Calibri" w:eastAsia="宋体" w:cs="Times New Roman"/>
      <w:kern w:val="0"/>
      <w:sz w:val="20"/>
      <w:szCs w:val="20"/>
    </w:rPr>
    <w:tblPr>
      <w:tblBorders>
        <w:top w:val="single" w:color="BEBEBE" w:sz="4" w:space="0"/>
        <w:left w:val="single" w:color="BEBEBE" w:sz="4" w:space="0"/>
        <w:bottom w:val="single" w:color="BEBEBE" w:sz="4" w:space="0"/>
        <w:right w:val="single" w:color="BEBEBE" w:sz="4" w:space="0"/>
        <w:insideH w:val="single" w:color="BEBEBE" w:sz="4" w:space="0"/>
        <w:insideV w:val="single" w:color="BEBEBE" w:sz="4" w:space="0"/>
      </w:tblBorders>
      <w:tblCellMar>
        <w:top w:w="0" w:type="dxa"/>
        <w:left w:w="108" w:type="dxa"/>
        <w:bottom w:w="0" w:type="dxa"/>
        <w:right w:w="108" w:type="dxa"/>
      </w:tblCellMar>
    </w:tblPr>
    <w:tblStylePr w:type="firstRow">
      <w:rPr>
        <w:b/>
        <w:bCs/>
      </w:rPr>
    </w:tblStylePr>
    <w:tblStylePr w:type="lastRow">
      <w:rPr>
        <w:b/>
        <w:bCs/>
      </w:rPr>
      <w:tcPr>
        <w:tcBorders>
          <w:top w:val="double" w:color="BEBEBE" w:sz="4"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F1F1F1"/>
      </w:tcPr>
    </w:tblStylePr>
    <w:tblStylePr w:type="band1Horz">
      <w:tcPr>
        <w:shd w:val="clear" w:color="auto" w:fill="F1F1F1"/>
      </w:tcPr>
    </w:tblStylePr>
  </w:style>
  <w:style w:type="character" w:customStyle="1" w:styleId="63">
    <w:name w:val="font181"/>
    <w:basedOn w:val="30"/>
    <w:autoRedefine/>
    <w:qFormat/>
    <w:uiPriority w:val="0"/>
    <w:rPr>
      <w:rFonts w:hint="eastAsia" w:ascii="微软雅黑" w:hAnsi="微软雅黑" w:eastAsia="微软雅黑" w:cs="微软雅黑"/>
      <w:color w:val="000000"/>
      <w:sz w:val="18"/>
      <w:szCs w:val="18"/>
      <w:u w:val="none"/>
    </w:rPr>
  </w:style>
  <w:style w:type="character" w:customStyle="1" w:styleId="64">
    <w:name w:val="font281"/>
    <w:basedOn w:val="30"/>
    <w:autoRedefine/>
    <w:qFormat/>
    <w:uiPriority w:val="0"/>
    <w:rPr>
      <w:rFonts w:hint="eastAsia" w:ascii="宋体" w:hAnsi="宋体" w:eastAsia="宋体" w:cs="宋体"/>
      <w:color w:val="000000"/>
      <w:sz w:val="18"/>
      <w:szCs w:val="18"/>
      <w:u w:val="none"/>
    </w:rPr>
  </w:style>
  <w:style w:type="character" w:customStyle="1" w:styleId="65">
    <w:name w:val="font201"/>
    <w:basedOn w:val="30"/>
    <w:autoRedefine/>
    <w:qFormat/>
    <w:uiPriority w:val="0"/>
    <w:rPr>
      <w:rFonts w:hint="eastAsia" w:ascii="宋体" w:hAnsi="宋体" w:eastAsia="宋体" w:cs="宋体"/>
      <w:color w:val="000000"/>
      <w:sz w:val="44"/>
      <w:szCs w:val="44"/>
      <w:u w:val="none"/>
    </w:rPr>
  </w:style>
  <w:style w:type="character" w:customStyle="1" w:styleId="66">
    <w:name w:val="font212"/>
    <w:basedOn w:val="30"/>
    <w:autoRedefine/>
    <w:qFormat/>
    <w:uiPriority w:val="0"/>
    <w:rPr>
      <w:rFonts w:hint="default" w:ascii="Segoe UI" w:hAnsi="Segoe UI" w:eastAsia="Segoe UI" w:cs="Segoe UI"/>
      <w:color w:val="000000"/>
      <w:sz w:val="44"/>
      <w:szCs w:val="44"/>
      <w:u w:val="none"/>
    </w:rPr>
  </w:style>
  <w:style w:type="character" w:customStyle="1" w:styleId="67">
    <w:name w:val="font41"/>
    <w:basedOn w:val="30"/>
    <w:autoRedefine/>
    <w:qFormat/>
    <w:uiPriority w:val="0"/>
    <w:rPr>
      <w:rFonts w:hint="eastAsia" w:ascii="宋体" w:hAnsi="宋体" w:eastAsia="宋体" w:cs="宋体"/>
      <w:color w:val="000000"/>
      <w:sz w:val="24"/>
      <w:szCs w:val="24"/>
      <w:u w:val="none"/>
    </w:rPr>
  </w:style>
  <w:style w:type="character" w:customStyle="1" w:styleId="68">
    <w:name w:val="font291"/>
    <w:basedOn w:val="30"/>
    <w:autoRedefine/>
    <w:qFormat/>
    <w:uiPriority w:val="0"/>
    <w:rPr>
      <w:rFonts w:ascii="Arial" w:hAnsi="Arial" w:cs="Arial"/>
      <w:color w:val="000000"/>
      <w:sz w:val="24"/>
      <w:szCs w:val="24"/>
      <w:u w:val="none"/>
    </w:rPr>
  </w:style>
  <w:style w:type="character" w:customStyle="1" w:styleId="69">
    <w:name w:val="font221"/>
    <w:basedOn w:val="30"/>
    <w:autoRedefine/>
    <w:qFormat/>
    <w:uiPriority w:val="0"/>
    <w:rPr>
      <w:rFonts w:hint="eastAsia" w:ascii="宋体" w:hAnsi="宋体" w:eastAsia="宋体" w:cs="宋体"/>
      <w:color w:val="000000"/>
      <w:sz w:val="24"/>
      <w:szCs w:val="24"/>
      <w:u w:val="none"/>
    </w:rPr>
  </w:style>
  <w:style w:type="character" w:customStyle="1" w:styleId="70">
    <w:name w:val="font301"/>
    <w:basedOn w:val="30"/>
    <w:autoRedefine/>
    <w:qFormat/>
    <w:uiPriority w:val="0"/>
    <w:rPr>
      <w:rFonts w:ascii="Tahoma" w:hAnsi="Tahoma" w:eastAsia="Tahoma" w:cs="Tahoma"/>
      <w:b/>
      <w:bCs/>
      <w:color w:val="3C3C3C"/>
      <w:sz w:val="24"/>
      <w:szCs w:val="24"/>
      <w:u w:val="none"/>
    </w:rPr>
  </w:style>
  <w:style w:type="character" w:customStyle="1" w:styleId="71">
    <w:name w:val="font312"/>
    <w:basedOn w:val="30"/>
    <w:autoRedefine/>
    <w:qFormat/>
    <w:uiPriority w:val="0"/>
    <w:rPr>
      <w:rFonts w:hint="eastAsia" w:ascii="宋体" w:hAnsi="宋体" w:eastAsia="宋体" w:cs="宋体"/>
      <w:b/>
      <w:bCs/>
      <w:color w:val="3C3C3C"/>
      <w:sz w:val="24"/>
      <w:szCs w:val="24"/>
      <w:u w:val="none"/>
    </w:rPr>
  </w:style>
  <w:style w:type="character" w:customStyle="1" w:styleId="72">
    <w:name w:val="font271"/>
    <w:basedOn w:val="30"/>
    <w:autoRedefine/>
    <w:qFormat/>
    <w:uiPriority w:val="0"/>
    <w:rPr>
      <w:rFonts w:hint="default" w:ascii="Tahoma" w:hAnsi="Tahoma" w:eastAsia="Tahoma" w:cs="Tahoma"/>
      <w:color w:val="3C3C3C"/>
      <w:sz w:val="24"/>
      <w:szCs w:val="24"/>
      <w:u w:val="none"/>
    </w:rPr>
  </w:style>
  <w:style w:type="character" w:customStyle="1" w:styleId="73">
    <w:name w:val="font321"/>
    <w:basedOn w:val="30"/>
    <w:autoRedefine/>
    <w:qFormat/>
    <w:uiPriority w:val="0"/>
    <w:rPr>
      <w:rFonts w:hint="eastAsia" w:ascii="宋体" w:hAnsi="宋体" w:eastAsia="宋体" w:cs="宋体"/>
      <w:color w:val="3C3C3C"/>
      <w:sz w:val="24"/>
      <w:szCs w:val="24"/>
      <w:u w:val="none"/>
    </w:rPr>
  </w:style>
  <w:style w:type="character" w:customStyle="1" w:styleId="74">
    <w:name w:val="font11"/>
    <w:basedOn w:val="30"/>
    <w:autoRedefine/>
    <w:qFormat/>
    <w:uiPriority w:val="0"/>
    <w:rPr>
      <w:rFonts w:hint="eastAsia" w:ascii="宋体" w:hAnsi="宋体" w:eastAsia="宋体" w:cs="宋体"/>
      <w:color w:val="000000"/>
      <w:sz w:val="22"/>
      <w:szCs w:val="22"/>
      <w:u w:val="none"/>
    </w:rPr>
  </w:style>
  <w:style w:type="character" w:customStyle="1" w:styleId="75">
    <w:name w:val="font21"/>
    <w:basedOn w:val="30"/>
    <w:autoRedefine/>
    <w:qFormat/>
    <w:uiPriority w:val="0"/>
    <w:rPr>
      <w:rFonts w:hint="eastAsia" w:ascii="宋体" w:hAnsi="宋体" w:eastAsia="宋体" w:cs="宋体"/>
      <w:color w:val="FF0000"/>
      <w:sz w:val="22"/>
      <w:szCs w:val="22"/>
      <w:u w:val="none"/>
    </w:rPr>
  </w:style>
  <w:style w:type="character" w:customStyle="1" w:styleId="76">
    <w:name w:val="font01"/>
    <w:basedOn w:val="30"/>
    <w:autoRedefine/>
    <w:qFormat/>
    <w:uiPriority w:val="0"/>
    <w:rPr>
      <w:rFonts w:hint="eastAsia" w:ascii="宋体" w:hAnsi="宋体" w:eastAsia="宋体" w:cs="宋体"/>
      <w:color w:val="000000"/>
      <w:sz w:val="22"/>
      <w:szCs w:val="22"/>
      <w:u w:val="none"/>
    </w:rPr>
  </w:style>
  <w:style w:type="paragraph" w:customStyle="1" w:styleId="77">
    <w:name w:val="BodyText1I2"/>
    <w:basedOn w:val="78"/>
    <w:next w:val="79"/>
    <w:autoRedefine/>
    <w:qFormat/>
    <w:uiPriority w:val="0"/>
    <w:pPr>
      <w:ind w:leftChars="0"/>
    </w:pPr>
    <w:rPr>
      <w:rFonts w:ascii="Calibri" w:hAnsi="Calibri"/>
      <w:sz w:val="21"/>
      <w:szCs w:val="22"/>
    </w:rPr>
  </w:style>
  <w:style w:type="paragraph" w:customStyle="1" w:styleId="78">
    <w:name w:val="BodyTextIndent"/>
    <w:basedOn w:val="1"/>
    <w:autoRedefine/>
    <w:qFormat/>
    <w:uiPriority w:val="0"/>
    <w:pPr>
      <w:spacing w:after="120"/>
      <w:ind w:left="420" w:leftChars="200"/>
    </w:pPr>
    <w:rPr>
      <w:sz w:val="24"/>
      <w:szCs w:val="24"/>
    </w:rPr>
  </w:style>
  <w:style w:type="paragraph" w:customStyle="1" w:styleId="79">
    <w:name w:val="BodyText"/>
    <w:basedOn w:val="1"/>
    <w:next w:val="1"/>
    <w:autoRedefine/>
    <w:qFormat/>
    <w:uiPriority w:val="0"/>
    <w:rPr>
      <w:rFonts w:eastAsia="黑体"/>
      <w:kern w:val="0"/>
      <w:sz w:val="36"/>
      <w:szCs w:val="36"/>
    </w:rPr>
  </w:style>
  <w:style w:type="character" w:customStyle="1" w:styleId="80">
    <w:name w:val="font131"/>
    <w:basedOn w:val="30"/>
    <w:autoRedefine/>
    <w:qFormat/>
    <w:uiPriority w:val="0"/>
    <w:rPr>
      <w:rFonts w:hint="eastAsia" w:ascii="宋体" w:hAnsi="宋体" w:eastAsia="宋体" w:cs="宋体"/>
      <w:b/>
      <w:bCs/>
      <w:color w:val="FF0000"/>
      <w:sz w:val="20"/>
      <w:szCs w:val="20"/>
      <w:u w:val="none"/>
    </w:rPr>
  </w:style>
  <w:style w:type="character" w:customStyle="1" w:styleId="81">
    <w:name w:val="font141"/>
    <w:basedOn w:val="30"/>
    <w:autoRedefine/>
    <w:qFormat/>
    <w:uiPriority w:val="0"/>
    <w:rPr>
      <w:rFonts w:hint="eastAsia" w:ascii="宋体" w:hAnsi="宋体" w:eastAsia="宋体" w:cs="宋体"/>
      <w:strike/>
      <w:color w:val="FF0000"/>
      <w:sz w:val="20"/>
      <w:szCs w:val="20"/>
    </w:rPr>
  </w:style>
  <w:style w:type="character" w:customStyle="1" w:styleId="82">
    <w:name w:val="font151"/>
    <w:basedOn w:val="30"/>
    <w:autoRedefine/>
    <w:qFormat/>
    <w:uiPriority w:val="0"/>
    <w:rPr>
      <w:rFonts w:hint="eastAsia" w:ascii="宋体" w:hAnsi="宋体" w:eastAsia="宋体" w:cs="宋体"/>
      <w:b/>
      <w:bCs/>
      <w:strike/>
      <w:color w:val="FF0000"/>
      <w:sz w:val="20"/>
      <w:szCs w:val="20"/>
    </w:rPr>
  </w:style>
  <w:style w:type="character" w:customStyle="1" w:styleId="83">
    <w:name w:val="font51"/>
    <w:basedOn w:val="30"/>
    <w:autoRedefine/>
    <w:qFormat/>
    <w:uiPriority w:val="0"/>
    <w:rPr>
      <w:rFonts w:hint="eastAsia" w:ascii="宋体" w:hAnsi="宋体" w:eastAsia="宋体" w:cs="宋体"/>
      <w:color w:val="000000"/>
      <w:sz w:val="18"/>
      <w:szCs w:val="18"/>
      <w:u w:val="none"/>
    </w:rPr>
  </w:style>
  <w:style w:type="character" w:customStyle="1" w:styleId="84">
    <w:name w:val="font161"/>
    <w:basedOn w:val="30"/>
    <w:autoRedefine/>
    <w:qFormat/>
    <w:uiPriority w:val="0"/>
    <w:rPr>
      <w:rFonts w:hint="eastAsia" w:ascii="宋体" w:hAnsi="宋体" w:eastAsia="宋体" w:cs="宋体"/>
      <w:color w:val="FF0000"/>
      <w:sz w:val="18"/>
      <w:szCs w:val="18"/>
      <w:u w:val="none"/>
    </w:rPr>
  </w:style>
  <w:style w:type="character" w:customStyle="1" w:styleId="85">
    <w:name w:val="font171"/>
    <w:basedOn w:val="30"/>
    <w:autoRedefine/>
    <w:qFormat/>
    <w:uiPriority w:val="0"/>
    <w:rPr>
      <w:rFonts w:ascii="微软雅黑" w:hAnsi="微软雅黑" w:eastAsia="微软雅黑" w:cs="微软雅黑"/>
      <w:color w:val="FF0000"/>
      <w:sz w:val="18"/>
      <w:szCs w:val="18"/>
      <w:u w:val="none"/>
    </w:rPr>
  </w:style>
  <w:style w:type="character" w:customStyle="1" w:styleId="86">
    <w:name w:val="font71"/>
    <w:basedOn w:val="30"/>
    <w:autoRedefine/>
    <w:qFormat/>
    <w:uiPriority w:val="0"/>
    <w:rPr>
      <w:rFonts w:hint="eastAsia" w:ascii="宋体" w:hAnsi="宋体" w:eastAsia="宋体" w:cs="宋体"/>
      <w:color w:val="FF0000"/>
      <w:sz w:val="20"/>
      <w:szCs w:val="20"/>
      <w:u w:val="none"/>
    </w:rPr>
  </w:style>
  <w:style w:type="character" w:customStyle="1" w:styleId="87">
    <w:name w:val="font81"/>
    <w:basedOn w:val="30"/>
    <w:autoRedefine/>
    <w:qFormat/>
    <w:uiPriority w:val="0"/>
    <w:rPr>
      <w:rFonts w:hint="eastAsia" w:ascii="宋体" w:hAnsi="宋体" w:eastAsia="宋体" w:cs="宋体"/>
      <w:color w:val="FF0000"/>
      <w:sz w:val="20"/>
      <w:szCs w:val="20"/>
      <w:u w:val="none"/>
    </w:rPr>
  </w:style>
  <w:style w:type="character" w:customStyle="1" w:styleId="88">
    <w:name w:val="font91"/>
    <w:basedOn w:val="30"/>
    <w:autoRedefine/>
    <w:qFormat/>
    <w:uiPriority w:val="0"/>
    <w:rPr>
      <w:rFonts w:hint="eastAsia" w:ascii="宋体" w:hAnsi="宋体" w:eastAsia="宋体" w:cs="宋体"/>
      <w:strike/>
      <w:color w:val="000000"/>
      <w:sz w:val="20"/>
      <w:szCs w:val="20"/>
    </w:rPr>
  </w:style>
  <w:style w:type="character" w:customStyle="1" w:styleId="89">
    <w:name w:val="font101"/>
    <w:basedOn w:val="30"/>
    <w:autoRedefine/>
    <w:qFormat/>
    <w:uiPriority w:val="0"/>
    <w:rPr>
      <w:rFonts w:hint="eastAsia" w:ascii="宋体" w:hAnsi="宋体" w:eastAsia="宋体" w:cs="宋体"/>
      <w:strike/>
      <w:color w:val="FF0000"/>
      <w:sz w:val="20"/>
      <w:szCs w:val="20"/>
    </w:rPr>
  </w:style>
  <w:style w:type="character" w:customStyle="1" w:styleId="90">
    <w:name w:val="font23"/>
    <w:basedOn w:val="30"/>
    <w:autoRedefine/>
    <w:qFormat/>
    <w:uiPriority w:val="0"/>
    <w:rPr>
      <w:rFonts w:hint="eastAsia" w:ascii="宋体" w:hAnsi="宋体" w:eastAsia="宋体" w:cs="宋体"/>
      <w:color w:val="000000"/>
      <w:sz w:val="20"/>
      <w:szCs w:val="20"/>
      <w:u w:val="none"/>
    </w:rPr>
  </w:style>
  <w:style w:type="character" w:customStyle="1" w:styleId="91">
    <w:name w:val="font191"/>
    <w:basedOn w:val="30"/>
    <w:autoRedefine/>
    <w:qFormat/>
    <w:uiPriority w:val="0"/>
    <w:rPr>
      <w:rFonts w:hint="eastAsia" w:ascii="宋体" w:hAnsi="宋体" w:eastAsia="宋体" w:cs="宋体"/>
      <w:b/>
      <w:bCs/>
      <w:color w:val="FF0000"/>
      <w:sz w:val="18"/>
      <w:szCs w:val="18"/>
      <w:u w:val="none"/>
    </w:rPr>
  </w:style>
  <w:style w:type="character" w:customStyle="1" w:styleId="92">
    <w:name w:val="font211"/>
    <w:basedOn w:val="30"/>
    <w:autoRedefine/>
    <w:qFormat/>
    <w:uiPriority w:val="0"/>
    <w:rPr>
      <w:rFonts w:hint="eastAsia" w:ascii="宋体" w:hAnsi="宋体" w:eastAsia="宋体" w:cs="宋体"/>
      <w:strike/>
      <w:color w:val="000000"/>
      <w:sz w:val="18"/>
      <w:szCs w:val="18"/>
    </w:rPr>
  </w:style>
  <w:style w:type="character" w:customStyle="1" w:styleId="93">
    <w:name w:val="font112"/>
    <w:basedOn w:val="30"/>
    <w:autoRedefine/>
    <w:qFormat/>
    <w:uiPriority w:val="0"/>
    <w:rPr>
      <w:rFonts w:hint="eastAsia" w:ascii="宋体" w:hAnsi="宋体" w:eastAsia="宋体" w:cs="宋体"/>
      <w:color w:val="000000"/>
      <w:sz w:val="18"/>
      <w:szCs w:val="18"/>
      <w:u w:val="none"/>
    </w:rPr>
  </w:style>
  <w:style w:type="character" w:customStyle="1" w:styleId="94">
    <w:name w:val="font31"/>
    <w:basedOn w:val="30"/>
    <w:autoRedefine/>
    <w:qFormat/>
    <w:uiPriority w:val="0"/>
    <w:rPr>
      <w:rFonts w:hint="eastAsia" w:ascii="宋体" w:hAnsi="宋体" w:eastAsia="宋体" w:cs="宋体"/>
      <w:color w:val="000000"/>
      <w:sz w:val="18"/>
      <w:szCs w:val="18"/>
      <w:u w:val="none"/>
    </w:rPr>
  </w:style>
  <w:style w:type="character" w:customStyle="1" w:styleId="95">
    <w:name w:val="font121"/>
    <w:basedOn w:val="30"/>
    <w:autoRedefine/>
    <w:qFormat/>
    <w:uiPriority w:val="0"/>
    <w:rPr>
      <w:rFonts w:hint="eastAsia" w:ascii="宋体" w:hAnsi="宋体" w:eastAsia="宋体" w:cs="宋体"/>
      <w:b/>
      <w:bCs/>
      <w:strike/>
      <w:color w:val="FF0000"/>
      <w:sz w:val="20"/>
      <w:szCs w:val="20"/>
    </w:rPr>
  </w:style>
  <w:style w:type="character" w:customStyle="1" w:styleId="96">
    <w:name w:val="font61"/>
    <w:basedOn w:val="30"/>
    <w:autoRedefine/>
    <w:qFormat/>
    <w:uiPriority w:val="0"/>
    <w:rPr>
      <w:rFonts w:hint="eastAsia" w:ascii="宋体" w:hAnsi="宋体" w:eastAsia="宋体" w:cs="宋体"/>
      <w:color w:val="3366FF"/>
      <w:sz w:val="22"/>
      <w:szCs w:val="22"/>
      <w:u w:val="none"/>
    </w:rPr>
  </w:style>
  <w:style w:type="paragraph" w:customStyle="1" w:styleId="97">
    <w:name w:val="表 靠左"/>
    <w:basedOn w:val="1"/>
    <w:qFormat/>
    <w:uiPriority w:val="0"/>
    <w:pPr>
      <w:spacing w:line="240" w:lineRule="auto"/>
      <w:ind w:firstLine="0" w:firstLineChars="0"/>
    </w:pPr>
    <w:rPr>
      <w:rFonts w:asciiTheme="minorEastAsia" w:hAnsiTheme="minorEastAsia" w:eastAsiaTheme="minorEastAsi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F306ECC-EA8F-4E41-BC32-F0EDF5BE185C}">
  <ds:schemaRefs/>
</ds:datastoreItem>
</file>

<file path=docProps/app.xml><?xml version="1.0" encoding="utf-8"?>
<Properties xmlns="http://schemas.openxmlformats.org/officeDocument/2006/extended-properties" xmlns:vt="http://schemas.openxmlformats.org/officeDocument/2006/docPropsVTypes">
  <Template>Normal</Template>
  <Pages>83</Pages>
  <Words>4928</Words>
  <Characters>5607</Characters>
  <Lines>214</Lines>
  <Paragraphs>60</Paragraphs>
  <TotalTime>159</TotalTime>
  <ScaleCrop>false</ScaleCrop>
  <LinksUpToDate>false</LinksUpToDate>
  <CharactersWithSpaces>5855</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2023-02-22T09:34:00Z</dcterms:created>
  <dc:creator>lenovo</dc:creator>
  <cp:lastModifiedBy>国</cp:lastModifiedBy>
  <dcterms:modified xsi:type="dcterms:W3CDTF">2025-04-02T08:53:54Z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2666A25B40FB48A1A8FD92D0BFCE4689_13</vt:lpwstr>
  </property>
  <property fmtid="{D5CDD505-2E9C-101B-9397-08002B2CF9AE}" pid="4" name="KSOTemplateDocerSaveRecord">
    <vt:lpwstr>eyJoZGlkIjoiZmJiYzgwNzU5MTA5MTJjYWMzMjg0NTIyNWFmNjgzMTkiLCJ1c2VySWQiOiI2NDQ2MTE4MDIifQ==</vt:lpwstr>
  </property>
</Properties>
</file>