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after="120" w:line="540" w:lineRule="exact"/>
        <w:jc w:val="left"/>
        <w:rPr>
          <w:rFonts w:hint="eastAsia" w:ascii="宋体" w:hAnsi="宋体" w:eastAsia="宋体" w:cs="宋体"/>
          <w:color w:val="000000" w:themeColor="text1"/>
          <w:sz w:val="44"/>
          <w:highlight w:val="none"/>
          <w14:textFill>
            <w14:solidFill>
              <w14:schemeClr w14:val="tx1"/>
            </w14:solidFill>
          </w14:textFill>
        </w:rPr>
      </w:pPr>
    </w:p>
    <w:p>
      <w:pPr>
        <w:pStyle w:val="35"/>
        <w:rPr>
          <w:rFonts w:hint="eastAsia" w:ascii="宋体" w:hAnsi="宋体" w:eastAsia="宋体" w:cs="宋体"/>
          <w:color w:val="000000" w:themeColor="text1"/>
          <w:sz w:val="44"/>
          <w:highlight w:val="none"/>
          <w14:textFill>
            <w14:solidFill>
              <w14:schemeClr w14:val="tx1"/>
            </w14:solidFill>
          </w14:textFill>
        </w:rPr>
      </w:pPr>
    </w:p>
    <w:p>
      <w:pPr>
        <w:pStyle w:val="36"/>
        <w:rPr>
          <w:rFonts w:hint="eastAsia" w:ascii="宋体" w:hAnsi="宋体" w:eastAsia="宋体" w:cs="宋体"/>
          <w:color w:val="000000" w:themeColor="text1"/>
          <w:highlight w:val="none"/>
          <w14:textFill>
            <w14:solidFill>
              <w14:schemeClr w14:val="tx1"/>
            </w14:solidFill>
          </w14:textFill>
        </w:rPr>
      </w:pPr>
    </w:p>
    <w:p>
      <w:pPr>
        <w:pStyle w:val="36"/>
        <w:rPr>
          <w:rFonts w:hint="eastAsia" w:ascii="宋体" w:hAnsi="宋体" w:eastAsia="宋体" w:cs="宋体"/>
          <w:color w:val="000000" w:themeColor="text1"/>
          <w:highlight w:val="none"/>
          <w14:textFill>
            <w14:solidFill>
              <w14:schemeClr w14:val="tx1"/>
            </w14:solidFill>
          </w14:textFill>
        </w:rPr>
      </w:pPr>
    </w:p>
    <w:p>
      <w:pPr>
        <w:snapToGrid w:val="0"/>
        <w:spacing w:line="360" w:lineRule="auto"/>
        <w:jc w:val="center"/>
        <w:rPr>
          <w:rStyle w:val="40"/>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52"/>
          <w:szCs w:val="52"/>
          <w:highlight w:val="none"/>
          <w:lang w:eastAsia="zh-CN"/>
          <w14:textFill>
            <w14:solidFill>
              <w14:schemeClr w14:val="tx1"/>
            </w14:solidFill>
          </w14:textFill>
        </w:rPr>
        <w:t>招</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标</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文</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件</w:t>
      </w:r>
    </w:p>
    <w:p>
      <w:pPr>
        <w:snapToGrid w:val="0"/>
        <w:jc w:val="center"/>
        <w:rPr>
          <w:rStyle w:val="40"/>
          <w:rFonts w:hint="eastAsia" w:ascii="宋体" w:hAnsi="宋体" w:eastAsia="宋体" w:cs="宋体"/>
          <w:b w:val="0"/>
          <w:bCs/>
          <w:color w:val="000000" w:themeColor="text1"/>
          <w:highlight w:val="none"/>
          <w14:textFill>
            <w14:solidFill>
              <w14:schemeClr w14:val="tx1"/>
            </w14:solidFill>
          </w14:textFill>
        </w:rPr>
      </w:pPr>
    </w:p>
    <w:p>
      <w:pPr>
        <w:pStyle w:val="35"/>
        <w:rPr>
          <w:rStyle w:val="40"/>
          <w:rFonts w:hint="eastAsia" w:ascii="宋体" w:hAnsi="宋体" w:eastAsia="宋体" w:cs="宋体"/>
          <w:b w:val="0"/>
          <w:bCs/>
          <w:color w:val="000000" w:themeColor="text1"/>
          <w:highlight w:val="none"/>
          <w14:textFill>
            <w14:solidFill>
              <w14:schemeClr w14:val="tx1"/>
            </w14:solidFill>
          </w14:textFill>
        </w:rPr>
      </w:pPr>
    </w:p>
    <w:p>
      <w:pPr>
        <w:pStyle w:val="36"/>
        <w:rPr>
          <w:rStyle w:val="40"/>
          <w:rFonts w:hint="eastAsia" w:ascii="宋体" w:hAnsi="宋体" w:eastAsia="宋体" w:cs="宋体"/>
          <w:b w:val="0"/>
          <w:bCs/>
          <w:color w:val="000000" w:themeColor="text1"/>
          <w:highlight w:val="none"/>
          <w14:textFill>
            <w14:solidFill>
              <w14:schemeClr w14:val="tx1"/>
            </w14:solidFill>
          </w14:textFill>
        </w:rPr>
      </w:pPr>
    </w:p>
    <w:p>
      <w:pPr>
        <w:pStyle w:val="36"/>
        <w:rPr>
          <w:rStyle w:val="40"/>
          <w:rFonts w:hint="eastAsia" w:ascii="宋体" w:hAnsi="宋体" w:eastAsia="宋体" w:cs="宋体"/>
          <w:b w:val="0"/>
          <w:bCs/>
          <w:color w:val="000000" w:themeColor="text1"/>
          <w:highlight w:val="none"/>
          <w14:textFill>
            <w14:solidFill>
              <w14:schemeClr w14:val="tx1"/>
            </w14:solidFill>
          </w14:textFill>
        </w:rPr>
      </w:pPr>
    </w:p>
    <w:p>
      <w:pPr>
        <w:pStyle w:val="36"/>
        <w:rPr>
          <w:rStyle w:val="40"/>
          <w:rFonts w:hint="eastAsia" w:ascii="宋体" w:hAnsi="宋体" w:eastAsia="宋体" w:cs="宋体"/>
          <w:b w:val="0"/>
          <w:bCs/>
          <w:color w:val="000000" w:themeColor="text1"/>
          <w:highlight w:val="none"/>
          <w14:textFill>
            <w14:solidFill>
              <w14:schemeClr w14:val="tx1"/>
            </w14:solidFill>
          </w14:textFill>
        </w:rPr>
      </w:pPr>
    </w:p>
    <w:p>
      <w:pPr>
        <w:snapToGrid w:val="0"/>
        <w:spacing w:line="480" w:lineRule="auto"/>
        <w:ind w:firstLine="357"/>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项目名称：</w:t>
      </w:r>
      <w:r>
        <w:rPr>
          <w:rStyle w:val="37"/>
          <w:rFonts w:hint="eastAsia" w:ascii="宋体" w:hAnsi="宋体" w:eastAsia="宋体" w:cs="宋体"/>
          <w:bCs/>
          <w:color w:val="000000" w:themeColor="text1"/>
          <w:sz w:val="24"/>
          <w:highlight w:val="none"/>
          <w:lang w:val="en-US" w:eastAsia="zh-CN"/>
          <w14:textFill>
            <w14:solidFill>
              <w14:schemeClr w14:val="tx1"/>
            </w14:solidFill>
          </w14:textFill>
        </w:rPr>
        <w:t>沙湾市中等职业技术学校新校区办学条件提升工程-智慧图书馆建设项目</w:t>
      </w:r>
    </w:p>
    <w:p>
      <w:pPr>
        <w:snapToGrid w:val="0"/>
        <w:spacing w:line="480" w:lineRule="auto"/>
        <w:ind w:firstLine="357"/>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项目编号：</w:t>
      </w:r>
      <w:r>
        <w:rPr>
          <w:rStyle w:val="37"/>
          <w:rFonts w:hint="eastAsia" w:ascii="宋体" w:hAnsi="宋体" w:cs="宋体"/>
          <w:bCs/>
          <w:color w:val="000000" w:themeColor="text1"/>
          <w:sz w:val="24"/>
          <w:highlight w:val="none"/>
          <w:lang w:val="en-US" w:eastAsia="zh-CN"/>
          <w14:textFill>
            <w14:solidFill>
              <w14:schemeClr w14:val="tx1"/>
            </w14:solidFill>
          </w14:textFill>
        </w:rPr>
        <w:t>XJTYSWZC-20240530</w:t>
      </w:r>
    </w:p>
    <w:p>
      <w:pPr>
        <w:keepNext w:val="0"/>
        <w:keepLines w:val="0"/>
        <w:pageBreakBefore w:val="0"/>
        <w:widowControl w:val="0"/>
        <w:kinsoku/>
        <w:wordWrap/>
        <w:overflowPunct/>
        <w:topLinePunct w:val="0"/>
        <w:autoSpaceDE/>
        <w:autoSpaceDN/>
        <w:bidi w:val="0"/>
        <w:adjustRightInd/>
        <w:snapToGrid w:val="0"/>
        <w:spacing w:line="600" w:lineRule="exact"/>
        <w:ind w:firstLine="357"/>
        <w:textAlignment w:val="auto"/>
        <w:rPr>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采购人</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（盖章）</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：沙湾市中等职业技术学校</w:t>
      </w:r>
    </w:p>
    <w:p>
      <w:pPr>
        <w:keepNext w:val="0"/>
        <w:keepLines w:val="0"/>
        <w:pageBreakBefore w:val="0"/>
        <w:widowControl w:val="0"/>
        <w:kinsoku/>
        <w:wordWrap/>
        <w:overflowPunct/>
        <w:topLinePunct w:val="0"/>
        <w:autoSpaceDE/>
        <w:autoSpaceDN/>
        <w:bidi w:val="0"/>
        <w:adjustRightInd/>
        <w:snapToGrid w:val="0"/>
        <w:spacing w:line="600" w:lineRule="exact"/>
        <w:ind w:firstLine="357"/>
        <w:textAlignment w:val="auto"/>
        <w:rPr>
          <w:rStyle w:val="37"/>
          <w:rFonts w:hint="eastAsia" w:ascii="宋体" w:hAnsi="宋体" w:eastAsia="宋体" w:cs="宋体"/>
          <w:bCs/>
          <w:caps w:val="0"/>
          <w:color w:val="000000" w:themeColor="text1"/>
          <w:spacing w:val="0"/>
          <w:sz w:val="24"/>
          <w:szCs w:val="24"/>
          <w:highlight w:val="none"/>
          <w:lang w:val="en-US"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联</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系</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人</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王素兰</w:t>
      </w:r>
    </w:p>
    <w:p>
      <w:pPr>
        <w:keepNext w:val="0"/>
        <w:keepLines w:val="0"/>
        <w:pageBreakBefore w:val="0"/>
        <w:widowControl w:val="0"/>
        <w:kinsoku/>
        <w:wordWrap/>
        <w:overflowPunct/>
        <w:topLinePunct w:val="0"/>
        <w:autoSpaceDE/>
        <w:autoSpaceDN/>
        <w:bidi w:val="0"/>
        <w:adjustRightInd/>
        <w:snapToGrid w:val="0"/>
        <w:spacing w:line="600" w:lineRule="exact"/>
        <w:ind w:firstLine="357"/>
        <w:textAlignment w:val="auto"/>
        <w:rPr>
          <w:rStyle w:val="37"/>
          <w:rFonts w:hint="default" w:ascii="宋体" w:hAnsi="宋体" w:eastAsia="宋体" w:cs="宋体"/>
          <w:bCs/>
          <w:caps w:val="0"/>
          <w:color w:val="000000" w:themeColor="text1"/>
          <w:spacing w:val="0"/>
          <w:sz w:val="24"/>
          <w:szCs w:val="24"/>
          <w:highlight w:val="none"/>
          <w:lang w:val="en-US"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电</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话</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val="en-US" w:eastAsia="zh-CN"/>
          <w14:textFill>
            <w14:solidFill>
              <w14:schemeClr w14:val="tx1"/>
            </w14:solidFill>
          </w14:textFill>
        </w:rPr>
        <w:t>15001633288</w:t>
      </w:r>
    </w:p>
    <w:p>
      <w:pPr>
        <w:keepNext w:val="0"/>
        <w:keepLines w:val="0"/>
        <w:pageBreakBefore w:val="0"/>
        <w:widowControl w:val="0"/>
        <w:kinsoku/>
        <w:wordWrap/>
        <w:overflowPunct/>
        <w:topLinePunct w:val="0"/>
        <w:autoSpaceDE/>
        <w:autoSpaceDN/>
        <w:bidi w:val="0"/>
        <w:adjustRightInd/>
        <w:snapToGrid w:val="0"/>
        <w:spacing w:line="600" w:lineRule="exact"/>
        <w:ind w:firstLine="357"/>
        <w:textAlignment w:val="auto"/>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详</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细</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地</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址</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沙湾市</w:t>
      </w:r>
    </w:p>
    <w:p>
      <w:pPr>
        <w:pStyle w:val="35"/>
        <w:rPr>
          <w:rFonts w:hint="eastAsia" w:ascii="宋体" w:hAnsi="宋体" w:eastAsia="宋体" w:cs="宋体"/>
          <w:color w:val="000000" w:themeColor="text1"/>
          <w:highlight w:val="none"/>
          <w14:textFill>
            <w14:solidFill>
              <w14:schemeClr w14:val="tx1"/>
            </w14:solidFill>
          </w14:textFill>
        </w:rPr>
      </w:pPr>
    </w:p>
    <w:p>
      <w:pPr>
        <w:pStyle w:val="36"/>
        <w:rPr>
          <w:rFonts w:hint="eastAsia"/>
          <w:color w:val="000000" w:themeColor="text1"/>
          <w:highlight w:val="none"/>
          <w14:textFill>
            <w14:solidFill>
              <w14:schemeClr w14:val="tx1"/>
            </w14:solidFill>
          </w14:textFill>
        </w:rPr>
      </w:pPr>
    </w:p>
    <w:p>
      <w:pPr>
        <w:snapToGrid w:val="0"/>
        <w:spacing w:line="480" w:lineRule="auto"/>
        <w:ind w:firstLine="357"/>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采购代理机构（</w:t>
      </w:r>
      <w:r>
        <w:rPr>
          <w:rStyle w:val="37"/>
          <w:rFonts w:hint="eastAsia" w:ascii="宋体" w:hAnsi="宋体" w:eastAsia="宋体" w:cs="宋体"/>
          <w:bCs/>
          <w:color w:val="000000" w:themeColor="text1"/>
          <w:sz w:val="24"/>
          <w:highlight w:val="none"/>
          <w:lang w:eastAsia="zh-CN"/>
          <w14:textFill>
            <w14:solidFill>
              <w14:schemeClr w14:val="tx1"/>
            </w14:solidFill>
          </w14:textFill>
        </w:rPr>
        <w:t>盖公章</w:t>
      </w:r>
      <w:r>
        <w:rPr>
          <w:rStyle w:val="37"/>
          <w:rFonts w:hint="eastAsia" w:ascii="宋体" w:hAnsi="宋体" w:eastAsia="宋体" w:cs="宋体"/>
          <w:bCs/>
          <w:color w:val="000000" w:themeColor="text1"/>
          <w:sz w:val="24"/>
          <w:highlight w:val="none"/>
          <w14:textFill>
            <w14:solidFill>
              <w14:schemeClr w14:val="tx1"/>
            </w14:solidFill>
          </w14:textFill>
        </w:rPr>
        <w:t>）:新疆拓源工程管理咨询有限公司</w:t>
      </w:r>
    </w:p>
    <w:p>
      <w:pPr>
        <w:snapToGrid w:val="0"/>
        <w:spacing w:line="480" w:lineRule="auto"/>
        <w:ind w:firstLine="357"/>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pacing w:val="35"/>
          <w:kern w:val="0"/>
          <w:sz w:val="24"/>
          <w:highlight w:val="none"/>
          <w14:textFill>
            <w14:solidFill>
              <w14:schemeClr w14:val="tx1"/>
            </w14:solidFill>
          </w14:textFill>
        </w:rPr>
        <w:t>项 目 联系人</w:t>
      </w:r>
      <w:r>
        <w:rPr>
          <w:rStyle w:val="37"/>
          <w:rFonts w:hint="eastAsia" w:ascii="宋体" w:hAnsi="宋体" w:eastAsia="宋体" w:cs="宋体"/>
          <w:bCs/>
          <w:color w:val="000000" w:themeColor="text1"/>
          <w:sz w:val="24"/>
          <w:highlight w:val="none"/>
          <w14:textFill>
            <w14:solidFill>
              <w14:schemeClr w14:val="tx1"/>
            </w14:solidFill>
          </w14:textFill>
        </w:rPr>
        <w:t>：</w:t>
      </w:r>
      <w:r>
        <w:rPr>
          <w:rStyle w:val="37"/>
          <w:rFonts w:hint="eastAsia" w:ascii="宋体" w:hAnsi="宋体" w:eastAsia="宋体" w:cs="宋体"/>
          <w:bCs/>
          <w:color w:val="000000" w:themeColor="text1"/>
          <w:sz w:val="24"/>
          <w:highlight w:val="none"/>
          <w:lang w:val="en-US" w:eastAsia="zh-CN"/>
          <w14:textFill>
            <w14:solidFill>
              <w14:schemeClr w14:val="tx1"/>
            </w14:solidFill>
          </w14:textFill>
        </w:rPr>
        <w:t>杨工</w:t>
      </w:r>
    </w:p>
    <w:p>
      <w:pPr>
        <w:snapToGrid w:val="0"/>
        <w:spacing w:line="480" w:lineRule="auto"/>
        <w:ind w:firstLine="357"/>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pacing w:val="560"/>
          <w:kern w:val="0"/>
          <w:sz w:val="24"/>
          <w:highlight w:val="none"/>
          <w14:textFill>
            <w14:solidFill>
              <w14:schemeClr w14:val="tx1"/>
            </w14:solidFill>
          </w14:textFill>
        </w:rPr>
        <w:t>电</w:t>
      </w:r>
      <w:r>
        <w:rPr>
          <w:rStyle w:val="37"/>
          <w:rFonts w:hint="eastAsia" w:ascii="宋体" w:hAnsi="宋体" w:eastAsia="宋体" w:cs="宋体"/>
          <w:bCs/>
          <w:color w:val="000000" w:themeColor="text1"/>
          <w:kern w:val="0"/>
          <w:sz w:val="24"/>
          <w:highlight w:val="none"/>
          <w14:textFill>
            <w14:solidFill>
              <w14:schemeClr w14:val="tx1"/>
            </w14:solidFill>
          </w14:textFill>
        </w:rPr>
        <w:t>话</w:t>
      </w:r>
      <w:r>
        <w:rPr>
          <w:rStyle w:val="37"/>
          <w:rFonts w:hint="eastAsia" w:ascii="宋体" w:hAnsi="宋体" w:eastAsia="宋体" w:cs="宋体"/>
          <w:bCs/>
          <w:color w:val="000000" w:themeColor="text1"/>
          <w:sz w:val="24"/>
          <w:highlight w:val="none"/>
          <w14:textFill>
            <w14:solidFill>
              <w14:schemeClr w14:val="tx1"/>
            </w14:solidFill>
          </w14:textFill>
        </w:rPr>
        <w:t>：</w:t>
      </w:r>
      <w:r>
        <w:rPr>
          <w:rStyle w:val="37"/>
          <w:rFonts w:hint="eastAsia" w:ascii="宋体" w:hAnsi="宋体" w:cs="宋体"/>
          <w:bCs/>
          <w:color w:val="000000" w:themeColor="text1"/>
          <w:sz w:val="24"/>
          <w:highlight w:val="none"/>
          <w:lang w:eastAsia="zh-CN"/>
          <w14:textFill>
            <w14:solidFill>
              <w14:schemeClr w14:val="tx1"/>
            </w14:solidFill>
          </w14:textFill>
        </w:rPr>
        <w:t>15199586230、19999795598</w:t>
      </w:r>
    </w:p>
    <w:p>
      <w:pPr>
        <w:snapToGrid w:val="0"/>
        <w:spacing w:line="480" w:lineRule="auto"/>
        <w:ind w:firstLine="357"/>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pacing w:val="93"/>
          <w:kern w:val="0"/>
          <w:sz w:val="24"/>
          <w:highlight w:val="none"/>
          <w14:textFill>
            <w14:solidFill>
              <w14:schemeClr w14:val="tx1"/>
            </w14:solidFill>
          </w14:textFill>
        </w:rPr>
        <w:t>详细地</w:t>
      </w:r>
      <w:r>
        <w:rPr>
          <w:rStyle w:val="37"/>
          <w:rFonts w:hint="eastAsia" w:ascii="宋体" w:hAnsi="宋体" w:eastAsia="宋体" w:cs="宋体"/>
          <w:bCs/>
          <w:color w:val="000000" w:themeColor="text1"/>
          <w:spacing w:val="1"/>
          <w:kern w:val="0"/>
          <w:sz w:val="24"/>
          <w:highlight w:val="none"/>
          <w14:textFill>
            <w14:solidFill>
              <w14:schemeClr w14:val="tx1"/>
            </w14:solidFill>
          </w14:textFill>
        </w:rPr>
        <w:t>址：</w:t>
      </w:r>
      <w:r>
        <w:rPr>
          <w:rStyle w:val="37"/>
          <w:rFonts w:hint="eastAsia" w:ascii="宋体" w:hAnsi="宋体" w:eastAsia="宋体" w:cs="宋体"/>
          <w:bCs/>
          <w:color w:val="000000" w:themeColor="text1"/>
          <w:sz w:val="24"/>
          <w:highlight w:val="none"/>
          <w14:textFill>
            <w14:solidFill>
              <w14:schemeClr w14:val="tx1"/>
            </w14:solidFill>
          </w14:textFill>
        </w:rPr>
        <w:t>乌鲁木齐市水磨沟区龙盛街898号万科中央公园S6栋5层</w:t>
      </w:r>
    </w:p>
    <w:p>
      <w:pPr>
        <w:pStyle w:val="11"/>
        <w:rPr>
          <w:rStyle w:val="37"/>
          <w:rFonts w:hint="eastAsia" w:ascii="宋体" w:hAnsi="宋体" w:eastAsia="宋体" w:cs="宋体"/>
          <w:bCs/>
          <w:color w:val="000000" w:themeColor="text1"/>
          <w:sz w:val="24"/>
          <w:highlight w:val="none"/>
          <w14:textFill>
            <w14:solidFill>
              <w14:schemeClr w14:val="tx1"/>
            </w14:solidFill>
          </w14:textFill>
        </w:rPr>
      </w:pPr>
    </w:p>
    <w:p>
      <w:pPr>
        <w:snapToGrid w:val="0"/>
        <w:spacing w:after="120" w:line="540" w:lineRule="exact"/>
        <w:ind w:firstLine="437"/>
        <w:jc w:val="center"/>
        <w:rPr>
          <w:rFonts w:hint="eastAsia" w:ascii="宋体" w:hAnsi="宋体" w:eastAsia="宋体" w:cs="宋体"/>
          <w:color w:val="000000" w:themeColor="text1"/>
          <w:sz w:val="44"/>
          <w:highlight w:val="none"/>
          <w14:textFill>
            <w14:solidFill>
              <w14:schemeClr w14:val="tx1"/>
            </w14:solidFill>
          </w14:textFill>
        </w:rPr>
      </w:pPr>
    </w:p>
    <w:p>
      <w:pPr>
        <w:spacing w:line="500" w:lineRule="exact"/>
        <w:jc w:val="center"/>
        <w:rPr>
          <w:rFonts w:hint="eastAsia" w:ascii="宋体" w:hAnsi="宋体" w:eastAsia="宋体" w:cs="宋体"/>
          <w:b/>
          <w:color w:val="000000" w:themeColor="text1"/>
          <w:sz w:val="24"/>
          <w:szCs w:val="24"/>
          <w:highlight w:val="none"/>
          <w14:textFill>
            <w14:solidFill>
              <w14:schemeClr w14:val="tx1"/>
            </w14:solidFill>
          </w14:textFill>
        </w:rPr>
        <w:sectPr>
          <w:headerReference r:id="rId3" w:type="default"/>
          <w:pgSz w:w="11907" w:h="16840"/>
          <w:pgMar w:top="1440" w:right="1080" w:bottom="1440" w:left="1080" w:header="851" w:footer="992" w:gutter="0"/>
          <w:pgNumType w:start="1"/>
          <w:cols w:space="720" w:num="1"/>
          <w:docGrid w:linePitch="312" w:charSpace="0"/>
        </w:sectPr>
      </w:pPr>
      <w:bookmarkStart w:id="0" w:name="_Toc31371"/>
    </w:p>
    <w:p>
      <w:pPr>
        <w:pStyle w:val="11"/>
        <w:rPr>
          <w:rFonts w:hint="eastAsia" w:ascii="宋体" w:hAnsi="宋体" w:eastAsia="宋体" w:cs="宋体"/>
          <w:color w:val="000000" w:themeColor="text1"/>
          <w:highlight w:val="none"/>
          <w14:textFill>
            <w14:solidFill>
              <w14:schemeClr w14:val="tx1"/>
            </w14:solidFill>
          </w14:textFill>
        </w:rPr>
      </w:pPr>
    </w:p>
    <w:p>
      <w:pPr>
        <w:snapToGrid w:val="0"/>
        <w:spacing w:after="120" w:line="540" w:lineRule="exact"/>
        <w:ind w:firstLine="437"/>
        <w:jc w:val="center"/>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ind w:firstLine="437"/>
        <w:jc w:val="center"/>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480" w:lineRule="auto"/>
        <w:jc w:val="left"/>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文件编制 :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杨治国</w:t>
      </w:r>
    </w:p>
    <w:p>
      <w:pPr>
        <w:snapToGrid w:val="0"/>
        <w:spacing w:after="120" w:line="480" w:lineRule="auto"/>
        <w:jc w:val="left"/>
        <w:rPr>
          <w:rFonts w:hint="eastAsia" w:ascii="宋体" w:hAnsi="宋体" w:eastAsia="宋体" w:cs="宋体"/>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文件复核 :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娆扎</w:t>
      </w:r>
    </w:p>
    <w:p>
      <w:pPr>
        <w:snapToGrid w:val="0"/>
        <w:spacing w:after="120" w:line="480" w:lineRule="auto"/>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文件终审 :  娆扎   </w:t>
      </w:r>
    </w:p>
    <w:p>
      <w:pPr>
        <w:snapToGrid w:val="0"/>
        <w:spacing w:after="120" w:line="480" w:lineRule="auto"/>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w:t>
      </w:r>
      <w:r>
        <w:rPr>
          <w:rFonts w:hint="eastAsia" w:ascii="宋体" w:hAnsi="宋体" w:cs="宋体"/>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14:textFill>
            <w14:solidFill>
              <w14:schemeClr w14:val="tx1"/>
            </w14:solidFill>
          </w14:textFill>
        </w:rPr>
        <w:t>法律顾问 :  杜  红</w:t>
      </w: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pPr>
        <w:pStyle w:val="77"/>
        <w:snapToGrid w:val="0"/>
        <w:ind w:left="0"/>
        <w:rPr>
          <w:rStyle w:val="37"/>
          <w:rFonts w:hint="eastAsia" w:ascii="宋体" w:hAnsi="宋体" w:eastAsia="宋体" w:cs="宋体"/>
          <w:caps w:val="0"/>
          <w:color w:val="000000" w:themeColor="text1"/>
          <w:spacing w:val="0"/>
          <w:sz w:val="24"/>
          <w:szCs w:val="24"/>
          <w:highlight w:val="none"/>
          <w14:textFill>
            <w14:solidFill>
              <w14:schemeClr w14:val="tx1"/>
            </w14:solidFill>
          </w14:textFill>
        </w:rPr>
      </w:pPr>
    </w:p>
    <w:p>
      <w:pPr>
        <w:rPr>
          <w:rFonts w:hint="eastAsia" w:ascii="宋体" w:hAnsi="宋体" w:eastAsia="宋体" w:cs="宋体"/>
          <w:b/>
          <w:caps w:val="0"/>
          <w:color w:val="000000" w:themeColor="text1"/>
          <w:spacing w:val="0"/>
          <w:sz w:val="24"/>
          <w:szCs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b/>
          <w:caps w:val="0"/>
          <w:color w:val="000000" w:themeColor="text1"/>
          <w:spacing w:val="0"/>
          <w:sz w:val="24"/>
          <w:szCs w:val="24"/>
          <w:highlight w:val="none"/>
          <w14:textFill>
            <w14:solidFill>
              <w14:schemeClr w14:val="tx1"/>
            </w14:solidFill>
          </w14:textFill>
        </w:rPr>
        <w:sectPr>
          <w:footerReference r:id="rId4" w:type="default"/>
          <w:pgSz w:w="11906" w:h="16838"/>
          <w:pgMar w:top="1440" w:right="1800" w:bottom="1440" w:left="1800" w:header="851" w:footer="992" w:gutter="0"/>
          <w:pgNumType w:start="1"/>
          <w:cols w:space="720" w:num="1"/>
          <w:docGrid w:type="lines" w:linePitch="312" w:charSpace="0"/>
        </w:sectPr>
      </w:pPr>
    </w:p>
    <w:p>
      <w:pPr>
        <w:pStyle w:val="11"/>
        <w:rPr>
          <w:rFonts w:hint="eastAsia" w:ascii="宋体" w:hAnsi="宋体" w:eastAsia="宋体" w:cs="宋体"/>
          <w:color w:val="000000" w:themeColor="text1"/>
          <w:highlight w:val="none"/>
          <w14:textFill>
            <w14:solidFill>
              <w14:schemeClr w14:val="tx1"/>
            </w14:solidFill>
          </w14:textFill>
        </w:rPr>
      </w:pPr>
    </w:p>
    <w:p>
      <w:pPr>
        <w:spacing w:line="5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目    录</w:t>
      </w:r>
      <w:bookmarkEnd w:id="0"/>
    </w:p>
    <w:p>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p>
    <w:p>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TOC \o "1-1" \h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"_Toc3427"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第一章  招标公告</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"_Toc28983"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第二章  投标人须知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"_Toc21780"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第三章  投标文件格式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1</w:t>
      </w:r>
    </w:p>
    <w:p>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"_Toc20068"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 xml:space="preserve">第四章  </w:t>
      </w:r>
      <w:r>
        <w:rPr>
          <w:rFonts w:hint="eastAsia" w:ascii="宋体" w:hAnsi="宋体" w:eastAsia="宋体" w:cs="宋体"/>
          <w:bCs/>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7</w:t>
      </w:r>
    </w:p>
    <w:p>
      <w:pPr>
        <w:pStyle w:val="19"/>
        <w:tabs>
          <w:tab w:val="right" w:leader="dot" w:pos="8959"/>
        </w:tabs>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"_Toc15082"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第五章  评标办法</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58</w:t>
      </w:r>
    </w:p>
    <w:p>
      <w:pPr>
        <w:pStyle w:val="19"/>
        <w:tabs>
          <w:tab w:val="right" w:leader="dot" w:pos="8959"/>
        </w:tabs>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"_Toc22113"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第六章  合同文本</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67</w:t>
      </w:r>
    </w:p>
    <w:p>
      <w:pPr>
        <w:pStyle w:val="11"/>
        <w:spacing w:after="0" w:line="50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ind w:firstLine="480" w:firstLineChars="200"/>
        <w:rPr>
          <w:rFonts w:hint="eastAsia" w:ascii="宋体" w:hAnsi="宋体" w:eastAsia="宋体" w:cs="宋体"/>
          <w:bCs/>
          <w:color w:val="000000" w:themeColor="text1"/>
          <w:sz w:val="24"/>
          <w:highlight w:val="none"/>
          <w14:textFill>
            <w14:solidFill>
              <w14:schemeClr w14:val="tx1"/>
            </w14:solidFill>
          </w14:textFill>
        </w:rPr>
      </w:pPr>
    </w:p>
    <w:p>
      <w:pPr>
        <w:pStyle w:val="3"/>
        <w:spacing w:line="360" w:lineRule="exact"/>
        <w:rPr>
          <w:rFonts w:hint="eastAsia" w:ascii="宋体" w:hAnsi="宋体" w:eastAsia="宋体" w:cs="宋体"/>
          <w:bCs w:val="0"/>
          <w:color w:val="000000" w:themeColor="text1"/>
          <w:sz w:val="24"/>
          <w:szCs w:val="24"/>
          <w:highlight w:val="none"/>
          <w14:textFill>
            <w14:solidFill>
              <w14:schemeClr w14:val="tx1"/>
            </w14:solidFill>
          </w14:textFill>
        </w:rPr>
        <w:sectPr>
          <w:footerReference r:id="rId5" w:type="default"/>
          <w:pgSz w:w="11907" w:h="16840"/>
          <w:pgMar w:top="1440" w:right="1080" w:bottom="1440" w:left="1080" w:header="851" w:footer="992" w:gutter="0"/>
          <w:pgNumType w:fmt="decimal" w:start="1"/>
          <w:cols w:space="720" w:num="1"/>
          <w:docGrid w:linePitch="312" w:charSpace="0"/>
        </w:sectPr>
      </w:pPr>
    </w:p>
    <w:p>
      <w:pPr>
        <w:pStyle w:val="3"/>
        <w:pageBreakBefore w:val="0"/>
        <w:widowControl w:val="0"/>
        <w:kinsoku/>
        <w:wordWrap/>
        <w:overflowPunct/>
        <w:topLinePunct w:val="0"/>
        <w:autoSpaceDE/>
        <w:autoSpaceDN/>
        <w:bidi w:val="0"/>
        <w:adjustRightInd/>
        <w:snapToGrid/>
        <w:spacing w:before="312" w:beforeLines="100" w:after="312" w:afterLines="100" w:line="400" w:lineRule="exact"/>
        <w:jc w:val="center"/>
        <w:textAlignment w:val="auto"/>
        <w:rPr>
          <w:rFonts w:hint="eastAsia" w:ascii="宋体" w:hAnsi="宋体" w:eastAsia="宋体" w:cs="宋体"/>
          <w:bCs w:val="0"/>
          <w:color w:val="000000" w:themeColor="text1"/>
          <w:sz w:val="24"/>
          <w:szCs w:val="24"/>
          <w:highlight w:val="none"/>
          <w14:textFill>
            <w14:solidFill>
              <w14:schemeClr w14:val="tx1"/>
            </w14:solidFill>
          </w14:textFill>
        </w:rPr>
      </w:pPr>
      <w:bookmarkStart w:id="1" w:name="_Toc647_WPSOffice_Level1"/>
      <w:bookmarkStart w:id="2" w:name="_Toc3427"/>
      <w:r>
        <w:rPr>
          <w:rFonts w:hint="eastAsia" w:ascii="宋体" w:hAnsi="宋体" w:eastAsia="宋体" w:cs="宋体"/>
          <w:bCs w:val="0"/>
          <w:color w:val="000000" w:themeColor="text1"/>
          <w:sz w:val="24"/>
          <w:szCs w:val="24"/>
          <w:highlight w:val="none"/>
          <w14:textFill>
            <w14:solidFill>
              <w14:schemeClr w14:val="tx1"/>
            </w14:solidFill>
          </w14:textFill>
        </w:rPr>
        <w:t xml:space="preserve">第一章  </w:t>
      </w:r>
      <w:bookmarkEnd w:id="1"/>
      <w:r>
        <w:rPr>
          <w:rFonts w:hint="eastAsia" w:ascii="宋体" w:hAnsi="宋体" w:eastAsia="宋体" w:cs="宋体"/>
          <w:bCs w:val="0"/>
          <w:color w:val="000000" w:themeColor="text1"/>
          <w:sz w:val="24"/>
          <w:szCs w:val="24"/>
          <w:highlight w:val="none"/>
          <w14:textFill>
            <w14:solidFill>
              <w14:schemeClr w14:val="tx1"/>
            </w14:solidFill>
          </w14:textFill>
        </w:rPr>
        <w:t>招标公告</w:t>
      </w:r>
      <w:bookmarkEnd w:id="2"/>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3" w:name="_Toc213396759"/>
      <w:bookmarkStart w:id="4" w:name="_Toc213397009"/>
      <w:bookmarkStart w:id="5" w:name="_Toc213396945"/>
      <w:bookmarkStart w:id="6" w:name="_Toc217446031"/>
      <w:bookmarkStart w:id="7" w:name="_Toc213496267"/>
      <w:bookmarkStart w:id="8" w:name="_Toc856_WPSOffice_Level1"/>
      <w:r>
        <w:rPr>
          <w:rFonts w:hint="eastAsia" w:ascii="宋体" w:hAnsi="宋体" w:eastAsia="宋体" w:cs="宋体"/>
          <w:color w:val="000000" w:themeColor="text1"/>
          <w:sz w:val="24"/>
          <w:szCs w:val="24"/>
          <w:highlight w:val="none"/>
          <w14:textFill>
            <w14:solidFill>
              <w14:schemeClr w14:val="tx1"/>
            </w14:solidFill>
          </w14:textFill>
        </w:rPr>
        <w:t>项目概况</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lang w:eastAsia="zh-CN"/>
          <w14:textFill>
            <w14:solidFill>
              <w14:schemeClr w14:val="tx1"/>
            </w14:solidFill>
          </w14:textFill>
        </w:rPr>
        <w:t>沙湾市中等职业技术学校新校区办学条件提升工程-智慧图书馆建设项目</w:t>
      </w:r>
      <w:r>
        <w:rPr>
          <w:rFonts w:hint="eastAsia" w:ascii="宋体" w:hAnsi="宋体" w:eastAsia="宋体" w:cs="宋体"/>
          <w:color w:val="000000" w:themeColor="text1"/>
          <w:sz w:val="24"/>
          <w:szCs w:val="24"/>
          <w:highlight w:val="none"/>
          <w14:textFill>
            <w14:solidFill>
              <w14:schemeClr w14:val="tx1"/>
            </w14:solidFill>
          </w14:textFill>
        </w:rPr>
        <w:t>招标项目的潜在投标人应在</w:t>
      </w:r>
      <w:r>
        <w:rPr>
          <w:rFonts w:hint="eastAsia" w:ascii="宋体" w:hAnsi="宋体" w:eastAsia="宋体" w:cs="宋体"/>
          <w:bCs/>
          <w:color w:val="000000" w:themeColor="text1"/>
          <w:sz w:val="24"/>
          <w:szCs w:val="24"/>
          <w:highlight w:val="none"/>
          <w:u w:val="single"/>
          <w14:textFill>
            <w14:solidFill>
              <w14:schemeClr w14:val="tx1"/>
            </w14:solidFill>
          </w14:textFill>
        </w:rPr>
        <w:t>新疆政府采购云平台https://www.zcygov.cn/</w:t>
      </w:r>
      <w:r>
        <w:rPr>
          <w:rFonts w:hint="eastAsia" w:ascii="宋体" w:hAnsi="宋体" w:eastAsia="宋体" w:cs="宋体"/>
          <w:color w:val="000000" w:themeColor="text1"/>
          <w:sz w:val="24"/>
          <w:szCs w:val="24"/>
          <w:highlight w:val="none"/>
          <w14:textFill>
            <w14:solidFill>
              <w14:schemeClr w14:val="tx1"/>
            </w14:solidFill>
          </w14:textFill>
        </w:rPr>
        <w:t>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，并于</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2024年0</w:t>
      </w:r>
      <w:r>
        <w:rPr>
          <w:rFonts w:hint="eastAsia" w:ascii="宋体" w:hAnsi="宋体" w:cs="宋体"/>
          <w:color w:val="000000" w:themeColor="text1"/>
          <w:sz w:val="24"/>
          <w:szCs w:val="24"/>
          <w:highlight w:val="none"/>
          <w:u w:val="singl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bCs/>
          <w:color w:val="000000" w:themeColor="text1"/>
          <w:sz w:val="24"/>
          <w:szCs w:val="24"/>
          <w:highlight w:val="none"/>
          <w:u w:val="single"/>
          <w:lang w:val="en-US" w:eastAsia="zh-CN"/>
          <w14:textFill>
            <w14:solidFill>
              <w14:schemeClr w14:val="tx1"/>
            </w14:solidFill>
          </w14:textFill>
        </w:rPr>
        <w:t>17</w:t>
      </w:r>
      <w:r>
        <w:rPr>
          <w:rFonts w:hint="eastAsia" w:ascii="宋体" w:hAnsi="宋体" w:eastAsia="宋体" w:cs="宋体"/>
          <w:bCs/>
          <w:color w:val="000000" w:themeColor="text1"/>
          <w:sz w:val="24"/>
          <w:szCs w:val="24"/>
          <w:highlight w:val="none"/>
          <w:u w:val="single"/>
          <w14:textFill>
            <w14:solidFill>
              <w14:schemeClr w14:val="tx1"/>
            </w14:solidFill>
          </w14:textFill>
        </w:rPr>
        <w:t>点</w:t>
      </w:r>
      <w:r>
        <w:rPr>
          <w:rFonts w:hint="eastAsia" w:ascii="宋体" w:hAnsi="宋体" w:eastAsia="宋体" w:cs="宋体"/>
          <w:bCs/>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bCs/>
          <w:color w:val="000000" w:themeColor="text1"/>
          <w:sz w:val="24"/>
          <w:szCs w:val="24"/>
          <w:highlight w:val="none"/>
          <w:u w:val="single"/>
          <w14:textFill>
            <w14:solidFill>
              <w14:schemeClr w14:val="tx1"/>
            </w14:solidFill>
          </w14:textFill>
        </w:rPr>
        <w:t>分（</w:t>
      </w:r>
      <w:r>
        <w:rPr>
          <w:rFonts w:hint="eastAsia" w:ascii="宋体" w:hAnsi="宋体" w:eastAsia="宋体" w:cs="宋体"/>
          <w:bCs/>
          <w:color w:val="000000" w:themeColor="text1"/>
          <w:sz w:val="24"/>
          <w:szCs w:val="24"/>
          <w:highlight w:val="none"/>
          <w14:textFill>
            <w14:solidFill>
              <w14:schemeClr w14:val="tx1"/>
            </w14:solidFill>
          </w14:textFill>
        </w:rPr>
        <w:t>北京时间）前</w:t>
      </w:r>
      <w:r>
        <w:rPr>
          <w:rFonts w:hint="eastAsia" w:ascii="宋体" w:hAnsi="宋体" w:eastAsia="宋体" w:cs="宋体"/>
          <w:bCs/>
          <w:color w:val="000000" w:themeColor="text1"/>
          <w:sz w:val="24"/>
          <w:szCs w:val="24"/>
          <w:highlight w:val="none"/>
          <w:lang w:eastAsia="zh-CN"/>
          <w14:textFill>
            <w14:solidFill>
              <w14:schemeClr w14:val="tx1"/>
            </w14:solidFill>
          </w14:textFill>
        </w:rPr>
        <w:t>上传</w:t>
      </w:r>
      <w:r>
        <w:rPr>
          <w:rFonts w:hint="eastAsia" w:ascii="宋体" w:hAnsi="宋体" w:eastAsia="宋体" w:cs="宋体"/>
          <w:bCs/>
          <w:color w:val="000000" w:themeColor="text1"/>
          <w:sz w:val="24"/>
          <w:szCs w:val="24"/>
          <w:highlight w:val="none"/>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pPr>
      <w:bookmarkStart w:id="9" w:name="_Toc35393791"/>
      <w:bookmarkStart w:id="10" w:name="_Toc35393622"/>
      <w:bookmarkStart w:id="11" w:name="_Toc28359080"/>
      <w:bookmarkStart w:id="12" w:name="_Toc28359003"/>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一、项目基本情况</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项目编号：</w:t>
      </w:r>
      <w:r>
        <w:rPr>
          <w:rFonts w:hint="eastAsia" w:hAnsi="宋体" w:cs="宋体"/>
          <w:b w:val="0"/>
          <w:bCs/>
          <w:color w:val="000000" w:themeColor="text1"/>
          <w:sz w:val="24"/>
          <w:szCs w:val="24"/>
          <w:highlight w:val="none"/>
          <w:shd w:val="clear" w:color="auto" w:fill="auto"/>
          <w:lang w:eastAsia="zh-CN"/>
          <w14:textFill>
            <w14:solidFill>
              <w14:schemeClr w14:val="tx1"/>
            </w14:solidFill>
          </w14:textFill>
        </w:rPr>
        <w:t>XJTYSWZC-20240530</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 xml:space="preserve"> </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000000" w:themeColor="text1"/>
          <w:sz w:val="24"/>
          <w:szCs w:val="24"/>
          <w:highlight w:val="none"/>
          <w:u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项目名称：</w:t>
      </w:r>
      <w:r>
        <w:rPr>
          <w:rFonts w:hint="eastAsia" w:ascii="宋体" w:hAnsi="宋体" w:eastAsia="宋体" w:cs="宋体"/>
          <w:color w:val="000000" w:themeColor="text1"/>
          <w:sz w:val="24"/>
          <w:szCs w:val="24"/>
          <w:highlight w:val="none"/>
          <w:u w:val="none"/>
          <w:lang w:eastAsia="zh-CN"/>
          <w14:textFill>
            <w14:solidFill>
              <w14:schemeClr w14:val="tx1"/>
            </w14:solidFill>
          </w14:textFill>
        </w:rPr>
        <w:t>沙湾市中等职业技术学校新校区办学条件提升工程-智慧图书馆建设项目</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采购方式：</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公开招标</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预算金额（元）：</w:t>
      </w:r>
      <w:r>
        <w:rPr>
          <w:rFonts w:hint="eastAsia" w:hAnsi="宋体" w:cs="宋体"/>
          <w:b w:val="0"/>
          <w:bCs/>
          <w:color w:val="000000" w:themeColor="text1"/>
          <w:sz w:val="24"/>
          <w:szCs w:val="24"/>
          <w:highlight w:val="none"/>
          <w:shd w:val="clear" w:color="auto" w:fill="auto"/>
          <w:lang w:val="en-US" w:eastAsia="zh-CN"/>
          <w14:textFill>
            <w14:solidFill>
              <w14:schemeClr w14:val="tx1"/>
            </w14:solidFill>
          </w14:textFill>
        </w:rPr>
        <w:t>100</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0000.00</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最高限价（元）：</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1000000.00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采购需求：</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标项名称:</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沙湾市中等职业技术学校新校区办学条件提升工程-智慧图书馆建设项目</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数量:</w:t>
      </w:r>
      <w:r>
        <w:rPr>
          <w:rFonts w:hint="eastAsia" w:hAnsi="宋体" w:cs="宋体"/>
          <w:i w:val="0"/>
          <w:iCs w:val="0"/>
          <w:caps w:val="0"/>
          <w:color w:val="000000" w:themeColor="text1"/>
          <w:spacing w:val="0"/>
          <w:sz w:val="24"/>
          <w:szCs w:val="24"/>
          <w:highlight w:val="none"/>
          <w:lang w:val="en-US" w:eastAsia="zh-CN"/>
          <w14:textFill>
            <w14:solidFill>
              <w14:schemeClr w14:val="tx1"/>
            </w14:solidFill>
          </w14:textFill>
        </w:rPr>
        <w:t>1批</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hAnsi="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预算金额（元）:</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1000000.00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简要规格描述或项目基本概况介绍、用途：</w:t>
      </w:r>
      <w:r>
        <w:rPr>
          <w:rFonts w:hint="eastAsia" w:hAnsi="宋体" w:cs="宋体"/>
          <w:i w:val="0"/>
          <w:iCs w:val="0"/>
          <w:caps w:val="0"/>
          <w:color w:val="000000" w:themeColor="text1"/>
          <w:spacing w:val="0"/>
          <w:sz w:val="24"/>
          <w:szCs w:val="24"/>
          <w:highlight w:val="none"/>
          <w:lang w:eastAsia="zh-CN"/>
          <w14:textFill>
            <w14:solidFill>
              <w14:schemeClr w14:val="tx1"/>
            </w14:solidFill>
          </w14:textFill>
        </w:rPr>
        <w:t>本项目为沙湾市中等职业技术学校新校区办学条件提升工程-智慧图书馆建设项目</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，包括供货、运输保险、安装、验收及质保、售后服务等，具体内容详见招标文件及项目采购需求。</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备注：</w:t>
      </w:r>
    </w:p>
    <w:p>
      <w:pPr>
        <w:pStyle w:val="24"/>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firstLine="480" w:firstLineChars="200"/>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合同履约期限：</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合同签订后</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30</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日历天内完成。</w:t>
      </w:r>
    </w:p>
    <w:p>
      <w:pPr>
        <w:pStyle w:val="24"/>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本项目（否）接受联合体投标。</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二、申请人的资格要求：</w:t>
      </w:r>
      <w:bookmarkEnd w:id="9"/>
      <w:bookmarkEnd w:id="10"/>
      <w:bookmarkEnd w:id="11"/>
      <w:bookmarkEnd w:id="12"/>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14:textFill>
            <w14:solidFill>
              <w14:schemeClr w14:val="tx1"/>
            </w14:solidFill>
          </w14:textFill>
        </w:rPr>
      </w:pPr>
      <w:bookmarkStart w:id="13" w:name="_Toc28359081"/>
      <w:bookmarkStart w:id="14" w:name="_Toc28359004"/>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w:t>
      </w:r>
      <w:r>
        <w:rPr>
          <w:rFonts w:hint="eastAsia" w:ascii="宋体" w:hAnsi="宋体" w:eastAsia="宋体" w:cs="宋体"/>
          <w:i w:val="0"/>
          <w:iCs w:val="0"/>
          <w:color w:val="000000" w:themeColor="text1"/>
          <w:sz w:val="24"/>
          <w:szCs w:val="24"/>
          <w:highlight w:val="none"/>
          <w:lang w:eastAsia="zh-CN"/>
          <w14:textFill>
            <w14:solidFill>
              <w14:schemeClr w14:val="tx1"/>
            </w14:solidFill>
          </w14:textFill>
        </w:rPr>
        <w:t>本</w:t>
      </w:r>
      <w:r>
        <w:rPr>
          <w:rFonts w:hint="eastAsia" w:ascii="宋体" w:hAnsi="宋体" w:cs="宋体"/>
          <w:i w:val="0"/>
          <w:iCs w:val="0"/>
          <w:color w:val="000000" w:themeColor="text1"/>
          <w:sz w:val="24"/>
          <w:szCs w:val="24"/>
          <w:highlight w:val="none"/>
          <w:lang w:eastAsia="zh-CN"/>
          <w14:textFill>
            <w14:solidFill>
              <w14:schemeClr w14:val="tx1"/>
            </w14:solidFill>
          </w14:textFill>
        </w:rPr>
        <w:t>项目</w:t>
      </w:r>
      <w:r>
        <w:rPr>
          <w:rFonts w:hint="eastAsia" w:ascii="宋体" w:hAnsi="宋体" w:eastAsia="宋体" w:cs="宋体"/>
          <w:i w:val="0"/>
          <w:iCs w:val="0"/>
          <w:color w:val="000000" w:themeColor="text1"/>
          <w:sz w:val="24"/>
          <w:szCs w:val="24"/>
          <w:highlight w:val="none"/>
          <w:lang w:eastAsia="zh-CN"/>
          <w14:textFill>
            <w14:solidFill>
              <w14:schemeClr w14:val="tx1"/>
            </w14:solidFill>
          </w14:textFill>
        </w:rPr>
        <w:t>为专门面向小微企业（含小型、微型企业）采购项目</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.本项目的特定资格要求：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5" w:name="_Toc35393623"/>
      <w:bookmarkStart w:id="16" w:name="_Toc35393792"/>
      <w:r>
        <w:rPr>
          <w:rFonts w:hint="eastAsia" w:ascii="宋体" w:hAnsi="宋体" w:eastAsia="宋体" w:cs="宋体"/>
          <w:color w:val="000000" w:themeColor="text1"/>
          <w:sz w:val="24"/>
          <w:szCs w:val="24"/>
          <w:highlight w:val="none"/>
          <w14:textFill>
            <w14:solidFill>
              <w14:schemeClr w14:val="tx1"/>
            </w14:solidFill>
          </w14:textFill>
        </w:rPr>
        <w:t>三、获取</w:t>
      </w:r>
      <w:bookmarkEnd w:id="13"/>
      <w:bookmarkEnd w:id="14"/>
      <w:bookmarkEnd w:id="15"/>
      <w:bookmarkEnd w:id="16"/>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时间：202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06</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14:textFill>
            <w14:solidFill>
              <w14:schemeClr w14:val="tx1"/>
            </w14:solidFill>
          </w14:textFill>
        </w:rPr>
        <w:t>日至202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12</w:t>
      </w:r>
      <w:r>
        <w:rPr>
          <w:rFonts w:hint="eastAsia" w:ascii="宋体" w:hAnsi="宋体" w:eastAsia="宋体" w:cs="宋体"/>
          <w:color w:val="000000" w:themeColor="text1"/>
          <w:sz w:val="24"/>
          <w:szCs w:val="24"/>
          <w:highlight w:val="none"/>
          <w14:textFill>
            <w14:solidFill>
              <w14:schemeClr w14:val="tx1"/>
            </w14:solidFill>
          </w14:textFill>
        </w:rPr>
        <w:t>日，每天</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0:00至</w:t>
      </w: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59</w:t>
      </w:r>
      <w:r>
        <w:rPr>
          <w:rFonts w:hint="eastAsia" w:ascii="宋体" w:hAnsi="宋体" w:eastAsia="宋体" w:cs="宋体"/>
          <w:color w:val="000000" w:themeColor="text1"/>
          <w:sz w:val="24"/>
          <w:szCs w:val="24"/>
          <w:highlight w:val="none"/>
          <w14:textFill>
            <w14:solidFill>
              <w14:schemeClr w14:val="tx1"/>
            </w14:solidFill>
          </w14:textFill>
        </w:rPr>
        <w:t>（北京时间，线上获取法定节假日均可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登陆政采云平台http://www.zcygov.cn/，在线申请获取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（登录政府采购云平台 → 项目采购 → 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→申请通过后可下载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，如有操作性问题，可与政采云在线客服进行咨询，咨询电话：95763）。</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方式：投标人登录新疆政府采购云平台https://www.zcygov.cn/在线申请获取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（登录政府采购云平台 → 项目采购 → 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 申请通过后可下载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售价：0元</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7" w:name="_Toc28359082"/>
      <w:bookmarkStart w:id="18" w:name="_Toc28359005"/>
      <w:bookmarkStart w:id="19" w:name="_Toc35393793"/>
      <w:bookmarkStart w:id="20" w:name="_Toc35393624"/>
      <w:r>
        <w:rPr>
          <w:rFonts w:hint="eastAsia" w:ascii="宋体" w:hAnsi="宋体" w:eastAsia="宋体" w:cs="宋体"/>
          <w:color w:val="000000" w:themeColor="text1"/>
          <w:sz w:val="24"/>
          <w:szCs w:val="24"/>
          <w:highlight w:val="none"/>
          <w14:textFill>
            <w14:solidFill>
              <w14:schemeClr w14:val="tx1"/>
            </w14:solidFill>
          </w14:textFill>
        </w:rPr>
        <w:t>四、提交投标文件</w:t>
      </w:r>
      <w:bookmarkEnd w:id="17"/>
      <w:bookmarkEnd w:id="18"/>
      <w:r>
        <w:rPr>
          <w:rFonts w:hint="eastAsia" w:ascii="宋体" w:hAnsi="宋体" w:eastAsia="宋体" w:cs="宋体"/>
          <w:color w:val="000000" w:themeColor="text1"/>
          <w:sz w:val="24"/>
          <w:szCs w:val="24"/>
          <w:highlight w:val="none"/>
          <w14:textFill>
            <w14:solidFill>
              <w14:schemeClr w14:val="tx1"/>
            </w14:solidFill>
          </w14:textFill>
        </w:rPr>
        <w:t>截止时间、开标时间和地点</w:t>
      </w:r>
      <w:bookmarkEnd w:id="19"/>
      <w:bookmarkEnd w:id="20"/>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提交投标文件截止时间：</w:t>
      </w:r>
      <w:r>
        <w:rPr>
          <w:rFonts w:hint="eastAsia" w:ascii="宋体" w:hAnsi="宋体" w:eastAsia="宋体" w:cs="宋体"/>
          <w:color w:val="000000" w:themeColor="text1"/>
          <w:sz w:val="24"/>
          <w:szCs w:val="24"/>
          <w:highlight w:val="none"/>
          <w:lang w:eastAsia="zh-CN"/>
          <w14:textFill>
            <w14:solidFill>
              <w14:schemeClr w14:val="tx1"/>
            </w14:solidFill>
          </w14:textFill>
        </w:rPr>
        <w:t>2024年0</w:t>
      </w: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lang w:eastAsia="zh-CN"/>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点</w:t>
      </w:r>
      <w:r>
        <w:rPr>
          <w:rFonts w:hint="eastAsia" w:ascii="宋体" w:hAnsi="宋体" w:eastAsia="宋体"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分（北京时间）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开标时间：</w:t>
      </w:r>
      <w:r>
        <w:rPr>
          <w:rFonts w:hint="eastAsia" w:ascii="宋体" w:hAnsi="宋体" w:eastAsia="宋体" w:cs="宋体"/>
          <w:color w:val="000000" w:themeColor="text1"/>
          <w:sz w:val="24"/>
          <w:szCs w:val="24"/>
          <w:highlight w:val="none"/>
          <w:lang w:eastAsia="zh-CN"/>
          <w14:textFill>
            <w14:solidFill>
              <w14:schemeClr w14:val="tx1"/>
            </w14:solidFill>
          </w14:textFill>
        </w:rPr>
        <w:t>2024年</w:t>
      </w:r>
      <w:r>
        <w:rPr>
          <w:rFonts w:hint="eastAsia" w:ascii="宋体" w:hAnsi="宋体" w:cs="宋体"/>
          <w:color w:val="000000" w:themeColor="text1"/>
          <w:sz w:val="24"/>
          <w:szCs w:val="24"/>
          <w:highlight w:val="none"/>
          <w:lang w:val="en-US" w:eastAsia="zh-CN"/>
          <w14:textFill>
            <w14:solidFill>
              <w14:schemeClr w14:val="tx1"/>
            </w14:solidFill>
          </w14:textFill>
        </w:rPr>
        <w:t>06</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lang w:eastAsia="zh-CN"/>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17</w:t>
      </w:r>
      <w:r>
        <w:rPr>
          <w:rFonts w:hint="eastAsia" w:ascii="宋体" w:hAnsi="宋体" w:eastAsia="宋体" w:cs="宋体"/>
          <w:color w:val="000000" w:themeColor="text1"/>
          <w:sz w:val="24"/>
          <w:szCs w:val="24"/>
          <w:highlight w:val="none"/>
          <w14:textFill>
            <w14:solidFill>
              <w14:schemeClr w14:val="tx1"/>
            </w14:solidFill>
          </w14:textFill>
        </w:rPr>
        <w:t>点</w:t>
      </w:r>
      <w:r>
        <w:rPr>
          <w:rFonts w:hint="eastAsia" w:ascii="宋体" w:hAnsi="宋体" w:eastAsia="宋体"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分（北京时间）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开标地点：</w:t>
      </w:r>
      <w:bookmarkStart w:id="21" w:name="_Toc35393625"/>
      <w:bookmarkStart w:id="22" w:name="_Toc28359007"/>
      <w:bookmarkStart w:id="23" w:name="_Toc28359084"/>
      <w:bookmarkStart w:id="24" w:name="_Toc35393794"/>
      <w:r>
        <w:rPr>
          <w:rFonts w:hint="eastAsia" w:ascii="宋体" w:hAnsi="宋体" w:eastAsia="宋体" w:cs="宋体"/>
          <w:color w:val="000000" w:themeColor="text1"/>
          <w:sz w:val="24"/>
          <w:szCs w:val="24"/>
          <w:highlight w:val="none"/>
          <w14:textFill>
            <w14:solidFill>
              <w14:schemeClr w14:val="tx1"/>
            </w14:solidFill>
          </w14:textFill>
        </w:rPr>
        <w:t>政采云平台http://www.zcygov.cn/</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五、公告期限</w:t>
      </w:r>
      <w:bookmarkEnd w:id="21"/>
      <w:bookmarkEnd w:id="22"/>
      <w:bookmarkEnd w:id="23"/>
      <w:bookmarkEnd w:id="24"/>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自本公告发布之日起5个工作日。</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25" w:name="_Toc35393795"/>
      <w:bookmarkStart w:id="26" w:name="_Toc35393626"/>
      <w:r>
        <w:rPr>
          <w:rFonts w:hint="eastAsia" w:ascii="宋体" w:hAnsi="宋体" w:eastAsia="宋体" w:cs="宋体"/>
          <w:color w:val="000000" w:themeColor="text1"/>
          <w:sz w:val="24"/>
          <w:szCs w:val="24"/>
          <w:highlight w:val="none"/>
          <w14:textFill>
            <w14:solidFill>
              <w14:schemeClr w14:val="tx1"/>
            </w14:solidFill>
          </w14:textFill>
        </w:rPr>
        <w:t>六、其他补充事宜</w:t>
      </w:r>
      <w:bookmarkEnd w:id="25"/>
      <w:bookmarkEnd w:id="26"/>
    </w:p>
    <w:p>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bookmarkStart w:id="27" w:name="_Toc28359085"/>
      <w:bookmarkStart w:id="28" w:name="_Toc35393627"/>
      <w:bookmarkStart w:id="29" w:name="_Toc28359008"/>
      <w:bookmarkStart w:id="30" w:name="_Toc35393796"/>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1、本项目实行电子招投标，投标人须登录政采云平台申请获取招标文件，并需要使用CA锁，登录政采云电子投标客户端制作投标文件，若投标人参与投标,自行承担与投标有关的一切费用。</w:t>
      </w:r>
    </w:p>
    <w:p>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2.各投标人应在开标前确保是新疆维吾尔自治区政府采购网正式注册入库的投标人，并完成CA数字证书申领。因未注册入库、未办理CA数字证书等原因造成无法投标或投标失败等后果的由投标人自行承担</w:t>
      </w:r>
    </w:p>
    <w:p>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3.投标人可前往新疆政府采购网（http://www.ccgp-xinjiang.gov.cn/）下载专区，下载政采云电子投标客户端，安装完成后，可通过账号密码或CA登录客户端进行投标文件制作。</w:t>
      </w:r>
    </w:p>
    <w:p>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4</w:t>
      </w:r>
      <w:r>
        <w:rPr>
          <w:rFonts w:hint="eastAsia" w:hAnsi="宋体" w:cs="宋体"/>
          <w:b w:val="0"/>
          <w:bCs/>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投标人在开标时须携带制作加密电子投标文件所使用的CA锁，电脑须提前配置好浏览器，以便开标时在线解密。</w:t>
      </w:r>
    </w:p>
    <w:p>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5.投标投标人应当在投标截止时间前，将生成的“电子加密投标文件”上传递交至“政府采购云平台”，投标截止时间以后上传递交的投标文件将被“政府采购云平台”拒收。</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七、对本次招标提出询问，请按以下方式联系</w:t>
      </w:r>
      <w:bookmarkEnd w:id="27"/>
      <w:bookmarkEnd w:id="28"/>
      <w:bookmarkEnd w:id="29"/>
      <w:bookmarkEnd w:id="30"/>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1.采购人信息</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址：</w:t>
      </w:r>
      <w:r>
        <w:rPr>
          <w:rFonts w:hint="eastAsia" w:ascii="宋体" w:hAnsi="宋体" w:cs="宋体"/>
          <w:color w:val="000000" w:themeColor="text1"/>
          <w:sz w:val="24"/>
          <w:szCs w:val="24"/>
          <w:highlight w:val="none"/>
          <w:lang w:eastAsia="zh-CN"/>
          <w14:textFill>
            <w14:solidFill>
              <w14:schemeClr w14:val="tx1"/>
            </w14:solidFill>
          </w14:textFill>
        </w:rPr>
        <w:t>沙湾市</w:t>
      </w:r>
      <w:r>
        <w:rPr>
          <w:rFonts w:hint="eastAsia" w:ascii="宋体" w:hAnsi="宋体" w:eastAsia="宋体" w:cs="宋体"/>
          <w:color w:val="000000" w:themeColor="text1"/>
          <w:sz w:val="24"/>
          <w:szCs w:val="24"/>
          <w:highlight w:val="none"/>
          <w14:textFill>
            <w14:solidFill>
              <w14:schemeClr w14:val="tx1"/>
            </w14:solidFill>
          </w14:textFill>
        </w:rPr>
        <w:t>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联系人：</w:t>
      </w:r>
      <w:r>
        <w:rPr>
          <w:rFonts w:hint="eastAsia" w:ascii="宋体" w:hAnsi="宋体" w:cs="宋体"/>
          <w:color w:val="000000" w:themeColor="text1"/>
          <w:sz w:val="24"/>
          <w:szCs w:val="24"/>
          <w:highlight w:val="none"/>
          <w:lang w:eastAsia="zh-CN"/>
          <w14:textFill>
            <w14:solidFill>
              <w14:schemeClr w14:val="tx1"/>
            </w14:solidFill>
          </w14:textFill>
        </w:rPr>
        <w:t>王素兰</w:t>
      </w:r>
      <w:r>
        <w:rPr>
          <w:rFonts w:hint="eastAsia" w:ascii="宋体" w:hAnsi="宋体" w:eastAsia="宋体" w:cs="宋体"/>
          <w:color w:val="000000" w:themeColor="text1"/>
          <w:sz w:val="24"/>
          <w:szCs w:val="24"/>
          <w:highlight w:val="none"/>
          <w:lang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联系电话：</w:t>
      </w:r>
      <w:r>
        <w:rPr>
          <w:rFonts w:hint="eastAsia" w:ascii="宋体" w:hAnsi="宋体" w:cs="宋体"/>
          <w:color w:val="000000" w:themeColor="text1"/>
          <w:sz w:val="24"/>
          <w:szCs w:val="24"/>
          <w:highlight w:val="none"/>
          <w:lang w:val="en-US" w:eastAsia="zh-CN"/>
          <w14:textFill>
            <w14:solidFill>
              <w14:schemeClr w14:val="tx1"/>
            </w14:solidFill>
          </w14:textFill>
        </w:rPr>
        <w:t>15001633288</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bookmarkStart w:id="31" w:name="_Toc28359009"/>
      <w:bookmarkStart w:id="32" w:name="_Toc28359086"/>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2.采购代理机构信息</w:t>
      </w:r>
      <w:bookmarkEnd w:id="31"/>
      <w:bookmarkEnd w:id="32"/>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称：新疆拓源工程管理咨询有限公司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址：乌鲁木齐市水磨沟区龙盛街898号万科中央公园S6栋5层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项目联系人：</w:t>
      </w:r>
      <w:r>
        <w:rPr>
          <w:rFonts w:hint="eastAsia" w:ascii="宋体" w:hAnsi="宋体" w:eastAsia="宋体" w:cs="宋体"/>
          <w:color w:val="000000" w:themeColor="text1"/>
          <w:sz w:val="24"/>
          <w:szCs w:val="24"/>
          <w:highlight w:val="none"/>
          <w:lang w:val="en-US" w:eastAsia="zh-CN"/>
          <w14:textFill>
            <w14:solidFill>
              <w14:schemeClr w14:val="tx1"/>
            </w14:solidFill>
          </w14:textFill>
        </w:rPr>
        <w:t>杨工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15199586230、19999795598</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w:t>
      </w:r>
    </w:p>
    <w:p>
      <w:pPr>
        <w:pStyle w:val="3"/>
        <w:pageBreakBefore w:val="0"/>
        <w:kinsoku/>
        <w:wordWrap/>
        <w:overflowPunct/>
        <w:topLinePunct w:val="0"/>
        <w:autoSpaceDE/>
        <w:autoSpaceDN/>
        <w:bidi w:val="0"/>
        <w:spacing w:before="0" w:after="0" w:line="42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33" w:name="_Toc28983"/>
      <w:r>
        <w:rPr>
          <w:rFonts w:hint="eastAsia" w:ascii="宋体" w:hAnsi="宋体" w:eastAsia="宋体" w:cs="宋体"/>
          <w:color w:val="000000" w:themeColor="text1"/>
          <w:sz w:val="24"/>
          <w:szCs w:val="24"/>
          <w:highlight w:val="none"/>
          <w14:textFill>
            <w14:solidFill>
              <w14:schemeClr w14:val="tx1"/>
            </w14:solidFill>
          </w14:textFill>
        </w:rPr>
        <w:t>第二章  投标人须知</w:t>
      </w:r>
      <w:bookmarkEnd w:id="3"/>
      <w:bookmarkEnd w:id="4"/>
      <w:bookmarkEnd w:id="5"/>
      <w:bookmarkEnd w:id="6"/>
      <w:bookmarkEnd w:id="7"/>
      <w:bookmarkEnd w:id="8"/>
      <w:bookmarkEnd w:id="33"/>
    </w:p>
    <w:p>
      <w:pPr>
        <w:keepNext/>
        <w:keepLines/>
        <w:pageBreakBefore w:val="0"/>
        <w:kinsoku/>
        <w:wordWrap/>
        <w:overflowPunct/>
        <w:topLinePunct w:val="0"/>
        <w:autoSpaceDE/>
        <w:autoSpaceDN/>
        <w:bidi w:val="0"/>
        <w:spacing w:line="420" w:lineRule="exact"/>
        <w:jc w:val="center"/>
        <w:textAlignment w:val="auto"/>
        <w:outlineLvl w:val="1"/>
        <w:rPr>
          <w:rFonts w:hint="eastAsia" w:ascii="宋体" w:hAnsi="宋体" w:eastAsia="宋体" w:cs="宋体"/>
          <w:b/>
          <w:bCs/>
          <w:color w:val="000000" w:themeColor="text1"/>
          <w:sz w:val="24"/>
          <w:szCs w:val="24"/>
          <w:highlight w:val="none"/>
          <w14:textFill>
            <w14:solidFill>
              <w14:schemeClr w14:val="tx1"/>
            </w14:solidFill>
          </w14:textFill>
        </w:rPr>
      </w:pPr>
      <w:bookmarkStart w:id="34" w:name="_Toc189727030"/>
      <w:bookmarkStart w:id="35" w:name="_Toc213396946"/>
      <w:bookmarkStart w:id="36" w:name="_Toc213396760"/>
      <w:bookmarkStart w:id="37" w:name="_Toc217446032"/>
      <w:bookmarkStart w:id="38" w:name="_Toc213496268"/>
      <w:bookmarkStart w:id="39" w:name="_Toc213397010"/>
      <w:r>
        <w:rPr>
          <w:rFonts w:hint="eastAsia" w:ascii="宋体" w:hAnsi="宋体" w:eastAsia="宋体" w:cs="宋体"/>
          <w:b/>
          <w:bCs/>
          <w:color w:val="000000" w:themeColor="text1"/>
          <w:sz w:val="24"/>
          <w:szCs w:val="24"/>
          <w:highlight w:val="none"/>
          <w14:textFill>
            <w14:solidFill>
              <w14:schemeClr w14:val="tx1"/>
            </w14:solidFill>
          </w14:textFill>
        </w:rPr>
        <w:t>一、投标人须知前附表</w:t>
      </w:r>
      <w:bookmarkEnd w:id="34"/>
      <w:bookmarkEnd w:id="35"/>
      <w:bookmarkEnd w:id="36"/>
      <w:bookmarkEnd w:id="37"/>
      <w:bookmarkEnd w:id="38"/>
      <w:bookmarkEnd w:id="39"/>
    </w:p>
    <w:tbl>
      <w:tblPr>
        <w:tblStyle w:val="29"/>
        <w:tblW w:w="51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1476"/>
        <w:gridCol w:w="6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名 称</w:t>
            </w:r>
          </w:p>
        </w:tc>
        <w:tc>
          <w:tcPr>
            <w:tcW w:w="3675"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w:t>
            </w:r>
          </w:p>
        </w:tc>
        <w:tc>
          <w:tcPr>
            <w:tcW w:w="3675" w:type="pct"/>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szCs w:val="24"/>
                <w:highlight w:val="none"/>
                <w:lang w:eastAsia="zh-CN"/>
                <w14:textFill>
                  <w14:solidFill>
                    <w14:schemeClr w14:val="tx1"/>
                  </w14:solidFill>
                </w14:textFill>
              </w:rPr>
              <w:t>王素兰</w:t>
            </w:r>
            <w:r>
              <w:rPr>
                <w:rFonts w:hint="eastAsia" w:ascii="宋体" w:hAnsi="宋体" w:eastAsia="宋体" w:cs="宋体"/>
                <w:color w:val="000000" w:themeColor="text1"/>
                <w:sz w:val="24"/>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szCs w:val="24"/>
                <w:highlight w:val="none"/>
                <w:lang w:val="en-US" w:eastAsia="zh-CN"/>
                <w14:textFill>
                  <w14:solidFill>
                    <w14:schemeClr w14:val="tx1"/>
                  </w14:solidFill>
                </w14:textFill>
              </w:rPr>
              <w:t>15001633288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称：新疆拓源工程管理咨询有限公司</w:t>
            </w:r>
          </w:p>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lang w:val="zh-CN"/>
                <w14:textFill>
                  <w14:solidFill>
                    <w14:schemeClr w14:val="tx1"/>
                  </w14:solidFill>
                </w14:textFill>
              </w:rPr>
              <w:t>乌鲁木齐市水磨沟区龙盛街898号万科中央公园S6栋5层</w:t>
            </w:r>
          </w:p>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项目联系人：</w:t>
            </w:r>
            <w:r>
              <w:rPr>
                <w:rFonts w:hint="eastAsia" w:ascii="宋体" w:hAnsi="宋体" w:eastAsia="宋体" w:cs="宋体"/>
                <w:color w:val="000000" w:themeColor="text1"/>
                <w:sz w:val="24"/>
                <w:szCs w:val="24"/>
                <w:highlight w:val="none"/>
                <w:lang w:val="en-US" w:eastAsia="zh-CN"/>
                <w14:textFill>
                  <w14:solidFill>
                    <w14:schemeClr w14:val="tx1"/>
                  </w14:solidFill>
                </w14:textFill>
              </w:rPr>
              <w:t>杨工</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15199586230、19999795598</w:t>
            </w:r>
            <w:r>
              <w:rPr>
                <w:rFonts w:hint="eastAsia" w:ascii="宋体" w:hAnsi="宋体" w:eastAsia="宋体" w:cs="宋体"/>
                <w:color w:val="000000" w:themeColor="text1"/>
                <w:sz w:val="24"/>
                <w:szCs w:val="24"/>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848" w:type="pct"/>
            <w:vAlign w:val="center"/>
          </w:tcPr>
          <w:p>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项目名称</w:t>
            </w:r>
          </w:p>
        </w:tc>
        <w:tc>
          <w:tcPr>
            <w:tcW w:w="3675" w:type="pct"/>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沙湾市中等职业技术学校新校区办学条件提升工程-智慧图书馆建设项目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b w:val="0"/>
                <w:bCs/>
                <w:color w:val="000000" w:themeColor="text1"/>
                <w:sz w:val="24"/>
                <w:szCs w:val="24"/>
                <w:highlight w:val="none"/>
                <w:shd w:val="clear" w:color="auto" w:fill="auto"/>
                <w:lang w:eastAsia="zh-CN"/>
                <w14:textFill>
                  <w14:solidFill>
                    <w14:schemeClr w14:val="tx1"/>
                  </w14:solidFill>
                </w14:textFill>
              </w:rPr>
              <w:t>XJTYSWZC-20240530</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1476" w:type="dxa"/>
            <w:vAlign w:val="center"/>
          </w:tcPr>
          <w:p>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资金来源、预算金额</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最高限价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63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资金来源：财政</w:t>
            </w:r>
            <w:r>
              <w:rPr>
                <w:rFonts w:hint="eastAsia" w:ascii="宋体" w:hAnsi="宋体" w:eastAsia="宋体" w:cs="宋体"/>
                <w:color w:val="000000" w:themeColor="text1"/>
                <w:sz w:val="24"/>
                <w:szCs w:val="24"/>
                <w:highlight w:val="none"/>
                <w14:textFill>
                  <w14:solidFill>
                    <w14:schemeClr w14:val="tx1"/>
                  </w14:solidFill>
                </w14:textFill>
              </w:rPr>
              <w:t>资金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预算金额（最高限价）：</w:t>
            </w:r>
            <w:r>
              <w:rPr>
                <w:rFonts w:hint="eastAsia" w:ascii="宋体" w:hAnsi="宋体" w:cs="宋体"/>
                <w:i w:val="0"/>
                <w:iCs w:val="0"/>
                <w:caps w:val="0"/>
                <w:color w:val="000000" w:themeColor="text1"/>
                <w:spacing w:val="0"/>
                <w:sz w:val="24"/>
                <w:szCs w:val="24"/>
                <w:highlight w:val="none"/>
                <w:lang w:val="en-US" w:eastAsia="zh-CN"/>
                <w14:textFill>
                  <w14:solidFill>
                    <w14:schemeClr w14:val="tx1"/>
                  </w14:solidFill>
                </w14:textFill>
              </w:rPr>
              <w:t>100</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0000.00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元；此次报价包括货物到达采购人指定地点的全部费用，报价包括项目实施所需的货物费、安装费、包装运输费、装卸费、管理费、利润、税费及其他一切费用。</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投标人投标报价若超过最高限价，投标无效。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采购需求</w:t>
            </w:r>
          </w:p>
        </w:tc>
        <w:tc>
          <w:tcPr>
            <w:tcW w:w="3675" w:type="pct"/>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本项目为沙湾市中等职业技术学校新校区办学条件提升工程-智慧图书馆建设项目，包括供货、运输保险、安装、验收及质保、售后服务等。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质保期</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自验收合格之日起质保</w:t>
            </w:r>
            <w:r>
              <w:rPr>
                <w:rFonts w:hint="eastAsia" w:ascii="宋体" w:hAnsi="宋体"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合同履约期限</w:t>
            </w:r>
          </w:p>
        </w:tc>
        <w:tc>
          <w:tcPr>
            <w:tcW w:w="3675" w:type="pct"/>
            <w:vAlign w:val="center"/>
          </w:tcPr>
          <w:p>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合同签订后</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30</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日历天内完成。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供货</w:t>
            </w:r>
            <w:r>
              <w:rPr>
                <w:rFonts w:hint="eastAsia" w:ascii="宋体" w:hAnsi="宋体" w:eastAsia="宋体" w:cs="宋体"/>
                <w:color w:val="000000" w:themeColor="text1"/>
                <w:sz w:val="24"/>
                <w:szCs w:val="24"/>
                <w:highlight w:val="none"/>
                <w14:textFill>
                  <w14:solidFill>
                    <w14:schemeClr w14:val="tx1"/>
                  </w14:solidFill>
                </w14:textFill>
              </w:rPr>
              <w:t>地点</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沙湾市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落实的政府采购政策</w:t>
            </w:r>
          </w:p>
        </w:tc>
        <w:tc>
          <w:tcPr>
            <w:tcW w:w="3675" w:type="pct"/>
            <w:vAlign w:val="center"/>
          </w:tcPr>
          <w:p>
            <w:pPr>
              <w:keepNext w:val="0"/>
              <w:keepLines w:val="0"/>
              <w:pageBreakBefore w:val="0"/>
              <w:numPr>
                <w:ilvl w:val="0"/>
                <w:numId w:val="3"/>
              </w:numPr>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符合促进中小企业（监狱企业、残疾人福利性单位）发展政策；</w:t>
            </w:r>
          </w:p>
          <w:p>
            <w:pPr>
              <w:pStyle w:val="41"/>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cs="宋体"/>
                <w:color w:val="000000" w:themeColor="text1"/>
                <w:sz w:val="24"/>
                <w:szCs w:val="24"/>
                <w:highlight w:val="none"/>
                <w:lang w:val="en-US" w:eastAsia="zh-CN"/>
                <w14:textFill>
                  <w14:solidFill>
                    <w14:schemeClr w14:val="tx1"/>
                  </w14:solidFill>
                </w14:textFill>
              </w:rPr>
              <w:t>本项目为专门面向小微企业（含小型、微型企业）采购项目</w:t>
            </w:r>
            <w:r>
              <w:rPr>
                <w:rFonts w:hint="eastAsia" w:ascii="宋体" w:hAnsi="宋体" w:eastAsia="宋体" w:cs="宋体"/>
                <w:color w:val="000000" w:themeColor="text1"/>
                <w:sz w:val="24"/>
                <w:szCs w:val="24"/>
                <w:highlight w:val="none"/>
                <w14:textFill>
                  <w14:solidFill>
                    <w14:schemeClr w14:val="tx1"/>
                  </w14:solidFill>
                </w14:textFill>
              </w:rPr>
              <w:t>，根据《政府采购促进中小企业发展管理办法》（财库[2020]46号）、《关于进一步加大政府采购支持中小企业力度的通知》（财库〔2022〕19号）、《财政部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中提交了《中小企业声明函》、《残疾人福利性单位声明函》或省级以上监狱管理局、戒毒管理局（含新疆生产建设兵团）出具的属于监狱企业的证明文件的</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。专门面向中小企业采购的项目或者采购标包，不再执行价格评审优惠的扶持政策；</w:t>
            </w:r>
          </w:p>
          <w:p>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3、所属行业：</w:t>
            </w:r>
            <w:r>
              <w:rPr>
                <w:rFonts w:hint="eastAsia" w:ascii="宋体" w:hAnsi="宋体" w:eastAsia="宋体" w:cs="宋体"/>
                <w:color w:val="000000" w:themeColor="text1"/>
                <w:sz w:val="24"/>
                <w:szCs w:val="24"/>
                <w:highlight w:val="none"/>
                <w:lang w:eastAsia="zh-CN"/>
                <w14:textFill>
                  <w14:solidFill>
                    <w14:schemeClr w14:val="tx1"/>
                  </w14:solidFill>
                </w14:textFill>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投标人资格要求</w:t>
            </w:r>
          </w:p>
        </w:tc>
        <w:tc>
          <w:tcPr>
            <w:tcW w:w="3675" w:type="pct"/>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w:t>
            </w:r>
            <w:r>
              <w:rPr>
                <w:rFonts w:hint="eastAsia" w:ascii="宋体" w:hAnsi="宋体" w:eastAsia="宋体" w:cs="宋体"/>
                <w:i w:val="0"/>
                <w:iCs w:val="0"/>
                <w:color w:val="000000" w:themeColor="text1"/>
                <w:sz w:val="24"/>
                <w:szCs w:val="24"/>
                <w:highlight w:val="none"/>
                <w:lang w:eastAsia="zh-CN"/>
                <w14:textFill>
                  <w14:solidFill>
                    <w14:schemeClr w14:val="tx1"/>
                  </w14:solidFill>
                </w14:textFill>
              </w:rPr>
              <w:t>本标项为专门面向小微企业（含小型、微型企业）采购项目</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.本项目的特定资格要求：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w:t>
            </w:r>
          </w:p>
        </w:tc>
        <w:tc>
          <w:tcPr>
            <w:tcW w:w="3675" w:type="pct"/>
            <w:vAlign w:val="center"/>
          </w:tcPr>
          <w:p>
            <w:pPr>
              <w:pStyle w:val="28"/>
              <w:spacing w:line="360" w:lineRule="auto"/>
              <w:ind w:firstLine="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投标保证金的金额：</w:t>
            </w:r>
            <w:r>
              <w:rPr>
                <w:rFonts w:hint="eastAsia" w:ascii="宋体" w:hAnsi="宋体" w:eastAsia="宋体" w:cs="宋体"/>
                <w:color w:val="000000" w:themeColor="text1"/>
                <w:sz w:val="24"/>
                <w:szCs w:val="24"/>
                <w:highlight w:val="none"/>
                <w:lang w:eastAsia="zh-CN"/>
                <w14:textFill>
                  <w14:solidFill>
                    <w14:schemeClr w14:val="tx1"/>
                  </w14:solidFill>
                </w14:textFill>
              </w:rPr>
              <w:t>人民币</w:t>
            </w:r>
            <w:r>
              <w:rPr>
                <w:rFonts w:hint="eastAsia" w:ascii="宋体" w:hAnsi="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eastAsia="zh-CN"/>
                <w14:textFill>
                  <w14:solidFill>
                    <w14:schemeClr w14:val="tx1"/>
                  </w14:solidFill>
                </w14:textFill>
              </w:rPr>
              <w:t>000.00元（大写：</w:t>
            </w:r>
            <w:r>
              <w:rPr>
                <w:rFonts w:hint="eastAsia" w:ascii="宋体" w:hAnsi="宋体" w:cs="宋体"/>
                <w:color w:val="000000" w:themeColor="text1"/>
                <w:sz w:val="24"/>
                <w:szCs w:val="24"/>
                <w:highlight w:val="none"/>
                <w:lang w:val="en-US" w:eastAsia="zh-CN"/>
                <w14:textFill>
                  <w14:solidFill>
                    <w14:schemeClr w14:val="tx1"/>
                  </w14:solidFill>
                </w14:textFill>
              </w:rPr>
              <w:t>壹万捌仟元整</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投标保证金由</w:t>
            </w:r>
            <w:r>
              <w:rPr>
                <w:rFonts w:hint="eastAsia" w:ascii="宋体" w:hAnsi="宋体" w:eastAsia="宋体" w:cs="宋体"/>
                <w:color w:val="000000" w:themeColor="text1"/>
                <w:sz w:val="24"/>
                <w:szCs w:val="24"/>
                <w:highlight w:val="none"/>
                <w:lang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确认在投标截止时间前到账。</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一、投标保证金缴纳：</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1.投标保证金应当以支票、汇票、本票或者金融机构、担保机构出具的保函等非现金形式提交；</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2.缴纳投标保证金时需备注项目名称；</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3.投标保证金递交截止时间：同投标文件递交截止时间；</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投标保证金缴纳账户：</w:t>
            </w:r>
          </w:p>
          <w:p>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收款人名称：新疆拓源工程管理咨询有限公司沙湾分公司</w:t>
            </w:r>
          </w:p>
          <w:p>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开户行：中国银行股份有限公司沙湾市支行</w:t>
            </w:r>
          </w:p>
          <w:p>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帐号：107682161235</w:t>
            </w:r>
          </w:p>
          <w:p>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行号：104901401016</w:t>
            </w:r>
          </w:p>
          <w:p>
            <w:pPr>
              <w:spacing w:line="312"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财务电话:</w:t>
            </w:r>
            <w:r>
              <w:rPr>
                <w:rFonts w:hint="eastAsia" w:ascii="宋体" w:hAnsi="宋体" w:eastAsia="宋体" w:cs="宋体"/>
                <w:color w:val="000000" w:themeColor="text1"/>
                <w:sz w:val="24"/>
                <w:highlight w:val="none"/>
                <w:lang w:eastAsia="zh-CN"/>
                <w14:textFill>
                  <w14:solidFill>
                    <w14:schemeClr w14:val="tx1"/>
                  </w14:solidFill>
                </w14:textFill>
              </w:rPr>
              <w:t>19999795598</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二、投标保证金退还：</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1.未中标人的投标保证金将在中标通知书发出后5个工作日内退还；</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2.中标人的投标保证金将在自采购合同签订之日起5个工作日内无息退还；</w:t>
            </w:r>
          </w:p>
          <w:p>
            <w:pPr>
              <w:pStyle w:val="28"/>
              <w:spacing w:line="360" w:lineRule="auto"/>
              <w:ind w:firstLine="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3.有下列情形之一的，投标保证金不予退还：详见总则第1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.5条</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三、加盖公章的投标保证金缴纳凭证复印件需装订在投标文件中相应位置。</w:t>
            </w:r>
          </w:p>
          <w:p>
            <w:pPr>
              <w:pStyle w:val="28"/>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注：投标人未按照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的规定提交投标保证金的，将被视为</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是否接受联合体投标</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00FE"/>
            </w:r>
            <w:r>
              <w:rPr>
                <w:rFonts w:hint="eastAsia" w:ascii="宋体" w:hAnsi="宋体" w:eastAsia="宋体" w:cs="宋体"/>
                <w:color w:val="000000" w:themeColor="text1"/>
                <w:sz w:val="24"/>
                <w:szCs w:val="24"/>
                <w:highlight w:val="none"/>
                <w14:textFill>
                  <w14:solidFill>
                    <w14:schemeClr w14:val="tx1"/>
                  </w14:solidFill>
                </w14:textFill>
              </w:rPr>
              <w:t>不接受/</w:t>
            </w:r>
            <w:r>
              <w:rPr>
                <w:rFonts w:hint="eastAsia" w:ascii="宋体" w:hAnsi="宋体" w:eastAsia="宋体" w:cs="宋体"/>
                <w:color w:val="000000" w:themeColor="text1"/>
                <w:sz w:val="24"/>
                <w:szCs w:val="24"/>
                <w:highlight w:val="none"/>
                <w14:textFill>
                  <w14:solidFill>
                    <w14:schemeClr w14:val="tx1"/>
                  </w14:solidFill>
                </w14:textFill>
              </w:rPr>
              <w:sym w:font="Wingdings" w:char="00A8"/>
            </w:r>
            <w:r>
              <w:rPr>
                <w:rFonts w:hint="eastAsia" w:ascii="宋体" w:hAnsi="宋体" w:eastAsia="宋体" w:cs="宋体"/>
                <w:color w:val="000000" w:themeColor="text1"/>
                <w:sz w:val="24"/>
                <w:szCs w:val="24"/>
                <w:highlight w:val="none"/>
                <w14:textFill>
                  <w14:solidFill>
                    <w14:schemeClr w14:val="tx1"/>
                  </w14:solidFill>
                </w14:textFill>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00FE"/>
            </w:r>
            <w:r>
              <w:rPr>
                <w:rFonts w:hint="eastAsia" w:ascii="宋体" w:hAnsi="宋体" w:eastAsia="宋体" w:cs="宋体"/>
                <w:color w:val="000000" w:themeColor="text1"/>
                <w:sz w:val="24"/>
                <w:szCs w:val="24"/>
                <w:highlight w:val="none"/>
                <w14:textFill>
                  <w14:solidFill>
                    <w14:schemeClr w14:val="tx1"/>
                  </w14:solidFill>
                </w14:textFill>
              </w:rPr>
              <w:t>不允许/</w:t>
            </w:r>
            <w:r>
              <w:rPr>
                <w:rFonts w:hint="eastAsia" w:ascii="宋体" w:hAnsi="宋体" w:eastAsia="宋体" w:cs="宋体"/>
                <w:color w:val="000000" w:themeColor="text1"/>
                <w:sz w:val="24"/>
                <w:szCs w:val="24"/>
                <w:highlight w:val="none"/>
                <w14:textFill>
                  <w14:solidFill>
                    <w14:schemeClr w14:val="tx1"/>
                  </w14:solidFill>
                </w14:textFill>
              </w:rPr>
              <w:sym w:font="Wingdings" w:char="00A8"/>
            </w:r>
            <w:r>
              <w:rPr>
                <w:rFonts w:hint="eastAsia" w:ascii="宋体" w:hAnsi="宋体" w:eastAsia="宋体" w:cs="宋体"/>
                <w:color w:val="000000" w:themeColor="text1"/>
                <w:sz w:val="24"/>
                <w:szCs w:val="24"/>
                <w:highlight w:val="none"/>
                <w14:textFill>
                  <w14:solidFill>
                    <w14:schemeClr w14:val="tx1"/>
                  </w14:solidFill>
                </w14:textFill>
              </w:rPr>
              <w:t>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截止时间及地点</w:t>
            </w:r>
          </w:p>
        </w:tc>
        <w:tc>
          <w:tcPr>
            <w:tcW w:w="3675" w:type="pct"/>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b w:val="0"/>
                <w:bCs/>
                <w:color w:val="000000" w:themeColor="text1"/>
                <w:kern w:val="0"/>
                <w:sz w:val="24"/>
                <w:szCs w:val="24"/>
                <w:highlight w:val="none"/>
                <w:u w:val="none"/>
                <w:shd w:val="clear" w:color="auto" w:fill="auto"/>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投标</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文件</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上传</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截止时间</w:t>
            </w:r>
            <w:r>
              <w:rPr>
                <w:rFonts w:hint="eastAsia" w:ascii="宋体" w:hAnsi="宋体" w:eastAsia="宋体" w:cs="宋体"/>
                <w:b w:val="0"/>
                <w:bCs/>
                <w:color w:val="000000" w:themeColor="text1"/>
                <w:sz w:val="24"/>
                <w:szCs w:val="24"/>
                <w:highlight w:val="none"/>
                <w:u w:val="none"/>
                <w:shd w:val="clear" w:color="auto" w:fill="auto"/>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u w:val="single"/>
                <w:shd w:val="clear" w:color="auto" w:fill="auto"/>
                <w:lang w:eastAsia="zh-CN"/>
                <w14:textFill>
                  <w14:solidFill>
                    <w14:schemeClr w14:val="tx1"/>
                  </w14:solidFill>
                </w14:textFill>
              </w:rPr>
              <w:t>2024年</w:t>
            </w:r>
            <w:r>
              <w:rPr>
                <w:rFonts w:hint="eastAsia" w:ascii="宋体" w:hAnsi="宋体" w:cs="宋体"/>
                <w:b w:val="0"/>
                <w:bCs/>
                <w:color w:val="000000" w:themeColor="text1"/>
                <w:sz w:val="24"/>
                <w:szCs w:val="24"/>
                <w:highlight w:val="none"/>
                <w:u w:val="single"/>
                <w:shd w:val="clear" w:color="auto" w:fill="auto"/>
                <w:lang w:val="en-US" w:eastAsia="zh-CN"/>
                <w14:textFill>
                  <w14:solidFill>
                    <w14:schemeClr w14:val="tx1"/>
                  </w14:solidFill>
                </w14:textFill>
              </w:rPr>
              <w:t>06</w:t>
            </w:r>
            <w:r>
              <w:rPr>
                <w:rFonts w:hint="eastAsia" w:ascii="宋体" w:hAnsi="宋体" w:eastAsia="宋体" w:cs="宋体"/>
                <w:b w:val="0"/>
                <w:bCs/>
                <w:color w:val="000000" w:themeColor="text1"/>
                <w:sz w:val="24"/>
                <w:szCs w:val="24"/>
                <w:highlight w:val="none"/>
                <w:u w:val="single"/>
                <w:shd w:val="clear" w:color="auto" w:fill="auto"/>
                <w:lang w:eastAsia="zh-CN"/>
                <w14:textFill>
                  <w14:solidFill>
                    <w14:schemeClr w14:val="tx1"/>
                  </w14:solidFill>
                </w14:textFill>
              </w:rPr>
              <w:t>月</w:t>
            </w:r>
            <w:r>
              <w:rPr>
                <w:rFonts w:hint="eastAsia" w:ascii="宋体" w:hAnsi="宋体" w:cs="宋体"/>
                <w:b w:val="0"/>
                <w:bCs/>
                <w:color w:val="000000" w:themeColor="text1"/>
                <w:sz w:val="24"/>
                <w:szCs w:val="24"/>
                <w:highlight w:val="none"/>
                <w:u w:val="single"/>
                <w:shd w:val="clear" w:color="auto" w:fill="auto"/>
                <w:lang w:val="en-US" w:eastAsia="zh-CN"/>
                <w14:textFill>
                  <w14:solidFill>
                    <w14:schemeClr w14:val="tx1"/>
                  </w14:solidFill>
                </w14:textFill>
              </w:rPr>
              <w:t>24</w:t>
            </w:r>
            <w:r>
              <w:rPr>
                <w:rFonts w:hint="eastAsia" w:ascii="宋体" w:hAnsi="宋体" w:eastAsia="宋体" w:cs="宋体"/>
                <w:b w:val="0"/>
                <w:bCs/>
                <w:color w:val="000000" w:themeColor="text1"/>
                <w:sz w:val="24"/>
                <w:szCs w:val="24"/>
                <w:highlight w:val="none"/>
                <w:u w:val="single"/>
                <w:shd w:val="clear" w:color="auto" w:fill="auto"/>
                <w:lang w:eastAsia="zh-CN"/>
                <w14:textFill>
                  <w14:solidFill>
                    <w14:schemeClr w14:val="tx1"/>
                  </w14:solidFill>
                </w14:textFill>
              </w:rPr>
              <w:t>日</w:t>
            </w:r>
            <w:r>
              <w:rPr>
                <w:rFonts w:hint="eastAsia" w:ascii="宋体" w:hAnsi="宋体" w:eastAsia="宋体" w:cs="宋体"/>
                <w:b w:val="0"/>
                <w:bCs/>
                <w:color w:val="000000" w:themeColor="text1"/>
                <w:sz w:val="24"/>
                <w:szCs w:val="24"/>
                <w:highlight w:val="none"/>
                <w:u w:val="single"/>
                <w:shd w:val="clear" w:color="auto" w:fill="auto"/>
                <w:lang w:val="en-US" w:eastAsia="zh-CN"/>
                <w14:textFill>
                  <w14:solidFill>
                    <w14:schemeClr w14:val="tx1"/>
                  </w14:solidFill>
                </w14:textFill>
              </w:rPr>
              <w:t>1</w:t>
            </w:r>
            <w:r>
              <w:rPr>
                <w:rFonts w:hint="eastAsia" w:ascii="宋体" w:hAnsi="宋体" w:cs="宋体"/>
                <w:b w:val="0"/>
                <w:bCs/>
                <w:color w:val="000000" w:themeColor="text1"/>
                <w:sz w:val="24"/>
                <w:szCs w:val="24"/>
                <w:highlight w:val="none"/>
                <w:u w:val="single"/>
                <w:shd w:val="clear" w:color="auto" w:fill="auto"/>
                <w:lang w:val="en-US" w:eastAsia="zh-CN"/>
                <w14:textFill>
                  <w14:solidFill>
                    <w14:schemeClr w14:val="tx1"/>
                  </w14:solidFill>
                </w14:textFill>
              </w:rPr>
              <w:t>7</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时</w:t>
            </w:r>
            <w:r>
              <w:rPr>
                <w:rFonts w:hint="eastAsia" w:ascii="宋体" w:hAnsi="宋体" w:eastAsia="宋体" w:cs="宋体"/>
                <w:b w:val="0"/>
                <w:bCs/>
                <w:color w:val="000000" w:themeColor="text1"/>
                <w:sz w:val="24"/>
                <w:szCs w:val="24"/>
                <w:highlight w:val="none"/>
                <w:u w:val="single"/>
                <w:shd w:val="clear" w:color="auto" w:fill="auto"/>
                <w:lang w:val="en-US" w:eastAsia="zh-CN"/>
                <w14:textFill>
                  <w14:solidFill>
                    <w14:schemeClr w14:val="tx1"/>
                  </w14:solidFill>
                </w14:textFill>
              </w:rPr>
              <w:t>00</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分</w:t>
            </w:r>
            <w:r>
              <w:rPr>
                <w:rFonts w:hint="eastAsia" w:ascii="宋体" w:hAnsi="宋体" w:eastAsia="宋体" w:cs="宋体"/>
                <w:b w:val="0"/>
                <w:bCs/>
                <w:color w:val="000000" w:themeColor="text1"/>
                <w:kern w:val="0"/>
                <w:sz w:val="24"/>
                <w:szCs w:val="24"/>
                <w:highlight w:val="none"/>
                <w:u w:val="none"/>
                <w:shd w:val="clear" w:color="auto" w:fill="auto"/>
                <w14:textFill>
                  <w14:solidFill>
                    <w14:schemeClr w14:val="tx1"/>
                  </w14:solidFill>
                </w14:textFill>
              </w:rPr>
              <w:t>（北京时间）</w:t>
            </w:r>
            <w:r>
              <w:rPr>
                <w:rFonts w:hint="eastAsia" w:ascii="宋体" w:hAnsi="宋体" w:eastAsia="宋体" w:cs="宋体"/>
                <w:b w:val="0"/>
                <w:bCs/>
                <w:color w:val="000000" w:themeColor="text1"/>
                <w:kern w:val="0"/>
                <w:sz w:val="24"/>
                <w:szCs w:val="24"/>
                <w:highlight w:val="none"/>
                <w:u w:val="none"/>
                <w:shd w:val="clear" w:color="auto" w:fill="auto"/>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应在投标截止时间前将“电子加密投标文件”成功上传</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至“政府采购云平台”，否则投标无效。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采用电子招标投标</w:t>
            </w:r>
          </w:p>
        </w:tc>
        <w:tc>
          <w:tcPr>
            <w:tcW w:w="3675" w:type="pct"/>
            <w:vAlign w:val="center"/>
          </w:tcPr>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具体要求：</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1、投标文件解密时间：</w:t>
            </w:r>
            <w:r>
              <w:rPr>
                <w:rFonts w:hint="eastAsia" w:ascii="宋体" w:hAnsi="宋体" w:eastAsia="宋体" w:cs="宋体"/>
                <w:color w:val="000000" w:themeColor="text1"/>
                <w:sz w:val="24"/>
                <w:szCs w:val="24"/>
                <w:highlight w:val="none"/>
                <w14:textFill>
                  <w14:solidFill>
                    <w14:schemeClr w14:val="tx1"/>
                  </w14:solidFill>
                </w14:textFill>
              </w:rPr>
              <w:t>投标文件解密时间30分钟，开标前需投标单位用CA证书登录政采云平台开标大厅签到，在30分钟解密时间内输入CA证书PIN码解密投标文件。在30分钟解密时间内未进行解密的投标单位将导致</w:t>
            </w:r>
            <w:r>
              <w:rPr>
                <w:rFonts w:hint="eastAsia" w:ascii="宋体" w:hAnsi="宋体" w:eastAsia="宋体" w:cs="宋体"/>
                <w:color w:val="000000" w:themeColor="text1"/>
                <w:sz w:val="24"/>
                <w:szCs w:val="24"/>
                <w:highlight w:val="none"/>
                <w:lang w:eastAsia="zh-CN"/>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。（解密时间开始时政采云平台将以短信形式向</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在政采云平台预留的手机号发送短信通知，请</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及时关注。）</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eastAsia="zh-CN"/>
                <w14:textFill>
                  <w14:solidFill>
                    <w14:schemeClr w14:val="tx1"/>
                  </w14:solidFill>
                </w14:textFill>
              </w:rPr>
              <w:t>投标人</w:t>
            </w:r>
            <w:r>
              <w:rPr>
                <w:rFonts w:hint="eastAsia" w:ascii="宋体" w:hAnsi="宋体" w:eastAsia="宋体" w:cs="宋体"/>
                <w:b/>
                <w:bCs/>
                <w:color w:val="000000" w:themeColor="text1"/>
                <w:sz w:val="24"/>
                <w:szCs w:val="24"/>
                <w:highlight w:val="none"/>
                <w14:textFill>
                  <w14:solidFill>
                    <w14:schemeClr w14:val="tx1"/>
                  </w14:solidFill>
                </w14:textFill>
              </w:rPr>
              <w:t>报价CA签字确认：</w:t>
            </w:r>
            <w:r>
              <w:rPr>
                <w:rFonts w:hint="eastAsia" w:ascii="宋体" w:hAnsi="宋体" w:eastAsia="宋体" w:cs="宋体"/>
                <w:color w:val="000000" w:themeColor="text1"/>
                <w:sz w:val="24"/>
                <w:szCs w:val="24"/>
                <w:highlight w:val="none"/>
                <w14:textFill>
                  <w14:solidFill>
                    <w14:schemeClr w14:val="tx1"/>
                  </w14:solidFill>
                </w14:textFill>
              </w:rPr>
              <w:t>报价文件开启后将开启签字时段，</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须在20分钟内用CA证书对报价进行签字确认。</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3、备注:</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（1）本次采购采用电子交易方式，电子交易平台为“政府采购云平台（www.zcygov.cn）”。</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参与本项目电子交易活动前，应注册成为政府采购平台</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。编制电子投标文件前还需申领CA证书并绑定帐号.</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编制电子投标文件应安装“电子招投标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客户端”软件，并按照本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和电子招投标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客户端的要求编制并加密投标文件。未按规定加密的投标文件，将被电子招投标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客户端拒收。“电子招投标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客户端”请</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自行前往“新疆政府采购网—下载专区—新疆维吾尔自治区全流程电子招投标项目管理系统--电子招投标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客户端”版块获取。</w:t>
            </w:r>
          </w:p>
          <w:p>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应当在投标截止时间前，将“电子招投标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客户端”生成的“电子加密投标文件”上传电子交易平台。</w:t>
            </w:r>
          </w:p>
          <w:p>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（5）服务与支持。各政府采购代理机构（含集采机构）及</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对不见面开评标系统的技术操作咨询，可通过</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"https://edu.zcygov.cn/luban/xinjiang-e-biding"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https://edu.zcygov.cn/luban/xinjiang-e-biding</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自助查询，也可在政采云帮助中心常见问题解答和操作流程讲解视频中自助查询，网址为：</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"https://service.zcygov.cn/" \l "/help"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https://service.zcygov.cn/#/help</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，“项目采购—操作流程—电子招投标—政府采购项目电子交易管理操作指南-</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”版面获取操作指南，同时对自助查询无法解决的问题可通过钉钉群及政采云在线客服获取服务支持。政采云热线人工号码：400-881-7190（工作时间：工作日08:00~20：00）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投标报价</w:t>
            </w:r>
          </w:p>
        </w:tc>
        <w:tc>
          <w:tcPr>
            <w:tcW w:w="3675" w:type="pct"/>
            <w:vAlign w:val="center"/>
          </w:tcPr>
          <w:p>
            <w:pPr>
              <w:keepNext w:val="0"/>
              <w:keepLines w:val="0"/>
              <w:pageBreakBefore w:val="0"/>
              <w:numPr>
                <w:ilvl w:val="0"/>
                <w:numId w:val="4"/>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的报价明显低于其他通过符合性审查投标人的报价，有可能影响货物质量或者不能诚信履约的，应当要求其在评标现场合理的时间内提供书面说明，必要时提交相关证明材料;投标人不能证明其报价合理性的，评标委员会将其作为无效投标处理，自行承担相关责任。</w:t>
            </w:r>
          </w:p>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2、投标人的报价包含提供的所有服务及相关工作范围内所有费用（包含接口费）的总价。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踏勘现场</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不组织，投标人自行踏勘，无论投标人对现场考察与否，都将被视为熟悉履行合同有关的一切情况，投标人现场踏勘发生的费用自理。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投标答疑会</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 xml:space="preserve">不召开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近年财务状况年份要求</w:t>
            </w:r>
          </w:p>
        </w:tc>
        <w:tc>
          <w:tcPr>
            <w:tcW w:w="3675" w:type="pct"/>
            <w:vAlign w:val="center"/>
          </w:tcPr>
          <w:p>
            <w:pPr>
              <w:pStyle w:val="23"/>
              <w:keepNext w:val="0"/>
              <w:keepLines w:val="0"/>
              <w:pageBreakBefore w:val="0"/>
              <w:kinsoku/>
              <w:wordWrap/>
              <w:overflowPunct/>
              <w:topLinePunct w:val="0"/>
              <w:autoSpaceDE/>
              <w:autoSpaceDN/>
              <w:bidi w:val="0"/>
              <w:spacing w:line="400" w:lineRule="exact"/>
              <w:ind w:left="0" w:firstLine="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年度</w:t>
            </w:r>
            <w:r>
              <w:rPr>
                <w:rFonts w:hint="eastAsia" w:ascii="宋体" w:hAnsi="宋体" w:eastAsia="宋体" w:cs="宋体"/>
                <w:color w:val="000000" w:themeColor="text1"/>
                <w:sz w:val="24"/>
                <w:szCs w:val="24"/>
                <w:highlight w:val="none"/>
                <w:lang w:eastAsia="zh-CN"/>
                <w14:textFill>
                  <w14:solidFill>
                    <w14:schemeClr w14:val="tx1"/>
                  </w14:solidFill>
                </w14:textFill>
              </w:rPr>
              <w:t>或</w:t>
            </w:r>
            <w:r>
              <w:rPr>
                <w:rFonts w:hint="eastAsia" w:ascii="宋体" w:hAnsi="宋体" w:eastAsia="宋体" w:cs="宋体"/>
                <w:color w:val="000000" w:themeColor="text1"/>
                <w:sz w:val="24"/>
                <w:szCs w:val="24"/>
                <w:highlight w:val="none"/>
                <w:lang w:val="en-US" w:eastAsia="zh-CN"/>
                <w14:textFill>
                  <w14:solidFill>
                    <w14:schemeClr w14:val="tx1"/>
                  </w14:solidFill>
                </w14:textFill>
              </w:rPr>
              <w:t>2023年度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投标有效期</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从提交投标文件的截止之日起60天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评标委员会的组建</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评标委员会构成：5人；</w:t>
            </w:r>
          </w:p>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评标专家确定方式：经济、技术专家不少于评标委员会组成人员的三分之二，按相关规定从政府采购专家库中随机抽取。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评标办法</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是否授权评标委员会确定中标人</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否，推荐3名中标候选人。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履约保证金</w:t>
            </w:r>
          </w:p>
        </w:tc>
        <w:tc>
          <w:tcPr>
            <w:tcW w:w="3675" w:type="pct"/>
            <w:vAlign w:val="center"/>
          </w:tcPr>
          <w:p>
            <w:pPr>
              <w:pStyle w:val="45"/>
              <w:keepNext w:val="0"/>
              <w:keepLines w:val="0"/>
              <w:suppressLineNumbers w:val="0"/>
              <w:spacing w:before="0" w:beforeAutospacing="0" w:after="0" w:afterAutospacing="0" w:line="440" w:lineRule="exact"/>
              <w:ind w:left="0" w:right="0"/>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本项目不要求缴纳履约保证金。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招标代理服务费</w:t>
            </w:r>
          </w:p>
        </w:tc>
        <w:tc>
          <w:tcPr>
            <w:tcW w:w="3675" w:type="pct"/>
            <w:vAlign w:val="center"/>
          </w:tcPr>
          <w:p>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aps w:val="0"/>
                <w:color w:val="000000" w:themeColor="text1"/>
                <w:spacing w:val="0"/>
                <w:w w:val="100"/>
                <w:sz w:val="24"/>
                <w:szCs w:val="24"/>
                <w:highlight w:val="none"/>
                <w14:textFill>
                  <w14:solidFill>
                    <w14:schemeClr w14:val="tx1"/>
                  </w14:solidFill>
                </w14:textFill>
              </w:rPr>
              <w:t>参照新建招协（2024）4号文计算标准二计取，由</w:t>
            </w:r>
            <w:r>
              <w:rPr>
                <w:rFonts w:hint="eastAsia" w:ascii="宋体" w:hAnsi="宋体" w:cs="宋体"/>
                <w:caps w:val="0"/>
                <w:color w:val="000000" w:themeColor="text1"/>
                <w:spacing w:val="0"/>
                <w:w w:val="100"/>
                <w:sz w:val="24"/>
                <w:szCs w:val="24"/>
                <w:highlight w:val="none"/>
                <w:lang w:eastAsia="zh-CN"/>
                <w14:textFill>
                  <w14:solidFill>
                    <w14:schemeClr w14:val="tx1"/>
                  </w14:solidFill>
                </w14:textFill>
              </w:rPr>
              <w:t>中标</w:t>
            </w:r>
            <w:r>
              <w:rPr>
                <w:rFonts w:hint="eastAsia" w:ascii="宋体" w:hAnsi="宋体" w:eastAsia="宋体" w:cs="宋体"/>
                <w:caps w:val="0"/>
                <w:color w:val="000000" w:themeColor="text1"/>
                <w:spacing w:val="0"/>
                <w:w w:val="100"/>
                <w:sz w:val="24"/>
                <w:szCs w:val="24"/>
                <w:highlight w:val="none"/>
                <w14:textFill>
                  <w14:solidFill>
                    <w14:schemeClr w14:val="tx1"/>
                  </w14:solidFill>
                </w14:textFill>
              </w:rPr>
              <w:t>人支付。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付款方式</w:t>
            </w:r>
          </w:p>
        </w:tc>
        <w:tc>
          <w:tcPr>
            <w:tcW w:w="3675" w:type="pct"/>
            <w:vAlign w:val="center"/>
          </w:tcPr>
          <w:p>
            <w:pPr>
              <w:pStyle w:val="5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right="0" w:right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甲乙双方签订合同时自行约定。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76"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w:t>
            </w:r>
          </w:p>
        </w:tc>
        <w:tc>
          <w:tcPr>
            <w:tcW w:w="848" w:type="pct"/>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w:t>
            </w:r>
          </w:p>
        </w:tc>
        <w:tc>
          <w:tcPr>
            <w:tcW w:w="3675" w:type="pct"/>
            <w:vAlign w:val="center"/>
          </w:tcPr>
          <w:p>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本次招标如有变更、澄清或其他通知将在发布招标公告的网站上公布。</w:t>
            </w:r>
          </w:p>
        </w:tc>
      </w:tr>
    </w:tbl>
    <w:p>
      <w:pPr>
        <w:pStyle w:val="2"/>
        <w:pageBreakBefore w:val="0"/>
        <w:widowControl w:val="0"/>
        <w:kinsoku/>
        <w:wordWrap/>
        <w:overflowPunct/>
        <w:topLinePunct w:val="0"/>
        <w:autoSpaceDE/>
        <w:autoSpaceDN/>
        <w:bidi w:val="0"/>
        <w:adjustRightInd/>
        <w:spacing w:before="156" w:after="156" w:line="480" w:lineRule="exact"/>
        <w:jc w:val="center"/>
        <w:textAlignment w:val="auto"/>
        <w:rPr>
          <w:rFonts w:hint="eastAsia" w:ascii="宋体" w:hAnsi="宋体" w:eastAsia="宋体" w:cs="宋体"/>
          <w:bCs w:val="0"/>
          <w:color w:val="000000" w:themeColor="text1"/>
          <w:sz w:val="24"/>
          <w:szCs w:val="24"/>
          <w:highlight w:val="none"/>
          <w14:textFill>
            <w14:solidFill>
              <w14:schemeClr w14:val="tx1"/>
            </w14:solidFill>
          </w14:textFill>
        </w:rPr>
      </w:pPr>
      <w:r>
        <w:rPr>
          <w:rFonts w:hint="eastAsia" w:ascii="宋体" w:hAnsi="宋体" w:eastAsia="宋体" w:cs="宋体"/>
          <w:bCs w:val="0"/>
          <w:color w:val="000000" w:themeColor="text1"/>
          <w:sz w:val="24"/>
          <w:szCs w:val="24"/>
          <w:highlight w:val="none"/>
          <w14:textFill>
            <w14:solidFill>
              <w14:schemeClr w14:val="tx1"/>
            </w14:solidFill>
          </w14:textFill>
        </w:rPr>
        <w:br w:type="page"/>
      </w:r>
      <w:r>
        <w:rPr>
          <w:rFonts w:hint="eastAsia" w:ascii="宋体" w:hAnsi="宋体" w:eastAsia="宋体" w:cs="宋体"/>
          <w:bCs w:val="0"/>
          <w:color w:val="000000" w:themeColor="text1"/>
          <w:sz w:val="24"/>
          <w:szCs w:val="24"/>
          <w:highlight w:val="none"/>
          <w14:textFill>
            <w14:solidFill>
              <w14:schemeClr w14:val="tx1"/>
            </w14:solidFill>
          </w14:textFill>
        </w:rPr>
        <w:t>二、总  则</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0" w:name="_Toc183682342"/>
      <w:bookmarkStart w:id="41" w:name="_Toc183582205"/>
      <w:bookmarkStart w:id="42" w:name="_Toc217446034"/>
      <w:r>
        <w:rPr>
          <w:rFonts w:hint="eastAsia" w:ascii="宋体" w:hAnsi="宋体" w:eastAsia="宋体" w:cs="宋体"/>
          <w:color w:val="000000" w:themeColor="text1"/>
          <w:sz w:val="24"/>
          <w:szCs w:val="24"/>
          <w:highlight w:val="none"/>
          <w14:textFill>
            <w14:solidFill>
              <w14:schemeClr w14:val="tx1"/>
            </w14:solidFill>
          </w14:textFill>
        </w:rPr>
        <w:t>1.</w:t>
      </w:r>
      <w:bookmarkEnd w:id="40"/>
      <w:bookmarkEnd w:id="41"/>
      <w:r>
        <w:rPr>
          <w:rFonts w:hint="eastAsia" w:ascii="宋体" w:hAnsi="宋体" w:eastAsia="宋体" w:cs="宋体"/>
          <w:color w:val="000000" w:themeColor="text1"/>
          <w:sz w:val="24"/>
          <w:szCs w:val="24"/>
          <w:highlight w:val="none"/>
          <w14:textFill>
            <w14:solidFill>
              <w14:schemeClr w14:val="tx1"/>
            </w14:solidFill>
          </w14:textFill>
        </w:rPr>
        <w:t xml:space="preserve"> 适用范围</w:t>
      </w:r>
      <w:bookmarkEnd w:id="42"/>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 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仅适用于本次招标项目。</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3" w:name="_Toc183582206"/>
      <w:bookmarkStart w:id="44" w:name="_Toc183682343"/>
      <w:bookmarkStart w:id="45" w:name="_Toc217446035"/>
      <w:r>
        <w:rPr>
          <w:rFonts w:hint="eastAsia" w:ascii="宋体" w:hAnsi="宋体" w:eastAsia="宋体" w:cs="宋体"/>
          <w:color w:val="000000" w:themeColor="text1"/>
          <w:sz w:val="24"/>
          <w:szCs w:val="24"/>
          <w:highlight w:val="none"/>
          <w14:textFill>
            <w14:solidFill>
              <w14:schemeClr w14:val="tx1"/>
            </w14:solidFill>
          </w14:textFill>
        </w:rPr>
        <w:t xml:space="preserve">2. </w:t>
      </w:r>
      <w:bookmarkEnd w:id="43"/>
      <w:bookmarkEnd w:id="44"/>
      <w:r>
        <w:rPr>
          <w:rFonts w:hint="eastAsia" w:ascii="宋体" w:hAnsi="宋体" w:eastAsia="宋体" w:cs="宋体"/>
          <w:color w:val="000000" w:themeColor="text1"/>
          <w:sz w:val="24"/>
          <w:szCs w:val="24"/>
          <w:highlight w:val="none"/>
          <w14:textFill>
            <w14:solidFill>
              <w14:schemeClr w14:val="tx1"/>
            </w14:solidFill>
          </w14:textFill>
        </w:rPr>
        <w:t>有关定义</w:t>
      </w:r>
      <w:bookmarkEnd w:id="45"/>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 “采购人”系指依法进行政府采购的国家机关、事业单位、团体组织。本项目采购人是</w:t>
      </w:r>
      <w:r>
        <w:rPr>
          <w:rFonts w:hint="eastAsia" w:ascii="宋体" w:hAnsi="宋体" w:cs="宋体"/>
          <w:color w:val="000000" w:themeColor="text1"/>
          <w:sz w:val="24"/>
          <w:szCs w:val="24"/>
          <w:highlight w:val="none"/>
          <w:u w:val="singl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 “采购代理机构”系指根据采购人的委托依法办理招标事宜的采购机构。本次招标的采购代理机构是</w:t>
      </w:r>
      <w:r>
        <w:rPr>
          <w:rFonts w:hint="eastAsia" w:ascii="宋体" w:hAnsi="宋体" w:eastAsia="宋体" w:cs="宋体"/>
          <w:color w:val="000000" w:themeColor="text1"/>
          <w:sz w:val="24"/>
          <w:szCs w:val="24"/>
          <w:highlight w:val="none"/>
          <w:u w:val="single"/>
          <w14:textFill>
            <w14:solidFill>
              <w14:schemeClr w14:val="tx1"/>
            </w14:solidFill>
          </w14:textFill>
        </w:rPr>
        <w:t>新疆拓源工程管理咨询有限公司</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 “采购单位”系指“采购人”和“采购代理机构”的统称。</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 “投标人”系指下载了</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拟参加投标和向采购人提供货物的投标人。</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6" w:name="_Toc183682344"/>
      <w:bookmarkStart w:id="47" w:name="_Toc183582207"/>
      <w:bookmarkStart w:id="48" w:name="_Toc217446036"/>
      <w:bookmarkStart w:id="49" w:name="_Toc217390843"/>
      <w:r>
        <w:rPr>
          <w:rFonts w:hint="eastAsia" w:ascii="宋体" w:hAnsi="宋体" w:eastAsia="宋体" w:cs="宋体"/>
          <w:color w:val="000000" w:themeColor="text1"/>
          <w:sz w:val="24"/>
          <w:szCs w:val="24"/>
          <w:highlight w:val="none"/>
          <w14:textFill>
            <w14:solidFill>
              <w14:schemeClr w14:val="tx1"/>
            </w14:solidFill>
          </w14:textFill>
        </w:rPr>
        <w:t>3. 合格的</w:t>
      </w:r>
      <w:bookmarkEnd w:id="46"/>
      <w:bookmarkEnd w:id="47"/>
      <w:bookmarkEnd w:id="48"/>
      <w:bookmarkEnd w:id="49"/>
      <w:r>
        <w:rPr>
          <w:rFonts w:hint="eastAsia" w:ascii="宋体" w:hAnsi="宋体" w:eastAsia="宋体" w:cs="宋体"/>
          <w:color w:val="000000" w:themeColor="text1"/>
          <w:sz w:val="24"/>
          <w:szCs w:val="24"/>
          <w:highlight w:val="none"/>
          <w14:textFill>
            <w14:solidFill>
              <w14:schemeClr w14:val="tx1"/>
            </w14:solidFill>
          </w14:textFill>
        </w:rPr>
        <w:t>投标人</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合格的投标人应具备以下条件：</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pacing w:val="-4"/>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“招标公告”第二条规定的条件</w:t>
      </w:r>
      <w:r>
        <w:rPr>
          <w:rFonts w:hint="eastAsia" w:ascii="宋体" w:hAnsi="宋体" w:eastAsia="宋体" w:cs="宋体"/>
          <w:color w:val="000000" w:themeColor="text1"/>
          <w:spacing w:val="-4"/>
          <w:sz w:val="24"/>
          <w:szCs w:val="24"/>
          <w:highlight w:val="none"/>
          <w14:textFill>
            <w14:solidFill>
              <w14:schemeClr w14:val="tx1"/>
            </w14:solidFill>
          </w14:textFill>
        </w:rPr>
        <w:t>；</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（2）遵守国家有关的法律、法规、规章和其他政策规定；</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并按要求缴纳投标保证金。</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0" w:name="_Toc217446037"/>
      <w:bookmarkStart w:id="51" w:name="_Toc183682345"/>
      <w:bookmarkStart w:id="52" w:name="_Toc183582208"/>
      <w:r>
        <w:rPr>
          <w:rFonts w:hint="eastAsia" w:ascii="宋体" w:hAnsi="宋体" w:eastAsia="宋体" w:cs="宋体"/>
          <w:color w:val="000000" w:themeColor="text1"/>
          <w:sz w:val="24"/>
          <w:szCs w:val="24"/>
          <w:highlight w:val="none"/>
          <w14:textFill>
            <w14:solidFill>
              <w14:schemeClr w14:val="tx1"/>
            </w14:solidFill>
          </w14:textFill>
        </w:rPr>
        <w:t>4. 投标费用</w:t>
      </w:r>
      <w:bookmarkEnd w:id="50"/>
      <w:bookmarkEnd w:id="51"/>
      <w:bookmarkEnd w:id="52"/>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投标人参加投标的有关费用由投标人自行承担。</w:t>
      </w:r>
    </w:p>
    <w:p>
      <w:pPr>
        <w:pStyle w:val="2"/>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themeColor="text1"/>
          <w:sz w:val="24"/>
          <w:szCs w:val="24"/>
          <w:highlight w:val="none"/>
          <w:lang w:eastAsia="zh-CN"/>
          <w14:textFill>
            <w14:solidFill>
              <w14:schemeClr w14:val="tx1"/>
            </w14:solidFill>
          </w14:textFill>
        </w:rPr>
      </w:pPr>
      <w:bookmarkStart w:id="53" w:name="_Toc183582209"/>
      <w:bookmarkStart w:id="54" w:name="_Toc183682346"/>
      <w:bookmarkStart w:id="55" w:name="_Toc89075875"/>
      <w:bookmarkStart w:id="56" w:name="_Toc77400779"/>
      <w:bookmarkStart w:id="57" w:name="_Toc217446038"/>
      <w:r>
        <w:rPr>
          <w:rFonts w:hint="eastAsia" w:ascii="宋体" w:hAnsi="宋体" w:eastAsia="宋体" w:cs="宋体"/>
          <w:bCs w:val="0"/>
          <w:color w:val="000000" w:themeColor="text1"/>
          <w:sz w:val="24"/>
          <w:szCs w:val="24"/>
          <w:highlight w:val="none"/>
          <w14:textFill>
            <w14:solidFill>
              <w14:schemeClr w14:val="tx1"/>
            </w14:solidFill>
          </w14:textFill>
        </w:rPr>
        <w:t>三、</w:t>
      </w:r>
      <w:bookmarkEnd w:id="53"/>
      <w:bookmarkEnd w:id="54"/>
      <w:bookmarkEnd w:id="55"/>
      <w:bookmarkEnd w:id="56"/>
      <w:bookmarkEnd w:id="57"/>
      <w:r>
        <w:rPr>
          <w:rFonts w:hint="eastAsia" w:ascii="宋体" w:hAnsi="宋体" w:eastAsia="宋体" w:cs="宋体"/>
          <w:bCs w:val="0"/>
          <w:color w:val="000000" w:themeColor="text1"/>
          <w:sz w:val="24"/>
          <w:szCs w:val="24"/>
          <w:highlight w:val="none"/>
          <w:lang w:eastAsia="zh-CN"/>
          <w14:textFill>
            <w14:solidFill>
              <w14:schemeClr w14:val="tx1"/>
            </w14:solidFill>
          </w14:textFill>
        </w:rPr>
        <w:t>招标文件</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8" w:name="_Toc183682347"/>
      <w:bookmarkStart w:id="59" w:name="_Toc183582210"/>
      <w:bookmarkStart w:id="60" w:name="_Toc217446039"/>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的构成</w:t>
      </w:r>
      <w:bookmarkEnd w:id="58"/>
      <w:bookmarkEnd w:id="59"/>
      <w:bookmarkEnd w:id="60"/>
    </w:p>
    <w:p>
      <w:pPr>
        <w:pageBreakBefore w:val="0"/>
        <w:widowControl w:val="0"/>
        <w:tabs>
          <w:tab w:val="left" w:pos="72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1 </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是投标人准备投标文件和参加投标的依据，同时也是评标的重要依据，具有准法律文件性质。</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用以阐明招标项目所需的资质、技术、报价、招标程序、有关规定和注意事项以及拟签订的合同文本等。本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包括以下内容：</w:t>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（1）招标公告</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（2）投标人须知</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（3）投标文件格式</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（5）评标办法</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（6）拟签订的合同文本</w:t>
      </w:r>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2 投标人应认真阅读和充分理解</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中所有的事项、格式条款和规范要求。投标人没有对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全面做出实质性响应是投标人的风险。没有按照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要求作出实质性响应的投标文件，按</w:t>
      </w:r>
      <w:r>
        <w:rPr>
          <w:rFonts w:hint="eastAsia" w:ascii="宋体" w:hAnsi="宋体" w:eastAsia="宋体" w:cs="宋体"/>
          <w:b/>
          <w:bCs/>
          <w:color w:val="000000" w:themeColor="text1"/>
          <w:sz w:val="24"/>
          <w:szCs w:val="24"/>
          <w:highlight w:val="none"/>
          <w14:textFill>
            <w14:solidFill>
              <w14:schemeClr w14:val="tx1"/>
            </w14:solidFill>
          </w14:textFill>
        </w:rPr>
        <w:t>无效处理</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1" w:name="_Toc183582211"/>
      <w:bookmarkStart w:id="62" w:name="_Toc183682348"/>
      <w:bookmarkStart w:id="63" w:name="_Toc217446040"/>
      <w:r>
        <w:rPr>
          <w:rFonts w:hint="eastAsia" w:ascii="宋体" w:hAnsi="宋体" w:eastAsia="宋体" w:cs="宋体"/>
          <w:color w:val="000000" w:themeColor="text1"/>
          <w:sz w:val="24"/>
          <w:szCs w:val="24"/>
          <w:highlight w:val="none"/>
          <w14:textFill>
            <w14:solidFill>
              <w14:schemeClr w14:val="tx1"/>
            </w14:solidFill>
          </w14:textFill>
        </w:rPr>
        <w:t xml:space="preserve">6. </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的澄清</w:t>
      </w:r>
      <w:bookmarkEnd w:id="61"/>
      <w:bookmarkEnd w:id="62"/>
      <w:r>
        <w:rPr>
          <w:rFonts w:hint="eastAsia" w:ascii="宋体" w:hAnsi="宋体" w:eastAsia="宋体" w:cs="宋体"/>
          <w:color w:val="000000" w:themeColor="text1"/>
          <w:sz w:val="24"/>
          <w:szCs w:val="24"/>
          <w:highlight w:val="none"/>
          <w14:textFill>
            <w14:solidFill>
              <w14:schemeClr w14:val="tx1"/>
            </w14:solidFill>
          </w14:textFill>
        </w:rPr>
        <w:t>和修改</w:t>
      </w:r>
      <w:bookmarkEnd w:id="63"/>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6.1 </w:t>
      </w:r>
      <w:bookmarkStart w:id="64" w:name="_Toc217446041"/>
      <w:bookmarkStart w:id="65" w:name="_Toc208848971"/>
      <w:r>
        <w:rPr>
          <w:rFonts w:hint="eastAsia" w:ascii="宋体" w:hAnsi="宋体" w:eastAsia="宋体" w:cs="宋体"/>
          <w:color w:val="000000" w:themeColor="text1"/>
          <w:sz w:val="24"/>
          <w:szCs w:val="24"/>
          <w:highlight w:val="none"/>
          <w14:textFill>
            <w14:solidFill>
              <w14:schemeClr w14:val="tx1"/>
            </w14:solidFill>
          </w14:textFill>
        </w:rPr>
        <w:t>采购人或者采购代理机构可以对已发出的</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，进行必要的澄清或者修改，但不得改变采购标的和资格条件。澄清或者修改应当在原公告发布媒体上发布澄清公告。澄清或者修改的内容为</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的组成部分。</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6.2澄清或者修改的内容可能影响投标文件编制的，采购人或者采购代理机构应当在投标截止时间至少15日前，以书面形式通知所有获取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的潜在投标人，不足15日的，采购人或者采购代理机构应当顺延提交投标文件的截止时间。</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 答疑会和现场考察</w:t>
      </w:r>
      <w:bookmarkEnd w:id="64"/>
      <w:bookmarkEnd w:id="65"/>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6" w:name="_Toc77400780"/>
      <w:bookmarkStart w:id="67" w:name="_Toc183582214"/>
      <w:bookmarkStart w:id="68" w:name="_Toc183682351"/>
      <w:bookmarkStart w:id="69" w:name="_Toc89075876"/>
      <w:bookmarkStart w:id="70" w:name="_Toc217446042"/>
      <w:r>
        <w:rPr>
          <w:rFonts w:hint="eastAsia" w:ascii="宋体" w:hAnsi="宋体" w:eastAsia="宋体" w:cs="宋体"/>
          <w:color w:val="000000" w:themeColor="text1"/>
          <w:sz w:val="24"/>
          <w:szCs w:val="24"/>
          <w:highlight w:val="none"/>
          <w14:textFill>
            <w14:solidFill>
              <w14:schemeClr w14:val="tx1"/>
            </w14:solidFill>
          </w14:textFill>
        </w:rPr>
        <w:t>7.1 本项目不组织答疑会和现场考察。</w:t>
      </w:r>
    </w:p>
    <w:p>
      <w:pPr>
        <w:pStyle w:val="2"/>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themeColor="text1"/>
          <w:sz w:val="24"/>
          <w:szCs w:val="24"/>
          <w:highlight w:val="none"/>
          <w14:textFill>
            <w14:solidFill>
              <w14:schemeClr w14:val="tx1"/>
            </w14:solidFill>
          </w14:textFill>
        </w:rPr>
      </w:pPr>
      <w:r>
        <w:rPr>
          <w:rFonts w:hint="eastAsia" w:ascii="宋体" w:hAnsi="宋体" w:eastAsia="宋体" w:cs="宋体"/>
          <w:bCs w:val="0"/>
          <w:color w:val="000000" w:themeColor="text1"/>
          <w:sz w:val="24"/>
          <w:szCs w:val="24"/>
          <w:highlight w:val="none"/>
          <w14:textFill>
            <w14:solidFill>
              <w14:schemeClr w14:val="tx1"/>
            </w14:solidFill>
          </w14:textFill>
        </w:rPr>
        <w:t>四、</w:t>
      </w:r>
      <w:bookmarkEnd w:id="66"/>
      <w:bookmarkEnd w:id="67"/>
      <w:bookmarkEnd w:id="68"/>
      <w:bookmarkEnd w:id="69"/>
      <w:bookmarkEnd w:id="70"/>
      <w:r>
        <w:rPr>
          <w:rFonts w:hint="eastAsia" w:ascii="宋体" w:hAnsi="宋体" w:eastAsia="宋体" w:cs="宋体"/>
          <w:bCs w:val="0"/>
          <w:color w:val="000000" w:themeColor="text1"/>
          <w:sz w:val="24"/>
          <w:szCs w:val="24"/>
          <w:highlight w:val="none"/>
          <w14:textFill>
            <w14:solidFill>
              <w14:schemeClr w14:val="tx1"/>
            </w14:solidFill>
          </w14:textFill>
        </w:rPr>
        <w:t>投标文件</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1" w:name="_Toc217446043"/>
      <w:bookmarkStart w:id="72" w:name="_Toc183682352"/>
      <w:bookmarkStart w:id="73" w:name="_Toc183582215"/>
      <w:r>
        <w:rPr>
          <w:rFonts w:hint="eastAsia" w:ascii="宋体" w:hAnsi="宋体" w:eastAsia="宋体" w:cs="宋体"/>
          <w:color w:val="000000" w:themeColor="text1"/>
          <w:sz w:val="24"/>
          <w:szCs w:val="24"/>
          <w:highlight w:val="none"/>
          <w14:textFill>
            <w14:solidFill>
              <w14:schemeClr w14:val="tx1"/>
            </w14:solidFill>
          </w14:textFill>
        </w:rPr>
        <w:t>8．投标文件的语言</w:t>
      </w:r>
      <w:bookmarkEnd w:id="71"/>
      <w:bookmarkEnd w:id="72"/>
      <w:bookmarkEnd w:id="73"/>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宋体" w:hAnsi="宋体" w:eastAsia="宋体" w:cs="宋体"/>
          <w:b/>
          <w:bCs/>
          <w:color w:val="000000" w:themeColor="text1"/>
          <w:sz w:val="24"/>
          <w:szCs w:val="24"/>
          <w:highlight w:val="none"/>
          <w14:textFill>
            <w14:solidFill>
              <w14:schemeClr w14:val="tx1"/>
            </w14:solidFill>
          </w14:textFill>
        </w:rPr>
        <w:t>无效投标处理</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翻译的中文资料与外文资料如果出现差异和矛盾时，以中文为准。但不能故意错误翻译，否则，投标人的投标文件将作为</w:t>
      </w:r>
      <w:r>
        <w:rPr>
          <w:rFonts w:hint="eastAsia" w:ascii="宋体" w:hAnsi="宋体" w:eastAsia="宋体" w:cs="宋体"/>
          <w:b/>
          <w:bCs/>
          <w:color w:val="000000" w:themeColor="text1"/>
          <w:sz w:val="24"/>
          <w:szCs w:val="24"/>
          <w:highlight w:val="none"/>
          <w14:textFill>
            <w14:solidFill>
              <w14:schemeClr w14:val="tx1"/>
            </w14:solidFill>
          </w14:textFill>
        </w:rPr>
        <w:t>无效投标处理</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4" w:name="_Toc183582216"/>
      <w:bookmarkStart w:id="75" w:name="_Toc183682353"/>
      <w:bookmarkStart w:id="76" w:name="_Toc217446044"/>
      <w:r>
        <w:rPr>
          <w:rFonts w:hint="eastAsia" w:ascii="宋体" w:hAnsi="宋体" w:eastAsia="宋体" w:cs="宋体"/>
          <w:color w:val="000000" w:themeColor="text1"/>
          <w:sz w:val="24"/>
          <w:szCs w:val="24"/>
          <w:highlight w:val="none"/>
          <w14:textFill>
            <w14:solidFill>
              <w14:schemeClr w14:val="tx1"/>
            </w14:solidFill>
          </w14:textFill>
        </w:rPr>
        <w:t>9．计量单位</w:t>
      </w:r>
      <w:bookmarkEnd w:id="74"/>
      <w:bookmarkEnd w:id="75"/>
      <w:bookmarkEnd w:id="76"/>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中另有规定外，本招标项下的投标均采用国家法定的计量单位。</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7" w:name="_Toc217446045"/>
      <w:r>
        <w:rPr>
          <w:rFonts w:hint="eastAsia" w:ascii="宋体" w:hAnsi="宋体" w:eastAsia="宋体" w:cs="宋体"/>
          <w:color w:val="000000" w:themeColor="text1"/>
          <w:sz w:val="24"/>
          <w:szCs w:val="24"/>
          <w:highlight w:val="none"/>
          <w14:textFill>
            <w14:solidFill>
              <w14:schemeClr w14:val="tx1"/>
            </w14:solidFill>
          </w14:textFill>
        </w:rPr>
        <w:t>10. 投标货币</w:t>
      </w:r>
      <w:bookmarkEnd w:id="77"/>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本次招标项目的投标均以人民币报价。</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8" w:name="_Toc217446046"/>
      <w:r>
        <w:rPr>
          <w:rFonts w:hint="eastAsia" w:ascii="宋体" w:hAnsi="宋体" w:eastAsia="宋体" w:cs="宋体"/>
          <w:color w:val="000000" w:themeColor="text1"/>
          <w:sz w:val="24"/>
          <w:szCs w:val="24"/>
          <w:highlight w:val="none"/>
          <w14:textFill>
            <w14:solidFill>
              <w14:schemeClr w14:val="tx1"/>
            </w14:solidFill>
          </w14:textFill>
        </w:rPr>
        <w:t>11. 联合体投标</w:t>
      </w:r>
      <w:bookmarkEnd w:id="78"/>
    </w:p>
    <w:p>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详见“投标人须知前附表”第13条。</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9" w:name="_Toc217446047"/>
      <w:r>
        <w:rPr>
          <w:rFonts w:hint="eastAsia" w:ascii="宋体" w:hAnsi="宋体" w:eastAsia="宋体" w:cs="宋体"/>
          <w:color w:val="000000" w:themeColor="text1"/>
          <w:sz w:val="24"/>
          <w:szCs w:val="24"/>
          <w:highlight w:val="none"/>
          <w14:textFill>
            <w14:solidFill>
              <w14:schemeClr w14:val="tx1"/>
            </w14:solidFill>
          </w14:textFill>
        </w:rPr>
        <w:t>12. 知识产权</w:t>
      </w:r>
      <w:bookmarkEnd w:id="79"/>
    </w:p>
    <w:p>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12.2 采购人享有本项目实施过程中产生的知识成果及知识产权。</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12.4 如采用投标人所不拥有的知识产权，则在投标报价中必须包括合法获取该知识产权的相关费用。 </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0" w:name="_Toc217446048"/>
      <w:bookmarkStart w:id="81" w:name="_Toc183582217"/>
      <w:bookmarkStart w:id="82" w:name="_Toc183682354"/>
      <w:r>
        <w:rPr>
          <w:rFonts w:hint="eastAsia" w:ascii="宋体" w:hAnsi="宋体" w:eastAsia="宋体" w:cs="宋体"/>
          <w:color w:val="000000" w:themeColor="text1"/>
          <w:sz w:val="24"/>
          <w:szCs w:val="24"/>
          <w:highlight w:val="none"/>
          <w14:textFill>
            <w14:solidFill>
              <w14:schemeClr w14:val="tx1"/>
            </w14:solidFill>
          </w14:textFill>
        </w:rPr>
        <w:t>13．投标文件的组成</w:t>
      </w:r>
      <w:bookmarkEnd w:id="80"/>
      <w:bookmarkEnd w:id="81"/>
      <w:bookmarkEnd w:id="82"/>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的规定和要求编制投标文件。</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允许分包的，投标人拟在中标后将中标项目的非主体、非关键性工作交由他人完成的，应当在投标文件中载明。投标人编写的投标文件应包括下列部分：</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3" w:name="_Toc183582218"/>
      <w:bookmarkStart w:id="84" w:name="_Toc217446049"/>
      <w:bookmarkStart w:id="85" w:name="_Toc183682355"/>
      <w:r>
        <w:rPr>
          <w:rFonts w:hint="eastAsia" w:ascii="宋体" w:hAnsi="宋体" w:eastAsia="宋体" w:cs="宋体"/>
          <w:color w:val="000000" w:themeColor="text1"/>
          <w:sz w:val="24"/>
          <w:szCs w:val="24"/>
          <w:highlight w:val="none"/>
          <w14:textFill>
            <w14:solidFill>
              <w14:schemeClr w14:val="tx1"/>
            </w14:solidFill>
          </w14:textFill>
        </w:rPr>
        <w:t>一、投标函</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二、身份证明书及授权委托书</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三、投标报价明细表</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四、投标人基本情况表</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五、投标人类似项目业绩一览表</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六、商务、技术</w:t>
      </w:r>
      <w:r>
        <w:rPr>
          <w:rFonts w:hint="eastAsia" w:ascii="宋体" w:hAnsi="宋体" w:cs="宋体"/>
          <w:color w:val="000000" w:themeColor="text1"/>
          <w:sz w:val="24"/>
          <w:szCs w:val="24"/>
          <w:highlight w:val="none"/>
          <w:lang w:eastAsia="zh-CN"/>
          <w14:textFill>
            <w14:solidFill>
              <w14:schemeClr w14:val="tx1"/>
            </w14:solidFill>
          </w14:textFill>
        </w:rPr>
        <w:t>需求</w:t>
      </w:r>
      <w:r>
        <w:rPr>
          <w:rFonts w:hint="eastAsia" w:ascii="宋体" w:hAnsi="宋体" w:eastAsia="宋体" w:cs="宋体"/>
          <w:color w:val="000000" w:themeColor="text1"/>
          <w:sz w:val="24"/>
          <w:szCs w:val="24"/>
          <w:highlight w:val="none"/>
          <w14:textFill>
            <w14:solidFill>
              <w14:schemeClr w14:val="tx1"/>
            </w14:solidFill>
          </w14:textFill>
        </w:rPr>
        <w:t>偏离表</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color w:val="000000" w:themeColor="text1"/>
          <w:sz w:val="24"/>
          <w:szCs w:val="24"/>
          <w:highlight w:val="none"/>
          <w14:textFill>
            <w14:solidFill>
              <w14:schemeClr w14:val="tx1"/>
            </w14:solidFill>
          </w14:textFill>
        </w:rPr>
        <w:t>、实施方案</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w:t>
      </w:r>
      <w:r>
        <w:rPr>
          <w:rFonts w:hint="eastAsia" w:ascii="宋体" w:hAnsi="宋体" w:eastAsia="宋体" w:cs="宋体"/>
          <w:color w:val="000000" w:themeColor="text1"/>
          <w:sz w:val="24"/>
          <w:szCs w:val="24"/>
          <w:highlight w:val="none"/>
          <w14:textFill>
            <w14:solidFill>
              <w14:schemeClr w14:val="tx1"/>
            </w14:solidFill>
          </w14:textFill>
        </w:rPr>
        <w:t>、投标人认为需要提供的其他文件和资料</w:t>
      </w:r>
    </w:p>
    <w:p>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14．投标文件格式</w:t>
      </w:r>
      <w:bookmarkEnd w:id="83"/>
      <w:bookmarkEnd w:id="84"/>
      <w:bookmarkEnd w:id="85"/>
      <w:r>
        <w:rPr>
          <w:rFonts w:hint="eastAsia" w:ascii="宋体" w:hAnsi="宋体" w:eastAsia="宋体" w:cs="宋体"/>
          <w:color w:val="000000" w:themeColor="text1"/>
          <w:sz w:val="24"/>
          <w:szCs w:val="24"/>
          <w:highlight w:val="none"/>
          <w14:textFill>
            <w14:solidFill>
              <w14:schemeClr w14:val="tx1"/>
            </w14:solidFill>
          </w14:textFill>
        </w:rPr>
        <w:tab/>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14.1 投标人应严格按照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第三章中提供的“投标文件格式”填写相关内容。除明确允许投标人可以自行编写的外，投标人不得以“投标文件格式”规定之外的方式填写相关内容。</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14.2 对于没有格式要求的投标文件由投标人自行编写。</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6" w:name="_Toc183682360"/>
      <w:bookmarkStart w:id="87" w:name="_Toc183582223"/>
      <w:bookmarkStart w:id="88" w:name="_Toc217446050"/>
      <w:r>
        <w:rPr>
          <w:rFonts w:hint="eastAsia" w:ascii="宋体" w:hAnsi="宋体" w:eastAsia="宋体" w:cs="宋体"/>
          <w:color w:val="000000" w:themeColor="text1"/>
          <w:sz w:val="24"/>
          <w:szCs w:val="24"/>
          <w:highlight w:val="none"/>
          <w14:textFill>
            <w14:solidFill>
              <w14:schemeClr w14:val="tx1"/>
            </w14:solidFill>
          </w14:textFill>
        </w:rPr>
        <w:t>15．投标保证金</w:t>
      </w:r>
      <w:bookmarkEnd w:id="86"/>
      <w:bookmarkEnd w:id="87"/>
      <w:bookmarkEnd w:id="88"/>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 投标人投标时，必须按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规定数额和形式缴纳投标保证金，并作为其投标文件的一部分。</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15.2未按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要求在规定时间前缴纳规定数额和形式的投标保证金，将被视为</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 投标人所缴纳的投标保证金不计利息。</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15.4未中标人的投标保证金，将在中标通知书发出后五个工作日内全额退还。中标人的投标保证金，自采购合同签订之日起5个工作日内退还中标人的投标保证金。</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15.5发生下列情形之一的，采购代理机构将不予退还投标人缴纳的投标保证金：</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9" w:name="_Toc183582224"/>
      <w:bookmarkStart w:id="90" w:name="_Toc217446051"/>
      <w:bookmarkStart w:id="91" w:name="_Toc183682361"/>
      <w:r>
        <w:rPr>
          <w:rFonts w:hint="eastAsia" w:ascii="宋体" w:hAnsi="宋体" w:eastAsia="宋体" w:cs="宋体"/>
          <w:color w:val="000000" w:themeColor="text1"/>
          <w:sz w:val="24"/>
          <w:szCs w:val="24"/>
          <w:highlight w:val="none"/>
          <w14:textFill>
            <w14:solidFill>
              <w14:schemeClr w14:val="tx1"/>
            </w14:solidFill>
          </w14:textFill>
        </w:rPr>
        <w:t>（1）投标人在提交投标文件截止时间后撤回投标文件的；</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（2）投标人在投标文件中提供虚假材料的；</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（3）投标人不接受按投标文件规定对其投标报价进行修正的；</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（4）除因不可抗力或投标文件认可的情形以外，中标人不履行与采购人签订合同的，在签订合同时向采购人提出附加条件；</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（5）中标人未能在规定期限内与采购人签署合同协议书或提交履约保证金的；</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（6）投标人与采购人、其他投标人或者采购代理机构恶意串通的；</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规定的其他情形；</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（8）符合法律、法规规定的其他情形的。 </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16．投标有效期</w:t>
      </w:r>
      <w:bookmarkEnd w:id="89"/>
      <w:bookmarkEnd w:id="90"/>
      <w:bookmarkEnd w:id="91"/>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 投标有效期详见投标人须知前附表。投标有效期短于此规定期限的，</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 特殊情况下，采购人可于投标有效期满之前要求投标人同意延长有效期，要求与答复均应为书面形式。投标人可以拒绝上述要求，其投标保证金</w:t>
      </w:r>
      <w:r>
        <w:rPr>
          <w:rFonts w:hint="eastAsia" w:ascii="宋体" w:hAnsi="宋体" w:eastAsia="宋体" w:cs="宋体"/>
          <w:color w:val="000000" w:themeColor="text1"/>
          <w:spacing w:val="8"/>
          <w:sz w:val="24"/>
          <w:szCs w:val="24"/>
          <w:highlight w:val="none"/>
          <w14:textFill>
            <w14:solidFill>
              <w14:schemeClr w14:val="tx1"/>
            </w14:solidFill>
          </w14:textFill>
        </w:rPr>
        <w:t>不被没收。</w:t>
      </w:r>
      <w:r>
        <w:rPr>
          <w:rFonts w:hint="eastAsia" w:ascii="宋体" w:hAnsi="宋体" w:eastAsia="宋体" w:cs="宋体"/>
          <w:color w:val="000000" w:themeColor="text1"/>
          <w:sz w:val="24"/>
          <w:szCs w:val="24"/>
          <w:highlight w:val="none"/>
          <w14:textFill>
            <w14:solidFill>
              <w14:schemeClr w14:val="tx1"/>
            </w14:solidFill>
          </w14:textFill>
        </w:rPr>
        <w:t>拒绝延长投标有效期的投标人不得再参与该项目后续招标活动。同意延长投标有效期的投标人不能修改其投标文件，关于投标保证金的有关规定在延长的投标有效期内继续有效。</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92" w:name="_Toc183582225"/>
      <w:bookmarkStart w:id="93" w:name="_Toc217446052"/>
      <w:bookmarkStart w:id="94" w:name="_Toc183682362"/>
      <w:bookmarkStart w:id="95" w:name="_Toc89075878"/>
      <w:bookmarkStart w:id="96" w:name="_Toc183582231"/>
      <w:bookmarkStart w:id="97" w:name="_Toc77400782"/>
      <w:bookmarkStart w:id="98" w:name="_Toc183682368"/>
      <w:bookmarkStart w:id="99" w:name="_Toc217446056"/>
      <w:r>
        <w:rPr>
          <w:rFonts w:hint="eastAsia" w:ascii="宋体" w:hAnsi="宋体" w:eastAsia="宋体" w:cs="宋体"/>
          <w:b/>
          <w:bCs/>
          <w:color w:val="000000" w:themeColor="text1"/>
          <w:sz w:val="24"/>
          <w:szCs w:val="24"/>
          <w:highlight w:val="none"/>
          <w14:textFill>
            <w14:solidFill>
              <w14:schemeClr w14:val="tx1"/>
            </w14:solidFill>
          </w14:textFill>
        </w:rPr>
        <w:t>17．</w:t>
      </w:r>
      <w:bookmarkEnd w:id="92"/>
      <w:bookmarkEnd w:id="93"/>
      <w:bookmarkEnd w:id="94"/>
      <w:r>
        <w:rPr>
          <w:rFonts w:hint="eastAsia" w:ascii="宋体" w:hAnsi="宋体" w:eastAsia="宋体" w:cs="宋体"/>
          <w:b/>
          <w:bCs/>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b/>
          <w:bCs/>
          <w:color w:val="000000" w:themeColor="text1"/>
          <w:sz w:val="24"/>
          <w:szCs w:val="24"/>
          <w:highlight w:val="none"/>
          <w14:textFill>
            <w14:solidFill>
              <w14:schemeClr w14:val="tx1"/>
            </w14:solidFill>
          </w14:textFill>
        </w:rPr>
        <w:t>的签署</w:t>
      </w:r>
    </w:p>
    <w:p>
      <w:pPr>
        <w:pageBreakBefore w:val="0"/>
        <w:widowControl w:val="0"/>
        <w:tabs>
          <w:tab w:val="left" w:pos="1080"/>
        </w:tabs>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00" w:name="_Toc217446053"/>
      <w:bookmarkStart w:id="101" w:name="_Toc183582226"/>
      <w:bookmarkStart w:id="102" w:name="_Toc183682363"/>
      <w:bookmarkStart w:id="103" w:name="_Toc89075877"/>
      <w:bookmarkStart w:id="104" w:name="_Toc77400781"/>
      <w:r>
        <w:rPr>
          <w:rFonts w:hint="eastAsia" w:ascii="宋体" w:hAnsi="宋体" w:eastAsia="宋体" w:cs="宋体"/>
          <w:color w:val="000000" w:themeColor="text1"/>
          <w:sz w:val="24"/>
          <w:szCs w:val="24"/>
          <w:highlight w:val="none"/>
          <w14:textFill>
            <w14:solidFill>
              <w14:schemeClr w14:val="tx1"/>
            </w14:solidFill>
          </w14:textFill>
        </w:rPr>
        <w:t xml:space="preserve">17.1 </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应根据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的要求制作、签署、盖章，内容应完整。</w:t>
      </w:r>
    </w:p>
    <w:p>
      <w:pPr>
        <w:numPr>
          <w:ilvl w:val="0"/>
          <w:numId w:val="0"/>
        </w:numPr>
        <w:spacing w:line="480" w:lineRule="exact"/>
        <w:ind w:firstLine="482"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b/>
          <w:bCs/>
          <w:color w:val="000000" w:themeColor="text1"/>
          <w:sz w:val="24"/>
          <w:szCs w:val="24"/>
          <w:highlight w:val="none"/>
          <w14:textFill>
            <w14:solidFill>
              <w14:schemeClr w14:val="tx1"/>
            </w14:solidFill>
          </w14:textFill>
        </w:rPr>
        <w:t>．投标文件的</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加密</w:t>
      </w:r>
      <w:bookmarkEnd w:id="100"/>
      <w:bookmarkEnd w:id="101"/>
      <w:bookmarkEnd w:id="102"/>
      <w:bookmarkEnd w:id="103"/>
      <w:bookmarkEnd w:id="104"/>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和上传</w:t>
      </w:r>
    </w:p>
    <w:p>
      <w:pPr>
        <w:numPr>
          <w:ilvl w:val="0"/>
          <w:numId w:val="0"/>
        </w:numPr>
        <w:spacing w:line="480" w:lineRule="exac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eastAsia="zh-CN"/>
          <w14:textFill>
            <w14:solidFill>
              <w14:schemeClr w14:val="tx1"/>
            </w14:solidFill>
          </w14:textFill>
        </w:rPr>
        <w:t>18.1</w:t>
      </w:r>
      <w:r>
        <w:rPr>
          <w:rFonts w:hint="eastAsia" w:ascii="宋体" w:hAnsi="宋体" w:eastAsia="宋体" w:cs="宋体"/>
          <w:color w:val="000000" w:themeColor="text1"/>
          <w:kern w:val="0"/>
          <w:sz w:val="24"/>
          <w:szCs w:val="24"/>
          <w:highlight w:val="none"/>
          <w14:textFill>
            <w14:solidFill>
              <w14:schemeClr w14:val="tx1"/>
            </w14:solidFill>
          </w14:textFill>
        </w:rPr>
        <w:t>本项目实行全流程</w:t>
      </w:r>
      <w:r>
        <w:rPr>
          <w:rFonts w:hint="eastAsia" w:ascii="宋体" w:hAnsi="宋体" w:eastAsia="宋体" w:cs="宋体"/>
          <w:color w:val="000000" w:themeColor="text1"/>
          <w:sz w:val="24"/>
          <w:szCs w:val="24"/>
          <w:highlight w:val="none"/>
          <w14:textFill>
            <w14:solidFill>
              <w14:schemeClr w14:val="tx1"/>
            </w14:solidFill>
          </w14:textFill>
        </w:rPr>
        <w:t>电子交易方式</w:t>
      </w:r>
      <w:r>
        <w:rPr>
          <w:rFonts w:hint="eastAsia" w:ascii="宋体" w:hAnsi="宋体" w:eastAsia="宋体" w:cs="宋体"/>
          <w:color w:val="000000" w:themeColor="text1"/>
          <w:kern w:val="0"/>
          <w:sz w:val="24"/>
          <w:szCs w:val="24"/>
          <w:highlight w:val="none"/>
          <w14:textFill>
            <w14:solidFill>
              <w14:schemeClr w14:val="tx1"/>
            </w14:solidFill>
          </w14:textFill>
        </w:rPr>
        <w:t>，采用电子加密</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kern w:val="0"/>
          <w:sz w:val="24"/>
          <w:szCs w:val="24"/>
          <w:highlight w:val="none"/>
          <w14:textFill>
            <w14:solidFill>
              <w14:schemeClr w14:val="tx1"/>
            </w14:solidFill>
          </w14:textFill>
        </w:rPr>
        <w:t>上传方式；</w:t>
      </w:r>
    </w:p>
    <w:p>
      <w:pPr>
        <w:adjustRightInd w:val="0"/>
        <w:snapToGrid w:val="0"/>
        <w:spacing w:line="4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投标人应当在投标截止时间前，将“电子招投标投标人客户端”生成的“电子加密投标文件”上传电子交易平台。</w:t>
      </w:r>
    </w:p>
    <w:p>
      <w:pPr>
        <w:pStyle w:val="6"/>
        <w:spacing w:line="480" w:lineRule="exact"/>
        <w:ind w:firstLine="480"/>
        <w:rPr>
          <w:rFonts w:hint="eastAsia" w:ascii="宋体" w:hAnsi="宋体" w:eastAsia="宋体" w:cs="宋体"/>
          <w:b/>
          <w:bCs/>
          <w:color w:val="000000" w:themeColor="text1"/>
          <w:sz w:val="24"/>
          <w:szCs w:val="24"/>
          <w:highlight w:val="none"/>
          <w14:textFill>
            <w14:solidFill>
              <w14:schemeClr w14:val="tx1"/>
            </w14:solidFill>
          </w14:textFill>
        </w:rPr>
      </w:pPr>
      <w:bookmarkStart w:id="105" w:name="_Toc183682365"/>
      <w:bookmarkStart w:id="106" w:name="_Toc183582228"/>
      <w:bookmarkStart w:id="107" w:name="_Toc217446055"/>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19</w:t>
      </w:r>
      <w:r>
        <w:rPr>
          <w:rFonts w:hint="eastAsia" w:ascii="宋体" w:hAnsi="宋体" w:eastAsia="宋体" w:cs="宋体"/>
          <w:b/>
          <w:bCs/>
          <w:color w:val="000000" w:themeColor="text1"/>
          <w:sz w:val="24"/>
          <w:szCs w:val="24"/>
          <w:highlight w:val="none"/>
          <w14:textFill>
            <w14:solidFill>
              <w14:schemeClr w14:val="tx1"/>
            </w14:solidFill>
          </w14:textFill>
        </w:rPr>
        <w:t>．投标文件的修改和撤</w:t>
      </w:r>
      <w:bookmarkEnd w:id="105"/>
      <w:bookmarkEnd w:id="106"/>
      <w:r>
        <w:rPr>
          <w:rFonts w:hint="eastAsia" w:ascii="宋体" w:hAnsi="宋体" w:eastAsia="宋体" w:cs="宋体"/>
          <w:b/>
          <w:bCs/>
          <w:color w:val="000000" w:themeColor="text1"/>
          <w:sz w:val="24"/>
          <w:szCs w:val="24"/>
          <w:highlight w:val="none"/>
          <w14:textFill>
            <w14:solidFill>
              <w14:schemeClr w14:val="tx1"/>
            </w14:solidFill>
          </w14:textFill>
        </w:rPr>
        <w:t>回</w:t>
      </w:r>
      <w:bookmarkEnd w:id="107"/>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19.1 </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上传截止时间前，可以对所上传的</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进行补充、修改或撤回。</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19.2 在</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上传截止时间之后，</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不得对其上传的</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做任何修改、补充或撤回。</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19.3 </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中-如果出现计算上或累加上的算术错误，可按以下原则进行修改：</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内容与</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报价明细表不一致的，以</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为准;</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（2）用小写金额和大写金额不一致，应以大写金额为准；</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（3）总价金额与按单价汇总金额不一致的，以单价金额计算结果为准；</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（4）单价金额小数点或者百分比有明显错位的，以</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的总价为准，并修改单价。</w:t>
      </w:r>
    </w:p>
    <w:p>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同时出现两种以上不一致的，按照前款规定的顺序修正。修正后的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报价经</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确认后产生约束力，</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不确认的，其</w:t>
      </w:r>
      <w:r>
        <w:rPr>
          <w:rFonts w:hint="eastAsia" w:ascii="宋体" w:hAnsi="宋体" w:eastAsia="宋体" w:cs="宋体"/>
          <w:b/>
          <w:bCs/>
          <w:color w:val="000000" w:themeColor="text1"/>
          <w:sz w:val="24"/>
          <w:szCs w:val="24"/>
          <w:highlight w:val="none"/>
          <w14:textFill>
            <w14:solidFill>
              <w14:schemeClr w14:val="tx1"/>
            </w14:solidFill>
          </w14:textFill>
        </w:rPr>
        <w:t>响应无效</w:t>
      </w:r>
      <w:r>
        <w:rPr>
          <w:rFonts w:hint="eastAsia" w:ascii="宋体" w:hAnsi="宋体" w:eastAsia="宋体" w:cs="宋体"/>
          <w:color w:val="000000" w:themeColor="text1"/>
          <w:sz w:val="24"/>
          <w:szCs w:val="24"/>
          <w:highlight w:val="none"/>
          <w14:textFill>
            <w14:solidFill>
              <w14:schemeClr w14:val="tx1"/>
            </w14:solidFill>
          </w14:textFill>
        </w:rPr>
        <w:t>。</w:t>
      </w:r>
    </w:p>
    <w:p>
      <w:pPr>
        <w:pStyle w:val="2"/>
        <w:pageBreakBefore w:val="0"/>
        <w:widowControl w:val="0"/>
        <w:kinsoku/>
        <w:wordWrap/>
        <w:overflowPunct/>
        <w:topLinePunct w:val="0"/>
        <w:autoSpaceDE/>
        <w:autoSpaceDN/>
        <w:bidi w:val="0"/>
        <w:adjustRightInd/>
        <w:spacing w:before="156" w:after="156" w:line="480" w:lineRule="exact"/>
        <w:ind w:firstLine="482" w:firstLineChars="200"/>
        <w:jc w:val="center"/>
        <w:textAlignment w:val="auto"/>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
          <w:bCs w:val="0"/>
          <w:color w:val="000000" w:themeColor="text1"/>
          <w:sz w:val="24"/>
          <w:szCs w:val="24"/>
          <w:highlight w:val="none"/>
          <w14:textFill>
            <w14:solidFill>
              <w14:schemeClr w14:val="tx1"/>
            </w14:solidFill>
          </w14:textFill>
        </w:rPr>
        <w:t>五、开标和</w:t>
      </w:r>
      <w:bookmarkEnd w:id="95"/>
      <w:bookmarkEnd w:id="96"/>
      <w:bookmarkEnd w:id="97"/>
      <w:bookmarkEnd w:id="98"/>
      <w:bookmarkEnd w:id="99"/>
      <w:r>
        <w:rPr>
          <w:rFonts w:hint="eastAsia" w:ascii="宋体" w:hAnsi="宋体" w:eastAsia="宋体" w:cs="宋体"/>
          <w:b/>
          <w:bCs w:val="0"/>
          <w:color w:val="000000" w:themeColor="text1"/>
          <w:sz w:val="24"/>
          <w:szCs w:val="24"/>
          <w:highlight w:val="none"/>
          <w14:textFill>
            <w14:solidFill>
              <w14:schemeClr w14:val="tx1"/>
            </w14:solidFill>
          </w14:textFill>
        </w:rPr>
        <w:t>中标</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08" w:name="_Toc183582232"/>
      <w:bookmarkStart w:id="109" w:name="_Toc217446057"/>
      <w:bookmarkStart w:id="110" w:name="_Toc183682369"/>
      <w:bookmarkStart w:id="111" w:name="_Toc217446078"/>
      <w:bookmarkStart w:id="112" w:name="_Toc183682380"/>
      <w:bookmarkStart w:id="113" w:name="_Toc183582243"/>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b/>
          <w:bCs/>
          <w:color w:val="000000" w:themeColor="text1"/>
          <w:sz w:val="24"/>
          <w:szCs w:val="24"/>
          <w:highlight w:val="none"/>
          <w14:textFill>
            <w14:solidFill>
              <w14:schemeClr w14:val="tx1"/>
            </w14:solidFill>
          </w14:textFill>
        </w:rPr>
        <w:t>．开标</w:t>
      </w:r>
      <w:bookmarkEnd w:id="108"/>
      <w:bookmarkEnd w:id="109"/>
      <w:bookmarkEnd w:id="110"/>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.1 采购代理机构在招标文件规定的时间和地点组织招标活动，邀请下载招标文件并参与竞争的投标人参加开标。</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投标人不足3家的，不得开标。</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.2 开标时，采购代理机构可以邀请有关监督管理部门对开标进行现场监督。</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 xml:space="preserve">.3 </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文件上传截止时间到，</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会议开始，公布</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名单。</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.4开启“</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文件解密”环节，</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在规定时间内进行解密。</w:t>
      </w:r>
    </w:p>
    <w:p>
      <w:pPr>
        <w:spacing w:line="48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投标文件解密完毕，公布投标报价，开启报价签字确认。</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6开标会议结束</w:t>
      </w:r>
      <w:r>
        <w:rPr>
          <w:rFonts w:hint="eastAsia" w:ascii="宋体" w:hAnsi="宋体" w:eastAsia="宋体" w:cs="宋体"/>
          <w:color w:val="000000" w:themeColor="text1"/>
          <w:sz w:val="24"/>
          <w:szCs w:val="24"/>
          <w:highlight w:val="none"/>
          <w14:textFill>
            <w14:solidFill>
              <w14:schemeClr w14:val="tx1"/>
            </w14:solidFill>
          </w14:textFill>
        </w:rPr>
        <w:t>。</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szCs w:val="24"/>
          <w:highlight w:val="none"/>
          <w14:textFill>
            <w14:solidFill>
              <w14:schemeClr w14:val="tx1"/>
            </w14:solidFill>
          </w14:textFill>
        </w:rPr>
        <w:t>.组建评标委员会</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.1公开招标采购项目开标结束后，</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采购人或采购人授权委托评标委员会对各投标人</w:t>
      </w:r>
      <w:r>
        <w:rPr>
          <w:rFonts w:hint="eastAsia" w:ascii="宋体" w:hAnsi="宋体" w:eastAsia="宋体" w:cs="宋体"/>
          <w:color w:val="000000" w:themeColor="text1"/>
          <w:sz w:val="24"/>
          <w:szCs w:val="24"/>
          <w:highlight w:val="none"/>
          <w14:textFill>
            <w14:solidFill>
              <w14:schemeClr w14:val="tx1"/>
            </w14:solidFill>
          </w14:textFill>
        </w:rPr>
        <w:t>依法对投标人的资格进行审查。合格投标人不足3家的，不得评标。</w:t>
      </w:r>
    </w:p>
    <w:p>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.2符合性审查。符合性审查是指依据招标文件的规定，从商务和技术角度对投标文件的有效性和完整性进行审查，以确定是否对招标文件的实质性要求做出响应。</w:t>
      </w:r>
    </w:p>
    <w:p>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.3评标委员会采用综合评分法对满足招标文件全部实质性要求的投标文件和投标报价进行综合评分。</w:t>
      </w:r>
    </w:p>
    <w:p>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.4评标委员会根据综合评分情况，按照评标得分由高到低顺序推荐3名中标候选人，并编写评标报告。得分相同的，按投标报价由低到高顺序排列。得分且投标报价相同的，按照技术指标优劣顺序推荐。</w:t>
      </w:r>
    </w:p>
    <w:p>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.5采购代理机构在评标结果后2个工作日内将评标报告送采购人确认。</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14" w:name="_Toc183682375"/>
      <w:bookmarkStart w:id="115" w:name="_Toc183582238"/>
      <w:bookmarkStart w:id="116" w:name="_Toc217446063"/>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．中标通知</w:t>
      </w:r>
      <w:bookmarkEnd w:id="114"/>
      <w:bookmarkEnd w:id="115"/>
      <w:r>
        <w:rPr>
          <w:rFonts w:hint="eastAsia" w:ascii="宋体" w:hAnsi="宋体" w:eastAsia="宋体" w:cs="宋体"/>
          <w:b/>
          <w:bCs/>
          <w:color w:val="000000" w:themeColor="text1"/>
          <w:sz w:val="24"/>
          <w:szCs w:val="24"/>
          <w:highlight w:val="none"/>
          <w14:textFill>
            <w14:solidFill>
              <w14:schemeClr w14:val="tx1"/>
            </w14:solidFill>
          </w14:textFill>
        </w:rPr>
        <w:t>书</w:t>
      </w:r>
      <w:bookmarkEnd w:id="116"/>
    </w:p>
    <w:p>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1 中标通知书为签订中标合同的依据，是合同的有效组成部分。</w:t>
      </w:r>
    </w:p>
    <w:p>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.2 中标通知书对采购人和中标人均具有法律效力。中标通知书发出后，采购人改变中标结果，或者中标人无正当理由放弃中标的，应当承担相应的法律责任。</w:t>
      </w:r>
    </w:p>
    <w:p>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pPr>
        <w:pStyle w:val="2"/>
        <w:spacing w:before="156" w:after="156"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17" w:name="_Toc217446064"/>
      <w:bookmarkStart w:id="118" w:name="_Toc183582240"/>
      <w:bookmarkStart w:id="119" w:name="_Toc183682377"/>
      <w:r>
        <w:rPr>
          <w:rFonts w:hint="eastAsia" w:ascii="宋体" w:hAnsi="宋体" w:eastAsia="宋体" w:cs="宋体"/>
          <w:color w:val="000000" w:themeColor="text1"/>
          <w:sz w:val="24"/>
          <w:szCs w:val="24"/>
          <w:highlight w:val="none"/>
          <w14:textFill>
            <w14:solidFill>
              <w14:schemeClr w14:val="tx1"/>
            </w14:solidFill>
          </w14:textFill>
        </w:rPr>
        <w:t>六、签订及履行合同和验收</w:t>
      </w:r>
      <w:bookmarkEnd w:id="117"/>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0" w:name="_Toc217446065"/>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14:textFill>
            <w14:solidFill>
              <w14:schemeClr w14:val="tx1"/>
            </w14:solidFill>
          </w14:textFill>
        </w:rPr>
        <w:t>. 签订合同</w:t>
      </w:r>
      <w:bookmarkEnd w:id="120"/>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 中标人在收到采购人发出的《中标通知书》后，应在法律法规规定的时间内与采购人签订采购合同。由于中标人的原因逾期未与采购人签订采购合同的，将视为放弃中标，取消其中标资格并将按相关规定进行处理。</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.2 采购人不得向中标人提出任何不合理的要求，作为签订合同的条件，不得与中标人私下订立背离合同实质性内容的任何协议，所签订的合同不得对招标文件和中标人投标文件作实质性修改。</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.3 中标人因不可抗力原因不能履行招标合同或放弃中标的，采购人可以与排在中标人之后第一位的中标候选人签订采购合同，以此类推。</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.4 中标人在合同签订之后三个工作日内，将签订的合同（彩色扫描件）交至采购代理机构。</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1" w:name="_Toc217446066"/>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4</w:t>
      </w:r>
      <w:r>
        <w:rPr>
          <w:rFonts w:hint="eastAsia" w:ascii="宋体" w:hAnsi="宋体" w:eastAsia="宋体" w:cs="宋体"/>
          <w:b/>
          <w:bCs/>
          <w:color w:val="000000" w:themeColor="text1"/>
          <w:sz w:val="24"/>
          <w:szCs w:val="24"/>
          <w:highlight w:val="none"/>
          <w14:textFill>
            <w14:solidFill>
              <w14:schemeClr w14:val="tx1"/>
            </w14:solidFill>
          </w14:textFill>
        </w:rPr>
        <w:t>. 合同分包</w:t>
      </w:r>
      <w:bookmarkEnd w:id="121"/>
      <w:r>
        <w:rPr>
          <w:rFonts w:hint="eastAsia" w:ascii="宋体" w:hAnsi="宋体" w:eastAsia="宋体" w:cs="宋体"/>
          <w:b/>
          <w:bCs/>
          <w:color w:val="000000" w:themeColor="text1"/>
          <w:sz w:val="24"/>
          <w:szCs w:val="24"/>
          <w:highlight w:val="none"/>
          <w14:textFill>
            <w14:solidFill>
              <w14:schemeClr w14:val="tx1"/>
            </w14:solidFill>
          </w14:textFill>
        </w:rPr>
        <w:t>（如有）</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 若本项目允许分包的，经采购人同意，中标人可以依法采取分包方式履行合同。这种要求应当在合同签订之前征得采购人同意，并且分包人履行分包项目的服务及技术要求等，必须与中标的一致。</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 招标合同实行分包履行的，中标人就招标项目和分包项目向采购人负责，分包人就分包项目承担责任。</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2" w:name="_Toc217446067"/>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 采购人增加合同标的权</w:t>
      </w:r>
      <w:bookmarkEnd w:id="122"/>
      <w:r>
        <w:rPr>
          <w:rFonts w:hint="eastAsia" w:ascii="宋体" w:hAnsi="宋体" w:eastAsia="宋体" w:cs="宋体"/>
          <w:b/>
          <w:bCs/>
          <w:color w:val="000000" w:themeColor="text1"/>
          <w:sz w:val="24"/>
          <w:szCs w:val="24"/>
          <w:highlight w:val="none"/>
          <w14:textFill>
            <w14:solidFill>
              <w14:schemeClr w14:val="tx1"/>
            </w14:solidFill>
          </w14:textFill>
        </w:rPr>
        <w:t>利</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3" w:name="_Toc217446068"/>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bCs/>
          <w:color w:val="000000" w:themeColor="text1"/>
          <w:sz w:val="24"/>
          <w:szCs w:val="24"/>
          <w:highlight w:val="none"/>
          <w14:textFill>
            <w14:solidFill>
              <w14:schemeClr w14:val="tx1"/>
            </w14:solidFill>
          </w14:textFill>
        </w:rPr>
        <w:t>. 履约保证金</w:t>
      </w:r>
      <w:bookmarkEnd w:id="123"/>
    </w:p>
    <w:p>
      <w:pPr>
        <w:spacing w:line="48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 xml:space="preserve">.1 本项目不要求缴纳履约保证金。 </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4" w:name="_Toc217446069"/>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bCs/>
          <w:color w:val="000000" w:themeColor="text1"/>
          <w:sz w:val="24"/>
          <w:szCs w:val="24"/>
          <w:highlight w:val="none"/>
          <w14:textFill>
            <w14:solidFill>
              <w14:schemeClr w14:val="tx1"/>
            </w14:solidFill>
          </w14:textFill>
        </w:rPr>
        <w:t>. 履行合同</w:t>
      </w:r>
      <w:bookmarkEnd w:id="124"/>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.1 中标人与采购人签订合同后，合同双方应严格执行合同条款，履行合同规定的义务，保证合同的顺利完成。</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.2 在合同履行过程中，如发生合同纠纷，合同双方应按照《中华人民共和国民法典》的有关规定进行处理。</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5" w:name="_Toc217446070"/>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bCs/>
          <w:color w:val="000000" w:themeColor="text1"/>
          <w:sz w:val="24"/>
          <w:szCs w:val="24"/>
          <w:highlight w:val="none"/>
          <w14:textFill>
            <w14:solidFill>
              <w14:schemeClr w14:val="tx1"/>
            </w14:solidFill>
          </w14:textFill>
        </w:rPr>
        <w:t>. 验收</w:t>
      </w:r>
      <w:bookmarkEnd w:id="125"/>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bookmarkStart w:id="126" w:name="_Toc217446071"/>
      <w:r>
        <w:rPr>
          <w:rFonts w:hint="eastAsia" w:ascii="宋体" w:hAnsi="宋体" w:eastAsia="宋体" w:cs="宋体"/>
          <w:color w:val="000000" w:themeColor="text1"/>
          <w:sz w:val="24"/>
          <w:szCs w:val="24"/>
          <w:highlight w:val="none"/>
          <w14:textFill>
            <w14:solidFill>
              <w14:schemeClr w14:val="tx1"/>
            </w14:solidFill>
          </w14:textFill>
        </w:rPr>
        <w:t>采购人应严格按照国家财政部《关于进一步加强政府采购需求和履约验收管理的指导意见》（</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财库〔2016〕205号</w:t>
      </w:r>
      <w:r>
        <w:rPr>
          <w:rFonts w:hint="eastAsia" w:ascii="宋体" w:hAnsi="宋体" w:eastAsia="宋体" w:cs="宋体"/>
          <w:color w:val="000000" w:themeColor="text1"/>
          <w:sz w:val="24"/>
          <w:szCs w:val="24"/>
          <w:highlight w:val="none"/>
          <w14:textFill>
            <w14:solidFill>
              <w14:schemeClr w14:val="tx1"/>
            </w14:solidFill>
          </w14:textFill>
        </w:rPr>
        <w:t>）的要求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根据采购项目的具体情况，自行组织项目验收或者委托采购代理机构邀请实际使用人</w:t>
      </w:r>
      <w:r>
        <w:rPr>
          <w:rFonts w:hint="eastAsia" w:ascii="宋体" w:hAnsi="宋体" w:eastAsia="宋体" w:cs="宋体"/>
          <w:i w:val="0"/>
          <w:iCs w:val="0"/>
          <w:caps w:val="0"/>
          <w:color w:val="000000" w:themeColor="text1"/>
          <w:spacing w:val="0"/>
          <w:sz w:val="24"/>
          <w:szCs w:val="24"/>
          <w:highlight w:val="none"/>
          <w:shd w:val="clear" w:fill="FFFFFF"/>
          <w:lang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参加本项目的其他</w:t>
      </w:r>
      <w:r>
        <w:rPr>
          <w:rFonts w:hint="eastAsia" w:ascii="宋体" w:hAnsi="宋体" w:eastAsia="宋体" w:cs="宋体"/>
          <w:i w:val="0"/>
          <w:iCs w:val="0"/>
          <w:caps w:val="0"/>
          <w:color w:val="000000" w:themeColor="text1"/>
          <w:spacing w:val="0"/>
          <w:sz w:val="24"/>
          <w:szCs w:val="24"/>
          <w:highlight w:val="none"/>
          <w:shd w:val="clear" w:fill="FFFFFF"/>
          <w:lang w:eastAsia="zh-CN"/>
          <w14:textFill>
            <w14:solidFill>
              <w14:schemeClr w14:val="tx1"/>
            </w14:solidFill>
          </w14:textFill>
        </w:rPr>
        <w:t>投标人</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或第三方专业机构及专家</w:t>
      </w:r>
      <w:r>
        <w:rPr>
          <w:rFonts w:hint="eastAsia" w:ascii="宋体" w:hAnsi="宋体" w:eastAsia="宋体" w:cs="宋体"/>
          <w:color w:val="000000" w:themeColor="text1"/>
          <w:sz w:val="24"/>
          <w:szCs w:val="24"/>
          <w:highlight w:val="none"/>
          <w14:textFill>
            <w14:solidFill>
              <w14:schemeClr w14:val="tx1"/>
            </w14:solidFill>
          </w14:textFill>
        </w:rPr>
        <w:t>进行验收。</w:t>
      </w:r>
    </w:p>
    <w:bookmarkEnd w:id="118"/>
    <w:bookmarkEnd w:id="119"/>
    <w:bookmarkEnd w:id="126"/>
    <w:p>
      <w:pPr>
        <w:pStyle w:val="2"/>
        <w:spacing w:before="156" w:after="156"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27" w:name="_Toc217446074"/>
      <w:r>
        <w:rPr>
          <w:rFonts w:hint="eastAsia" w:ascii="宋体" w:hAnsi="宋体" w:eastAsia="宋体" w:cs="宋体"/>
          <w:color w:val="000000" w:themeColor="text1"/>
          <w:sz w:val="24"/>
          <w:szCs w:val="24"/>
          <w:highlight w:val="none"/>
          <w14:textFill>
            <w14:solidFill>
              <w14:schemeClr w14:val="tx1"/>
            </w14:solidFill>
          </w14:textFill>
        </w:rPr>
        <w:t>七、投标纪律要求</w:t>
      </w:r>
      <w:bookmarkEnd w:id="127"/>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28" w:name="_Toc217446075"/>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r>
        <w:rPr>
          <w:rFonts w:hint="eastAsia" w:ascii="宋体" w:hAnsi="宋体" w:eastAsia="宋体" w:cs="宋体"/>
          <w:color w:val="000000" w:themeColor="text1"/>
          <w:sz w:val="24"/>
          <w:szCs w:val="24"/>
          <w:highlight w:val="none"/>
          <w14:textFill>
            <w14:solidFill>
              <w14:schemeClr w14:val="tx1"/>
            </w14:solidFill>
          </w14:textFill>
        </w:rPr>
        <w:t>. 投标人不得具有的情形</w:t>
      </w:r>
      <w:bookmarkEnd w:id="128"/>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投标人参加投标不得有下列情形：</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（1）提供虚假材料谋取中标；</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（2）采取不正当手段诋毁、排挤其他投标人；</w:t>
      </w:r>
    </w:p>
    <w:p>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（3）与采购人、其他投标人恶意串通；</w:t>
      </w:r>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（4）向采购人、评标委员会成员行贿或者提供其他不正当利益；</w:t>
      </w:r>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（5）在招标过程中与采购人进行协商谈判；</w:t>
      </w:r>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（6）拒绝有关部门的监督检查或者向监督检查部门提供虚假情况。</w:t>
      </w:r>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有上述情形之一的投标人，属于不合格投标人，其投标或中标资格将被取消。</w:t>
      </w:r>
    </w:p>
    <w:p>
      <w:pPr>
        <w:pStyle w:val="2"/>
        <w:spacing w:before="156" w:after="156" w:line="480" w:lineRule="exact"/>
        <w:ind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29" w:name="_Toc217446076"/>
      <w:r>
        <w:rPr>
          <w:rFonts w:hint="eastAsia" w:ascii="宋体" w:hAnsi="宋体" w:eastAsia="宋体" w:cs="宋体"/>
          <w:color w:val="000000" w:themeColor="text1"/>
          <w:sz w:val="24"/>
          <w:szCs w:val="24"/>
          <w:highlight w:val="none"/>
          <w14:textFill>
            <w14:solidFill>
              <w14:schemeClr w14:val="tx1"/>
            </w14:solidFill>
          </w14:textFill>
        </w:rPr>
        <w:t>八、</w:t>
      </w:r>
      <w:bookmarkEnd w:id="129"/>
      <w:r>
        <w:rPr>
          <w:rFonts w:hint="eastAsia" w:ascii="宋体" w:hAnsi="宋体" w:eastAsia="宋体" w:cs="宋体"/>
          <w:color w:val="000000" w:themeColor="text1"/>
          <w:sz w:val="24"/>
          <w:szCs w:val="24"/>
          <w:highlight w:val="none"/>
          <w14:textFill>
            <w14:solidFill>
              <w14:schemeClr w14:val="tx1"/>
            </w14:solidFill>
          </w14:textFill>
        </w:rPr>
        <w:t>合同价款支付</w:t>
      </w:r>
    </w:p>
    <w:p>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30" w:name="_Toc217446077"/>
      <w:r>
        <w:rPr>
          <w:rFonts w:hint="eastAsia" w:ascii="宋体" w:hAnsi="宋体" w:eastAsia="宋体" w:cs="宋体"/>
          <w:b/>
          <w:bCs/>
          <w:color w:val="000000" w:themeColor="text1"/>
          <w:sz w:val="24"/>
          <w:szCs w:val="24"/>
          <w:highlight w:val="none"/>
          <w14:textFill>
            <w14:solidFill>
              <w14:schemeClr w14:val="tx1"/>
            </w14:solidFill>
          </w14:textFill>
        </w:rPr>
        <w:t>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 申请支付</w:t>
      </w:r>
      <w:bookmarkEnd w:id="130"/>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.1招标项目验收合格，采购人签署《验收结算书》后，向财政部门提出支付申请。采购人的自有资金，由采购人直接支付给中标人或者按照有关合同规定执行。</w:t>
      </w:r>
    </w:p>
    <w:p>
      <w:pPr>
        <w:pStyle w:val="6"/>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.2 财政部门根据采购人的支付申请，并对采购合同进行审核后，直接支付给中标人。</w:t>
      </w:r>
    </w:p>
    <w:p>
      <w:pPr>
        <w:pStyle w:val="2"/>
        <w:pageBreakBefore w:val="0"/>
        <w:widowControl w:val="0"/>
        <w:kinsoku/>
        <w:wordWrap/>
        <w:overflowPunct/>
        <w:topLinePunct w:val="0"/>
        <w:autoSpaceDE/>
        <w:autoSpaceDN/>
        <w:bidi w:val="0"/>
        <w:adjustRightInd/>
        <w:spacing w:before="156" w:after="156" w:line="480" w:lineRule="exact"/>
        <w:ind w:firstLine="482" w:firstLineChars="200"/>
        <w:jc w:val="center"/>
        <w:textAlignment w:val="auto"/>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
          <w:bCs w:val="0"/>
          <w:color w:val="000000" w:themeColor="text1"/>
          <w:sz w:val="24"/>
          <w:szCs w:val="24"/>
          <w:highlight w:val="none"/>
          <w14:textFill>
            <w14:solidFill>
              <w14:schemeClr w14:val="tx1"/>
            </w14:solidFill>
          </w14:textFill>
        </w:rPr>
        <w:t>九、质疑和投诉</w:t>
      </w:r>
      <w:bookmarkEnd w:id="111"/>
      <w:bookmarkStart w:id="131" w:name="_Toc217446079"/>
    </w:p>
    <w:bookmarkEnd w:id="131"/>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r>
        <w:rPr>
          <w:rFonts w:hint="eastAsia" w:ascii="宋体" w:hAnsi="宋体" w:eastAsia="宋体" w:cs="宋体"/>
          <w:color w:val="000000" w:themeColor="text1"/>
          <w:sz w:val="24"/>
          <w:szCs w:val="24"/>
          <w:highlight w:val="none"/>
          <w14:textFill>
            <w14:solidFill>
              <w14:schemeClr w14:val="tx1"/>
            </w14:solidFill>
          </w14:textFill>
        </w:rPr>
        <w:t>．质疑、投诉的接收和处理严格按照《中华人共和国政府采购法</w:t>
      </w:r>
      <w:bookmarkEnd w:id="112"/>
      <w:bookmarkEnd w:id="113"/>
      <w:r>
        <w:rPr>
          <w:rFonts w:hint="eastAsia" w:ascii="宋体" w:hAnsi="宋体" w:eastAsia="宋体" w:cs="宋体"/>
          <w:color w:val="000000" w:themeColor="text1"/>
          <w:sz w:val="24"/>
          <w:szCs w:val="24"/>
          <w:highlight w:val="none"/>
          <w14:textFill>
            <w14:solidFill>
              <w14:schemeClr w14:val="tx1"/>
            </w14:solidFill>
          </w14:textFill>
        </w:rPr>
        <w:t>》、《政府采购质疑和投诉办法》、《财政部关于加强政府采购投标人投诉受理审查工作的通知》的规定办理。</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shd w:val="clear" w:color="auto" w:fill="FFFFFF"/>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.1投标人认为</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.2潜在投标人已依法获取其可质疑的</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的，可以对该文件提出质疑。对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提出质疑的，应当在获取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或者</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公告期限届满之日起7个工作日内提出。</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代理人提出质疑和投诉，应当提交投标人签署的授权委托书。</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.4投标人提出质疑应当提交质疑函和必要的证明材料。质疑函应当包括下列内容：</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（一）投标人的姓名或者名称、地址、邮编、联系人及联系电话；</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（二）质疑项目的名称、编号；</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（三）具体、明确的质疑事项和与质疑事项相关的请求；</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（四）事实依据；</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（五）必要的法律依据；</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（六）提出质疑的日期。</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投标人为自然人的，应当由本人签字；投标人为法人或者其他组织的，应当由法定代表人、主要负责人或者其被授权人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，并加盖公章。</w:t>
      </w:r>
    </w:p>
    <w:p>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接收质疑函的方式：书面形式</w:t>
      </w:r>
    </w:p>
    <w:p>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联系部门：新疆拓源工程管理咨询有限公司</w:t>
      </w:r>
    </w:p>
    <w:p>
      <w:pPr>
        <w:pStyle w:val="6"/>
        <w:pageBreakBefore w:val="0"/>
        <w:widowControl w:val="0"/>
        <w:kinsoku/>
        <w:wordWrap/>
        <w:overflowPunct/>
        <w:topLinePunct w:val="0"/>
        <w:autoSpaceDE/>
        <w:autoSpaceDN/>
        <w:bidi w:val="0"/>
        <w:adjustRightInd/>
        <w:spacing w:line="480" w:lineRule="exact"/>
        <w:ind w:firstLine="480"/>
        <w:textAlignment w:val="auto"/>
        <w:rPr>
          <w:rStyle w:val="37"/>
          <w:rFonts w:hint="eastAsia" w:ascii="宋体" w:hAnsi="宋体" w:eastAsia="宋体" w:cs="宋体"/>
          <w:bCs/>
          <w:color w:val="000000" w:themeColor="text1"/>
          <w:sz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联系人及联系电话：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杨工  </w:t>
      </w:r>
      <w:r>
        <w:rPr>
          <w:rFonts w:hint="eastAsia" w:ascii="宋体" w:hAnsi="宋体" w:cs="宋体"/>
          <w:color w:val="000000" w:themeColor="text1"/>
          <w:sz w:val="24"/>
          <w:szCs w:val="24"/>
          <w:highlight w:val="none"/>
          <w:lang w:val="en-US" w:eastAsia="zh-CN"/>
          <w14:textFill>
            <w14:solidFill>
              <w14:schemeClr w14:val="tx1"/>
            </w14:solidFill>
          </w14:textFill>
        </w:rPr>
        <w:t>15199586230、19999795598</w:t>
      </w:r>
    </w:p>
    <w:p>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通讯地址：</w:t>
      </w:r>
      <w:r>
        <w:rPr>
          <w:rFonts w:hint="eastAsia" w:ascii="宋体" w:hAnsi="宋体" w:eastAsia="宋体" w:cs="宋体"/>
          <w:color w:val="000000" w:themeColor="text1"/>
          <w:sz w:val="24"/>
          <w:szCs w:val="24"/>
          <w:highlight w:val="none"/>
          <w:lang w:eastAsia="zh-CN"/>
          <w14:textFill>
            <w14:solidFill>
              <w14:schemeClr w14:val="tx1"/>
            </w14:solidFill>
          </w14:textFill>
        </w:rPr>
        <w:t>沙湾市广场西路</w:t>
      </w:r>
      <w:r>
        <w:rPr>
          <w:rFonts w:hint="eastAsia" w:ascii="宋体" w:hAnsi="宋体" w:eastAsia="宋体" w:cs="宋体"/>
          <w:color w:val="000000" w:themeColor="text1"/>
          <w:sz w:val="24"/>
          <w:szCs w:val="24"/>
          <w:highlight w:val="none"/>
          <w:lang w:val="en-US" w:eastAsia="zh-CN"/>
          <w14:textFill>
            <w14:solidFill>
              <w14:schemeClr w14:val="tx1"/>
            </w14:solidFill>
          </w14:textFill>
        </w:rPr>
        <w:t>1号</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.5质疑投标人对采购人、采购代理机构的答复不满意，或者采购人、采购代理机构未在规定时间内作出答复的，可以在答复期满后15个工作日内向本办法第六条规定的财政部门提起投诉。</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.6投诉人投诉时，应当提交投诉书和必要的证明材料，并按照被投诉采购人、采购代理机构（以下简称被投诉人）和与投诉事项有关的投标人数量提供投诉书的副本。投诉书应当包括下列内容：</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（一）投诉人和被投诉人的姓名或者名称、通讯地址、邮编、联系人及联系电话；</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（二）质疑和质疑答复情况说明及相关证明材料；</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（三）具体、明确的投诉事项和与投诉事项相关的投诉请求；</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（四）事实依据；</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（五）法律依据；</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（六）提起投诉的日期。</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投诉人为自然人的，应当由本人签字；投诉人为法人或者其他组织的，应当由法定代表人、主要负责人，或者其授权代表签字或者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.7投诉人应当根据《政府采购质疑和投诉办法》第七条第二款规定的信息内容，并按照其规定的方式提起投诉。</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投诉人提起投诉应当符合下列条件：</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（一）提起投诉前已依法进行质疑；</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（二）投诉书内容符合本办法的规定；</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（三）在投诉有效期限内提起投诉；</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（四）同一投诉事项未经财政部门投诉处理；</w:t>
      </w:r>
    </w:p>
    <w:p>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（五）财政部规定的其他条件。</w:t>
      </w: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质疑函范本</w:t>
      </w:r>
    </w:p>
    <w:p>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一、质疑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bCs/>
          <w:color w:val="000000" w:themeColor="text1"/>
          <w:sz w:val="24"/>
          <w:szCs w:val="24"/>
          <w:highlight w:val="none"/>
          <w14:textFill>
            <w14:solidFill>
              <w14:schemeClr w14:val="tx1"/>
            </w14:solidFill>
          </w14:textFill>
        </w:rPr>
        <w:t>基本信息</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邮编：</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地址： </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邮编：</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二、质疑项目基本情况</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质疑项目的名称：</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质疑项目的编号：</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包号：</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采购人名称：</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获取日期：</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三、质疑事项具体内容</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质疑事项1：</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事实依据：</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法律依据：</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质疑事项2</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p>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四、与质疑事项相关的质疑请求</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请求：</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签字(签章)：                   公章：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日期：    </w:t>
      </w:r>
    </w:p>
    <w:p>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pPr>
        <w:spacing w:line="50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质疑函制作说明：</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提出质疑时，应提交质疑函和必要的证明材料。</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若委托代理人进行质疑的，质疑函应按要求列明“被授权人”的有关内容，并在附件中提交由质疑</w:t>
      </w:r>
      <w:r>
        <w:rPr>
          <w:rFonts w:hint="eastAsia" w:ascii="宋体" w:hAnsi="宋体" w:eastAsia="宋体" w:cs="宋体"/>
          <w:color w:val="000000" w:themeColor="text1"/>
          <w:kern w:val="0"/>
          <w:sz w:val="24"/>
          <w:szCs w:val="24"/>
          <w:highlight w:val="none"/>
          <w14:textFill>
            <w14:solidFill>
              <w14:schemeClr w14:val="tx1"/>
            </w14:solidFill>
          </w14:textFill>
        </w:rPr>
        <w:t>投标人签署的授权委托书。授权委托书应载明代理人的姓名或者名称、代理事项、具体权限、期限和相关事项。</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若对项目的某一分包进行质疑，质疑函中应列明具体分包号。</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4.质疑函的质疑事项应具体、明确，并有必要的事实依据和法律依据。</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5.质疑函的质疑请求应与质疑事项相关。</w:t>
      </w:r>
    </w:p>
    <w:p>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为自然人的，质疑函应由本人签字；质疑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为法人或者其他组织的，质疑函应由法定代表人、主要负责人或者其被授权人签字或者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pStyle w:val="6"/>
        <w:spacing w:line="500" w:lineRule="exact"/>
        <w:ind w:firstLine="480"/>
        <w:rPr>
          <w:rFonts w:hint="eastAsia" w:ascii="宋体" w:hAnsi="宋体" w:eastAsia="宋体" w:cs="宋体"/>
          <w:color w:val="000000" w:themeColor="text1"/>
          <w:sz w:val="24"/>
          <w:szCs w:val="24"/>
          <w:highlight w:val="none"/>
          <w14:textFill>
            <w14:solidFill>
              <w14:schemeClr w14:val="tx1"/>
            </w14:solidFill>
          </w14:textFill>
        </w:rPr>
      </w:pPr>
    </w:p>
    <w:p>
      <w:pPr>
        <w:spacing w:after="340" w:line="46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132" w:name="_Toc5850_WPSOffice_Level1"/>
      <w:bookmarkStart w:id="133" w:name="_Toc21780"/>
      <w:r>
        <w:rPr>
          <w:rFonts w:hint="eastAsia" w:ascii="宋体" w:hAnsi="宋体" w:eastAsia="宋体" w:cs="宋体"/>
          <w:b/>
          <w:bCs/>
          <w:color w:val="000000" w:themeColor="text1"/>
          <w:sz w:val="24"/>
          <w:szCs w:val="24"/>
          <w:highlight w:val="none"/>
          <w14:textFill>
            <w14:solidFill>
              <w14:schemeClr w14:val="tx1"/>
            </w14:solidFill>
          </w14:textFill>
        </w:rPr>
        <w:t>第三章  投标文件格式</w:t>
      </w:r>
      <w:bookmarkEnd w:id="132"/>
      <w:bookmarkEnd w:id="133"/>
    </w:p>
    <w:p>
      <w:pPr>
        <w:spacing w:line="460" w:lineRule="exact"/>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投标文件封面示例</w:t>
      </w:r>
    </w:p>
    <w:p>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jc w:val="center"/>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投标文件</w:t>
      </w:r>
    </w:p>
    <w:p>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项目名称：</w:t>
      </w: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spacing w:line="46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项目编号：</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 xml:space="preserve">            </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投标人名称（</w:t>
      </w:r>
      <w:r>
        <w:rPr>
          <w:rFonts w:hint="eastAsia" w:ascii="宋体" w:hAnsi="宋体" w:eastAsia="宋体" w:cs="宋体"/>
          <w:b/>
          <w:color w:val="000000" w:themeColor="text1"/>
          <w:sz w:val="24"/>
          <w:szCs w:val="24"/>
          <w:highlight w:val="none"/>
          <w:lang w:eastAsia="zh-CN"/>
          <w14:textFill>
            <w14:solidFill>
              <w14:schemeClr w14:val="tx1"/>
            </w14:solidFill>
          </w14:textFill>
        </w:rPr>
        <w:t>盖公章</w:t>
      </w:r>
      <w:r>
        <w:rPr>
          <w:rFonts w:hint="eastAsia" w:ascii="宋体" w:hAnsi="宋体" w:eastAsia="宋体" w:cs="宋体"/>
          <w:b/>
          <w:color w:val="000000" w:themeColor="text1"/>
          <w:sz w:val="24"/>
          <w:szCs w:val="24"/>
          <w:highlight w:val="none"/>
          <w14:textFill>
            <w14:solidFill>
              <w14:schemeClr w14:val="tx1"/>
            </w14:solidFill>
          </w14:textFill>
        </w:rPr>
        <w:t>）：</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被授权人（</w:t>
      </w:r>
      <w:r>
        <w:rPr>
          <w:rFonts w:hint="eastAsia" w:ascii="宋体" w:hAnsi="宋体" w:eastAsia="宋体" w:cs="宋体"/>
          <w:b/>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
          <w:color w:val="000000" w:themeColor="text1"/>
          <w:sz w:val="24"/>
          <w:szCs w:val="24"/>
          <w:highlight w:val="none"/>
          <w14:textFill>
            <w14:solidFill>
              <w14:schemeClr w14:val="tx1"/>
            </w14:solidFill>
          </w14:textFill>
        </w:rPr>
        <w:t>）：</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 xml:space="preserve">项目联系人： </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联系电话：</w:t>
      </w: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编制时间：</w:t>
      </w:r>
    </w:p>
    <w:p>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目录</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34" w:name="_Toc217446082"/>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一、投标函</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二、身份证明书及授权委托书</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三、投标报价明细表</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四、投标人基本情况表</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五、投标人类似项目业绩一览表</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六、商务、</w:t>
      </w:r>
      <w:r>
        <w:rPr>
          <w:rFonts w:hint="eastAsia" w:ascii="宋体" w:hAnsi="宋体" w:cs="宋体"/>
          <w:color w:val="000000" w:themeColor="text1"/>
          <w:sz w:val="24"/>
          <w:szCs w:val="24"/>
          <w:highlight w:val="none"/>
          <w:lang w:eastAsia="zh-CN"/>
          <w14:textFill>
            <w14:solidFill>
              <w14:schemeClr w14:val="tx1"/>
            </w14:solidFill>
          </w14:textFill>
        </w:rPr>
        <w:t>技术</w:t>
      </w:r>
      <w:r>
        <w:rPr>
          <w:rFonts w:hint="eastAsia" w:ascii="宋体" w:hAnsi="宋体" w:eastAsia="宋体" w:cs="宋体"/>
          <w:color w:val="000000" w:themeColor="text1"/>
          <w:sz w:val="24"/>
          <w:szCs w:val="24"/>
          <w:highlight w:val="none"/>
          <w14:textFill>
            <w14:solidFill>
              <w14:schemeClr w14:val="tx1"/>
            </w14:solidFill>
          </w14:textFill>
        </w:rPr>
        <w:t>需求偏离表</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color w:val="000000" w:themeColor="text1"/>
          <w:sz w:val="24"/>
          <w:szCs w:val="24"/>
          <w:highlight w:val="none"/>
          <w14:textFill>
            <w14:solidFill>
              <w14:schemeClr w14:val="tx1"/>
            </w14:solidFill>
          </w14:textFill>
        </w:rPr>
        <w:t>、实施方案</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w:t>
      </w:r>
      <w:r>
        <w:rPr>
          <w:rFonts w:hint="eastAsia" w:ascii="宋体" w:hAnsi="宋体" w:eastAsia="宋体" w:cs="宋体"/>
          <w:color w:val="000000" w:themeColor="text1"/>
          <w:sz w:val="24"/>
          <w:szCs w:val="24"/>
          <w:highlight w:val="none"/>
          <w14:textFill>
            <w14:solidFill>
              <w14:schemeClr w14:val="tx1"/>
            </w14:solidFill>
          </w14:textFill>
        </w:rPr>
        <w:t>、投标人认为需要提供的其他文件和资料</w:t>
      </w:r>
    </w:p>
    <w:p>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pStyle w:val="6"/>
        <w:spacing w:line="500" w:lineRule="exact"/>
        <w:ind w:firstLine="48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备注</w:t>
      </w:r>
      <w:r>
        <w:rPr>
          <w:rFonts w:hint="eastAsia" w:ascii="宋体" w:hAnsi="宋体" w:eastAsia="宋体" w:cs="宋体"/>
          <w:color w:val="000000" w:themeColor="text1"/>
          <w:sz w:val="24"/>
          <w:szCs w:val="24"/>
          <w:highlight w:val="none"/>
          <w14:textFill>
            <w14:solidFill>
              <w14:schemeClr w14:val="tx1"/>
            </w14:solidFill>
          </w14:textFill>
        </w:rPr>
        <w:t>：投标人应按以上目录顺序编排投标文件，并标注相应页码。）</w:t>
      </w:r>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jc w:val="cente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jc w:val="center"/>
        <w:outlineLvl w:val="1"/>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一、</w:t>
      </w:r>
      <w:bookmarkEnd w:id="134"/>
      <w:r>
        <w:rPr>
          <w:rFonts w:hint="eastAsia" w:ascii="宋体" w:hAnsi="宋体" w:eastAsia="宋体" w:cs="宋体"/>
          <w:b/>
          <w:bCs/>
          <w:color w:val="000000" w:themeColor="text1"/>
          <w:sz w:val="24"/>
          <w:szCs w:val="24"/>
          <w:highlight w:val="none"/>
          <w14:textFill>
            <w14:solidFill>
              <w14:schemeClr w14:val="tx1"/>
            </w14:solidFill>
          </w14:textFill>
        </w:rPr>
        <w:t>投标函</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bookmarkStart w:id="135" w:name="_Toc217446083"/>
      <w:r>
        <w:rPr>
          <w:rFonts w:hint="eastAsia" w:ascii="宋体" w:hAnsi="宋体" w:eastAsia="宋体" w:cs="宋体"/>
          <w:bCs/>
          <w:color w:val="000000" w:themeColor="text1"/>
          <w:sz w:val="24"/>
          <w:szCs w:val="24"/>
          <w:highlight w:val="none"/>
          <w14:textFill>
            <w14:solidFill>
              <w14:schemeClr w14:val="tx1"/>
            </w14:solidFill>
          </w14:textFill>
        </w:rPr>
        <w:t>__________（采购人）：</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我方全面研究了 “</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项目编号）”项目</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，决定参加贵单位组织的本项目投标。我方授权</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（姓名、职务）代表我方</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（投标人的名称）全权处理本项目投标的有关事宜。</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1、我方自愿按照</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规定的各项要求向采购人提供所需</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货物</w:t>
      </w:r>
      <w:r>
        <w:rPr>
          <w:rFonts w:hint="eastAsia" w:ascii="宋体" w:hAnsi="宋体" w:eastAsia="宋体" w:cs="宋体"/>
          <w:bCs/>
          <w:color w:val="000000" w:themeColor="text1"/>
          <w:sz w:val="24"/>
          <w:szCs w:val="24"/>
          <w:highlight w:val="none"/>
          <w14:textFill>
            <w14:solidFill>
              <w14:schemeClr w14:val="tx1"/>
            </w14:solidFill>
          </w14:textFill>
        </w:rPr>
        <w:t>，总投标价为人民币</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元（大写：</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），投标有效期</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从提交投标文件的截止之日起</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天。</w:t>
      </w:r>
    </w:p>
    <w:p>
      <w:pPr>
        <w:pStyle w:val="15"/>
        <w:spacing w:after="0" w:line="500" w:lineRule="exact"/>
        <w:ind w:left="0" w:leftChars="0"/>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一旦我方成交，我方将严格履行合同规定的责任和义务，</w:t>
      </w:r>
      <w:r>
        <w:rPr>
          <w:rFonts w:hint="eastAsia" w:ascii="宋体" w:hAnsi="宋体" w:cs="宋体"/>
          <w:b w:val="0"/>
          <w:bCs/>
          <w:color w:val="000000" w:themeColor="text1"/>
          <w:sz w:val="24"/>
          <w:szCs w:val="24"/>
          <w:highlight w:val="none"/>
          <w:shd w:val="clear" w:color="auto" w:fill="auto"/>
          <w:lang w:val="en-US" w:eastAsia="zh-CN"/>
          <w14:textFill>
            <w14:solidFill>
              <w14:schemeClr w14:val="tx1"/>
            </w14:solidFill>
          </w14:textFill>
        </w:rPr>
        <w:t>合同履约期限</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为</w:t>
      </w:r>
      <w:r>
        <w:rPr>
          <w:rFonts w:hint="eastAsia" w:ascii="宋体" w:hAnsi="宋体" w:eastAsia="宋体" w:cs="宋体"/>
          <w:b w:val="0"/>
          <w:bCs/>
          <w:color w:val="000000" w:themeColor="text1"/>
          <w:sz w:val="24"/>
          <w:szCs w:val="24"/>
          <w:highlight w:val="none"/>
          <w:u w:val="single"/>
          <w:shd w:val="clear" w:color="auto" w:fill="auto"/>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，质保期</w:t>
      </w:r>
      <w:r>
        <w:rPr>
          <w:rFonts w:hint="eastAsia" w:ascii="宋体" w:hAnsi="宋体" w:eastAsia="宋体" w:cs="宋体"/>
          <w:b w:val="0"/>
          <w:bCs/>
          <w:color w:val="000000" w:themeColor="text1"/>
          <w:sz w:val="24"/>
          <w:szCs w:val="24"/>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并达到采购人要</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求</w:t>
      </w:r>
      <w:r>
        <w:rPr>
          <w:rFonts w:hint="eastAsia" w:ascii="宋体" w:hAnsi="宋体" w:eastAsia="宋体" w:cs="宋体"/>
          <w:bCs/>
          <w:color w:val="000000" w:themeColor="text1"/>
          <w:sz w:val="24"/>
          <w:szCs w:val="24"/>
          <w:highlight w:val="none"/>
          <w:u w:val="none"/>
          <w:lang w:eastAsia="zh-CN"/>
          <w14:textFill>
            <w14:solidFill>
              <w14:schemeClr w14:val="tx1"/>
            </w14:solidFill>
          </w14:textFill>
        </w:rPr>
        <w:t>。</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3、我方同意按照</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的要求，向贵单位缴纳人民币</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元（大写：</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）的投标保证金，并承诺如发生符合“第二章投标人须知”第15.5条的任何情况时，我方将不要求退还投标保证金。</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4、我方提交的投标文件满足</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实质性要求。</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5、我方愿意提供采购人可能另外要求的，与投标有关的文件资料，并保证我方已提供和将要提供的文件资料是真实、准确的。</w:t>
      </w:r>
    </w:p>
    <w:p>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6、我方完全理解采购人不一定将合同授予最低报价的投标人。</w:t>
      </w:r>
    </w:p>
    <w:p>
      <w:pPr>
        <w:pStyle w:val="15"/>
        <w:spacing w:after="0" w:line="500" w:lineRule="exact"/>
        <w:ind w:left="0" w:leftChars="0"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p>
    <w:p>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p>
    <w:p>
      <w:pPr>
        <w:pStyle w:val="15"/>
        <w:spacing w:after="0" w:line="500" w:lineRule="exact"/>
        <w:ind w:left="0" w:leftChars="0"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通讯地址：</w:t>
      </w:r>
    </w:p>
    <w:p>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联系电话：</w:t>
      </w:r>
    </w:p>
    <w:p>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日    期：</w:t>
      </w: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pPr>
        <w:pStyle w:val="2"/>
        <w:numPr>
          <w:ilvl w:val="0"/>
          <w:numId w:val="5"/>
        </w:numPr>
        <w:spacing w:before="156" w:after="156"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身份证明书及授权委托书</w:t>
      </w:r>
    </w:p>
    <w:p>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身份证明书（投标人为法人）</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身份证号码：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的法定代表人，为具有参加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（项目名称）的投标、签署上述投标文件、进行合同谈判、签署合同和处理与之有关的一切事务权利的投标人。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特此证明。</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pPr>
        <w:spacing w:line="500" w:lineRule="exact"/>
        <w:ind w:firstLine="482" w:firstLineChars="200"/>
        <w:rPr>
          <w:rFonts w:hint="eastAsia" w:ascii="宋体" w:hAnsi="宋体" w:eastAsia="宋体" w:cs="宋体"/>
          <w:b/>
          <w:bCs/>
          <w:color w:val="000000" w:themeColor="text1"/>
          <w:kern w:val="0"/>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附</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法定代表人身份证正反面</w:t>
      </w:r>
      <w:r>
        <w:rPr>
          <w:rFonts w:hint="eastAsia" w:ascii="宋体" w:hAnsi="宋体" w:eastAsia="宋体" w:cs="宋体"/>
          <w:b/>
          <w:bCs/>
          <w:color w:val="000000" w:themeColor="text1"/>
          <w:sz w:val="24"/>
          <w:szCs w:val="24"/>
          <w:highlight w:val="none"/>
          <w:lang w:eastAsia="zh-CN"/>
          <w14:textFill>
            <w14:solidFill>
              <w14:schemeClr w14:val="tx1"/>
            </w14:solidFill>
          </w14:textFill>
        </w:rPr>
        <w:t>复印件。</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w:t>
      </w:r>
      <w:r>
        <w:rPr>
          <w:rFonts w:hint="eastAsia" w:ascii="宋体" w:hAnsi="宋体" w:eastAsia="宋体" w:cs="宋体"/>
          <w:bCs/>
          <w:color w:val="000000" w:themeColor="text1"/>
          <w:sz w:val="24"/>
          <w:szCs w:val="24"/>
          <w:highlight w:val="none"/>
          <w14:textFill>
            <w14:solidFill>
              <w14:schemeClr w14:val="tx1"/>
            </w14:solidFill>
          </w14:textFill>
        </w:rPr>
        <w:t>年   月   日</w:t>
      </w:r>
    </w:p>
    <w:p>
      <w:pPr>
        <w:snapToGrid w:val="0"/>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pPr>
        <w:snapToGrid w:val="0"/>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身份证明书（投标人为非法人）</w:t>
      </w:r>
    </w:p>
    <w:p>
      <w:pPr>
        <w:keepNext/>
        <w:keepLines/>
        <w:pageBreakBefore w:val="0"/>
        <w:widowControl w:val="0"/>
        <w:numPr>
          <w:ilvl w:val="0"/>
          <w:numId w:val="0"/>
        </w:numPr>
        <w:kinsoku/>
        <w:wordWrap/>
        <w:overflowPunct/>
        <w:topLinePunct w:val="0"/>
        <w:autoSpaceDE/>
        <w:autoSpaceDN/>
        <w:bidi w:val="0"/>
        <w:adjustRightInd/>
        <w:snapToGrid/>
        <w:ind w:leftChars="0"/>
        <w:textAlignment w:val="auto"/>
        <w:outlineLvl w:val="9"/>
        <w:rPr>
          <w:rFonts w:hint="eastAsia" w:ascii="宋体" w:hAnsi="宋体" w:eastAsia="宋体" w:cs="宋体"/>
          <w:color w:val="000000" w:themeColor="text1"/>
          <w:sz w:val="24"/>
          <w:szCs w:val="24"/>
          <w:highlight w:val="none"/>
          <w14:textFill>
            <w14:solidFill>
              <w14:schemeClr w14:val="tx1"/>
            </w14:solidFill>
          </w14:textFill>
        </w:rPr>
      </w:pPr>
    </w:p>
    <w:p>
      <w:pPr>
        <w:snapToGrid w:val="0"/>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p>
    <w:p>
      <w:pPr>
        <w:snapToGrid w:val="0"/>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身份证号码：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为具有参加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（项目名称）的投标、签署上述投标文件、进行合同谈判、签署合同和处理与之有关的一切事务权利的投标人。 </w:t>
      </w:r>
    </w:p>
    <w:p>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特此证明。</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pPr>
        <w:snapToGrid w:val="0"/>
        <w:spacing w:line="500" w:lineRule="exact"/>
        <w:ind w:firstLine="482" w:firstLineChars="200"/>
        <w:rPr>
          <w:rFonts w:hint="eastAsia" w:ascii="宋体" w:hAnsi="宋体" w:eastAsia="宋体" w:cs="宋体"/>
          <w:b/>
          <w:bCs/>
          <w:color w:val="000000" w:themeColor="text1"/>
          <w:kern w:val="0"/>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附</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身份证正反面</w:t>
      </w:r>
      <w:r>
        <w:rPr>
          <w:rFonts w:hint="eastAsia" w:ascii="宋体" w:hAnsi="宋体" w:eastAsia="宋体" w:cs="宋体"/>
          <w:b/>
          <w:bCs/>
          <w:color w:val="000000" w:themeColor="text1"/>
          <w:sz w:val="24"/>
          <w:szCs w:val="24"/>
          <w:highlight w:val="none"/>
          <w:lang w:eastAsia="zh-CN"/>
          <w14:textFill>
            <w14:solidFill>
              <w14:schemeClr w14:val="tx1"/>
            </w14:solidFill>
          </w14:textFill>
        </w:rPr>
        <w:t>复印件。</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w:t>
      </w:r>
      <w:r>
        <w:rPr>
          <w:rFonts w:hint="eastAsia" w:ascii="宋体" w:hAnsi="宋体" w:eastAsia="宋体" w:cs="宋体"/>
          <w:bCs/>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w:t>
      </w:r>
      <w:r>
        <w:rPr>
          <w:rFonts w:hint="eastAsia" w:ascii="宋体" w:hAnsi="宋体" w:eastAsia="宋体" w:cs="宋体"/>
          <w:bCs/>
          <w:color w:val="000000" w:themeColor="text1"/>
          <w:sz w:val="24"/>
          <w:szCs w:val="24"/>
          <w:highlight w:val="none"/>
          <w14:textFill>
            <w14:solidFill>
              <w14:schemeClr w14:val="tx1"/>
            </w14:solidFill>
          </w14:textFill>
        </w:rPr>
        <w:t>年   月   日</w:t>
      </w: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pStyle w:val="11"/>
        <w:rPr>
          <w:rFonts w:hint="eastAsia" w:ascii="宋体" w:hAnsi="宋体" w:eastAsia="宋体" w:cs="宋体"/>
          <w:b/>
          <w:bCs/>
          <w:color w:val="000000" w:themeColor="text1"/>
          <w:sz w:val="24"/>
          <w:szCs w:val="24"/>
          <w:highlight w:val="none"/>
          <w14:textFill>
            <w14:solidFill>
              <w14:schemeClr w14:val="tx1"/>
            </w14:solidFill>
          </w14:textFill>
        </w:rPr>
      </w:pPr>
    </w:p>
    <w:p>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法定代表人授权委托书（投标人为法人）</w:t>
      </w:r>
    </w:p>
    <w:p>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w:t>
      </w:r>
      <w:r>
        <w:rPr>
          <w:rFonts w:hint="eastAsia" w:ascii="宋体" w:hAnsi="宋体" w:eastAsia="宋体" w:cs="宋体"/>
          <w:bCs/>
          <w:color w:val="000000" w:themeColor="text1"/>
          <w:sz w:val="24"/>
          <w:szCs w:val="24"/>
          <w:highlight w:val="none"/>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本授权声明：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（法定代表人姓名、职务）授权</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（被授权人姓名、职务）为我方 “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（项目名称、项目编号）</w:t>
      </w:r>
      <w:r>
        <w:rPr>
          <w:rFonts w:hint="eastAsia" w:ascii="宋体" w:hAnsi="宋体" w:eastAsia="宋体" w:cs="宋体"/>
          <w:color w:val="000000" w:themeColor="text1"/>
          <w:sz w:val="24"/>
          <w:szCs w:val="24"/>
          <w:highlight w:val="none"/>
          <w14:textFill>
            <w14:solidFill>
              <w14:schemeClr w14:val="tx1"/>
            </w14:solidFill>
          </w14:textFill>
        </w:rPr>
        <w:t>” 项目投标活动的合法代表，以我方名义全权处理该项目有关投标、签订合同以及执行合同等一切事宜。</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14:textFill>
            <w14:solidFill>
              <w14:schemeClr w14:val="tx1"/>
            </w14:solidFill>
          </w14:textFill>
        </w:rPr>
        <w:t>无权转让本授权，特此声明。</w:t>
      </w:r>
    </w:p>
    <w:p>
      <w:pPr>
        <w:spacing w:line="5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附：法定代表人及被授权人身份证正反面</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p>
    <w:p>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被授权人（签字）：</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pPr>
        <w:spacing w:line="500" w:lineRule="exact"/>
        <w:ind w:firstLine="480"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授权委托书（投标人为非法人）</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w:t>
      </w:r>
      <w:r>
        <w:rPr>
          <w:rFonts w:hint="eastAsia" w:ascii="宋体" w:hAnsi="宋体" w:eastAsia="宋体" w:cs="宋体"/>
          <w:bCs/>
          <w:color w:val="000000" w:themeColor="text1"/>
          <w:sz w:val="24"/>
          <w:szCs w:val="24"/>
          <w:highlight w:val="none"/>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本授权声明：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（投标人名称）授权</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（被授权人姓名、职务）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为我方 “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（项目名称、项目编号）</w:t>
      </w:r>
      <w:r>
        <w:rPr>
          <w:rFonts w:hint="eastAsia" w:ascii="宋体" w:hAnsi="宋体" w:eastAsia="宋体" w:cs="宋体"/>
          <w:color w:val="000000" w:themeColor="text1"/>
          <w:sz w:val="24"/>
          <w:szCs w:val="24"/>
          <w:highlight w:val="none"/>
          <w14:textFill>
            <w14:solidFill>
              <w14:schemeClr w14:val="tx1"/>
            </w14:solidFill>
          </w14:textFill>
        </w:rPr>
        <w:t>” 项目投标活动的合法代表，以我方名义全权处理该项目有关投标、签订合同以及执行合同等一切事宜。</w:t>
      </w: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14:textFill>
            <w14:solidFill>
              <w14:schemeClr w14:val="tx1"/>
            </w14:solidFill>
          </w14:textFill>
        </w:rPr>
        <w:t>无权转让本授权，特此声明。</w:t>
      </w:r>
    </w:p>
    <w:p>
      <w:pPr>
        <w:spacing w:line="5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附：授权人及被授权人身份证正反面</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p>
    <w:p>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p>
    <w:p>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被授权人（签字）：   </w:t>
      </w:r>
    </w:p>
    <w:p>
      <w:pPr>
        <w:pStyle w:val="11"/>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pPr>
        <w:keepNext/>
        <w:keepLines/>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ind w:firstLine="482" w:firstLineChars="200"/>
        <w:jc w:val="center"/>
        <w:outlineLvl w:val="1"/>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三、投标报价明细表</w:t>
      </w:r>
    </w:p>
    <w:p>
      <w:pPr>
        <w:spacing w:line="500" w:lineRule="exact"/>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项目名称：                                     </w:t>
      </w:r>
    </w:p>
    <w:p>
      <w:pPr>
        <w:spacing w:line="500" w:lineRule="exac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货币单位：人民币元</w:t>
      </w:r>
    </w:p>
    <w:p>
      <w:pPr>
        <w:pStyle w:val="11"/>
        <w:rPr>
          <w:rFonts w:hint="eastAsia" w:ascii="宋体" w:hAnsi="宋体" w:eastAsia="宋体" w:cs="宋体"/>
          <w:color w:val="000000" w:themeColor="text1"/>
          <w:highlight w:val="none"/>
          <w14:textFill>
            <w14:solidFill>
              <w14:schemeClr w14:val="tx1"/>
            </w14:solidFill>
          </w14:textFill>
        </w:rPr>
      </w:pPr>
    </w:p>
    <w:tbl>
      <w:tblPr>
        <w:tblStyle w:val="29"/>
        <w:tblW w:w="9230" w:type="dxa"/>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295"/>
        <w:gridCol w:w="1419"/>
        <w:gridCol w:w="1293"/>
        <w:gridCol w:w="1477"/>
        <w:gridCol w:w="1130"/>
        <w:gridCol w:w="1006"/>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序号</w:t>
            </w:r>
          </w:p>
        </w:tc>
        <w:tc>
          <w:tcPr>
            <w:tcW w:w="129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名称</w:t>
            </w:r>
          </w:p>
        </w:tc>
        <w:tc>
          <w:tcPr>
            <w:tcW w:w="1419"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规格和型号</w:t>
            </w:r>
          </w:p>
        </w:tc>
        <w:tc>
          <w:tcPr>
            <w:tcW w:w="129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品牌</w:t>
            </w:r>
          </w:p>
        </w:tc>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数量</w:t>
            </w:r>
          </w:p>
        </w:tc>
        <w:tc>
          <w:tcPr>
            <w:tcW w:w="1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单价</w:t>
            </w:r>
          </w:p>
        </w:tc>
        <w:tc>
          <w:tcPr>
            <w:tcW w:w="100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总价</w:t>
            </w: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1</w:t>
            </w:r>
          </w:p>
        </w:tc>
        <w:tc>
          <w:tcPr>
            <w:tcW w:w="129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2</w:t>
            </w:r>
          </w:p>
        </w:tc>
        <w:tc>
          <w:tcPr>
            <w:tcW w:w="129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3</w:t>
            </w:r>
          </w:p>
        </w:tc>
        <w:tc>
          <w:tcPr>
            <w:tcW w:w="129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w:t>
            </w:r>
          </w:p>
        </w:tc>
        <w:tc>
          <w:tcPr>
            <w:tcW w:w="129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2065"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themeColor="text1"/>
                <w:sz w:val="24"/>
                <w:highlight w:val="none"/>
                <w:lang w:eastAsia="zh-CN" w:bidi="ar-SA"/>
                <w14:textFill>
                  <w14:solidFill>
                    <w14:schemeClr w14:val="tx1"/>
                  </w14:solidFill>
                </w14:textFill>
              </w:rPr>
            </w:pPr>
            <w:r>
              <w:rPr>
                <w:rFonts w:hint="eastAsia" w:ascii="宋体" w:hAnsi="宋体" w:eastAsia="宋体" w:cs="宋体"/>
                <w:color w:val="000000" w:themeColor="text1"/>
                <w:sz w:val="24"/>
                <w:highlight w:val="none"/>
                <w:lang w:eastAsia="zh-CN" w:bidi="ar-SA"/>
                <w14:textFill>
                  <w14:solidFill>
                    <w14:schemeClr w14:val="tx1"/>
                  </w14:solidFill>
                </w14:textFill>
              </w:rPr>
              <w:t>总投标报价</w:t>
            </w:r>
          </w:p>
        </w:tc>
        <w:tc>
          <w:tcPr>
            <w:tcW w:w="7165" w:type="dxa"/>
            <w:gridSpan w:val="6"/>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bl>
    <w:p>
      <w:pPr>
        <w:spacing w:line="500" w:lineRule="exact"/>
        <w:jc w:val="left"/>
        <w:rPr>
          <w:rFonts w:hint="eastAsia" w:ascii="宋体" w:hAnsi="宋体" w:eastAsia="宋体" w:cs="宋体"/>
          <w:color w:val="000000" w:themeColor="text1"/>
          <w:sz w:val="24"/>
          <w:szCs w:val="24"/>
          <w:highlight w:val="none"/>
          <w14:textFill>
            <w14:solidFill>
              <w14:schemeClr w14:val="tx1"/>
            </w14:solidFill>
          </w14:textFill>
        </w:rPr>
      </w:pPr>
    </w:p>
    <w:p>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备注：</w:t>
      </w:r>
    </w:p>
    <w:p>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1、投标</w:t>
      </w:r>
      <w:r>
        <w:rPr>
          <w:rFonts w:hint="eastAsia" w:ascii="宋体" w:hAnsi="宋体" w:eastAsia="宋体" w:cs="宋体"/>
          <w:color w:val="000000" w:themeColor="text1"/>
          <w:kern w:val="0"/>
          <w:sz w:val="24"/>
          <w:highlight w:val="none"/>
          <w14:textFill>
            <w14:solidFill>
              <w14:schemeClr w14:val="tx1"/>
            </w14:solidFill>
          </w14:textFill>
        </w:rPr>
        <w:t>项目</w:t>
      </w:r>
      <w:r>
        <w:rPr>
          <w:rFonts w:hint="eastAsia" w:ascii="宋体" w:hAnsi="宋体" w:eastAsia="宋体" w:cs="宋体"/>
          <w:color w:val="000000" w:themeColor="text1"/>
          <w:sz w:val="24"/>
          <w:highlight w:val="none"/>
          <w14:textFill>
            <w14:solidFill>
              <w14:schemeClr w14:val="tx1"/>
            </w14:solidFill>
          </w14:textFill>
        </w:rPr>
        <w:t>和数量满足本项目招标范围，内容由投标人结合自身情况填写。</w:t>
      </w:r>
    </w:p>
    <w:p>
      <w:pPr>
        <w:spacing w:line="500" w:lineRule="exact"/>
        <w:jc w:val="left"/>
        <w:rPr>
          <w:rFonts w:hint="eastAsia" w:ascii="宋体" w:hAnsi="宋体" w:eastAsia="宋体" w:cs="宋体"/>
          <w:strike/>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2、投标人填报价格总价应与投标函载明价格一致，若不一致，以投标函为准。</w:t>
      </w:r>
    </w:p>
    <w:p>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3、投标报价包含货物到达采购人指定地点的全部费用，报价包括项目实施所需的货物费、安装费、包装运输费、装卸费、管理费、利润、税费及其他一切费用。</w:t>
      </w:r>
    </w:p>
    <w:p>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p>
    <w:p>
      <w:pPr>
        <w:pStyle w:val="11"/>
        <w:rPr>
          <w:rFonts w:hint="eastAsia" w:ascii="宋体" w:hAnsi="宋体" w:eastAsia="宋体" w:cs="宋体"/>
          <w:color w:val="000000" w:themeColor="text1"/>
          <w:highlight w:val="none"/>
          <w14:textFill>
            <w14:solidFill>
              <w14:schemeClr w14:val="tx1"/>
            </w14:solidFill>
          </w14:textFill>
        </w:rPr>
      </w:pPr>
    </w:p>
    <w:p>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pPr>
        <w:pStyle w:val="2"/>
        <w:rPr>
          <w:rFonts w:hint="eastAsia" w:ascii="宋体" w:hAnsi="宋体" w:eastAsia="宋体" w:cs="宋体"/>
          <w:color w:val="000000" w:themeColor="text1"/>
          <w:highlight w:val="none"/>
          <w:lang w:eastAsia="zh-CN"/>
          <w14:textFill>
            <w14:solidFill>
              <w14:schemeClr w14:val="tx1"/>
            </w14:solidFill>
          </w14:textFill>
        </w:rPr>
      </w:pPr>
    </w:p>
    <w:p>
      <w:pPr>
        <w:pStyle w:val="2"/>
        <w:spacing w:before="156" w:after="156" w:line="320" w:lineRule="exact"/>
        <w:ind w:firstLine="480" w:firstLineChars="200"/>
        <w:jc w:val="center"/>
        <w:rPr>
          <w:rFonts w:hint="eastAsia" w:ascii="宋体" w:hAnsi="宋体" w:eastAsia="宋体" w:cs="宋体"/>
          <w:bCs w:val="0"/>
          <w:color w:val="000000" w:themeColor="text1"/>
          <w:kern w:val="0"/>
          <w:sz w:val="24"/>
          <w:szCs w:val="24"/>
          <w:highlight w:val="none"/>
          <w14:textFill>
            <w14:solidFill>
              <w14:schemeClr w14:val="tx1"/>
            </w14:solidFill>
          </w14:textFill>
        </w:rPr>
      </w:pPr>
      <w:bookmarkStart w:id="136" w:name="_Toc217446088"/>
      <w:r>
        <w:rPr>
          <w:rFonts w:hint="eastAsia" w:ascii="宋体" w:hAnsi="宋体" w:eastAsia="宋体" w:cs="宋体"/>
          <w:bCs w:val="0"/>
          <w:color w:val="000000" w:themeColor="text1"/>
          <w:kern w:val="0"/>
          <w:sz w:val="24"/>
          <w:szCs w:val="24"/>
          <w:highlight w:val="none"/>
          <w14:textFill>
            <w14:solidFill>
              <w14:schemeClr w14:val="tx1"/>
            </w14:solidFill>
          </w14:textFill>
        </w:rPr>
        <w:t>四、投标人基本情况表</w:t>
      </w:r>
      <w:bookmarkEnd w:id="136"/>
    </w:p>
    <w:tbl>
      <w:tblPr>
        <w:tblStyle w:val="29"/>
        <w:tblW w:w="9104" w:type="dxa"/>
        <w:jc w:val="center"/>
        <w:tblLayout w:type="fixed"/>
        <w:tblCellMar>
          <w:top w:w="0" w:type="dxa"/>
          <w:left w:w="108" w:type="dxa"/>
          <w:bottom w:w="0" w:type="dxa"/>
          <w:right w:w="108" w:type="dxa"/>
        </w:tblCellMar>
      </w:tblPr>
      <w:tblGrid>
        <w:gridCol w:w="1853"/>
        <w:gridCol w:w="1050"/>
        <w:gridCol w:w="2525"/>
        <w:gridCol w:w="1537"/>
        <w:gridCol w:w="2139"/>
      </w:tblGrid>
      <w:tr>
        <w:tblPrEx>
          <w:tblCellMar>
            <w:top w:w="0" w:type="dxa"/>
            <w:left w:w="108" w:type="dxa"/>
            <w:bottom w:w="0" w:type="dxa"/>
            <w:right w:w="108" w:type="dxa"/>
          </w:tblCellMar>
        </w:tblPrEx>
        <w:trPr>
          <w:trHeight w:val="1080" w:hRule="atLeast"/>
          <w:jc w:val="center"/>
        </w:trPr>
        <w:tc>
          <w:tcPr>
            <w:tcW w:w="185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p>
        </w:tc>
        <w:tc>
          <w:tcPr>
            <w:tcW w:w="7251" w:type="dxa"/>
            <w:gridSpan w:val="4"/>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strike/>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注册地址</w:t>
            </w:r>
          </w:p>
        </w:tc>
        <w:tc>
          <w:tcPr>
            <w:tcW w:w="3575" w:type="dxa"/>
            <w:gridSpan w:val="2"/>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成立时间</w:t>
            </w:r>
          </w:p>
        </w:tc>
        <w:tc>
          <w:tcPr>
            <w:tcW w:w="3575" w:type="dxa"/>
            <w:gridSpan w:val="2"/>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企业性质</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社会统一信用代码</w:t>
            </w:r>
          </w:p>
        </w:tc>
        <w:tc>
          <w:tcPr>
            <w:tcW w:w="3575" w:type="dxa"/>
            <w:gridSpan w:val="2"/>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注册资金</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p>
        </w:tc>
        <w:tc>
          <w:tcPr>
            <w:tcW w:w="1050"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2525"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vMerge w:val="restart"/>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1050"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2525" w:type="dxa"/>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vMerge w:val="continue"/>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0"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邮箱</w:t>
            </w:r>
          </w:p>
        </w:tc>
        <w:tc>
          <w:tcPr>
            <w:tcW w:w="2525" w:type="dxa"/>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网址</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p>
        </w:tc>
        <w:tc>
          <w:tcPr>
            <w:tcW w:w="3575" w:type="dxa"/>
            <w:gridSpan w:val="2"/>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账号</w:t>
            </w:r>
          </w:p>
        </w:tc>
        <w:tc>
          <w:tcPr>
            <w:tcW w:w="2139" w:type="dxa"/>
            <w:tcBorders>
              <w:top w:val="nil"/>
              <w:left w:val="nil"/>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经营范围</w:t>
            </w:r>
          </w:p>
        </w:tc>
        <w:tc>
          <w:tcPr>
            <w:tcW w:w="7251" w:type="dxa"/>
            <w:gridSpan w:val="4"/>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c>
          <w:tcPr>
            <w:tcW w:w="7251" w:type="dxa"/>
            <w:gridSpan w:val="4"/>
            <w:tcBorders>
              <w:top w:val="single" w:color="auto" w:sz="4" w:space="0"/>
              <w:left w:val="nil"/>
              <w:bottom w:val="single" w:color="auto" w:sz="4" w:space="0"/>
              <w:right w:val="single" w:color="000000"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adjustRightInd w:val="0"/>
        <w:spacing w:line="320" w:lineRule="exact"/>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p>
    <w:p>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p>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1、投标人为法人时，后附营业执照等相关资料</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2、投标人为非法人时，格式自拟，后附相关资料</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w:t>
      </w:r>
    </w:p>
    <w:p>
      <w:pPr>
        <w:adjustRightInd w:val="0"/>
        <w:spacing w:line="500" w:lineRule="exact"/>
        <w:ind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bookmarkStart w:id="137" w:name="_Toc217446089"/>
    </w:p>
    <w:p>
      <w:pPr>
        <w:adjustRightInd w:val="0"/>
        <w:spacing w:line="500" w:lineRule="exact"/>
        <w:ind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p>
    <w:p>
      <w:pPr>
        <w:adjustRightInd w:val="0"/>
        <w:spacing w:line="500" w:lineRule="exact"/>
        <w:ind w:firstLine="480" w:firstLineChars="200"/>
        <w:jc w:val="center"/>
        <w:outlineLvl w:val="1"/>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五、投标人类似项目业绩一览表</w:t>
      </w:r>
      <w:bookmarkEnd w:id="137"/>
    </w:p>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54" w:type="dxa"/>
          <w:bottom w:w="0" w:type="dxa"/>
          <w:right w:w="54" w:type="dxa"/>
        </w:tblCellMar>
      </w:tblPr>
      <w:tblGrid>
        <w:gridCol w:w="606"/>
        <w:gridCol w:w="960"/>
        <w:gridCol w:w="1113"/>
        <w:gridCol w:w="1151"/>
        <w:gridCol w:w="1162"/>
        <w:gridCol w:w="1180"/>
        <w:gridCol w:w="1158"/>
        <w:gridCol w:w="1069"/>
        <w:gridCol w:w="1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tcBorders>
              <w:top w:val="single" w:color="auto" w:sz="4" w:space="0"/>
            </w:tcBorders>
            <w:vAlign w:val="center"/>
          </w:tcPr>
          <w:p>
            <w:pPr>
              <w:spacing w:line="400" w:lineRule="exac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570" w:type="pct"/>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采购人</w:t>
            </w:r>
          </w:p>
        </w:tc>
        <w:tc>
          <w:tcPr>
            <w:tcW w:w="661" w:type="pct"/>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联系人</w:t>
            </w:r>
          </w:p>
        </w:tc>
        <w:tc>
          <w:tcPr>
            <w:tcW w:w="684" w:type="pct"/>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联系电话</w:t>
            </w:r>
          </w:p>
        </w:tc>
        <w:tc>
          <w:tcPr>
            <w:tcW w:w="690" w:type="pct"/>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项目名称</w:t>
            </w:r>
          </w:p>
        </w:tc>
        <w:tc>
          <w:tcPr>
            <w:tcW w:w="701" w:type="pct"/>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完成时间</w:t>
            </w:r>
          </w:p>
        </w:tc>
        <w:tc>
          <w:tcPr>
            <w:tcW w:w="688" w:type="pct"/>
            <w:vAlign w:val="center"/>
          </w:tcPr>
          <w:p>
            <w:pPr>
              <w:spacing w:line="400" w:lineRule="exac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合同金额</w:t>
            </w:r>
          </w:p>
        </w:tc>
        <w:tc>
          <w:tcPr>
            <w:tcW w:w="641" w:type="pct"/>
            <w:gridSpan w:val="2"/>
            <w:tcBorders>
              <w:right w:val="single" w:color="auto" w:sz="4" w:space="0"/>
            </w:tcBorders>
            <w:vAlign w:val="center"/>
          </w:tcPr>
          <w:p>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项目描述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lef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lef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lef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tcBorders>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10" w:hRule="atLeast"/>
          <w:jc w:val="center"/>
        </w:trPr>
        <w:tc>
          <w:tcPr>
            <w:tcW w:w="360"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36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36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50" w:hRule="atLeast"/>
          <w:jc w:val="center"/>
        </w:trPr>
        <w:tc>
          <w:tcPr>
            <w:tcW w:w="36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35" w:hRule="atLeast"/>
          <w:jc w:val="center"/>
        </w:trPr>
        <w:tc>
          <w:tcPr>
            <w:tcW w:w="360"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right w:val="single" w:color="auto" w:sz="4" w:space="0"/>
            </w:tcBorders>
            <w:vAlign w:val="center"/>
          </w:tcPr>
          <w:p>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spacing w:line="360" w:lineRule="auto"/>
        <w:jc w:val="left"/>
        <w:rPr>
          <w:rFonts w:hint="eastAsia" w:ascii="宋体" w:hAnsi="宋体" w:eastAsia="宋体" w:cs="宋体"/>
          <w:bCs/>
          <w:color w:val="000000" w:themeColor="text1"/>
          <w:sz w:val="24"/>
          <w:szCs w:val="24"/>
          <w:highlight w:val="none"/>
          <w14:textFill>
            <w14:solidFill>
              <w14:schemeClr w14:val="tx1"/>
            </w14:solidFill>
          </w14:textFill>
        </w:rPr>
      </w:pPr>
    </w:p>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1.本表后附</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近三年完成的类似业绩</w:t>
      </w:r>
      <w:r>
        <w:rPr>
          <w:rFonts w:hint="eastAsia" w:ascii="宋体" w:hAnsi="宋体" w:eastAsia="宋体" w:cs="宋体"/>
          <w:bCs/>
          <w:color w:val="000000" w:themeColor="text1"/>
          <w:sz w:val="24"/>
          <w:szCs w:val="24"/>
          <w:highlight w:val="none"/>
          <w14:textFill>
            <w14:solidFill>
              <w14:schemeClr w14:val="tx1"/>
            </w14:solidFill>
          </w14:textFill>
        </w:rPr>
        <w:t>，须提供中标通知书和</w:t>
      </w:r>
      <w:r>
        <w:rPr>
          <w:rFonts w:hint="eastAsia" w:ascii="宋体" w:hAnsi="宋体" w:eastAsia="宋体" w:cs="宋体"/>
          <w:color w:val="000000" w:themeColor="text1"/>
          <w:spacing w:val="6"/>
          <w:kern w:val="0"/>
          <w:sz w:val="24"/>
          <w:szCs w:val="24"/>
          <w:highlight w:val="none"/>
          <w14:textFill>
            <w14:solidFill>
              <w14:schemeClr w14:val="tx1"/>
            </w14:solidFill>
          </w14:textFill>
        </w:rPr>
        <w:t>合同</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合同至少包含合同首页、关键页、签订时间、双方签章页</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复印件并加盖投标人公章</w:t>
      </w:r>
      <w:r>
        <w:rPr>
          <w:rFonts w:hint="eastAsia" w:ascii="宋体" w:hAnsi="宋体" w:eastAsia="宋体" w:cs="宋体"/>
          <w:color w:val="000000" w:themeColor="text1"/>
          <w:sz w:val="24"/>
          <w:szCs w:val="24"/>
          <w:highlight w:val="none"/>
          <w14:textFill>
            <w14:solidFill>
              <w14:schemeClr w14:val="tx1"/>
            </w14:solidFill>
          </w14:textFill>
        </w:rPr>
        <w:t>；</w:t>
      </w:r>
    </w:p>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2.具体年份要求：</w:t>
      </w:r>
      <w:r>
        <w:rPr>
          <w:rFonts w:hint="eastAsia" w:ascii="宋体" w:hAnsi="宋体" w:eastAsia="宋体" w:cs="宋体"/>
          <w:color w:val="000000" w:themeColor="text1"/>
          <w:sz w:val="24"/>
          <w:szCs w:val="24"/>
          <w:highlight w:val="none"/>
          <w:lang w:eastAsia="zh-CN"/>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月01日</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投标文件上传截止时间前</w:t>
      </w:r>
      <w:r>
        <w:rPr>
          <w:rFonts w:hint="eastAsia" w:ascii="宋体" w:hAnsi="宋体" w:eastAsia="宋体" w:cs="宋体"/>
          <w:color w:val="000000" w:themeColor="text1"/>
          <w:sz w:val="24"/>
          <w:szCs w:val="24"/>
          <w:highlight w:val="none"/>
          <w14:textFill>
            <w14:solidFill>
              <w14:schemeClr w14:val="tx1"/>
            </w14:solidFill>
          </w14:textFill>
        </w:rPr>
        <w:t>，业绩认定日期以</w:t>
      </w:r>
      <w:r>
        <w:rPr>
          <w:rFonts w:hint="eastAsia" w:ascii="宋体" w:hAnsi="宋体" w:eastAsia="宋体" w:cs="宋体"/>
          <w:color w:val="000000" w:themeColor="text1"/>
          <w:sz w:val="24"/>
          <w:szCs w:val="24"/>
          <w:highlight w:val="none"/>
          <w:lang w:val="en-US" w:eastAsia="zh-CN"/>
          <w14:textFill>
            <w14:solidFill>
              <w14:schemeClr w14:val="tx1"/>
            </w14:solidFill>
          </w14:textFill>
        </w:rPr>
        <w:t>合同签订日期</w:t>
      </w:r>
      <w:r>
        <w:rPr>
          <w:rFonts w:hint="eastAsia" w:ascii="宋体" w:hAnsi="宋体" w:eastAsia="宋体" w:cs="宋体"/>
          <w:color w:val="000000" w:themeColor="text1"/>
          <w:sz w:val="24"/>
          <w:szCs w:val="24"/>
          <w:highlight w:val="none"/>
          <w14:textFill>
            <w14:solidFill>
              <w14:schemeClr w14:val="tx1"/>
            </w14:solidFill>
          </w14:textFill>
        </w:rPr>
        <w:t>为准。</w:t>
      </w:r>
    </w:p>
    <w:p>
      <w:pPr>
        <w:spacing w:line="400" w:lineRule="exact"/>
        <w:ind w:left="360"/>
        <w:jc w:val="center"/>
        <w:rPr>
          <w:rFonts w:hint="eastAsia" w:ascii="宋体" w:hAnsi="宋体" w:eastAsia="宋体" w:cs="宋体"/>
          <w:color w:val="000000" w:themeColor="text1"/>
          <w:sz w:val="24"/>
          <w:szCs w:val="24"/>
          <w:highlight w:val="none"/>
          <w14:textFill>
            <w14:solidFill>
              <w14:schemeClr w14:val="tx1"/>
            </w14:solidFill>
          </w14:textFill>
        </w:rPr>
      </w:pPr>
    </w:p>
    <w:p>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pPr>
        <w:pStyle w:val="2"/>
        <w:numPr>
          <w:ilvl w:val="0"/>
          <w:numId w:val="6"/>
        </w:numPr>
        <w:spacing w:before="156" w:after="156" w:line="400" w:lineRule="exact"/>
        <w:rPr>
          <w:rFonts w:hint="eastAsia" w:ascii="宋体" w:hAnsi="宋体" w:eastAsia="宋体" w:cs="宋体"/>
          <w:color w:val="000000" w:themeColor="text1"/>
          <w:sz w:val="24"/>
          <w:szCs w:val="24"/>
          <w:highlight w:val="none"/>
          <w14:textFill>
            <w14:solidFill>
              <w14:schemeClr w14:val="tx1"/>
            </w14:solidFill>
          </w14:textFill>
        </w:rPr>
      </w:pPr>
      <w:bookmarkStart w:id="138" w:name="_Toc217446090"/>
      <w:bookmarkStart w:id="139" w:name="_Toc217446091"/>
      <w:r>
        <w:rPr>
          <w:rFonts w:hint="eastAsia" w:ascii="宋体" w:hAnsi="宋体" w:eastAsia="宋体" w:cs="宋体"/>
          <w:bCs w:val="0"/>
          <w:color w:val="000000" w:themeColor="text1"/>
          <w:kern w:val="0"/>
          <w:sz w:val="24"/>
          <w:szCs w:val="24"/>
          <w:highlight w:val="none"/>
          <w14:textFill>
            <w14:solidFill>
              <w14:schemeClr w14:val="tx1"/>
            </w14:solidFill>
          </w14:textFill>
        </w:rPr>
        <w:br w:type="page"/>
      </w:r>
      <w:bookmarkEnd w:id="138"/>
      <w:r>
        <w:rPr>
          <w:rFonts w:hint="eastAsia" w:ascii="宋体" w:hAnsi="宋体" w:eastAsia="宋体" w:cs="宋体"/>
          <w:color w:val="000000" w:themeColor="text1"/>
          <w:sz w:val="24"/>
          <w:szCs w:val="24"/>
          <w:highlight w:val="none"/>
          <w14:textFill>
            <w14:solidFill>
              <w14:schemeClr w14:val="tx1"/>
            </w14:solidFill>
          </w14:textFill>
        </w:rPr>
        <w:t>商务、技术需求偏离表</w:t>
      </w:r>
    </w:p>
    <w:p>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（一）</w:t>
      </w:r>
      <w:r>
        <w:rPr>
          <w:rFonts w:hint="eastAsia" w:ascii="宋体" w:hAnsi="宋体" w:eastAsia="宋体" w:cs="宋体"/>
          <w:b/>
          <w:color w:val="000000" w:themeColor="text1"/>
          <w:sz w:val="30"/>
          <w:szCs w:val="30"/>
          <w:highlight w:val="none"/>
          <w14:textFill>
            <w14:solidFill>
              <w14:schemeClr w14:val="tx1"/>
            </w14:solidFill>
          </w14:textFill>
        </w:rPr>
        <w:t>商务条款偏离表</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项目名称：           </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项目编号：</w:t>
      </w:r>
    </w:p>
    <w:tbl>
      <w:tblPr>
        <w:tblStyle w:val="29"/>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5850"/>
        <w:gridCol w:w="1008"/>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673" w:type="dxa"/>
            <w:shd w:val="clear" w:color="auto" w:fill="F3F3F3"/>
            <w:noWrap w:val="0"/>
            <w:vAlign w:val="center"/>
          </w:tcPr>
          <w:p>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序号</w:t>
            </w:r>
          </w:p>
        </w:tc>
        <w:tc>
          <w:tcPr>
            <w:tcW w:w="5850" w:type="dxa"/>
            <w:shd w:val="clear" w:color="auto" w:fill="F3F3F3"/>
            <w:noWrap w:val="0"/>
            <w:vAlign w:val="center"/>
          </w:tcPr>
          <w:p>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主要商务条款</w:t>
            </w:r>
          </w:p>
        </w:tc>
        <w:tc>
          <w:tcPr>
            <w:tcW w:w="1008" w:type="dxa"/>
            <w:shd w:val="clear" w:color="auto" w:fill="F3F3F3"/>
            <w:noWrap w:val="0"/>
            <w:vAlign w:val="center"/>
          </w:tcPr>
          <w:p>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是否</w:t>
            </w:r>
          </w:p>
          <w:p>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响应</w:t>
            </w:r>
          </w:p>
        </w:tc>
        <w:tc>
          <w:tcPr>
            <w:tcW w:w="1164" w:type="dxa"/>
            <w:shd w:val="clear" w:color="auto" w:fill="F3F3F3"/>
            <w:noWrap w:val="0"/>
            <w:vAlign w:val="center"/>
          </w:tcPr>
          <w:p>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完全理解并接受对合格投标人、合格的货物和服务要求</w:t>
            </w:r>
          </w:p>
        </w:tc>
        <w:tc>
          <w:tcPr>
            <w:tcW w:w="1008" w:type="dxa"/>
            <w:noWrap w:val="0"/>
            <w:vAlign w:val="center"/>
          </w:tcPr>
          <w:p>
            <w:pPr>
              <w:pStyle w:val="58"/>
              <w:keepNext w:val="0"/>
              <w:adjustRightInd/>
              <w:spacing w:before="0" w:after="0" w:line="240" w:lineRule="auto"/>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c>
          <w:tcPr>
            <w:tcW w:w="1164"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完全理解并接受对投标人的各项须知、规约要求和责任义务</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同意接受拟签订的合同文本所列述的各项条款</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同意按本项目要求缴付相关款项</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可提供货物供货来源证明或供货渠道与品质的合法性证明</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6</w:t>
            </w:r>
          </w:p>
        </w:tc>
        <w:tc>
          <w:tcPr>
            <w:tcW w:w="5850" w:type="dxa"/>
            <w:noWrap w:val="0"/>
            <w:vAlign w:val="center"/>
          </w:tcPr>
          <w:p>
            <w:pP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投标有效期：从提交投标文件的截止之日起60天</w:t>
            </w:r>
            <w:r>
              <w:rPr>
                <w:rFonts w:hint="eastAsia" w:ascii="宋体" w:hAnsi="宋体" w:eastAsia="宋体" w:cs="宋体"/>
                <w:color w:val="000000" w:themeColor="text1"/>
                <w:szCs w:val="21"/>
                <w:highlight w:val="none"/>
                <w:lang w:eastAsia="zh-CN"/>
                <w14:textFill>
                  <w14:solidFill>
                    <w14:schemeClr w14:val="tx1"/>
                  </w14:solidFill>
                </w14:textFill>
              </w:rPr>
              <w:t>。</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7</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投标内容均涵盖招标要求及一切费用和伴随服务</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pStyle w:val="58"/>
              <w:keepNext w:val="0"/>
              <w:adjustRightInd/>
              <w:spacing w:before="0" w:after="0" w:line="240" w:lineRule="auto"/>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8</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w:t>
            </w:r>
            <w:r>
              <w:rPr>
                <w:rFonts w:hint="eastAsia" w:ascii="宋体" w:hAnsi="宋体" w:cs="宋体"/>
                <w:color w:val="000000" w:themeColor="text1"/>
                <w:szCs w:val="21"/>
                <w:highlight w:val="none"/>
                <w:lang w:eastAsia="zh-CN"/>
                <w14:textFill>
                  <w14:solidFill>
                    <w14:schemeClr w14:val="tx1"/>
                  </w14:solidFill>
                </w14:textFill>
              </w:rPr>
              <w:t>合同履约期限</w:t>
            </w:r>
            <w:r>
              <w:rPr>
                <w:rFonts w:hint="eastAsia" w:ascii="宋体" w:hAnsi="宋体" w:eastAsia="宋体" w:cs="宋体"/>
                <w:color w:val="000000" w:themeColor="text1"/>
                <w:szCs w:val="21"/>
                <w:highlight w:val="none"/>
                <w14:textFill>
                  <w14:solidFill>
                    <w14:schemeClr w14:val="tx1"/>
                  </w14:solidFill>
                </w14:textFill>
              </w:rPr>
              <w:t>或相关进度安排要求</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同意接受本项目的验收要求及验收标准</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10</w:t>
            </w:r>
          </w:p>
        </w:tc>
        <w:tc>
          <w:tcPr>
            <w:tcW w:w="5850" w:type="dxa"/>
            <w:noWrap w:val="0"/>
            <w:vAlign w:val="center"/>
          </w:tcPr>
          <w:p>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w:t>
            </w:r>
            <w:r>
              <w:rPr>
                <w:rFonts w:hint="eastAsia" w:ascii="宋体" w:hAnsi="宋体" w:cs="宋体"/>
                <w:color w:val="000000" w:themeColor="text1"/>
                <w:szCs w:val="21"/>
                <w:highlight w:val="none"/>
                <w:lang w:eastAsia="zh-CN"/>
                <w14:textFill>
                  <w14:solidFill>
                    <w14:schemeClr w14:val="tx1"/>
                  </w14:solidFill>
                </w14:textFill>
              </w:rPr>
              <w:t>合同履约期限</w:t>
            </w:r>
            <w:r>
              <w:rPr>
                <w:rFonts w:hint="eastAsia" w:ascii="宋体" w:hAnsi="宋体" w:eastAsia="宋体" w:cs="宋体"/>
                <w:color w:val="000000" w:themeColor="text1"/>
                <w:szCs w:val="21"/>
                <w:highlight w:val="none"/>
                <w14:textFill>
                  <w14:solidFill>
                    <w14:schemeClr w14:val="tx1"/>
                  </w14:solidFill>
                </w14:textFill>
              </w:rPr>
              <w:t>服务的各项要求</w:t>
            </w:r>
          </w:p>
        </w:tc>
        <w:tc>
          <w:tcPr>
            <w:tcW w:w="1008"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w:t>
            </w:r>
          </w:p>
        </w:tc>
        <w:tc>
          <w:tcPr>
            <w:tcW w:w="5850" w:type="dxa"/>
            <w:noWrap w:val="0"/>
            <w:vAlign w:val="center"/>
          </w:tcPr>
          <w:p>
            <w:pPr>
              <w:pStyle w:val="2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同意</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采购人</w:t>
            </w:r>
            <w:r>
              <w:rPr>
                <w:rFonts w:hint="eastAsia" w:ascii="宋体" w:hAnsi="宋体" w:eastAsia="宋体" w:cs="宋体"/>
                <w:b w:val="0"/>
                <w:bCs w:val="0"/>
                <w:color w:val="000000" w:themeColor="text1"/>
                <w:kern w:val="2"/>
                <w:sz w:val="21"/>
                <w:szCs w:val="21"/>
                <w:highlight w:val="none"/>
                <w14:textFill>
                  <w14:solidFill>
                    <w14:schemeClr w14:val="tx1"/>
                  </w14:solidFill>
                </w14:textFill>
              </w:rPr>
              <w:t>以任何形式对我方的投标文件内容的真实性和有效性进行审查、验证</w:t>
            </w:r>
          </w:p>
        </w:tc>
        <w:tc>
          <w:tcPr>
            <w:tcW w:w="1008" w:type="dxa"/>
            <w:noWrap w:val="0"/>
            <w:vAlign w:val="center"/>
          </w:tcPr>
          <w:p>
            <w:pPr>
              <w:pStyle w:val="59"/>
              <w:numPr>
                <w:ilvl w:val="0"/>
                <w:numId w:val="0"/>
              </w:numPr>
              <w:rPr>
                <w:rFonts w:hint="eastAsia" w:ascii="宋体" w:hAnsi="宋体" w:eastAsia="宋体" w:cs="宋体"/>
                <w:color w:val="000000" w:themeColor="text1"/>
                <w:highlight w:val="none"/>
                <w14:textFill>
                  <w14:solidFill>
                    <w14:schemeClr w14:val="tx1"/>
                  </w14:solidFill>
                </w14:textFill>
              </w:rPr>
            </w:pPr>
          </w:p>
        </w:tc>
        <w:tc>
          <w:tcPr>
            <w:tcW w:w="1164" w:type="dxa"/>
            <w:noWrap w:val="0"/>
            <w:vAlign w:val="center"/>
          </w:tcPr>
          <w:p>
            <w:pPr>
              <w:pStyle w:val="58"/>
              <w:keepNext w:val="0"/>
              <w:adjustRightInd/>
              <w:spacing w:before="0" w:after="0" w:line="240" w:lineRule="auto"/>
              <w:jc w:val="both"/>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73" w:type="dxa"/>
            <w:noWrap w:val="0"/>
            <w:vAlign w:val="center"/>
          </w:tcPr>
          <w:p>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12</w:t>
            </w:r>
          </w:p>
        </w:tc>
        <w:tc>
          <w:tcPr>
            <w:tcW w:w="5850" w:type="dxa"/>
            <w:noWrap w:val="0"/>
            <w:vAlign w:val="center"/>
          </w:tcPr>
          <w:p>
            <w:pPr>
              <w:pStyle w:val="20"/>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同意接受本项目付款的各项要求</w:t>
            </w:r>
          </w:p>
        </w:tc>
        <w:tc>
          <w:tcPr>
            <w:tcW w:w="1008" w:type="dxa"/>
            <w:noWrap w:val="0"/>
            <w:vAlign w:val="center"/>
          </w:tcPr>
          <w:p>
            <w:pPr>
              <w:pStyle w:val="59"/>
              <w:numPr>
                <w:ilvl w:val="0"/>
                <w:numId w:val="0"/>
              </w:numPr>
              <w:rPr>
                <w:rFonts w:hint="eastAsia" w:ascii="宋体" w:hAnsi="宋体" w:eastAsia="宋体" w:cs="宋体"/>
                <w:color w:val="000000" w:themeColor="text1"/>
                <w:highlight w:val="none"/>
                <w14:textFill>
                  <w14:solidFill>
                    <w14:schemeClr w14:val="tx1"/>
                  </w14:solidFill>
                </w14:textFill>
              </w:rPr>
            </w:pPr>
          </w:p>
        </w:tc>
        <w:tc>
          <w:tcPr>
            <w:tcW w:w="1164" w:type="dxa"/>
            <w:noWrap w:val="0"/>
            <w:vAlign w:val="center"/>
          </w:tcPr>
          <w:p>
            <w:pPr>
              <w:pStyle w:val="58"/>
              <w:keepNext w:val="0"/>
              <w:adjustRightInd/>
              <w:spacing w:before="0" w:after="0" w:line="240" w:lineRule="auto"/>
              <w:jc w:val="both"/>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bl>
    <w:p>
      <w:pPr>
        <w:spacing w:before="156" w:line="360" w:lineRule="auto"/>
        <w:ind w:left="539" w:leftChars="-86" w:right="-359" w:rightChars="-171" w:hanging="720" w:hangingChars="300"/>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注：1.</w:t>
      </w:r>
      <w:r>
        <w:rPr>
          <w:rFonts w:hint="eastAsia" w:ascii="宋体" w:hAnsi="宋体" w:eastAsia="宋体" w:cs="宋体"/>
          <w:color w:val="000000" w:themeColor="text1"/>
          <w:sz w:val="24"/>
          <w:highlight w:val="none"/>
          <w14:textFill>
            <w14:solidFill>
              <w14:schemeClr w14:val="tx1"/>
            </w14:solidFill>
          </w14:textFill>
        </w:rPr>
        <w:t>对</w:t>
      </w:r>
      <w:r>
        <w:rPr>
          <w:rFonts w:hint="eastAsia" w:ascii="宋体" w:hAnsi="宋体" w:eastAsia="宋体" w:cs="宋体"/>
          <w:color w:val="000000" w:themeColor="text1"/>
          <w:sz w:val="24"/>
          <w:highlight w:val="none"/>
          <w:lang w:val="en-GB" w:eastAsia="en-GB"/>
          <w14:textFill>
            <w14:solidFill>
              <w14:schemeClr w14:val="tx1"/>
            </w14:solidFill>
          </w14:textFill>
        </w:rPr>
        <w:t>于上述要求，如投标人完全响应，则请在“是否响应”栏内打“√”，对打“×”视为偏离，请在“偏离说明”栏内扼要说明偏离情况。</w:t>
      </w:r>
    </w:p>
    <w:p>
      <w:pPr>
        <w:spacing w:line="360" w:lineRule="auto"/>
        <w:ind w:left="530" w:leftChars="142" w:right="-359" w:rightChars="-171" w:hanging="232" w:hangingChars="97"/>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2.投标人应认真填写本响应表，若评委会在评审期间，发现有虚假填写本响应表的，则将可能被视为存在两个投标方案，评委会将按本</w:t>
      </w:r>
      <w:r>
        <w:rPr>
          <w:rFonts w:hint="eastAsia" w:ascii="宋体" w:hAnsi="宋体" w:eastAsia="宋体" w:cs="宋体"/>
          <w:color w:val="000000" w:themeColor="text1"/>
          <w:sz w:val="24"/>
          <w:highlight w:val="none"/>
          <w:lang w:val="en-GB" w:eastAsia="zh-CN"/>
          <w14:textFill>
            <w14:solidFill>
              <w14:schemeClr w14:val="tx1"/>
            </w14:solidFill>
          </w14:textFill>
        </w:rPr>
        <w:t>招标文件</w:t>
      </w:r>
      <w:r>
        <w:rPr>
          <w:rFonts w:hint="eastAsia" w:ascii="宋体" w:hAnsi="宋体" w:eastAsia="宋体" w:cs="宋体"/>
          <w:color w:val="000000" w:themeColor="text1"/>
          <w:sz w:val="24"/>
          <w:highlight w:val="none"/>
          <w:lang w:val="en-GB" w:eastAsia="en-GB"/>
          <w14:textFill>
            <w14:solidFill>
              <w14:schemeClr w14:val="tx1"/>
            </w14:solidFill>
          </w14:textFill>
        </w:rPr>
        <w:t>相关规定执行。</w:t>
      </w:r>
    </w:p>
    <w:p>
      <w:pPr>
        <w:spacing w:line="360" w:lineRule="auto"/>
        <w:ind w:firstLine="300" w:firstLineChars="125"/>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3.本表内容不得擅自修改。</w:t>
      </w:r>
    </w:p>
    <w:p>
      <w:pPr>
        <w:pStyle w:val="28"/>
        <w:rPr>
          <w:rFonts w:hint="eastAsia" w:ascii="宋体" w:hAnsi="宋体" w:eastAsia="宋体" w:cs="宋体"/>
          <w:color w:val="000000" w:themeColor="text1"/>
          <w:highlight w:val="none"/>
          <w:lang w:val="en-GB" w:eastAsia="en-GB"/>
          <w14:textFill>
            <w14:solidFill>
              <w14:schemeClr w14:val="tx1"/>
            </w14:solidFill>
          </w14:textFill>
        </w:rPr>
      </w:pPr>
    </w:p>
    <w:p>
      <w:pPr>
        <w:pStyle w:val="15"/>
        <w:spacing w:line="360" w:lineRule="auto"/>
        <w:ind w:left="0" w:leftChars="0"/>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投标人名称（</w:t>
      </w:r>
      <w:r>
        <w:rPr>
          <w:rFonts w:hint="eastAsia" w:ascii="宋体" w:hAnsi="宋体" w:eastAsia="宋体" w:cs="宋体"/>
          <w:bCs/>
          <w:color w:val="000000" w:themeColor="text1"/>
          <w:sz w:val="24"/>
          <w:highlight w:val="none"/>
          <w:lang w:eastAsia="zh-CN"/>
          <w14:textFill>
            <w14:solidFill>
              <w14:schemeClr w14:val="tx1"/>
            </w14:solidFill>
          </w14:textFill>
        </w:rPr>
        <w:t>盖公章</w:t>
      </w:r>
      <w:r>
        <w:rPr>
          <w:rFonts w:hint="eastAsia" w:ascii="宋体" w:hAnsi="宋体" w:eastAsia="宋体" w:cs="宋体"/>
          <w:bCs/>
          <w:color w:val="000000" w:themeColor="text1"/>
          <w:sz w:val="24"/>
          <w:highlight w:val="none"/>
          <w14:textFill>
            <w14:solidFill>
              <w14:schemeClr w14:val="tx1"/>
            </w14:solidFill>
          </w14:textFill>
        </w:rPr>
        <w:t>）：</w:t>
      </w:r>
    </w:p>
    <w:p>
      <w:pPr>
        <w:pStyle w:val="15"/>
        <w:spacing w:line="360" w:lineRule="auto"/>
        <w:ind w:left="0" w:leftChars="0"/>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 xml:space="preserve">                      授权人和被授权人（</w:t>
      </w:r>
      <w:r>
        <w:rPr>
          <w:rFonts w:hint="eastAsia" w:ascii="宋体" w:hAnsi="宋体" w:eastAsia="宋体" w:cs="宋体"/>
          <w:bCs/>
          <w:color w:val="000000" w:themeColor="text1"/>
          <w:sz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highlight w:val="none"/>
          <w14:textFill>
            <w14:solidFill>
              <w14:schemeClr w14:val="tx1"/>
            </w14:solidFill>
          </w14:textFill>
        </w:rPr>
        <w:t>）：</w:t>
      </w:r>
    </w:p>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outlineLvl w:val="2"/>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lang w:val="en-US" w:eastAsia="zh-CN"/>
          <w14:textFill>
            <w14:solidFill>
              <w14:schemeClr w14:val="tx1"/>
            </w14:solidFill>
          </w14:textFill>
        </w:rPr>
        <w:t>（二）</w:t>
      </w:r>
      <w:r>
        <w:rPr>
          <w:rFonts w:hint="eastAsia" w:ascii="宋体" w:hAnsi="宋体" w:cs="宋体"/>
          <w:b/>
          <w:bCs/>
          <w:color w:val="000000" w:themeColor="text1"/>
          <w:sz w:val="30"/>
          <w:szCs w:val="30"/>
          <w:highlight w:val="none"/>
          <w:lang w:val="en-US" w:eastAsia="zh-CN"/>
          <w14:textFill>
            <w14:solidFill>
              <w14:schemeClr w14:val="tx1"/>
            </w14:solidFill>
          </w14:textFill>
        </w:rPr>
        <w:t>技术条款</w:t>
      </w:r>
      <w:r>
        <w:rPr>
          <w:rFonts w:hint="eastAsia" w:ascii="宋体" w:hAnsi="宋体" w:eastAsia="宋体" w:cs="宋体"/>
          <w:b/>
          <w:bCs/>
          <w:color w:val="000000" w:themeColor="text1"/>
          <w:sz w:val="30"/>
          <w:szCs w:val="30"/>
          <w:highlight w:val="none"/>
          <w14:textFill>
            <w14:solidFill>
              <w14:schemeClr w14:val="tx1"/>
            </w14:solidFill>
          </w14:textFill>
        </w:rPr>
        <w:t>偏离表</w:t>
      </w:r>
    </w:p>
    <w:tbl>
      <w:tblPr>
        <w:tblStyle w:val="29"/>
        <w:tblW w:w="4998" w:type="pct"/>
        <w:tblInd w:w="0" w:type="dxa"/>
        <w:tblLayout w:type="autofit"/>
        <w:tblCellMar>
          <w:top w:w="0" w:type="dxa"/>
          <w:left w:w="108" w:type="dxa"/>
          <w:bottom w:w="0" w:type="dxa"/>
          <w:right w:w="108" w:type="dxa"/>
        </w:tblCellMar>
      </w:tblPr>
      <w:tblGrid>
        <w:gridCol w:w="521"/>
        <w:gridCol w:w="2430"/>
        <w:gridCol w:w="1166"/>
        <w:gridCol w:w="994"/>
        <w:gridCol w:w="1014"/>
        <w:gridCol w:w="1145"/>
        <w:gridCol w:w="1249"/>
      </w:tblGrid>
      <w:tr>
        <w:tblPrEx>
          <w:tblCellMar>
            <w:top w:w="0" w:type="dxa"/>
            <w:left w:w="108" w:type="dxa"/>
            <w:bottom w:w="0" w:type="dxa"/>
            <w:right w:w="108" w:type="dxa"/>
          </w:tblCellMar>
        </w:tblPrEx>
        <w:trPr>
          <w:trHeight w:val="530" w:hRule="atLeast"/>
        </w:trPr>
        <w:tc>
          <w:tcPr>
            <w:tcW w:w="1732" w:type="pct"/>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招标文件的要求</w:t>
            </w:r>
          </w:p>
        </w:tc>
        <w:tc>
          <w:tcPr>
            <w:tcW w:w="3267" w:type="pct"/>
            <w:gridSpan w:val="5"/>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投标文件的响应</w:t>
            </w:r>
          </w:p>
        </w:tc>
      </w:tr>
      <w:tr>
        <w:tblPrEx>
          <w:tblCellMar>
            <w:top w:w="0" w:type="dxa"/>
            <w:left w:w="108" w:type="dxa"/>
            <w:bottom w:w="0" w:type="dxa"/>
            <w:right w:w="108" w:type="dxa"/>
          </w:tblCellMar>
        </w:tblPrEx>
        <w:trPr>
          <w:trHeight w:val="1730" w:hRule="atLeast"/>
        </w:trPr>
        <w:tc>
          <w:tcPr>
            <w:tcW w:w="306" w:type="pct"/>
            <w:tcBorders>
              <w:top w:val="single" w:color="000000" w:sz="8"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序号</w:t>
            </w:r>
          </w:p>
        </w:tc>
        <w:tc>
          <w:tcPr>
            <w:tcW w:w="1425"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技术参数要求</w:t>
            </w:r>
          </w:p>
        </w:tc>
        <w:tc>
          <w:tcPr>
            <w:tcW w:w="684" w:type="pct"/>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响应情况</w:t>
            </w:r>
          </w:p>
        </w:tc>
        <w:tc>
          <w:tcPr>
            <w:tcW w:w="583" w:type="pct"/>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偏离</w:t>
            </w:r>
            <w:r>
              <w:rPr>
                <w:rFonts w:hint="eastAsia" w:ascii="宋体" w:hAnsi="宋体" w:eastAsia="宋体" w:cs="宋体"/>
                <w:color w:val="000000" w:themeColor="text1"/>
                <w:sz w:val="24"/>
                <w:szCs w:val="24"/>
                <w:highlight w:val="none"/>
                <w:lang w:val="en-US" w:eastAsia="zh-CN"/>
                <w14:textFill>
                  <w14:solidFill>
                    <w14:schemeClr w14:val="tx1"/>
                  </w14:solidFill>
                </w14:textFill>
              </w:rPr>
              <w:t>情况</w:t>
            </w:r>
          </w:p>
        </w:tc>
        <w:tc>
          <w:tcPr>
            <w:tcW w:w="595" w:type="pct"/>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证明材料</w:t>
            </w:r>
          </w:p>
        </w:tc>
        <w:tc>
          <w:tcPr>
            <w:tcW w:w="672" w:type="pct"/>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证明材料页码</w:t>
            </w:r>
          </w:p>
        </w:tc>
        <w:tc>
          <w:tcPr>
            <w:tcW w:w="732" w:type="pct"/>
            <w:tcBorders>
              <w:top w:val="single" w:color="000000" w:sz="8" w:space="0"/>
              <w:left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备注</w:t>
            </w:r>
          </w:p>
        </w:tc>
      </w:tr>
      <w:tr>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1</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2</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3</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4</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pStyle w:val="6"/>
        <w:rPr>
          <w:rFonts w:hint="eastAsia" w:ascii="宋体" w:hAnsi="宋体" w:eastAsia="宋体" w:cs="宋体"/>
          <w:color w:val="000000" w:themeColor="text1"/>
          <w:sz w:val="24"/>
          <w:szCs w:val="24"/>
          <w:highlight w:val="none"/>
          <w14:textFill>
            <w14:solidFill>
              <w14:schemeClr w14:val="tx1"/>
            </w14:solidFill>
          </w14:textFill>
        </w:rPr>
      </w:pPr>
    </w:p>
    <w:p>
      <w:pPr>
        <w:spacing w:line="340" w:lineRule="exac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投标人应对照招标文件“第四章</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中“技术参数”</w:t>
      </w:r>
      <w:r>
        <w:rPr>
          <w:rFonts w:hint="eastAsia" w:ascii="宋体" w:hAnsi="宋体" w:eastAsia="宋体" w:cs="宋体"/>
          <w:color w:val="000000" w:themeColor="text1"/>
          <w:sz w:val="24"/>
          <w:szCs w:val="24"/>
          <w:highlight w:val="none"/>
          <w14:textFill>
            <w14:solidFill>
              <w14:schemeClr w14:val="tx1"/>
            </w14:solidFill>
          </w14:textFill>
        </w:rPr>
        <w:t>逐项填写，</w:t>
      </w:r>
      <w:r>
        <w:rPr>
          <w:rFonts w:hint="eastAsia" w:ascii="宋体" w:hAnsi="宋体" w:eastAsia="宋体" w:cs="宋体"/>
          <w:color w:val="000000" w:themeColor="text1"/>
          <w:sz w:val="24"/>
          <w:highlight w:val="none"/>
          <w:lang w:val="en-US" w:eastAsia="zh-CN"/>
          <w14:textFill>
            <w14:solidFill>
              <w14:schemeClr w14:val="tx1"/>
            </w14:solidFill>
          </w14:textFill>
        </w:rPr>
        <w:t>在“</w:t>
      </w:r>
      <w:r>
        <w:rPr>
          <w:rFonts w:hint="eastAsia" w:ascii="宋体" w:hAnsi="宋体" w:cs="宋体"/>
          <w:color w:val="000000" w:themeColor="text1"/>
          <w:sz w:val="24"/>
          <w:highlight w:val="none"/>
          <w:lang w:val="en-US" w:eastAsia="zh-CN"/>
          <w14:textFill>
            <w14:solidFill>
              <w14:schemeClr w14:val="tx1"/>
            </w14:solidFill>
          </w14:textFill>
        </w:rPr>
        <w:t>技术条款</w:t>
      </w:r>
      <w:r>
        <w:rPr>
          <w:rFonts w:hint="eastAsia" w:ascii="宋体" w:hAnsi="宋体" w:eastAsia="宋体" w:cs="宋体"/>
          <w:color w:val="000000" w:themeColor="text1"/>
          <w:sz w:val="24"/>
          <w:highlight w:val="none"/>
          <w:lang w:val="en-US" w:eastAsia="zh-CN"/>
          <w14:textFill>
            <w14:solidFill>
              <w14:schemeClr w14:val="tx1"/>
            </w14:solidFill>
          </w14:textFill>
        </w:rPr>
        <w:t>偏离表”中的“</w:t>
      </w:r>
      <w:r>
        <w:rPr>
          <w:rFonts w:hint="eastAsia" w:ascii="宋体" w:hAnsi="宋体" w:eastAsia="宋体" w:cs="宋体"/>
          <w:color w:val="000000" w:themeColor="text1"/>
          <w:sz w:val="24"/>
          <w:highlight w:val="none"/>
          <w14:textFill>
            <w14:solidFill>
              <w14:schemeClr w14:val="tx1"/>
            </w14:solidFill>
          </w14:textFill>
        </w:rPr>
        <w:t>偏离</w:t>
      </w:r>
      <w:r>
        <w:rPr>
          <w:rFonts w:hint="eastAsia" w:ascii="宋体" w:hAnsi="宋体" w:eastAsia="宋体" w:cs="宋体"/>
          <w:color w:val="000000" w:themeColor="text1"/>
          <w:sz w:val="24"/>
          <w:highlight w:val="none"/>
          <w:lang w:val="en-US" w:eastAsia="zh-CN"/>
          <w14:textFill>
            <w14:solidFill>
              <w14:schemeClr w14:val="tx1"/>
            </w14:solidFill>
          </w14:textFill>
        </w:rPr>
        <w:t>”注明“正偏离”或“无偏离”</w:t>
      </w:r>
      <w:r>
        <w:rPr>
          <w:rFonts w:hint="eastAsia" w:ascii="宋体" w:hAnsi="宋体" w:cs="宋体"/>
          <w:color w:val="000000" w:themeColor="text1"/>
          <w:sz w:val="24"/>
          <w:highlight w:val="none"/>
          <w:lang w:val="en-US" w:eastAsia="zh-CN"/>
          <w14:textFill>
            <w14:solidFill>
              <w14:schemeClr w14:val="tx1"/>
            </w14:solidFill>
          </w14:textFill>
        </w:rPr>
        <w:t>或“负偏离”</w:t>
      </w:r>
      <w:r>
        <w:rPr>
          <w:rFonts w:hint="eastAsia" w:ascii="宋体" w:hAnsi="宋体" w:eastAsia="宋体" w:cs="宋体"/>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不得虚假响应，否则将视为未实质性响应招标文件要求，响应无效</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招标文件“第四章</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每项供应商需提供与产品技术参数相关的证明材料（</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产品样式及材质清单或认证证书或产品检测报告或鉴定证书或制造商产品彩页或制造商官网截图或制造商技术白皮书或制造商产品说明书等彩页或彩色实物照片或承诺函</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w:t>
      </w:r>
    </w:p>
    <w:p>
      <w:pPr>
        <w:spacing w:line="360" w:lineRule="atLeast"/>
        <w:rPr>
          <w:rFonts w:hint="eastAsia" w:ascii="宋体" w:hAnsi="宋体" w:eastAsia="宋体" w:cs="宋体"/>
          <w:color w:val="000000" w:themeColor="text1"/>
          <w:sz w:val="24"/>
          <w:szCs w:val="24"/>
          <w:highlight w:val="none"/>
          <w14:textFill>
            <w14:solidFill>
              <w14:schemeClr w14:val="tx1"/>
            </w14:solidFill>
          </w14:textFill>
        </w:rPr>
      </w:pPr>
    </w:p>
    <w:p>
      <w:pPr>
        <w:pStyle w:val="15"/>
        <w:spacing w:line="360" w:lineRule="atLeast"/>
        <w:ind w:left="0" w:leftChars="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p>
    <w:p>
      <w:pPr>
        <w:pStyle w:val="15"/>
        <w:spacing w:line="360" w:lineRule="atLeast"/>
        <w:ind w:left="0" w:leftChars="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授权人和被授权人（</w:t>
      </w:r>
      <w:r>
        <w:rPr>
          <w:rFonts w:hint="eastAsia" w:ascii="宋体" w:hAnsi="宋体" w:eastAsia="宋体" w:cs="宋体"/>
          <w:bCs/>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szCs w:val="24"/>
          <w:highlight w:val="none"/>
          <w14:textFill>
            <w14:solidFill>
              <w14:schemeClr w14:val="tx1"/>
            </w14:solidFill>
          </w14:textFill>
        </w:rPr>
        <w:t>）：</w:t>
      </w:r>
    </w:p>
    <w:p>
      <w:pPr>
        <w:spacing w:line="360" w:lineRule="atLeas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End w:id="139"/>
    </w:p>
    <w:p>
      <w:pPr>
        <w:rPr>
          <w:rFonts w:hint="eastAsia" w:ascii="宋体" w:hAnsi="宋体" w:eastAsia="宋体" w:cs="宋体"/>
          <w:color w:val="000000" w:themeColor="text1"/>
          <w:sz w:val="24"/>
          <w:szCs w:val="24"/>
          <w:highlight w:val="none"/>
          <w14:textFill>
            <w14:solidFill>
              <w14:schemeClr w14:val="tx1"/>
            </w14:solidFill>
          </w14:textFill>
        </w:rPr>
      </w:pPr>
    </w:p>
    <w:p>
      <w:pPr>
        <w:pStyle w:val="28"/>
        <w:numPr>
          <w:ilvl w:val="0"/>
          <w:numId w:val="0"/>
        </w:numPr>
        <w:ind w:left="3570" w:leftChars="0"/>
        <w:jc w:val="both"/>
        <w:outlineLvl w:val="1"/>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七、</w:t>
      </w:r>
      <w:r>
        <w:rPr>
          <w:rFonts w:hint="eastAsia" w:ascii="宋体" w:hAnsi="宋体" w:eastAsia="宋体" w:cs="宋体"/>
          <w:b/>
          <w:bCs/>
          <w:color w:val="000000" w:themeColor="text1"/>
          <w:kern w:val="0"/>
          <w:sz w:val="24"/>
          <w:szCs w:val="24"/>
          <w:highlight w:val="none"/>
          <w14:textFill>
            <w14:solidFill>
              <w14:schemeClr w14:val="tx1"/>
            </w14:solidFill>
          </w14:textFill>
        </w:rPr>
        <w:t>实施方案</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pPr>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投标人应根据本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要求和项目的具体情况，自行编制实施方案，格式自拟，但应主要包括以下内容：</w:t>
      </w:r>
    </w:p>
    <w:bookmarkEnd w:id="135"/>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bookmarkStart w:id="140" w:name="_Toc31271_WPSOffice_Level1"/>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技术方案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项目组织实施方案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项目实施团队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4、</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进度计划及保障措施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售后服务方案</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br w:type="page"/>
      </w:r>
    </w:p>
    <w:p>
      <w:pPr>
        <w:pStyle w:val="6"/>
        <w:ind w:firstLine="0" w:firstLineChars="0"/>
        <w:jc w:val="center"/>
        <w:outlineLvl w:val="1"/>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八</w:t>
      </w:r>
      <w:r>
        <w:rPr>
          <w:rFonts w:hint="eastAsia" w:ascii="宋体" w:hAnsi="宋体" w:eastAsia="宋体" w:cs="宋体"/>
          <w:b/>
          <w:bCs/>
          <w:color w:val="000000" w:themeColor="text1"/>
          <w:kern w:val="0"/>
          <w:sz w:val="24"/>
          <w:szCs w:val="24"/>
          <w:highlight w:val="none"/>
          <w14:textFill>
            <w14:solidFill>
              <w14:schemeClr w14:val="tx1"/>
            </w14:solidFill>
          </w14:textFill>
        </w:rPr>
        <w:t>、投标人认为需要提供的其他文件和资料</w:t>
      </w:r>
    </w:p>
    <w:p>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p>
    <w:p>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1、以下《中小微企业声明函》、《监狱企业的证明文件》及《残疾人福利性单位声明函》投标人根据自身的实际情况选用（如有）。</w:t>
      </w:r>
    </w:p>
    <w:p>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2、投标人同时为小型（或微型）企业、监狱企业、残疾人福利性单位任两种或以上情况的，评审中只享受一次价格扣除（或评审得分优惠），不重复进行价格扣除。</w:t>
      </w:r>
    </w:p>
    <w:p>
      <w:pPr>
        <w:pStyle w:val="14"/>
        <w:spacing w:line="460" w:lineRule="exact"/>
        <w:ind w:firstLine="480" w:firstLineChars="20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（一）中小企业声明函</w:t>
      </w:r>
      <w:r>
        <w:rPr>
          <w:rFonts w:hint="eastAsia" w:ascii="宋体" w:hAnsi="宋体" w:eastAsia="宋体" w:cs="宋体"/>
          <w:color w:val="000000" w:themeColor="text1"/>
          <w:sz w:val="24"/>
          <w:szCs w:val="24"/>
          <w:highlight w:val="none"/>
          <w:lang w:eastAsia="zh-CN"/>
          <w14:textFill>
            <w14:solidFill>
              <w14:schemeClr w14:val="tx1"/>
            </w14:solidFill>
          </w14:textFill>
        </w:rPr>
        <w:t>（如有）</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本公司（联合体）郑重声明，根据《政府采购促进中小企业发展管理办法》（财库﹝2020﹞46号）的规定，本公司（联合体）参加</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（单位名称）</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color w:val="000000" w:themeColor="text1"/>
          <w:sz w:val="24"/>
          <w:szCs w:val="24"/>
          <w:highlight w:val="none"/>
          <w:u w:val="single"/>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采购活动，</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提供的货物</w:t>
      </w:r>
      <w:r>
        <w:rPr>
          <w:rFonts w:hint="eastAsia" w:ascii="宋体" w:hAnsi="宋体" w:eastAsia="宋体" w:cs="宋体"/>
          <w:color w:val="000000" w:themeColor="text1"/>
          <w:sz w:val="24"/>
          <w:szCs w:val="24"/>
          <w:highlight w:val="none"/>
          <w14:textFill>
            <w14:solidFill>
              <w14:schemeClr w14:val="tx1"/>
            </w14:solidFill>
          </w14:textFill>
        </w:rPr>
        <w:t>全部</w:t>
      </w:r>
      <w:r>
        <w:rPr>
          <w:rFonts w:hint="eastAsia" w:ascii="宋体" w:hAnsi="宋体" w:eastAsia="宋体" w:cs="宋体"/>
          <w:color w:val="000000" w:themeColor="text1"/>
          <w:sz w:val="24"/>
          <w:szCs w:val="24"/>
          <w:highlight w:val="none"/>
          <w:lang w:val="en-US" w:eastAsia="zh-CN"/>
          <w14:textFill>
            <w14:solidFill>
              <w14:schemeClr w14:val="tx1"/>
            </w14:solidFill>
          </w14:textFill>
        </w:rPr>
        <w:t>由</w:t>
      </w:r>
      <w:r>
        <w:rPr>
          <w:rFonts w:hint="eastAsia" w:ascii="宋体" w:hAnsi="宋体" w:eastAsia="宋体" w:cs="宋体"/>
          <w:color w:val="000000" w:themeColor="text1"/>
          <w:sz w:val="24"/>
          <w:szCs w:val="24"/>
          <w:highlight w:val="none"/>
          <w14:textFill>
            <w14:solidFill>
              <w14:schemeClr w14:val="tx1"/>
            </w14:solidFill>
          </w14:textFill>
        </w:rPr>
        <w:t>符合政策要求的中小企业</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w:t>
      </w:r>
      <w:r>
        <w:rPr>
          <w:rFonts w:hint="eastAsia" w:ascii="宋体" w:hAnsi="宋体" w:eastAsia="宋体" w:cs="宋体"/>
          <w:color w:val="000000" w:themeColor="text1"/>
          <w:sz w:val="24"/>
          <w:szCs w:val="24"/>
          <w:highlight w:val="none"/>
          <w14:textFill>
            <w14:solidFill>
              <w14:schemeClr w14:val="tx1"/>
            </w14:solidFill>
          </w14:textFill>
        </w:rPr>
        <w:t>相关企业（含联合体中的中小企业、签订分包意向协议的中小企业）的具体情况如下：</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（标的名称）</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u w:val="single"/>
          <w14:textFill>
            <w14:solidFill>
              <w14:schemeClr w14:val="tx1"/>
            </w14:solidFill>
          </w14:textFill>
        </w:rPr>
        <w:t>中明确的所属行业）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行业</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制造商为</w:t>
      </w:r>
      <w:r>
        <w:rPr>
          <w:rFonts w:hint="eastAsia" w:ascii="宋体" w:hAnsi="宋体" w:eastAsia="宋体" w:cs="宋体"/>
          <w:color w:val="000000" w:themeColor="text1"/>
          <w:sz w:val="24"/>
          <w:szCs w:val="24"/>
          <w:highlight w:val="none"/>
          <w:u w:val="single"/>
          <w14:textFill>
            <w14:solidFill>
              <w14:schemeClr w14:val="tx1"/>
            </w14:solidFill>
          </w14:textFill>
        </w:rPr>
        <w:t>（企业名称）</w:t>
      </w:r>
      <w:r>
        <w:rPr>
          <w:rFonts w:hint="eastAsia" w:ascii="宋体" w:hAnsi="宋体" w:eastAsia="宋体" w:cs="宋体"/>
          <w:color w:val="000000" w:themeColor="text1"/>
          <w:sz w:val="24"/>
          <w:szCs w:val="24"/>
          <w:highlight w:val="none"/>
          <w14:textFill>
            <w14:solidFill>
              <w14:schemeClr w14:val="tx1"/>
            </w14:solidFill>
          </w14:textFill>
        </w:rPr>
        <w:t>，从业人员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人，营业收入为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万元，资产总额为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w:t>
      </w:r>
      <w:r>
        <w:rPr>
          <w:rFonts w:hint="eastAsia" w:ascii="宋体" w:hAnsi="宋体" w:eastAsia="宋体" w:cs="宋体"/>
          <w:color w:val="000000" w:themeColor="text1"/>
          <w:sz w:val="24"/>
          <w:szCs w:val="24"/>
          <w:highlight w:val="none"/>
          <w:vertAlign w:val="superscript"/>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，属于（中型企业、小型企业</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微型企业</w:t>
      </w:r>
      <w:r>
        <w:rPr>
          <w:rFonts w:hint="eastAsia" w:ascii="宋体" w:hAnsi="宋体" w:eastAsia="宋体" w:cs="宋体"/>
          <w:color w:val="000000" w:themeColor="text1"/>
          <w:sz w:val="24"/>
          <w:szCs w:val="24"/>
          <w:highlight w:val="none"/>
          <w14:textFill>
            <w14:solidFill>
              <w14:schemeClr w14:val="tx1"/>
            </w14:solidFill>
          </w14:textFill>
        </w:rPr>
        <w:t>）；</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（标的名称）</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u w:val="single"/>
          <w14:textFill>
            <w14:solidFill>
              <w14:schemeClr w14:val="tx1"/>
            </w14:solidFill>
          </w14:textFill>
        </w:rPr>
        <w:t>中明确的所属行业）行业</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制造商为</w:t>
      </w:r>
      <w:r>
        <w:rPr>
          <w:rFonts w:hint="eastAsia" w:ascii="宋体" w:hAnsi="宋体" w:eastAsia="宋体" w:cs="宋体"/>
          <w:color w:val="000000" w:themeColor="text1"/>
          <w:sz w:val="24"/>
          <w:szCs w:val="24"/>
          <w:highlight w:val="none"/>
          <w:u w:val="single"/>
          <w14:textFill>
            <w14:solidFill>
              <w14:schemeClr w14:val="tx1"/>
            </w14:solidFill>
          </w14:textFill>
        </w:rPr>
        <w:t>（企业名称）</w:t>
      </w:r>
      <w:r>
        <w:rPr>
          <w:rFonts w:hint="eastAsia" w:ascii="宋体" w:hAnsi="宋体" w:eastAsia="宋体" w:cs="宋体"/>
          <w:color w:val="000000" w:themeColor="text1"/>
          <w:sz w:val="24"/>
          <w:szCs w:val="24"/>
          <w:highlight w:val="none"/>
          <w14:textFill>
            <w14:solidFill>
              <w14:schemeClr w14:val="tx1"/>
            </w14:solidFill>
          </w14:textFill>
        </w:rPr>
        <w:t>，从业人员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人，营业收入为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万元，资产总额为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万元，属于</w:t>
      </w:r>
      <w:r>
        <w:rPr>
          <w:rFonts w:hint="eastAsia" w:ascii="宋体" w:hAnsi="宋体" w:eastAsia="宋体" w:cs="宋体"/>
          <w:color w:val="000000" w:themeColor="text1"/>
          <w:sz w:val="24"/>
          <w:szCs w:val="24"/>
          <w:highlight w:val="none"/>
          <w:u w:val="single"/>
          <w14:textFill>
            <w14:solidFill>
              <w14:schemeClr w14:val="tx1"/>
            </w14:solidFill>
          </w14:textFill>
        </w:rPr>
        <w:t>（中型企业、小型企业</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微型企业</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本企业对上述声明内容的真实性负责。如有虚假，将依法承担相应责任。</w:t>
      </w:r>
    </w:p>
    <w:p>
      <w:pPr>
        <w:pStyle w:val="14"/>
        <w:spacing w:line="46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w:t>
      </w:r>
    </w:p>
    <w:p>
      <w:pPr>
        <w:pStyle w:val="14"/>
        <w:spacing w:line="46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 期：</w:t>
      </w:r>
    </w:p>
    <w:p>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从业人员、营业收入、资产总额填报上一年度数据，无上一年度数据的新成立企业可不填报</w:t>
      </w:r>
    </w:p>
    <w:p>
      <w:pPr>
        <w:spacing w:line="460" w:lineRule="exact"/>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p>
    <w:p>
      <w:pPr>
        <w:pStyle w:val="25"/>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spacing w:line="460" w:lineRule="exact"/>
        <w:jc w:val="center"/>
        <w:rPr>
          <w:rFonts w:hint="eastAsia" w:ascii="宋体" w:hAnsi="宋体" w:eastAsia="宋体" w:cs="宋体"/>
          <w:b/>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 xml:space="preserve">（二） </w:t>
      </w:r>
      <w:bookmarkStart w:id="141" w:name="OLE_LINK13"/>
      <w:bookmarkStart w:id="142" w:name="OLE_LINK14"/>
      <w:r>
        <w:rPr>
          <w:rFonts w:hint="eastAsia" w:ascii="宋体" w:hAnsi="宋体" w:eastAsia="宋体" w:cs="宋体"/>
          <w:b/>
          <w:color w:val="000000" w:themeColor="text1"/>
          <w:spacing w:val="6"/>
          <w:sz w:val="24"/>
          <w:szCs w:val="24"/>
          <w:highlight w:val="none"/>
          <w14:textFill>
            <w14:solidFill>
              <w14:schemeClr w14:val="tx1"/>
            </w14:solidFill>
          </w14:textFill>
        </w:rPr>
        <w:t>残疾人福利性单位声明函</w:t>
      </w:r>
    </w:p>
    <w:bookmarkEnd w:id="141"/>
    <w:bookmarkEnd w:id="142"/>
    <w:p>
      <w:pPr>
        <w:spacing w:line="460" w:lineRule="exact"/>
        <w:rPr>
          <w:rFonts w:hint="eastAsia" w:ascii="宋体" w:hAnsi="宋体" w:eastAsia="宋体" w:cs="宋体"/>
          <w:b/>
          <w:color w:val="000000" w:themeColor="text1"/>
          <w:spacing w:val="6"/>
          <w:sz w:val="24"/>
          <w:szCs w:val="24"/>
          <w:highlight w:val="none"/>
          <w14:textFill>
            <w14:solidFill>
              <w14:schemeClr w14:val="tx1"/>
            </w14:solidFill>
          </w14:textFill>
        </w:rPr>
      </w:pPr>
    </w:p>
    <w:p>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color w:val="000000" w:themeColor="text1"/>
          <w:sz w:val="24"/>
          <w:szCs w:val="24"/>
          <w:highlight w:val="none"/>
          <w14:textFill>
            <w14:solidFill>
              <w14:schemeClr w14:val="tx1"/>
            </w14:solidFill>
          </w14:textFill>
        </w:rPr>
        <w:t>〔2017〕 141</w:t>
      </w:r>
      <w:r>
        <w:rPr>
          <w:rFonts w:hint="eastAsia" w:ascii="宋体" w:hAnsi="宋体" w:eastAsia="宋体" w:cs="宋体"/>
          <w:color w:val="000000" w:themeColor="text1"/>
          <w:spacing w:val="6"/>
          <w:sz w:val="24"/>
          <w:szCs w:val="24"/>
          <w:highlight w:val="none"/>
          <w14:textFill>
            <w14:solidFill>
              <w14:schemeClr w14:val="tx1"/>
            </w14:solidFill>
          </w14:textFill>
        </w:rPr>
        <w:t>号）的规定，本单位为符合条件的残疾人福利性单位，且本单位参加</w:t>
      </w:r>
      <w:r>
        <w:rPr>
          <w:rFonts w:hint="eastAsia" w:ascii="宋体" w:hAnsi="宋体" w:eastAsia="宋体" w:cs="宋体"/>
          <w:color w:val="000000" w:themeColor="text1"/>
          <w:spacing w:val="6"/>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单位的</w:t>
      </w:r>
      <w:r>
        <w:rPr>
          <w:rFonts w:hint="eastAsia" w:ascii="宋体" w:hAnsi="宋体" w:eastAsia="宋体" w:cs="宋体"/>
          <w:color w:val="000000" w:themeColor="text1"/>
          <w:spacing w:val="6"/>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项目采购活动提供本单位制造的服务（由本单位承担工程/提供服务），或者提供其他残疾人福利性单位制造的货物（不包括使用非残疾人福利性单位注册商标的货物）。</w:t>
      </w:r>
    </w:p>
    <w:p>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本单位对上述声明的真实性负责。如有虚假，将依法承担相应责任。</w:t>
      </w:r>
    </w:p>
    <w:p>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p>
    <w:p>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p>
    <w:p>
      <w:pPr>
        <w:tabs>
          <w:tab w:val="left" w:pos="4860"/>
        </w:tabs>
        <w:spacing w:line="460" w:lineRule="exact"/>
        <w:ind w:right="1560" w:firstLine="504" w:firstLineChars="200"/>
        <w:jc w:val="center"/>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单位名称（</w:t>
      </w:r>
      <w:r>
        <w:rPr>
          <w:rFonts w:hint="eastAsia" w:ascii="宋体" w:hAnsi="宋体" w:eastAsia="宋体" w:cs="宋体"/>
          <w:color w:val="000000" w:themeColor="text1"/>
          <w:spacing w:val="6"/>
          <w:sz w:val="24"/>
          <w:szCs w:val="24"/>
          <w:highlight w:val="none"/>
          <w:lang w:eastAsia="zh-CN"/>
          <w14:textFill>
            <w14:solidFill>
              <w14:schemeClr w14:val="tx1"/>
            </w14:solidFill>
          </w14:textFill>
        </w:rPr>
        <w:t>盖公章</w:t>
      </w:r>
      <w:r>
        <w:rPr>
          <w:rFonts w:hint="eastAsia" w:ascii="宋体" w:hAnsi="宋体" w:eastAsia="宋体" w:cs="宋体"/>
          <w:color w:val="000000" w:themeColor="text1"/>
          <w:spacing w:val="6"/>
          <w:sz w:val="24"/>
          <w:szCs w:val="24"/>
          <w:highlight w:val="none"/>
          <w14:textFill>
            <w14:solidFill>
              <w14:schemeClr w14:val="tx1"/>
            </w14:solidFill>
          </w14:textFill>
        </w:rPr>
        <w:t>）：</w:t>
      </w:r>
    </w:p>
    <w:p>
      <w:pPr>
        <w:tabs>
          <w:tab w:val="left" w:pos="4860"/>
        </w:tabs>
        <w:spacing w:line="460" w:lineRule="exact"/>
        <w:ind w:right="1560" w:firstLine="504" w:firstLineChars="200"/>
        <w:jc w:val="center"/>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日  期：</w:t>
      </w:r>
    </w:p>
    <w:p>
      <w:pPr>
        <w:widowControl/>
        <w:adjustRightInd w:val="0"/>
        <w:snapToGrid w:val="0"/>
        <w:spacing w:line="46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60" w:lineRule="exact"/>
        <w:jc w:val="left"/>
        <w:rPr>
          <w:rFonts w:hint="eastAsia" w:ascii="宋体" w:hAnsi="宋体" w:eastAsia="宋体" w:cs="宋体"/>
          <w:bCs/>
          <w:color w:val="000000" w:themeColor="text1"/>
          <w:sz w:val="24"/>
          <w:szCs w:val="24"/>
          <w:highlight w:val="none"/>
          <w14:textFill>
            <w14:solidFill>
              <w14:schemeClr w14:val="tx1"/>
            </w14:solidFill>
          </w14:textFill>
        </w:rPr>
      </w:pPr>
    </w:p>
    <w:p>
      <w:pPr>
        <w:widowControl/>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w:t>
      </w:r>
      <w:r>
        <w:rPr>
          <w:rFonts w:hint="eastAsia" w:ascii="宋体" w:hAnsi="宋体" w:eastAsia="宋体" w:cs="宋体"/>
          <w:color w:val="000000" w:themeColor="text1"/>
          <w:sz w:val="24"/>
          <w:szCs w:val="24"/>
          <w:highlight w:val="none"/>
          <w14:textFill>
            <w14:solidFill>
              <w14:schemeClr w14:val="tx1"/>
            </w14:solidFill>
          </w14:textFill>
        </w:rPr>
        <w:t>：须提供证明材料（能反映出企业残疾人的占比等情况的材料及残疾人证等）。</w:t>
      </w:r>
    </w:p>
    <w:p>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p>
    <w:p>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p>
    <w:p>
      <w:pPr>
        <w:widowControl/>
        <w:spacing w:line="4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（三）监狱企业证明文件（如有）</w:t>
      </w:r>
    </w:p>
    <w:p>
      <w:pPr>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pPr>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pStyle w:val="14"/>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2.证明材料加盖投标人公章。</w:t>
      </w:r>
    </w:p>
    <w:p>
      <w:pPr>
        <w:pStyle w:val="14"/>
        <w:spacing w:line="460" w:lineRule="exact"/>
        <w:jc w:val="both"/>
        <w:rPr>
          <w:rFonts w:hint="eastAsia" w:ascii="宋体" w:hAnsi="宋体" w:eastAsia="宋体" w:cs="宋体"/>
          <w:b/>
          <w:bCs/>
          <w:color w:val="000000" w:themeColor="text1"/>
          <w:sz w:val="24"/>
          <w:szCs w:val="24"/>
          <w:highlight w:val="none"/>
          <w14:textFill>
            <w14:solidFill>
              <w14:schemeClr w14:val="tx1"/>
            </w14:solidFill>
          </w14:textFill>
        </w:rPr>
      </w:pPr>
    </w:p>
    <w:p>
      <w:pPr>
        <w:pStyle w:val="14"/>
        <w:spacing w:line="460" w:lineRule="exact"/>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（四）投标保证金</w:t>
      </w:r>
      <w:r>
        <w:rPr>
          <w:rFonts w:hint="eastAsia" w:ascii="宋体" w:hAnsi="宋体" w:eastAsia="宋体" w:cs="宋体"/>
          <w:b/>
          <w:bCs/>
          <w:color w:val="000000" w:themeColor="text1"/>
          <w:sz w:val="24"/>
          <w:szCs w:val="24"/>
          <w:highlight w:val="none"/>
          <w:lang w:eastAsia="zh-CN"/>
          <w14:textFill>
            <w14:solidFill>
              <w14:schemeClr w14:val="tx1"/>
            </w14:solidFill>
          </w14:textFill>
        </w:rPr>
        <w:t>缴纳凭证</w:t>
      </w:r>
    </w:p>
    <w:p>
      <w:pPr>
        <w:pStyle w:val="14"/>
        <w:spacing w:line="460" w:lineRule="exact"/>
        <w:jc w:val="center"/>
        <w:rPr>
          <w:rFonts w:hint="eastAsia" w:ascii="宋体" w:hAnsi="宋体" w:eastAsia="宋体" w:cs="宋体"/>
          <w:color w:val="000000" w:themeColor="text1"/>
          <w:sz w:val="24"/>
          <w:szCs w:val="24"/>
          <w:highlight w:val="none"/>
          <w14:textFill>
            <w14:solidFill>
              <w14:schemeClr w14:val="tx1"/>
            </w14:solidFill>
          </w14:textFill>
        </w:rPr>
      </w:pPr>
    </w:p>
    <w:tbl>
      <w:tblPr>
        <w:tblStyle w:val="29"/>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07" w:hRule="atLeast"/>
          <w:jc w:val="center"/>
        </w:trPr>
        <w:tc>
          <w:tcPr>
            <w:tcW w:w="5000" w:type="pct"/>
            <w:tcBorders>
              <w:top w:val="single" w:color="auto" w:sz="4" w:space="0"/>
              <w:bottom w:val="single" w:color="auto" w:sz="4" w:space="0"/>
            </w:tcBorders>
            <w:vAlign w:val="center"/>
          </w:tcPr>
          <w:p>
            <w:pPr>
              <w:pStyle w:val="14"/>
              <w:spacing w:line="440" w:lineRule="exact"/>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w:t>
            </w:r>
            <w:r>
              <w:rPr>
                <w:rFonts w:hint="eastAsia" w:ascii="宋体" w:hAnsi="宋体" w:eastAsia="宋体" w:cs="宋体"/>
                <w:color w:val="000000" w:themeColor="text1"/>
                <w:sz w:val="24"/>
                <w:szCs w:val="24"/>
                <w:highlight w:val="none"/>
                <w:lang w:eastAsia="zh-CN"/>
                <w14:textFill>
                  <w14:solidFill>
                    <w14:schemeClr w14:val="tx1"/>
                  </w14:solidFill>
                </w14:textFill>
              </w:rPr>
              <w:t>缴纳凭证</w:t>
            </w:r>
          </w:p>
        </w:tc>
      </w:tr>
    </w:tbl>
    <w:p>
      <w:pPr>
        <w:adjustRightInd w:val="0"/>
        <w:snapToGrid w:val="0"/>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widowControl/>
        <w:shd w:val="clear" w:color="auto" w:fill="FFFFFF"/>
        <w:spacing w:line="460" w:lineRule="exact"/>
        <w:jc w:val="left"/>
        <w:rPr>
          <w:rFonts w:hint="eastAsia" w:ascii="宋体" w:hAnsi="宋体" w:eastAsia="宋体" w:cs="宋体"/>
          <w:color w:val="000000" w:themeColor="text1"/>
          <w:kern w:val="0"/>
          <w:sz w:val="24"/>
          <w:szCs w:val="24"/>
          <w:highlight w:val="none"/>
          <w14:textFill>
            <w14:solidFill>
              <w14:schemeClr w14:val="tx1"/>
            </w14:solidFill>
          </w14:textFill>
        </w:rPr>
      </w:pPr>
    </w:p>
    <w:p>
      <w:pPr>
        <w:spacing w:line="460" w:lineRule="exact"/>
        <w:rPr>
          <w:rFonts w:hint="eastAsia" w:ascii="宋体" w:hAnsi="宋体" w:eastAsia="宋体" w:cs="宋体"/>
          <w:color w:val="000000" w:themeColor="text1"/>
          <w:sz w:val="24"/>
          <w:szCs w:val="24"/>
          <w:highlight w:val="none"/>
          <w14:textFill>
            <w14:solidFill>
              <w14:schemeClr w14:val="tx1"/>
            </w14:solidFill>
          </w14:textFill>
        </w:rPr>
      </w:pPr>
    </w:p>
    <w:bookmarkEnd w:id="140"/>
    <w:p>
      <w:pPr>
        <w:pStyle w:val="14"/>
        <w:spacing w:line="460" w:lineRule="exact"/>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bookmarkStart w:id="143" w:name="_Toc2964"/>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五</w:t>
      </w:r>
      <w:r>
        <w:rPr>
          <w:rFonts w:hint="eastAsia" w:ascii="宋体" w:hAnsi="宋体" w:eastAsia="宋体" w:cs="宋体"/>
          <w:b/>
          <w:bCs/>
          <w:color w:val="000000" w:themeColor="text1"/>
          <w:sz w:val="24"/>
          <w:szCs w:val="24"/>
          <w:highlight w:val="none"/>
          <w:lang w:eastAsia="zh-CN"/>
          <w14:textFill>
            <w14:solidFill>
              <w14:schemeClr w14:val="tx1"/>
            </w14:solidFill>
          </w14:textFill>
        </w:rPr>
        <w:t>）其他</w:t>
      </w:r>
    </w:p>
    <w:bookmarkEnd w:id="143"/>
    <w:p>
      <w:pPr>
        <w:spacing w:line="500" w:lineRule="exact"/>
        <w:ind w:firstLine="42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highlight w:val="none"/>
          <w:shd w:val="clear" w:color="auto" w:fill="auto"/>
          <w:lang w:val="en-US" w:eastAsia="zh-CN"/>
          <w14:textFill>
            <w14:solidFill>
              <w14:schemeClr w14:val="tx1"/>
            </w14:solidFill>
          </w14:textFill>
        </w:rPr>
        <w:t>投标人认为需提供的</w:t>
      </w:r>
      <w:r>
        <w:rPr>
          <w:rFonts w:hint="eastAsia" w:ascii="宋体" w:hAnsi="宋体" w:eastAsia="宋体" w:cs="宋体"/>
          <w:b/>
          <w:bCs w:val="0"/>
          <w:color w:val="000000" w:themeColor="text1"/>
          <w:highlight w:val="none"/>
          <w:shd w:val="clear" w:color="auto" w:fill="auto"/>
          <w:lang w:val="en-US" w:eastAsia="zh-CN"/>
          <w14:textFill>
            <w14:solidFill>
              <w14:schemeClr w14:val="tx1"/>
            </w14:solidFill>
          </w14:textFill>
        </w:rPr>
        <w:t>资格审查</w:t>
      </w:r>
      <w:r>
        <w:rPr>
          <w:rFonts w:hint="eastAsia" w:ascii="宋体" w:hAnsi="宋体" w:eastAsia="宋体" w:cs="宋体"/>
          <w:b w:val="0"/>
          <w:bCs/>
          <w:color w:val="000000" w:themeColor="text1"/>
          <w:highlight w:val="none"/>
          <w:shd w:val="clear" w:color="auto" w:fill="auto"/>
          <w:lang w:val="en-US" w:eastAsia="zh-CN"/>
          <w14:textFill>
            <w14:solidFill>
              <w14:schemeClr w14:val="tx1"/>
            </w14:solidFill>
          </w14:textFill>
        </w:rPr>
        <w:t>及其他补充资料。</w:t>
      </w:r>
    </w:p>
    <w:p>
      <w:pPr>
        <w:pStyle w:val="43"/>
        <w:spacing w:line="460" w:lineRule="exact"/>
        <w:ind w:left="964" w:right="-50" w:rightChars="-24" w:firstLine="0"/>
        <w:jc w:val="center"/>
        <w:outlineLvl w:val="0"/>
        <w:rPr>
          <w:rFonts w:hint="eastAsia" w:ascii="宋体" w:hAnsi="宋体" w:eastAsia="宋体" w:cs="宋体"/>
          <w:b/>
          <w:color w:val="000000" w:themeColor="text1"/>
          <w:sz w:val="24"/>
          <w:szCs w:val="24"/>
          <w:highlight w:val="none"/>
          <w:lang w:eastAsia="zh-CN"/>
          <w14:textFill>
            <w14:solidFill>
              <w14:schemeClr w14:val="tx1"/>
            </w14:solidFill>
          </w14:textFill>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b/>
          <w:color w:val="000000" w:themeColor="text1"/>
          <w:sz w:val="24"/>
          <w:szCs w:val="24"/>
          <w:highlight w:val="none"/>
          <w:lang w:eastAsia="zh-CN"/>
          <w14:textFill>
            <w14:solidFill>
              <w14:schemeClr w14:val="tx1"/>
            </w14:solidFill>
          </w14:textFill>
        </w:rPr>
        <w:br w:type="page"/>
      </w:r>
      <w:bookmarkStart w:id="144" w:name="_Toc20068"/>
    </w:p>
    <w:p>
      <w:pPr>
        <w:pStyle w:val="43"/>
        <w:keepNext w:val="0"/>
        <w:pageBreakBefore w:val="0"/>
        <w:kinsoku/>
        <w:wordWrap/>
        <w:overflowPunct/>
        <w:topLinePunct w:val="0"/>
        <w:autoSpaceDE/>
        <w:autoSpaceDN/>
        <w:bidi w:val="0"/>
        <w:adjustRightInd/>
        <w:snapToGrid/>
        <w:spacing w:line="360" w:lineRule="auto"/>
        <w:ind w:left="964" w:right="-50" w:rightChars="-24" w:firstLine="0"/>
        <w:jc w:val="center"/>
        <w:textAlignment w:val="auto"/>
        <w:outlineLvl w:val="0"/>
        <w:rPr>
          <w:rStyle w:val="44"/>
          <w:rFonts w:hint="eastAsia" w:ascii="宋体" w:hAnsi="宋体" w:eastAsia="宋体" w:cs="宋体"/>
          <w:color w:val="000000" w:themeColor="text1"/>
          <w:sz w:val="24"/>
          <w:szCs w:val="24"/>
          <w:highlight w:val="none"/>
          <w:shd w:val="clear" w:color="auto" w:fill="FFFF00"/>
          <w:lang w:eastAsia="zh-CN"/>
          <w14:textFill>
            <w14:solidFill>
              <w14:schemeClr w14:val="tx1"/>
            </w14:solidFill>
          </w14:textFill>
        </w:rPr>
      </w:pPr>
      <w:r>
        <w:rPr>
          <w:rFonts w:hint="eastAsia" w:ascii="宋体" w:hAnsi="宋体" w:eastAsia="宋体" w:cs="宋体"/>
          <w:b/>
          <w:bCs/>
          <w:color w:val="000000" w:themeColor="text1"/>
          <w:kern w:val="2"/>
          <w:sz w:val="24"/>
          <w:szCs w:val="24"/>
          <w:highlight w:val="none"/>
          <w:lang w:eastAsia="zh-CN"/>
          <w14:textFill>
            <w14:solidFill>
              <w14:schemeClr w14:val="tx1"/>
            </w14:solidFill>
          </w14:textFill>
        </w:rPr>
        <w:t xml:space="preserve">第四章  </w:t>
      </w:r>
      <w:bookmarkEnd w:id="144"/>
      <w:r>
        <w:rPr>
          <w:rFonts w:hint="eastAsia" w:ascii="宋体" w:hAnsi="宋体" w:eastAsia="宋体" w:cs="宋体"/>
          <w:b/>
          <w:bCs/>
          <w:color w:val="000000" w:themeColor="text1"/>
          <w:kern w:val="2"/>
          <w:sz w:val="24"/>
          <w:szCs w:val="24"/>
          <w:highlight w:val="none"/>
          <w:lang w:eastAsia="zh-CN"/>
          <w14:textFill>
            <w14:solidFill>
              <w14:schemeClr w14:val="tx1"/>
            </w14:solidFill>
          </w14:textFill>
        </w:rPr>
        <w:t>项目采购需求</w:t>
      </w:r>
    </w:p>
    <w:tbl>
      <w:tblPr>
        <w:tblStyle w:val="29"/>
        <w:tblW w:w="9322" w:type="dxa"/>
        <w:tblInd w:w="-4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65"/>
        <w:gridCol w:w="1080"/>
        <w:gridCol w:w="6555"/>
        <w:gridCol w:w="506"/>
        <w:gridCol w:w="7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themeColor="text1"/>
                <w:sz w:val="21"/>
                <w:szCs w:val="21"/>
                <w:highlight w:val="none"/>
                <w:u w:val="none"/>
                <w14:textFill>
                  <w14:solidFill>
                    <w14:schemeClr w14:val="tx1"/>
                  </w14:solidFill>
                </w14:textFill>
              </w:rPr>
            </w:pPr>
            <w:bookmarkStart w:id="145" w:name="_Toc15082"/>
            <w:bookmarkStart w:id="146" w:name="_Toc17884_WPSOffice_Level1"/>
            <w:r>
              <w:rPr>
                <w:rFonts w:hint="eastAsia" w:ascii="宋体" w:hAnsi="宋体" w:eastAsia="宋体" w:cs="宋体"/>
                <w:b/>
                <w:bCs/>
                <w:i w:val="0"/>
                <w:iCs w:val="0"/>
                <w:color w:val="000000" w:themeColor="text1"/>
                <w:kern w:val="0"/>
                <w:sz w:val="21"/>
                <w:szCs w:val="21"/>
                <w:highlight w:val="none"/>
                <w:u w:val="none"/>
                <w:lang w:val="en-US" w:eastAsia="zh-CN" w:bidi="ar"/>
                <w14:textFill>
                  <w14:solidFill>
                    <w14:schemeClr w14:val="tx1"/>
                  </w14:solidFill>
                </w14:textFill>
              </w:rPr>
              <w:t>序号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themeColor="text1"/>
                <w:sz w:val="21"/>
                <w:szCs w:val="21"/>
                <w:highlight w:val="none"/>
                <w:u w:val="none"/>
                <w14:textFill>
                  <w14:solidFill>
                    <w14:schemeClr w14:val="tx1"/>
                  </w14:solidFill>
                </w14:textFill>
              </w:rPr>
            </w:pPr>
            <w:r>
              <w:rPr>
                <w:rFonts w:hint="eastAsia" w:ascii="宋体" w:hAnsi="宋体" w:eastAsia="宋体" w:cs="宋体"/>
                <w:b/>
                <w:bCs/>
                <w:i w:val="0"/>
                <w:iCs w:val="0"/>
                <w:color w:val="000000" w:themeColor="text1"/>
                <w:kern w:val="0"/>
                <w:sz w:val="21"/>
                <w:szCs w:val="21"/>
                <w:highlight w:val="none"/>
                <w:u w:val="none"/>
                <w:lang w:val="en-US" w:eastAsia="zh-CN" w:bidi="ar"/>
                <w14:textFill>
                  <w14:solidFill>
                    <w14:schemeClr w14:val="tx1"/>
                  </w14:solidFill>
                </w14:textFill>
              </w:rPr>
              <w:t>产品名称</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themeColor="text1"/>
                <w:sz w:val="21"/>
                <w:szCs w:val="21"/>
                <w:highlight w:val="none"/>
                <w:u w:val="none"/>
                <w14:textFill>
                  <w14:solidFill>
                    <w14:schemeClr w14:val="tx1"/>
                  </w14:solidFill>
                </w14:textFill>
              </w:rPr>
            </w:pPr>
            <w:r>
              <w:rPr>
                <w:rFonts w:hint="eastAsia" w:ascii="宋体" w:hAnsi="宋体" w:eastAsia="宋体" w:cs="宋体"/>
                <w:b/>
                <w:bCs/>
                <w:i w:val="0"/>
                <w:iCs w:val="0"/>
                <w:color w:val="000000" w:themeColor="text1"/>
                <w:kern w:val="0"/>
                <w:sz w:val="21"/>
                <w:szCs w:val="21"/>
                <w:highlight w:val="none"/>
                <w:u w:val="none"/>
                <w:lang w:val="en-US" w:eastAsia="zh-CN" w:bidi="ar"/>
                <w14:textFill>
                  <w14:solidFill>
                    <w14:schemeClr w14:val="tx1"/>
                  </w14:solidFill>
                </w14:textFill>
              </w:rPr>
              <w:t>商务参数</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themeColor="text1"/>
                <w:sz w:val="21"/>
                <w:szCs w:val="21"/>
                <w:highlight w:val="none"/>
                <w:u w:val="none"/>
                <w14:textFill>
                  <w14:solidFill>
                    <w14:schemeClr w14:val="tx1"/>
                  </w14:solidFill>
                </w14:textFill>
              </w:rPr>
            </w:pPr>
            <w:r>
              <w:rPr>
                <w:rFonts w:hint="eastAsia" w:ascii="宋体" w:hAnsi="宋体" w:eastAsia="宋体" w:cs="宋体"/>
                <w:b/>
                <w:bCs/>
                <w:i w:val="0"/>
                <w:iCs w:val="0"/>
                <w:color w:val="000000" w:themeColor="text1"/>
                <w:kern w:val="0"/>
                <w:sz w:val="21"/>
                <w:szCs w:val="21"/>
                <w:highlight w:val="none"/>
                <w:u w:val="none"/>
                <w:lang w:val="en-US" w:eastAsia="zh-CN" w:bidi="ar"/>
                <w14:textFill>
                  <w14:solidFill>
                    <w14:schemeClr w14:val="tx1"/>
                  </w14:solidFill>
                </w14:textFill>
              </w:rPr>
              <w:t>单位</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themeColor="text1"/>
                <w:sz w:val="21"/>
                <w:szCs w:val="21"/>
                <w:highlight w:val="none"/>
                <w:u w:val="none"/>
                <w14:textFill>
                  <w14:solidFill>
                    <w14:schemeClr w14:val="tx1"/>
                  </w14:solidFill>
                </w14:textFill>
              </w:rPr>
            </w:pPr>
            <w:r>
              <w:rPr>
                <w:rFonts w:hint="eastAsia" w:ascii="宋体" w:hAnsi="宋体" w:eastAsia="宋体" w:cs="宋体"/>
                <w:b/>
                <w:bCs/>
                <w:i w:val="0"/>
                <w:iCs w:val="0"/>
                <w:color w:val="000000" w:themeColor="text1"/>
                <w:kern w:val="0"/>
                <w:sz w:val="21"/>
                <w:szCs w:val="21"/>
                <w:highlight w:val="none"/>
                <w:u w:val="none"/>
                <w:lang w:val="en-US" w:eastAsia="zh-CN" w:bidi="ar"/>
                <w14:textFill>
                  <w14:solidFill>
                    <w14:schemeClr w14:val="tx1"/>
                  </w14:solidFill>
                </w14:textFill>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纸质图书</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1、社科图书占比100%政治、法律、文化、科学、教育、文学、艺术、地理、军事等。</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册</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46"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移动电子书</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一、资源参数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1.★文件格式：供应商提供的电子书必须以Epub文件格式（含使用授权）交付采购单位，并上传至用户单位正在使用的云图书馆平台系统。（提供承诺函并加盖公章）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2.内容要求：可选内容包括但不限于红色党建、文学、小说、艺术、人物传记、个人成长、政治军事、人文社科、历史地理、理财经管、科学技术、生活、医学健康、儿童读物、教育学习等分类栏目板块。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3.品种更新：为保证电子图书内容的新颖性和丰富性，电子图书必须每月定期更新，且每次更新数量不少于200种。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4.版权要求：供应商提供的数字资源必须是国家合法的电子出版物，须承诺采购单位使用时不受任何第三方的追诉。（提供承诺函并加盖公章）。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5.授权期限：数字资源授权使用期限不低于3年。（提供承诺函并加盖公章）。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二、软件参数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配套读者APP软件，读者可通过APP扫描电子图书二维码下载该图书到手机进行阅读，下载的电子图书直接保存于个人的电子书架，可随时查阅，支持离线阅读。读者APP采用IOS和Android原生系统开发，可在各大手机应用市场直接下载安装。（中标后签订合同前须现场演示读者APP在手机应用市场的直接下载安装，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2.★打开读者APP，无需点击操作，即可进入图书馆的首页，展示本图书馆馆名，可以查看本馆藏书量、地址、电话、开放时间、馆情简介等信息，同时具有图书馆定位导航功能。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3.提供支持电子图书阅读的H5网页，支持嵌入客户微信公众号、PC端网站，以及OPAC查询机设备等。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4.读者注册和登录功能：读者可以直接通过身份证号和手机号完成身份注册，完成注册后的读者可以凭证件号、手机号进行登录。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5.图书检索功能：可以通过分类号、ISBN、条码号、书名、著译者、出版社、出版年份等条件搜索本馆的纸质藏书。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6.可以查看本馆纸质藏书的封面、目录、内容简介、库位、在馆状态等信息。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7.具有对纸质藏书进行预约、续借、荐购和分享等功能。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8.★电子书检索功能：可以通过分类、书名、著译者、出版社、出版年份等条件搜索本馆的电子图书。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9.★可以查看电子图书的封面、目录、内容简介等信息，具有对电子图书进行收藏和分享的功能。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10.★电子图书阅读功能：可以直接打开电子图书进行阅读，可对电子图书阅读界面的字体大小和背景颜色进行个性化设置，具有白天夜间模式切换功能，具有书签功能； 打开阅读的电子图书后即加入电子书架，能够在无网络的条件下继续阅读。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11.具有个人电子书架功能，将阅读的电子图书自动收藏在个人电子书架中，并准确记录每本电子书的阅读进度，供随时查阅。</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12.支持在无网络的条件下继续阅读。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13.视频查看功能：可以搜索本馆的视频资源，并对视频进行播放。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14.资讯查阅功能：可以搜索查看本馆的各类资讯，并可进行留言、留言回复和查看他人的留言。</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15.活动查阅功能：可以搜索查看本馆的各类活动，并可在线进行报名。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16.可以对本图书馆进行读者留言、查看他人留言和留言回复，可以查看本馆的借阅制度。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17.★具有通过微信和支付宝交押金、交罚金、退押金等功能。</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18.★个人账户管理：具有修改个人密码、个人书架管理、查看个人预约和报名的信息、逾期通知消息、对图书作读书笔记、新书荐购等功能。</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册</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44"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图书馆平台系统</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云图书馆平台系统由云图书馆管理系统、读者APP组成。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（一）云图书馆管理系统部分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1.系统须具有采访管理、编目管理、典藏管理、流通管理、期刊管理、读者管理、馆际流通管理、辅助管理、系统设置等功能模块。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2.系统具有供应商管理功能，支持对供应商进行新增和维护。</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3.★系统具有读者荐购功能，可以荐购图书直接导出为采购清单，并能够根据图书采购入藏情况对荐购图书进行自动标识，注明已购或未购。</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4.系统编目符合国家标准和国际标准，书目机读格式遵循CNMARC规范，可以通过参数配置进行调整。</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5.支持Z39.50广播查询下载，通过输入地址，自动下载Z39.50服务器数据。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6.支持多种索书号生成方式，至少包括种次号和著者号两种方式。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7.支持5种以上主流的著者号取号规则设置，能够自动生成相应的著者号。</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8.支持自定义条码号格式的设置，如定义文献类型号、地区代码、顺序号长度等，并自动生成相应的条码号。</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9.具有书标打印功能，支持二维码条码号的生成和打印。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10.★具有自动排架的功能，支持按一至四级等不同上架类目层级进行自动排架，支持增加特殊排架，支持层架标打印等功能。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11.能够自行定义MARC子段的自动生成内容，MARC字段可以进行自由配置，可以添加和删除字段，可以查看所有的MARC字段，能够提供完善的MARC智能编辑方式。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12.编目时具有自动查重功能，可以按全范围查重也可以按月批次查重。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13.★具有图书RFID芯片与条码号关联的功能，支持关联和解除关联操作。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14.★具有添加藏书溢价的功能，用以自动增加珍藏版图书的借阅押金，保证财产的安全。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15.具有藏书维护的功能，可修改藏书的基本信息，可重新更换和打印标签。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16.具有藏书剔旧、数据删除、维修下架、维修上架和批量移库等功能。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17.具有对藏书进行盘点的功能，可以多机联合盘点。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18.★具有RFID层架管理的功能，可以导入层架、进行层架关联和层架标签打印等功能。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19.具有期刊预订、预订单审核等功能。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20.具有期刊记到、期刊合订等功能。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21.支持读者批量导入功能。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22.支持对读者个人账户进行信息维护、修改密码等功能。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23.支持对读者进行人脸采集和修改照片等功能。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24.具有设置多种特权读者的功能，包括增加借阅册数、延长借阅期限、和免押金等；支持特权读者批量导入功能。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25.具有读者黑名单管理功能，可将违规违约读者列入黑名单，限制其借阅行为。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26.具有文献借出功能，读者可通过账号加密码、RFID证件免密码、二维码免密码等多种方式登录进行借书，借书时能够显示图书基本信息、读者的押金情况和在借信息。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27.支持借书时处理逾期罚金和查看预约图书等功能。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28.具有读者免登录还书的功能，还书时可以查看图书基本信息和逾期罚金信息。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29.还书时可同时处理逾期罚金。</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30.具有赔书管理功能，读者可通过账号加密码、RFID证件免密码、二维码免密码等多种方式登录进行赔书，赔书时可直接收取赔金。</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31.具有押金管理功能，可直接进行收押金和退押金等操作。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32.具有一键续借功能，可以查看在借图书列表，点击相应按键即完成指定图书的办理续借业务。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33.★支持读者在总分馆中通借、通还、通赔的功能。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34.★支持读者在总分馆中押金通用的功能，读者在任意馆产生的罚金和赔金可以就近处理。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35.具有馆际图书批量流出和批量流入功能。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36.★支持对馆际流出图书进行清单审核的功能。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37.★支持对馆际流入图书进行清点签收的功能。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38.★具有设备管理功能，支持对本馆设备状态进行实时监控的功能。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39.★可以对本馆的图书自助借还柜进行实时采集盘点数据，无需人工清点。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40.具有查看和回复读者留言咨询的功能，可以查看OPAC端的读者留言或咨询并进行回复和互动。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41.可以添加和删除用户，分配独立的用户权限，可对个人账户进行维护和修改。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42.具有库位管理功能，可以对库位进行增加、修改和删除。</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43.具有编目设置功能，可以对索书方式、书标类型、查重范围、条码号规则等进行组合式设置。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44.支持多种读者类型设置，设置不同的可借数量、借阅期限和押金规则。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45.系统具有忘记密码处理功能，支持管理员通过预设的手机号重新设置新密码。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46.系统支持对本馆的采、编、典、读者、期刊、流通、总分馆等各项进行多维度统计分析的功能。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47.系统支持对所有分馆、馆藏地点的藏书数量进行统计分析的功能。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48.所有统计列表可以直接导出为EXCEL格式和PDF格式文件。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（二）PC端网站</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1.网站必须与图书馆管理系统无缝对接，数据实时互通。</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2.★打开网站，即进入图书馆的首页，展示本图书馆馆名和其它信息。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3.★读者注册和登录功能：读者可以直接通过身份证号和手机号完成身份注册，完成注册后的读者可以凭证件号、手机号进行登录。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4.★本馆介绍功能：可以查看本馆藏书量、地址、电话、开放时间、馆情简介等信息。</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5.图书检索功能：可以通过分类号、ISBN、条码号、书名、著译者、出版社、出版年份等条件搜索本馆的纸质藏书。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6.★可以查看本馆纸质藏书的封面、目录、内容简介、库位、在馆状态等信息。7.具有对纸质藏书进行预约、续借和分享等功能。</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8.电子书检索功能：可以通过分类、书名、著译者、出版社、出版年份等条件搜索本馆的电子图书，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9.可以查看电子图书的封面、目录、内容简介等信息，具有对电子图书进行收藏和分享的功能。</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10.★电子图书阅读功能：可以直接打开电子图书进行在线阅读，具有书签功能。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11.资讯查阅功能：可以搜索查看本馆的各类资讯，并可进行留言、留言回复和查看他人的留言。</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12.★活动查阅功能：可以搜索查看本馆的各类活动，并可在线进行报名。</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13.可以对本图书馆进行读者留言、查看他人留言和留言回复，可以查看本馆的借阅制度。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具有总分馆制建设功能，并可点击进入任意一家图书馆对其进行定位导航、查看馆情信息、查看和预约纸质资源、查看和阅读数字资源、浏览活动和资讯等操作。15.支持嵌入第三方H5网页功能，可搭载各类第三方数字阅读资源。</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16.★个人账户管理：具有修改个人密码、个人书架管理、查看个人预约和报名的信息、逾期通知消息、对图书作读书笔记等功能。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17.为保证软件产品的知识产权，投标人需提供软件的著作权登记证书复印件并加盖制造商公章。</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（三）读者APP</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1.读者APP必须与图书馆管理系统无缝对接，数据实时互通。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2.★打开APP，无需点击操作，即可进入图书馆的首页，展示本图书馆馆名和其它信息。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3.★读者注册和登录功能：读者可以直接通过身份证号和手机号完成身份注册，完成注册后的读者可以凭证件号、手机号进行登录。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4.★本馆介绍功能：可以查看本馆藏书量、地址、电话、开放时间、馆情简介等信息，同时具有图书馆定位导航功能。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5.图书检索功能：可以通过分类号、ISBN、条码号、书名、著译者、出版社、出版年份等条件搜索本馆的纸质藏书。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6.★可以查看本馆纸质藏书的封面、目录、内容简介、库位、在馆状态等信息。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7.★具有对纸质藏书进行预约、续借、荐购和分享等功能。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8.★电子书检索功能：可以通过分类、书名、著译者、出版社、出版年份等条件搜索本馆的电子图书，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9.★可以查看电子图书的封面、目录、内容简介等信息，具有对电子图书进行收藏和分享的功能。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10.★电子图书阅读功能：可以直接打开电子图书进行阅读，可对电子图书阅读界面的字体大小和背景颜色进行个性化设置，具有白天夜间模式切换功能，具有书签功能； 打开阅读的电子图书后即加入电子书架，能够在无网络的条件下继续阅读。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11.视频查看功能：可以搜索本馆的视频资源，并对视频进行播放。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12.资讯查阅功能：可以搜索查看本馆的各类资讯，并可进行留言、留言回复和查看他人的留言。</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13.活动查阅功能：可以搜索查看本馆的各类活动，并可在线进行报名。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14.可以对本图书馆进行读者留言、查看他人留言和留言回复，可以查看本馆的借阅制度。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15.★具有总分馆制建设功能，可以呈现四级总分馆制体系； 并可点击进入任意一家图书馆对其进行定位导航、查看馆情信息、查看和预约纸质资源、查看和阅读数字资源、浏览活动和资讯等操作。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16.★具有通过微信和支付宝交押金、交罚金、退押金等功能。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17.★个人账户管理：具有修改个人密码、个人书架管理、查看个人预约和报名的信息、逾期通知消息、对图书作读书笔记、新书荐购等功能。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（一）云图书馆管理系统</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1.采用B/S架构，只需浏览器便可在任何时候、任何地点访问。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2.兼容Windows7及以上Windows操作系统。</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3.支持IE（IE8以上）、谷歌、火狐、以及其他主流浏览器。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4.系统具有可靠的安全机制和备份机制，在复杂的网络环境下，系统的用户信息的传输和在数据库里面的存储应采用工业标准的算法进行加密。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5.系统须具有客户端程序在本地电脑安装使用，以提高本地化应用的体验效果。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（二）读者APP</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★采用IOS和Android原生系统开发，可在各大手机应用市场直接下载安装。（中标后签订合同前须现场演示读者APP在手机应用市场的直接下载安装，提供承诺函并加盖公章）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三、服务参数</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★终身免费维护和升级。（提供诺函并加盖公章）</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大数据展示系统</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1.大数据展示系统必须与图书馆管理系统无缝对接，数据实时互通。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2.★本馆实景图：可以展示本馆的宣传图片或实景照片。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3.★今日到馆人数：实时记录并动态展示本馆或总分馆今日的到馆人数。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4.★今日借阅量：实时记录并动态展示本馆或总分馆软件平台和智能设备的今日纸质图书和数字资源的总借阅数量。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5.★年度借阅量：实时记录并动态展示本馆或总分馆软件平台和智能设备近一年纸质图书和数字资源的总借阅数量。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6.★月度借阅趋势图：可呈现近6个月的每月借阅量线型趋势图。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7.馆藏大数据：可记录本馆或总分馆软件平台全部数据，展示纸质藏书量、数字藏书量、总馆藏量、本月新增量等四个维度数据。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8.★读者大数据：可记录本馆或总分馆软件平台全部读者数据，展示服务读者人数、访问人次、线下访问人次和线上访问人次等四个维度数据。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9.★纸质图书借阅排行榜：显示本馆或总分馆纸质图书借阅排行榜，可视数据不少于5条。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10.★数字图书阅读排行榜：显示本馆或总分馆数字图书阅读排行榜，可视数据不少于5条。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11.★可显示本馆的今日和基本开放时间、服务电话，可展示供扫码下载APP或微信公众号、小程序等应用的二维码。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1.支持系统：Android。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2.显示比例：16:9。</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3.兼容显示屏：液晶显示屏、液晶拼接显示屏、LED显示屏。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三、服务参数</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终身免费维护和升级。</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96"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馆员工作站</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1.系统可通过SIP2标准接口与各类图书馆管理系统进行全面对接。</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2.★具有图书RFID标签与条码号关联的功能，支持关联和解除关联操作。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3.★具有RFID层架标签管理的功能，可以导入层架、进行层架关联等功能。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4.★可以添加和删除用户，分配独立的用户权限，可对个人账户进行维护和修改。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5.系统支持相关功能项目进行多维度统计分析的功能，所有统计列表可以直接导出为EXCEL格式和PDF格式文件。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6.★自带人脸摄像头，系统支持对读者进行人脸采集和修改照片。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7.★自带条码二维码扫描器，具有对一维条形码和二维码标签进行扫描识别录入功能。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8.配置标签打印机和键盘鼠标套件。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1.操作系统：Windows。</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2.显示屏：≥23.8吋显示屏，分辨率≥1920×1080。</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3.处理器:英特尔11代I5及以上配置，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4.RAM≥16G，ROM≥512G。</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5.通讯接口：USB、RJ45网口、WIFI。</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6.RFID工作频率：840MHz～960MHz，支持EPCglobal Gen 2和ISO 18000-6C标准协议。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7.RFID识别速度：&lt;100ms；支持多标签同时处理，有效距离≥35cm。</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8.标签打印机：分辨率：203dpi；打印方式：支持热转/热敏式；打印速度：2~6 inch/s(即50.8mm/s~152.4mm/s)；最大打印宽度：80mm；纸张类型：连续纸，间隙纸，折叠纸，黑标纸，热转印纸; 通讯接口：USB/USB-HID/串口。</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OPAC查询与数字阅读机（43寸）带底座</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一、软件参数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1.设备必须与图书馆管理系统无缝对接，数据实时互联互通。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2.★本馆介绍：可查看图书馆馆情简介、开放时间、借阅规章制度等信息。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3.★图书：可全方位查询检索本馆纸质藏书，书目分类导航，查看藏书状态和层架信息等。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4.★电子书：可全方位查询检索本馆数字藏书，书目分类导航，并可直接打开进行分页阅读。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配套读者APP软件，读者可通过APP扫描电子图书二维码下载该图书到手机进行阅读，下载的电子图书直接保存于个人的电子书架，可随时查阅，支持离线阅读。读者APP采用IOS和Android原生系统开发，可在各大手机应用市场直接下载安装。（中标后签订合同前须现场演示读者APP在手机应用市场的直接下载安装，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6.★打开读者APP，无需点击操作，即可进入图书馆的首页，展示本图书馆馆名，可以查看本馆藏书量、地址、电话、开放时间、馆情简介等信息，同时具有图书馆定位导航功能。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7.★资讯：可查询检索本馆资讯，并可直接打开浏览阅读。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8.★活动：可查询检索本馆活动，可直接打开浏览阅读。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9.★总分馆：可查看本馆对应的各类总分馆信息，包括中心馆、总馆、分馆和网点信息。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10.★读者留言：可查看其他读者留言信息。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11.读者登录：可进行个人账号登录，进行修改密码，查看自己借阅数据等操作。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12.★支持嵌入WebOPAC检索查询和第三方阅读资源链接。</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13.支持视频资源和音频资源播放。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14.为保障系统的兼容稳定性，投标人所提供的OPAC查询系统软件须与OPAC查询与数字阅读机为同一制造商生产。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二、资源参数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1.文件格式：供应商提供的电子书必须以Epub文件格式（含使用授权）交付采购单位，并上传至用户单位正在使用的云图书馆平台系统。（提供承诺函并加盖公章）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2.数量要求：提供不低于1000册电子图书。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内容要求：可选内容包括但不限于红色党建、畅销书、文学小说、成功励志、人物传记、教育情感、生活旅游、政治法律、人文社科、自然科学、历史地理、财经管理、计算机与外语、动漫绘本、少儿读物等分类栏目板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4.品种更新：为保证电子图书内容的新颖性和丰富性，电子图书必须每月定期更新，且每次更新数量不少于200种。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5.版权要求：供应商提供的数字资源必须是国家合法的电子出版物，须承诺采购单位使用时不受任何第三方的追诉。（提供承诺函并加盖公章）。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6.授权期限及续费：资源授权使用期限不低于3年，授权到期后续费不超0.50元（人民币）/册/年。（提供承诺函并加盖公章）。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三、硬件参数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1.操作系统：Android。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2.显示屏：≥43吋液晶显示屏，分辨率≥1920×1080。</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3.触摸屏：10点电容触摸屏，分辨率≥4096×4096。</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4.处理器：≥四核处理器，主频≥1.8GHz。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5.内存：≥4G RAM + 32G ROM。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6.通讯接口：USB2.0、RJ45、蓝牙、WIFI。</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7.支持视频格式：全视频格式（1080P、720P）。</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8.支持音频格式：WMA、MP3、WAV、AAC、AC3、EAC3、Vorbis、FLAC、APE、TrueHD、DRA、DTS、DTSHD。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9.支持图片格式：BMP、JPEG、PNG、GIF。</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10.支持文档格式：TXT、DOCX、XLSX、PPTX。</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11.支持网页格式：HTTP。OPAC查询机立式底座，不锈钢材质，与43吋触摸屏完全配套。</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6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通道式智能借还书机</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1.基于RFID射频技术的通道式智能化图书借还设备。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2.★可实现读者无感式借还书体验：无需任何手动操作，带书经过借书通道即自动完成借书，带书经过还书通道即自动完成还书。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3.★可在5秒以内完成借书或还书业务办理。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4.★设备单次借书或还书业务处理能力可达10册以上。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5.★兼容刷脸（人脸识别）、刷证（二代身份证/读者证）、扫码（手机二维码）、账号密码四种方式识别读者身份信息。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6.设备具有语音提示功能。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7.★设备借书和还书通道均具有信息显示功能，能够显示借书或还书相关的业务操作信息，实现与读者之间的友好互动。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8.★设备具有通行控制功能，可对办借未成功和还书未成功的读者进行通行限制。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9.★支持非法闯关识别报警，支持声光报警模式。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10.设备具有智能抓拍功能，当非法闯关报警时，设备对通道内的情形进行自动抓拍，同时将抓拍的照片实时发送到管理员的手机管理APP上。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设备须配套供管理员使用的管理APP，管理APP能够实时接收和展示设备发送的抓拍照片，并提醒管理员及时收看，管理APP采用IOS和Android原生系统开发，可在各大手机应用市场直接下载安装。（中标后签订合同前须现场演示管理APP在手机应用市场的直接下载安装，并展示收看抓拍照片功能，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12.★管理APP须终身免费维护和升级。（提供承诺函并加盖公章）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13.设备具有防夹保护、断电开闸、来电自动重启等功能。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14.★单通道通行宽度：≥900mm。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15.★与图书馆管理系统无缝对接，数据实时互通，设备工作状态可通过后台管理系统实时监控。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1.操作系统：Android。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2.显示屏：≥7吋液晶屏，分辨率≥1200×800。</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3.触摸屏：10点电容触摸屏，分辨率≥4096×4096。</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4.处理器：≥四核+主频1.8GHZ。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5.内存：≥4G RAM+32G ROM。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6.通讯接口：RJ45网口、USB。</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7.人脸识别底库容量：≥5万人。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8.人脸识别准确率：&gt;99.99 %，适应强光、暗光、逆光等多种光照环境，戴眼镜、化妆、换发型等行为的改变，皆可经松识别； 虚警率&lt;0.1%。</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9.人脸识别速度：正常状态识别时间&lt;2S。</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10.RFID工作频率：840MHz～960MHz。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11.支持协议：EPCglobal Gen 2和ISO 18000-6C标准协议。</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12.单通道物理尺寸：≤长1050mm×宽650mm×高1600mm。双通道通行每道门。</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5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智能点检还书车</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1.专门针对图书馆典藏智能化管理设计的一体化移动还书和点检设备。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2.具有图书还架、图书顺架、层架管理、图书查询、图书盘点、系统管理等基本功能。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3.★图书顺架功能：通过快速扫描层架RFID标签和图书RFID标签，将错架或错层摆放的图书显示出来，便于管理员迅速清理和纠正图书位置。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4.★层架上架功能：通过扫描层架RFID标签和图书RFID标签，批量建立图书与层架间的对应关系，实现图书的快速定位。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5.★层架下架功能：通过多维度搜索图书或快速扫描图书RFID标签，批量解除图书与层架间的对应关系，实现图书的快速下架或剔旧操作。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6.★图书盘点功能：通过扫描图书RFID标签，快速准确地清点图书数量，并将数据提交给管理系统作盘点数据处理。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7.★图书查询功能：通过多维度搜索图书或快速扫描图书RFID标签，可以批量查询图书的位置和基本信息；也可通过扫描层架RFID标签，查看整个层架的图书信息。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8.支持符合EPCglobal Gen 2和ISO 18000-6C标准协议的主流RFID电子标签读取，采用先进的防冲突算法。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9.具有强大的标签检测能力，检测速度快，标准环境下每秒可识别40张以上的标签，性能稳定、抗干扰能力强。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10.天线手持式设计，可方便清点高架图书，无需将大批图书下架处理；天线部分可弯曲，便于上下多层书架的操作。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11.★点检还书车具有移动还书箱功能，用于中转存放归还图书，还书箱采用自动升降结构，可在图书重力作用下自行适度沉降；层板须自带承重进深设计，以降低图书放入瞬间的撞击力度。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12.★点检还书车显示屏采用可收纳设计，收纳后显示屏须全部隐藏；显示屏收纳后，可作为移动还书箱使用。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13.采用医用静音滚动轮，适合于不同书架通道通行。</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14.与图书馆管理系统无缝对接，数据全面互通。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1.操作系统：Android。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2.液晶显示屏：≥12吋液晶显示屏，分辨率≥2000×1200。</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3.处理器：≥八核+主频1.8GHZ。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4.内存：≥4G RAM+128G ROM。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5.通讯接口：蓝牙、WIFI。</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6.RFID工作频率：840MHz～960MHz。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7.支持协议：EPCglobal Gen 2和ISO 18000-6C。</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8.识别速度：标准环境下每秒可识别≥40张RFID标签。</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9.电池续航：一次充电可持续工作6小时以上。</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图书自助借还柜</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1.基于RFID射频技术的智能化图书自助借还柜，可实现24小时无人化管理。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2.图书自助借还柜必须与图书馆管理系统无缝对接，数据实时互通。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3.★读者可以凭二代身份证快速完成自助注册。</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4.★读者可通过刷脸（人脸识别）、刷证（二代身份证/读者证）、扫码（二维码/条形码）和输入账号密码等多种方式登录开柜操作。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5.★读者可以进行多本图书同时借还的操作，读者还书后即完成图书的上架操作。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6.操作简单，业务办理速度快，平均一次借/还业务操作耗时&lt;10秒。</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7.★读者可多维度检索查询本柜的全部图书。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8.★读者可以查看附近的图书馆的位置距离和藏书情况和馆情介绍等信息。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9.★设备软件提供本柜的操作指南，以方便读者阅读学习，熟悉使用。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10.★借还柜数据在管理平台实时可查，工作状态可通过管理平台实现远程实时监控。</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11.★配备手机APP，读者可通过APP可对书柜进行定位导航、对藏书进行线上检索、状态查询、线上预约等操作。</w:t>
            </w:r>
          </w:p>
          <w:p>
            <w:pPr>
              <w:pStyle w:val="2"/>
              <w:keepNext w:val="0"/>
              <w:pageBreakBefore w:val="0"/>
              <w:kinsoku/>
              <w:wordWrap/>
              <w:overflowPunct/>
              <w:topLinePunct w:val="0"/>
              <w:autoSpaceDE/>
              <w:autoSpaceDN/>
              <w:bidi w:val="0"/>
              <w:adjustRightInd/>
              <w:snapToGrid/>
              <w:spacing w:before="0" w:after="0" w:line="24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12.★读者APP采用IOS和Android原生系统开发，可在各大手机应用市场直接下载安装。</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13.整柜藏书量不少于250册标准图书，并可一主多副组合进行存储扩展，最多可拓展4组以上副柜，每增加一副柜可增加不少于350册的标准图书藏书量。</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14.借还柜柜门透明可视，为控制读者开柜后可取图书数量，整个借还柜应分为不少于8个单元柜格，每个单元柜格配备独立的电控门锁，可实现每格独立检测、独立操作管理。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15.配备监控摄像头，以实现远程24小时监控录像。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16.配备音频喇叭，具有语音提示功能，以提升用户体验。</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17.配备LED显示屏，可滚动显示书柜馆名等重要信息。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18.配备LED照明灯进行光线补充，以方便读者夜间操作使用。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19.配备定时开关，以支持定时开关机控制。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20.为保障系统的兼容稳定性，投标人所提供的图书自助借还柜软件须与图书自助借还柜为同一制造商生产。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1.操作系统：Android。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2.显示屏：≥21.5吋液晶显示屏，分辨率≥1920×1080。</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3.触摸屏：10点电容触摸屏，分辨率≥4096×4096。</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4.处理器：≥四核+主频1.6GHZ。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5.内存：≥2G RAM+16G ROM。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6.通讯接口：有线网络、WIFI。</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7.工作频率：840MHz～960MHz。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8.支持协议：EPCglobal Gen 2和ISO 18000-6C标准协议。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9.RFID识别速度：&lt;100ms；支持多标签同时处理。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10.人脸识别底库容量：≥5万人； </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11.人脸识别准确率：&gt;99.99 %，适应强光、暗光、逆光等多种光照环境，戴眼镜、化妆、换发型等行为的改变，皆可轻松识别；具有活体检测功能；虚警率&lt;0.1%。</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墨水屏阅读器</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一、软件参数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1.首页抬头须完整展示图书馆的馆名。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2.★本馆介绍功能：可以查看本馆藏书量、地址、电话、开放时间、馆情简介等信息。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3.图书检索功能：可以通过分类号、ISBN、条码号、书名、著译者、出版社、出版年份等条件搜索本馆的纸质藏书。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4.★可以查看本馆纸质藏书的封面、目录、内容简介、库位、在馆状态等信息。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5.★具有对纸质藏书进行预约、续借等功能。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6.★电子书检索功能：可以通过分类、书名、著译者、出版社、出版年份等条件搜索本馆的电子图书，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7.★可以查看电子图书的封面、目录、内容简介等信息，具有对电子图书进行收藏的功能。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8.★电子图书阅读功能：可以直接打开电子图书进行阅读，可对电子图书阅读界面的字体大小和背景颜色进行个性化设置，具有白天夜间模式切换功能，具有书签功能； 打开阅读的电子图书后即加入电子书架，能够在无网络的条件下继续阅读。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9.★个人账户管理：具有修改个人密码、个人书架管理、对图书作读书笔记等功能。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二、资源参数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1.文件格式：供应商提供的电子书必须以Epub文件格式（含使用授权）交付采购单位，并上传至用户单位正在使用的云图书馆平台系统。（提供承诺函并加盖公章）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2.数量要求：提供不低于3000册电子图书。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3.内容要求：可选内容包括但不限于红色党建、文学、小说、艺术、人物传记、个人成长、政治军事、人文社科、历史地理、理财经管、科学技术、生活、医学健康、儿童读物、教育学习等分类栏目板块。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4.品种更新：为保证电子图书内容的新颖性和丰富性，电子图书必须每月定期更新，且每次更新数量不少于200种。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5.版权要求：供应商提供的数字资源必须是国家合法的电子出版物，须承诺采购单位使用时不受任何第三方的追诉。（提供承诺函并加盖公章）。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6.授权期限及续费：资源授权使用期限不低于3年。（提供承诺函并加盖公章）。</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三、硬件参数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1.屏幕：≥10.3英寸电子墨水屏，分辨率≥1404×1872；纯平防眩光设计，灰度16级。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2.CPU≥4核1.8GHz，RAM≥2Gb，内置存储≥32G，Android 8.1以上操作系统。</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3.存储扩展：支持Micro SD卡，最大支持64G。</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4.WIFI：支持2.4GHz/5GHz Dual-Band。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5.传输接口：TYPE-C（充电/数据传输），支持蓝牙。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6.音频接口：TYPE-C，内置扬声器，15级音量调整。</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7.人机控制界面：手指触控、手写笔。</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8.支持TXT、HTXT等文档格式阅读。</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9.支持AMR、MP3声音文件播放。</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3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阅读器支架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1.适用场景：平面桌面；</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2.产品功能：墨水屏或平板阅读器支撑、角度高度调节；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3.材质：铝合金+硅胶；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4.产品工艺：冲压、折弯、CNC数控；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5.表面处理：抛光、喷砂、氧化；</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6.颜色：银色/灰色。</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7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阅读器充电柜</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一、功能参数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1.圆弧边角设计／安全防盗门锁。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2.内部采用分舱设计。前舱为读者平板放置充电区域，无强电，可同时容纳不少于30台平板充电和存储；后舱为电源管理控制区域，由专业管理人员控制。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3.柜体侧面带有隐藏式置物槽，可存放电源线、无线AP等。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4.采用智能互循环散热结构，温控风扇强制散热，充电过程中适配器产生的热量由风扇强制排出。若温度在安全范围内时则不动作。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5.能根据电池电量自动以普通、快速、涓流三种模式供电，满电则自动断电。</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6.外置LED数字指示灯对应柜内相应位置的设备进行集中显示，实时反映每台平板充电状态。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7.配有一体化电源管理系统，集防漏电、防短路、防过载、多模式显示数码智能开关机功能为一体。可随心设置时间，节约能源，具有优先供电功能。使用时，系统默认为全天充电。</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1.主体材质采用1.0-1.8mm的SPCC冷轧碳素钢与环保ABS工程塑料相结合，全封闭防盗结构设计，经耐酸碱腐蚀、耐磨、防静电等工艺处理。</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2.采用USB接口后置供电模式，支持5V/0.5-2A之间智能输出。全电源管理芯片式集成电路设计，自动检测平板允许输入电流，优先供应低电位设备。</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0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大数据展示屏</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1、屏幕类型:100寸（LED)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2、外框: 2285*1386mm 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3、主要功能：液晶显示器+电视机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4、背光方式：直下式/DLED（背光设置于标准位置时）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5、智能语音助手：小米小爱</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6、WIFI频段：2.4G&amp;5G</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7、系统：Android</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8、CPU架构：四核A73</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9、显示比例：16:9 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10、面板：A规液晶面板</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11、屏幕分辨率：超高清4K</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12、色域值：≥94%</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13、亮度：400-600尼特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14、对比度：≥5000：1</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15、可视角：约等于178度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16、1路AV/音频、1路VGA/音频、1路TV、1路HDMI</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17、支持格式：支持无电脑状态播放图片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18、音频/视频接入方式:电脑采用HDMI传输音频和视频（全数字模式）并且具备侧面VGA模拟输出，外接电脑采用VGA、HDMI等多种接入方式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19、功耗：工作≤270W，待机≤1W 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20、音响功放：30W</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21、整机结构设计：结构坚固，铝合金面框设计，金属壳后盖；按键板前置。</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朗读亭</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一、整体硬件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1.设备主体含朗读框体1个，包括静音排气扇、钢化玻璃、钣金框体、可旋转式升降座椅。</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2.朗读机包括触摸屏1个，专业动圈麦克风1个，专业耳机1个。</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①触摸屏：≥18吋，分辨率≥1920×1080；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②专业动圈麦克风：高灵敏度动圈咪芯，频率响应：60Hz-18kHz，阻抗： 600Ω±30%，灵敏度：-50dB±3dB；</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③专业耳机：录音室专业监听耳机，具备高度耐用性和佩戴性，灵敏度≥96dB/mW，阻抗≥40Ω。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3.门禁：手动开门。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4.网络：支持无线和有线。</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5.规格尺寸：≥100×100×220cm（长×宽×高）。</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二、APP软件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1.支持微信登陆、刷卡登陆、学号登陆3种登陆方式。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2.支持按素材名称（拼音首字母）、作者名称（拼音首字母）两种分类进行搜索；支持关键字首字母模糊搜索；支持语音唤醒、语音搜索。</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3.支持作品MP3音频格式的录制。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4.支持电影配音（双音轨）、绘本配音、朗读文本三种素材形式。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5.支持快速朗读：随机朗读，支持一键开始朗读；自由朗读，支持用户自行上传文本。</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6.读者朗读完成后系统会对作品生成评分，评分包含完整度、准确度、流利度、声调、发音五个维度。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7.支持读者对朗读完的作品进行保存草稿箱、发布作品、参加主题比赛、删除作品、开启/关闭留言功能、移动端可接收到作品的留声卡、扫描作品的二维码直接分享等操作。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8.个人中心需包括我的作品（草稿箱、已发布、参赛作品）、点赞记录、朗读档案、朗读报告、朗读任务、测评中心、背诵记录。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9.排行榜分为全国榜和本地榜（本机构全部作品）两个榜单。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10.支持普通话考试模拟功能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①严格参照普通话考试流程和标准设定；</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②支持单音节词、多音节、篇章模式；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③测试完成生成报告。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11.支持音量调节、显示当前音量值、故障申报、FAQ（常见问题及解答）等自助功能。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12.活动模块包括终端活动轮播展示、活动介绍、全国排行榜、本地排行榜、支持活动作品后台导出、支持试听、投票功能。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三、管理后台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1.可通过后台注册，生成管理员的账号密码，供用户方管理设备。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2.用户可根据需要，新增子级管理员，自定义分配子级管理员的功能权限。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3.屏保设置支持用户自定义修改以下内容：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①系统后台的logo；</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②朗读亭app的logo；</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③朗读亭上屏的宣传视频；</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④朗读亭下屏的Banner图；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⑤登录页的背景图和主页的背景图。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4.支持用户自定义设置单次登录时长限制、再次登录间隔、未操作退出时长等登录管理。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5.支持用户自定义设置机构专属的留声卡logo，所有的机构作品生成留声卡时，都显示机构专属的logo。</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6.支持设备基本信息、在线状态、备注、故障上报、授权时间范围等设备管理。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7.为保证朗读亭的合理使用，避免被部分读者长期占用，要求后台支持最长朗读时间设置以及使用间隔设置，设置的时间参数包含30分钟、60分钟不等，可根据用户需求进行灵活设置。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8.支持朗读活动管理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①新增发布活动、查找活动、编辑活动、启用停用活动、查看作品、指定素材分类；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②用户设置好朗读活动之后可在后台查看活动报名情况的汇总情况，包括姓名、电话、班级、微信用户、参数类别等信息。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9.支持后台数据统计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①设备总数、在线设备数、启用设备数；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②总用户数、日增用户数、周增用户数、月增用户数；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③总朗读数、日朗读数、周朗读数、月朗读数；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④已发布作品数、待审核作品数、举报作品总数、举报作品待处理数；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⑤热门文章top10的统计排行，作品分享top10的统计排行，作品播放top10的统计排行，作品点赞top10的排行。</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10.具备“先发布后审核”和“先审核后发布”两种作品审核发布机制。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11.支持自主上传背景音乐。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12.支持后台查看测评音频记录、背诵音频记录。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四、朗读资源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朗读文章类资源总数≥50000：需包含诗词大汇、英语名篇、童话寓言、诗歌散文、经典文学选段、经典电影台词、中华诗文经典、红色经典、红色家书、党性教育、绕口令、习主席语录、歌颂祖国、毛泽东诗词、名家经典、读我原创、历史风貌、小语种专区、重温国学、节日素材、为你读诗绘本朗读、生态文化诗词、军事好书等分类，支持用户方在朗读亭上自定义展示素材分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2.抗疫专区≥300：需包含防疫手册、抗疫原创集、书香战疫等多个分类。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党建阵地≥1000：需包含思想理论、时政热点、基层党建、党史人物、全面小康、三严三实、两学一做、党刊精选、有声智库（包含习近平总书记讲话原声209）、党课随身听（包含原声20）、优秀党员事迹实录、脱贫攻坚、两会原声、人民知心话、中国青年、最可爱的人（军事）、深化改革开放、从严治党、建军节选、四史教育等多个分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4.视频配音≥200：需包含华语经典影视、高分外语影视、名人故事、演讲训练营、高分国漫、优秀记录片等多个分类。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朗读背景音乐储备≥2000，前端展示≥200：需包括安静、轻快、史诗、感人、进取、浪漫、悲伤等多种类型，主题包括歌颂祖国、励志人生、恋爱心事、青春校园、思乡亲情、童真童趣、友谊情深、自然诗意等类型。</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6.名家朗读示范音频≥1000：需包括中华古诗文经典诵读、名家读老舍、等专业音频。</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3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馆员工作吧台</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1.规格尺寸参考：≥2000×800×1100mm；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2.双层转角设计，采用E1级实木颗粒板，中间桌面25mm，板材平整度好，不易变形。产品经过防虫、防腐、防滑、防火、防水处理，不含对人体有害的化学物质，甲醛释放量≤1.5mg/L；</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3.板材两面均可使用，转角方向可根据需要随意调换；</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4.吧台带电脑主机托架1个，键盘托1个，带锁抽屉2个，带门储物柜1个；</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5.配备管理员座椅1把；</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4"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双面书架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外形尺寸：2000mm（架体高度）×900mm（节距）×450mm（深度），5层，每层2面，层距可调节。每层搁板均匀承重60kg。结构合理，产品符合GB/T13667.1-2015标准。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  底围：用于连接架体，形成框式结构。使用1.8mm冷轧钢板经三次折弯成形，高度120mm，内部焊接2.0mm连接板。分段组合式，可互换。</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 立柱：用于支撑整个架体。立柱截面尺寸45mm*35mm，采用1.5mm厚冷轧板一次性辊压成型，7面6折弯工艺，正面两条起筋，左右两面各起两道筋，成型后压筋总数为6条，每两根立柱为一组，通过骨架横梁焊接成立架组件，使架体稳定性更好，安装更简便。连接部位焊接有加强管，连接牢固不变形。</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节</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5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期刊架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1.钢制双柱双面防火期刊架，外观为木纹色。</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2.900×650×1800mm，5层架。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3.两侧为全封闭护板，矩形立柱为冷轧钢板模具折弯冲压成形，立柱</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内侧冲压搁板调节孔，可根据出版物规格要求无障碍调节搁板高度。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4.护板和立柱基材厚度不小于1.5mm，顶板、搁板基材厚度不小于1mm，顶板正面外沿高度不低于30mm，端面折弯向下内翻。前后围脚高度不低于80mm，向内折弯宽度不低于20mm，基材厚度不小于1.0mm。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5.产品表面采用静电喷塑处理，不生锈，不变色，不变形，符合国家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标准GB/T13667.1-2003和环保要求。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6.书架应具有占地面积小、拆装方便的特点，并具有防倒设计。各零</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部件具有互换性，同一型号规格的零部件可以互换。</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阅览桌椅（6人位）</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1、阅览椅子材质是聚丙pp，椅子高度80cm.腿高43cm，带靠背。阅览桌：长2米.宽1米。高0.75米，颗粒板材质，钢制桌腿框架。一张桌子配6把椅子</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电子书阅览座椅(4人位）</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1、阅览椅子材质是聚丙pp，椅子高度80cm.腿高43cm，带靠背。阅览桌：长1.6米.宽1米。高0.75米，颗粒板材质，钢制桌腿框架。一张桌子配4把椅子</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异形组合沙发（8人位）</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1、组合沙发；至少8人位，含茶几</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2、沙发多部分组成，可任意组合，实木框架，面料布艺；</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洽谈桌</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1.桌子，80*75，E1级密度板，时尚仿木纹，优质金属件，方便清洁，耐刮耐磨，防水性强，2.42*78*55，椅子环抱式舒适靠背，高密度海绵填充</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套</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读书角</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圆形书架2000mm*2000mm，实木框架，质地坚硬，新型健康环保材质，承重力强，采用隔板造型分类管理，1.圆形内圈书架长1300mm*高2000mm，实木框架，质地坚硬，新型健康环保材质，承重力强，采用隔板造型分类管理，</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2.圆形外圈软包阅读矮座，6-8人位，周长6280mm*高430mm，实木框架，质地坚硬，新型健康环保材质，承重力强</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组</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多层博古架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1、多层博古书架，材质：楠竹+密度板</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书法桌</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1、书法绘画桌椅，材质：橡木。桌子140*60*75凳子30*30*44</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张</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休闲桌椅</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1.桌子200*80*75高端实木板材质地坚硬，新型健康环保材质，承重力强，加厚铁艺桌腿2.椅子42*78*55，加厚铁艺，承重力强</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组</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6"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矮柜书架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1、异形书架，多层可随意组合变形</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专用碳带</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1、高端型树脂基类碳带，专供标签打印机打印书标使用，具有超强耐刮性能、耐溶济性能。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2.规格：60mm×60m；</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3.厚度：6.0±0.5μm。</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专用标签纸</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1、选用优质亚光白色聚丙烯薄膜，经拉伸处理制作而成，初粘、持粘都非常优异，油墨附着力好，性能稳定。</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2、产品规格：60×30mm×1500张。</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卷</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层架标签纸</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numPr>
                <w:ilvl w:val="0"/>
                <w:numId w:val="7"/>
              </w:numPr>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选用优质亚光白色聚丙烯薄膜，经拉伸处理制作而成，初粘、持粘都非常优异，油墨附着力好，性能稳定。</w:t>
            </w:r>
          </w:p>
          <w:p>
            <w:pPr>
              <w:keepNext w:val="0"/>
              <w:keepLines w:val="0"/>
              <w:widowControl/>
              <w:numPr>
                <w:ilvl w:val="0"/>
                <w:numId w:val="7"/>
              </w:numPr>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产品规格：82×20mm。</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卷</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67"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RFID图书标签</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1.无源超高频电子标签，用于对图书的编目加工，其内置存储器，支持非接触式的重复读写存储在其中的资料。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2.具有较高的安全性，有不可改写的唯一序列号（TID），供识别和加密，防止存储在其中的信息资料被随意读取或改写。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3.具有一定的抗冲突性，能保证多个标签的同时可靠识别。</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4.用户可自定义数据格式和内容，具有良好的数据扩展性。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5.标签须自带粘性，采用中性粘胶，对图书及其它介质黏贴表面无损害，标签粘贴到位后要求不易撕毁、脱落。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6.有效识读距离须符合自助借还、RFID门禁等设备读取要求。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7.工作频率：840MHz~960Mhz。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8.协议标准：支持ISO 18000-6C标准和EPCglobal C1G2协议。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9.标签天线：铝质或铜质蚀刻天线。</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10.标签用纸：不干胶铜版纸封装。</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11.有效使用寿命：≥20年。</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7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RFID层架标签</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1.采用超高频无源电子标签，具有不可改写的唯一序列号(TID)供识别和加密。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2.标签中有存储器，存储在其中的资料可非接触式地重复读取和写入。</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3.标签具有一定的抗冲突性，能保证多个标签同时可靠地识别。</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4.标签具有较高的安全性，防止存储在其中的信息被随意读取或改写。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5.用户可自定义数据格式和内容，具有良好的扩展性。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6.可根据图书馆要求印制层位标签标示信息，采用可更换插片式设计，修改标示信息只需要替换标示插片，无需更换整个层标,层标安装要求牢固，不脱落。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7.为了防止盘点时读取到邻近的层位标签，最大读取距离需进行控制。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8.提供最优化的数据结构存储方案和数据管理方案，优化读取速度，提高处理效率，使相关的RFID阅读产品设备，可在非常短的时间内读取存储在标签中的资料。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9.支持标签尺寸、颜色等定制，可加印LOGO图案。</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10.工作频率：840~960MHz。</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11.协议标准：支持ISO 18000-6C标准和EPCglobal C1G2协议。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12.有效使用寿命：≥10年。</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13.有效擦写次数：≥10万次。</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图书数据编目加工</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一、著录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1.目录信息：按分类法要求，将完整的图书目录信息录入现有的图书馆管理系统中。</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分编查重:查明待分类图书与已入藏图书的关系，是否为复本、不同版本或者系列丛书的不同卷；根据ISBN号、书名、作者、从书名等多个检索点、多种途径查重；在编目过程中，做好编目数据区分；避免重复记录，减少重复数据，保证分类标识和著录的一致性，提高书目数据库的质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3.分类方式：中图分类法。</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4.索书方式：著者号。</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图书剔旧：剔旧的具体范围包括内容陈旧过时的图书；少有人借阅、流通率低的图书；复本过多造成积压的图书；有关部门明文规定或通知，内容不健康应停止流通的书刊；经长期借阅周转，残破不全无法修复的图书。</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6.盖馆藏章：有。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二、书标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1.书标类型：二维码书标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2.书标内容：书标中须同时具有中图法分类号、条码号等信息，条码号应为清晰易扫描的二维码。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书标尺寸：书标纸尺寸统一为30×60mm。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粘贴位置：书标粘贴位于同一水平线上，书标粘贴前必须借用专用工具划线，然后根据划线位置粘贴书标，书标下沿距图书底边3CM，可扫描二维码条码号须位于封面，二维码被折叠或位于书棱上，均不符合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4.覆膜效果：书标须覆膜或具有覆膜等同效果，即耐磨损、耐摩擦、耐撕损。</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三、排架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1.按细分类【或三级类目或二级类目或一级类目上架。】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2.复本图书、系列丛书等集中排架，便于查找。</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保留计划新书籍位置，减少重复排架工作。</w:t>
            </w:r>
          </w:p>
        </w:tc>
        <w:tc>
          <w:tcPr>
            <w:tcW w:w="5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册</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图书标签关联与层架标签上架</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1.对RFID图书芯片进行芯片和条码号的关联，智能设备可通过RFID图书芯片对图书身份进行有效识别和处理，从而实现图书馆智能化、无人化管理。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2.对配置有RFID层架标签的，需要作层架标签上架处理；上架时将图书标签与层架标签再作关联。关联后，可在系统中直接查询图书的层架名。</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3.完成图书芯片数据转换，要求准确无遗漏，图书标签数据转换的合格率≥99%。</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4.完成层架信息录入，并关联层架标签，要求准确无遗漏，合格率达到100%。</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5.上架时，完成图书标签与层架标签的关联，要求准确无遗漏，合格率≥100%。</w:t>
            </w:r>
          </w:p>
        </w:tc>
        <w:tc>
          <w:tcPr>
            <w:tcW w:w="5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册</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书立</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1.材质：铁板冲压，烤漆表面，颜色可定制；</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2.边缘圆角处理，光滑不伤手；</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3.T字结构，稳妥不易倾倒。</w:t>
            </w:r>
          </w:p>
        </w:tc>
        <w:tc>
          <w:tcPr>
            <w:tcW w:w="50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个</w:t>
            </w:r>
          </w:p>
        </w:tc>
        <w:tc>
          <w:tcPr>
            <w:tcW w:w="7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1"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文化氛围</w:t>
            </w:r>
          </w:p>
        </w:tc>
        <w:tc>
          <w:tcPr>
            <w:tcW w:w="65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1、图书馆</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内外文化</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氛围设计</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、制作、安装，</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图书馆规章制度等设计</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、制作、</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安装。PVC</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及亚克力</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w:t>
            </w:r>
            <w:bookmarkStart w:id="167" w:name="_GoBack"/>
            <w:bookmarkEnd w:id="167"/>
          </w:p>
        </w:tc>
        <w:tc>
          <w:tcPr>
            <w:tcW w:w="5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平</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42"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数据服务器</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1、规格：2U机架式服务器（标配导轨）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2、CPU ：Intel Xeon 4310(12核,120W,2.1GHz)*1；</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3、内存：32GB DDR4-3200MHz RDIMM*2；</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4、存储：4T 7.2K SATA硬盘 *2；</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5、RAID：INSPUR八通道高性能12Gbps阵列卡PM8222，支持RAID 0/1/5；</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6、网络：2个千兆电口</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7、电源：550W白金电源*2；</w:t>
            </w:r>
          </w:p>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8、服务：原厂三年免费上门保修服务</w:t>
            </w:r>
          </w:p>
        </w:tc>
        <w:tc>
          <w:tcPr>
            <w:tcW w:w="5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4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台式电脑</w:t>
            </w:r>
          </w:p>
        </w:tc>
        <w:tc>
          <w:tcPr>
            <w:tcW w:w="65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1.CPU类型：≥New Core i5-14400（6核12线程/主频2.9GHz/缓存12MB）；</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2.主板芯片组：≥Intel HB560芯片组；中文BIOS界面；</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3.内存：≥32G DDR4 3200，最大可支持32G内存；</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4.硬盘：≥1TB M.2 NVMe固态硬盘，支持1个M.2端口支持2280 NVMe固态硬盘、3.5英寸7200转机械硬盘，最多1个；扩展插槽：≥4个SATA硬盘端口、PCle x16、2个PCle x1、PCl M.2端口支持2280 NVMe固态硬盘、M.2端口支持2230无线网卡；</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5.显卡：集成显卡；扩展独立显卡的情况下，集显也可以进行视频信号传输； </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6.鼠标键盘：USB抗菌光电鼠标，USB抗菌键盘；</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7.前置接口：≥2个USB3.2 Type A Gen1、≥2个USB2.0、耳机麦克风二合一接口、麦克风口；后置接口：≥2个USB3.2 TypeA Gen1、≥2个USB2.0、串口、3个音频接口；2个PS/2键盘鼠标口、1个RJ45千兆网线口，VGA、HDMI、DisplayPort，原厂接口可以支持3显示输出；</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8.机箱类型：顶置电源开关，多重散热设计优化，立式蜂巢式进风口,可在不打开机箱的情况下独立拆卸防尘网便于清洗，机箱容量≥17L；</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9.网卡：10/100/1000M千兆自适应有线网卡；</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10.电源：≥180W 80PLUS TFX高效节能防雷电源；</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11.显示器：≥32.8 IPS技术/16:9/1920 x 1080分辨率/60Hz刷新率/250 cd/m2亮度/VGA + HDMI接口/HDMI线x1/3年5*9 NBD基础维保；与主机同一品牌； </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12.系统软件：原厂预装正版Windows 10操作系统；</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随机应用：全面支持中文环境，且产品本身必须中文界面；脚本通过录制自动生成，无须编程即可通过图形化方式完成检查点添加、和参数化等工作；能够提供对传统协议及新兴协议的支持，需要全部支持目前市场上的主流开发协议。必须要包含Web2.0协议包。并发数量≥5个；内置压力控制器，数量≥1个；内置性能诊断工具，能对J2EE和.Net应用进行性能分析，数量≥2个。</w:t>
            </w:r>
          </w:p>
        </w:tc>
        <w:tc>
          <w:tcPr>
            <w:tcW w:w="5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台</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highlight w:val="none"/>
                <w:u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w:t>
            </w:r>
          </w:p>
        </w:tc>
      </w:tr>
    </w:tbl>
    <w:p>
      <w:pPr>
        <w:pStyle w:val="11"/>
        <w:keepNext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p>
    <w:p>
      <w:pPr>
        <w:pStyle w:val="11"/>
        <w:keepNext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备注：1、“★”项为关键参数项，每项须提供与项目技术要求相应的证明材料，如：产品样式及材质清单</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认证证书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产品检测报告</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鉴定证书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制造商产品彩页</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制造商官网截图</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制造商技术白皮书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制造商产品说明书等彩页或彩色实物照片</w:t>
      </w:r>
      <w:r>
        <w:rPr>
          <w:rFonts w:hint="eastAsia" w:ascii="宋体" w:hAnsi="宋体" w:cs="宋体"/>
          <w:b/>
          <w:bCs/>
          <w:color w:val="000000" w:themeColor="text1"/>
          <w:sz w:val="24"/>
          <w:szCs w:val="24"/>
          <w:highlight w:val="none"/>
          <w:lang w:val="en-US" w:eastAsia="zh-CN"/>
          <w14:textFill>
            <w14:solidFill>
              <w14:schemeClr w14:val="tx1"/>
            </w14:solidFill>
          </w14:textFill>
        </w:rPr>
        <w:t>或承诺函等</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p>
    <w:p>
      <w:pPr>
        <w:pStyle w:val="11"/>
        <w:keepNext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2、非‘★’项则表示属一般指标项，每项须提供与项目技术要求相应的证明材料，如：产品样式及材质清单</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认证证书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产品检测报告</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鉴定证书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制造商产品彩页</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制造商官网截图</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制造商技术白皮书</w:t>
      </w:r>
      <w:r>
        <w:rPr>
          <w:rFonts w:hint="eastAsia" w:ascii="宋体" w:hAnsi="宋体" w:cs="宋体"/>
          <w:b/>
          <w:bCs/>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制造商产品说明书等彩页或彩色实物照片</w:t>
      </w:r>
      <w:r>
        <w:rPr>
          <w:rFonts w:hint="eastAsia" w:ascii="宋体" w:hAnsi="宋体" w:cs="宋体"/>
          <w:b/>
          <w:bCs/>
          <w:color w:val="000000" w:themeColor="text1"/>
          <w:sz w:val="24"/>
          <w:szCs w:val="24"/>
          <w:highlight w:val="none"/>
          <w:lang w:val="en-US" w:eastAsia="zh-CN"/>
          <w14:textFill>
            <w14:solidFill>
              <w14:schemeClr w14:val="tx1"/>
            </w14:solidFill>
          </w14:textFill>
        </w:rPr>
        <w:t>或承诺函等</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0"/>
        <w:rPr>
          <w:rFonts w:hint="eastAsia" w:ascii="宋体" w:hAnsi="宋体" w:eastAsia="宋体" w:cs="宋体"/>
          <w:b/>
          <w:bCs/>
          <w:color w:val="000000" w:themeColor="text1"/>
          <w:sz w:val="24"/>
          <w:szCs w:val="24"/>
          <w:highlight w:val="none"/>
          <w14:textFill>
            <w14:solidFill>
              <w14:schemeClr w14:val="tx1"/>
            </w14:solidFill>
          </w14:textFill>
        </w:rPr>
        <w:sectPr>
          <w:pgSz w:w="11906" w:h="16838"/>
          <w:pgMar w:top="1440" w:right="1800" w:bottom="1440" w:left="1746" w:header="851" w:footer="992" w:gutter="0"/>
          <w:pgNumType w:fmt="decimal"/>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第五章  评标办法</w:t>
      </w:r>
      <w:bookmarkEnd w:id="145"/>
      <w:bookmarkEnd w:id="146"/>
      <w:bookmarkStart w:id="147" w:name="_Hlt101846155"/>
      <w:bookmarkEnd w:id="147"/>
      <w:bookmarkStart w:id="148" w:name="_Toc183682415"/>
      <w:bookmarkStart w:id="149" w:name="_Toc208849007"/>
      <w:bookmarkStart w:id="150" w:name="_Toc183582280"/>
      <w:bookmarkStart w:id="151" w:name="_Toc217446097"/>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 总则</w:t>
      </w:r>
      <w:bookmarkEnd w:id="148"/>
      <w:bookmarkEnd w:id="149"/>
      <w:bookmarkEnd w:id="150"/>
      <w:bookmarkEnd w:id="151"/>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 根据《中华人民共和国政府采购法》、《中华人民共和国政府采购法实施条例》和《政府采购货物和服务招标投标管理办法》（财政部第87号令）等法律法规、规章和相关规定，结合招标项目特点制定本评标办法。</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1.2 </w:t>
      </w:r>
      <w:r>
        <w:rPr>
          <w:rFonts w:hint="eastAsia" w:ascii="宋体" w:hAnsi="宋体" w:eastAsia="宋体" w:cs="宋体"/>
          <w:bCs/>
          <w:color w:val="000000" w:themeColor="text1"/>
          <w:sz w:val="24"/>
          <w:szCs w:val="24"/>
          <w:highlight w:val="none"/>
          <w14:textFill>
            <w14:solidFill>
              <w14:schemeClr w14:val="tx1"/>
            </w14:solidFill>
          </w14:textFill>
        </w:rPr>
        <w:t>评标工作由采购人负责组织，具体评标工作由采购人依法组建的评标委员会负责。评标委员会由采购人代表和有关技术、经济等方面的专家组成。</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 评标工作应遵循公平、公正、科学及择优的原则。</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 评标委员会按照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规定的评标方法和标准进行评标，并独立履行下列职责：</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（1）审查投标文件是否符合</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要求，并作出评价；</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（2）要求投标投标人对投标文件有关事项作出解释或者澄清；</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（3）推荐中标候选投标人名单，或者受采购人委托按照事先确定的办法直接确定中标投标人；</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（4）向采购人或者有关部门报告非法干预评标工作的行为。</w:t>
      </w:r>
      <w:bookmarkStart w:id="152" w:name="_Toc217446098"/>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 评标过程严格保密。投标人对评标委员会的评标过程或合同授予决定施加影响的任何行为都可能导致其投标被拒绝。</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1.6评标委员会决定投标文件的响应性应依据投标文件本身的内容，而不寻求外部的证据。</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1.7评标委员会发现</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表述不明确或需要说明的事项，可提请采购人书面解释说明。发现</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违反法律、法规、规章和相关规定的，可以拒绝评标，并向采购人书面说明情况。</w:t>
      </w:r>
    </w:p>
    <w:p>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评标方法</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本项目评标方法为：综合评分法。</w:t>
      </w:r>
    </w:p>
    <w:p>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评标程序</w:t>
      </w:r>
      <w:bookmarkEnd w:id="152"/>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53" w:name="_Toc217446099"/>
      <w:r>
        <w:rPr>
          <w:rFonts w:hint="eastAsia" w:ascii="宋体" w:hAnsi="宋体" w:eastAsia="宋体" w:cs="宋体"/>
          <w:color w:val="000000" w:themeColor="text1"/>
          <w:sz w:val="24"/>
          <w:szCs w:val="24"/>
          <w:highlight w:val="none"/>
          <w14:textFill>
            <w14:solidFill>
              <w14:schemeClr w14:val="tx1"/>
            </w14:solidFill>
          </w14:textFill>
        </w:rPr>
        <w:t>3.1资格审查</w:t>
      </w:r>
    </w:p>
    <w:p>
      <w:pPr>
        <w:keepNext/>
        <w:keepLines/>
        <w:pageBreakBefore w:val="0"/>
        <w:kinsoku/>
        <w:wordWrap/>
        <w:overflowPunct/>
        <w:topLinePunct w:val="0"/>
        <w:autoSpaceDE/>
        <w:autoSpaceDN/>
        <w:bidi w:val="0"/>
        <w:adjustRightInd/>
        <w:spacing w:line="380" w:lineRule="exact"/>
        <w:jc w:val="center"/>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br w:type="page"/>
      </w:r>
      <w:r>
        <w:rPr>
          <w:rFonts w:hint="eastAsia" w:ascii="宋体" w:hAnsi="宋体" w:eastAsia="宋体" w:cs="宋体"/>
          <w:b/>
          <w:bCs w:val="0"/>
          <w:color w:val="000000" w:themeColor="text1"/>
          <w:sz w:val="24"/>
          <w:szCs w:val="24"/>
          <w:highlight w:val="none"/>
          <w14:textFill>
            <w14:solidFill>
              <w14:schemeClr w14:val="tx1"/>
            </w14:solidFill>
          </w14:textFill>
        </w:rPr>
        <w:t>资格审查表</w:t>
      </w:r>
    </w:p>
    <w:tbl>
      <w:tblPr>
        <w:tblStyle w:val="29"/>
        <w:tblW w:w="502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0"/>
        <w:gridCol w:w="6533"/>
        <w:gridCol w:w="621"/>
        <w:gridCol w:w="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4" w:hRule="atLeast"/>
          <w:jc w:val="center"/>
        </w:trPr>
        <w:tc>
          <w:tcPr>
            <w:tcW w:w="317" w:type="pct"/>
            <w:vMerge w:val="restar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905" w:type="pct"/>
            <w:vMerge w:val="restar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   查   标   准</w:t>
            </w:r>
          </w:p>
        </w:tc>
        <w:tc>
          <w:tcPr>
            <w:tcW w:w="776" w:type="pct"/>
            <w:gridSpan w:val="2"/>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317" w:type="pct"/>
            <w:vMerge w:val="continue"/>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905" w:type="pct"/>
            <w:vMerge w:val="continue"/>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通过</w:t>
            </w: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不通过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3905" w:type="pct"/>
            <w:vAlign w:val="center"/>
          </w:tcPr>
          <w:p>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具有独立承担民事责任的能力；</w:t>
            </w:r>
          </w:p>
          <w:p>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【法人、其他组织投标须提供营业执照等证明文件，自然人投标须提供自然人的身份证明。】</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3905" w:type="pct"/>
            <w:vAlign w:val="center"/>
          </w:tcPr>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具有良好的商业信誉和健全的财务会计制度；</w:t>
            </w:r>
          </w:p>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【①以开标截止时间点投标单位未列入“信用中国”&lt;www.creditchina.gov.cn&gt;网站的“失信被执行人”和“重大税收违法失信主体”（</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为自然人时无需提供）及“中国政府采购网”&lt;www.ccgp.gov.cn&gt;网站的“政府采购严重违法失信行为记录名单”，开标截止时间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点</w:t>
            </w:r>
            <w:r>
              <w:rPr>
                <w:rFonts w:hint="eastAsia" w:ascii="宋体" w:hAnsi="宋体" w:eastAsia="宋体" w:cs="宋体"/>
                <w:color w:val="000000" w:themeColor="text1"/>
                <w:sz w:val="24"/>
                <w:szCs w:val="24"/>
                <w:highlight w:val="none"/>
                <w14:textFill>
                  <w14:solidFill>
                    <w14:schemeClr w14:val="tx1"/>
                  </w14:solidFill>
                </w14:textFill>
              </w:rPr>
              <w:t>，由招标代理公司统一登陆网站查询</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投标文件的投标单位信誉情况，并以保存的网页查询截图为准；②银行出具的近3个月内任意1个月资信证明（</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为自然人时无需提供）或近1年（2022年度</w:t>
            </w:r>
            <w:r>
              <w:rPr>
                <w:rFonts w:hint="eastAsia" w:ascii="宋体" w:hAnsi="宋体" w:cs="宋体"/>
                <w:color w:val="000000" w:themeColor="text1"/>
                <w:sz w:val="24"/>
                <w:szCs w:val="24"/>
                <w:highlight w:val="none"/>
                <w:lang w:eastAsia="zh-CN"/>
                <w14:textFill>
                  <w14:solidFill>
                    <w14:schemeClr w14:val="tx1"/>
                  </w14:solidFill>
                </w14:textFill>
              </w:rPr>
              <w:t>或</w:t>
            </w:r>
            <w:r>
              <w:rPr>
                <w:rFonts w:hint="eastAsia" w:ascii="宋体" w:hAnsi="宋体" w:cs="宋体"/>
                <w:color w:val="000000" w:themeColor="text1"/>
                <w:sz w:val="24"/>
                <w:szCs w:val="24"/>
                <w:highlight w:val="none"/>
                <w:lang w:val="en-US" w:eastAsia="zh-CN"/>
                <w14:textFill>
                  <w14:solidFill>
                    <w14:schemeClr w14:val="tx1"/>
                  </w14:solidFill>
                </w14:textFill>
              </w:rPr>
              <w:t>2023年度</w:t>
            </w:r>
            <w:r>
              <w:rPr>
                <w:rFonts w:hint="eastAsia" w:ascii="宋体" w:hAnsi="宋体" w:eastAsia="宋体" w:cs="宋体"/>
                <w:color w:val="000000" w:themeColor="text1"/>
                <w:sz w:val="24"/>
                <w:szCs w:val="24"/>
                <w:highlight w:val="none"/>
                <w14:textFill>
                  <w14:solidFill>
                    <w14:schemeClr w14:val="tx1"/>
                  </w14:solidFill>
                </w14:textFill>
              </w:rPr>
              <w:t>）经审计的财务报告（新成立企业或</w:t>
            </w:r>
            <w:r>
              <w:rPr>
                <w:rFonts w:hint="eastAsia" w:ascii="宋体" w:hAnsi="宋体" w:cs="宋体"/>
                <w:color w:val="000000" w:themeColor="text1"/>
                <w:sz w:val="24"/>
                <w:szCs w:val="24"/>
                <w:highlight w:val="none"/>
                <w:lang w:eastAsia="zh-CN"/>
                <w14:textFill>
                  <w14:solidFill>
                    <w14:schemeClr w14:val="tx1"/>
                  </w14:solidFill>
                </w14:textFill>
              </w:rPr>
              <w:t>其他组织</w:t>
            </w:r>
            <w:r>
              <w:rPr>
                <w:rFonts w:hint="eastAsia" w:ascii="宋体" w:hAnsi="宋体" w:eastAsia="宋体" w:cs="宋体"/>
                <w:color w:val="000000" w:themeColor="text1"/>
                <w:sz w:val="24"/>
                <w:szCs w:val="24"/>
                <w:highlight w:val="none"/>
                <w14:textFill>
                  <w14:solidFill>
                    <w14:schemeClr w14:val="tx1"/>
                  </w14:solidFill>
                </w14:textFill>
              </w:rPr>
              <w:t>无需提供）。新成立企业是指：营业执照申领时间至今未满一年的企业。新成立企业须提供近3个月内任意1个月银行出具的资信证明。】</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3905" w:type="pct"/>
            <w:vAlign w:val="center"/>
          </w:tcPr>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具有履行合同所必需的设备和专业技术能力；</w:t>
            </w:r>
          </w:p>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【须提供：①相关设备或设施的购置发票或单据（任一）或提供承诺函；</w:t>
            </w:r>
            <w:r>
              <w:rPr>
                <w:rFonts w:hint="eastAsia" w:ascii="宋体" w:hAnsi="宋体" w:eastAsia="宋体" w:cs="宋体"/>
                <w:color w:val="000000" w:themeColor="text1"/>
                <w:sz w:val="24"/>
                <w:highlight w:val="none"/>
                <w14:textFill>
                  <w14:solidFill>
                    <w14:schemeClr w14:val="tx1"/>
                  </w14:solidFill>
                </w14:textFill>
              </w:rPr>
              <w:t>②专业人员用工合同（任一人）或技术人员的职称证书或职业（执业）资格证或等级证书等相关证书（任一人）</w:t>
            </w:r>
            <w:r>
              <w:rPr>
                <w:rFonts w:hint="eastAsia" w:ascii="宋体" w:hAnsi="宋体" w:eastAsia="宋体" w:cs="宋体"/>
                <w:color w:val="000000" w:themeColor="text1"/>
                <w:sz w:val="24"/>
                <w:highlight w:val="none"/>
                <w:lang w:val="en-US" w:eastAsia="zh-CN"/>
                <w14:textFill>
                  <w14:solidFill>
                    <w14:schemeClr w14:val="tx1"/>
                  </w14:solidFill>
                </w14:textFill>
              </w:rPr>
              <w:t>或提供承诺函</w:t>
            </w:r>
            <w:r>
              <w:rPr>
                <w:rFonts w:hint="eastAsia" w:ascii="宋体" w:hAnsi="宋体" w:eastAsia="宋体" w:cs="宋体"/>
                <w:color w:val="000000" w:themeColor="text1"/>
                <w:sz w:val="24"/>
                <w:highlight w:val="none"/>
                <w14:textFill>
                  <w14:solidFill>
                    <w14:schemeClr w14:val="tx1"/>
                  </w14:solidFill>
                </w14:textFill>
              </w:rPr>
              <w:t>等的证明材料</w:t>
            </w:r>
            <w:r>
              <w:rPr>
                <w:rFonts w:hint="eastAsia" w:ascii="宋体" w:hAnsi="宋体" w:eastAsia="宋体" w:cs="宋体"/>
                <w:color w:val="000000" w:themeColor="text1"/>
                <w:sz w:val="24"/>
                <w:szCs w:val="24"/>
                <w:highlight w:val="none"/>
                <w14:textFill>
                  <w14:solidFill>
                    <w14:schemeClr w14:val="tx1"/>
                  </w14:solidFill>
                </w14:textFill>
              </w:rPr>
              <w:t>。】</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3905" w:type="pct"/>
            <w:vAlign w:val="center"/>
          </w:tcPr>
          <w:p>
            <w:pPr>
              <w:pStyle w:val="11"/>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有依法缴纳税收和社会保障资金的良好记录；</w:t>
            </w:r>
          </w:p>
          <w:p>
            <w:pPr>
              <w:pStyle w:val="11"/>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【须提供：①近12个月内任意1个月已依法缴纳税收的凭据；②近12个月内任意1个月已依法缴纳社会保险的凭据（依法免税或不需要缴纳</w:t>
            </w:r>
            <w:r>
              <w:rPr>
                <w:rFonts w:hint="eastAsia" w:ascii="宋体" w:hAnsi="宋体" w:eastAsia="宋体" w:cs="宋体"/>
                <w:color w:val="000000" w:themeColor="text1"/>
                <w:sz w:val="24"/>
                <w:szCs w:val="24"/>
                <w:highlight w:val="none"/>
                <w:lang w:val="en-US" w:eastAsia="zh-CN"/>
                <w14:textFill>
                  <w14:solidFill>
                    <w14:schemeClr w14:val="tx1"/>
                  </w14:solidFill>
                </w14:textFill>
              </w:rPr>
              <w:t>社会保险</w:t>
            </w:r>
            <w:r>
              <w:rPr>
                <w:rFonts w:hint="eastAsia" w:ascii="宋体" w:hAnsi="宋体" w:eastAsia="宋体" w:cs="宋体"/>
                <w:color w:val="000000" w:themeColor="text1"/>
                <w:sz w:val="24"/>
                <w:szCs w:val="24"/>
                <w:highlight w:val="none"/>
                <w14:textFill>
                  <w14:solidFill>
                    <w14:schemeClr w14:val="tx1"/>
                  </w14:solidFill>
                </w14:textFill>
              </w:rPr>
              <w:t>的投标人，应提供相应证明文件，新成立企业或</w:t>
            </w:r>
            <w:r>
              <w:rPr>
                <w:rFonts w:hint="eastAsia" w:ascii="宋体" w:hAnsi="宋体" w:cs="宋体"/>
                <w:color w:val="000000" w:themeColor="text1"/>
                <w:sz w:val="24"/>
                <w:szCs w:val="24"/>
                <w:highlight w:val="none"/>
                <w:lang w:eastAsia="zh-CN"/>
                <w14:textFill>
                  <w14:solidFill>
                    <w14:schemeClr w14:val="tx1"/>
                  </w14:solidFill>
                </w14:textFill>
              </w:rPr>
              <w:t>其他组织</w:t>
            </w:r>
            <w:r>
              <w:rPr>
                <w:rFonts w:hint="eastAsia" w:ascii="宋体" w:hAnsi="宋体" w:eastAsia="宋体" w:cs="宋体"/>
                <w:color w:val="000000" w:themeColor="text1"/>
                <w:sz w:val="24"/>
                <w:szCs w:val="24"/>
                <w:highlight w:val="none"/>
                <w14:textFill>
                  <w14:solidFill>
                    <w14:schemeClr w14:val="tx1"/>
                  </w14:solidFill>
                </w14:textFill>
              </w:rPr>
              <w:t>无需提供）】。</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6524" w:type="dxa"/>
            <w:vAlign w:val="center"/>
          </w:tcPr>
          <w:p>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参加本次政府采购活动前三年内，在经营活动中没有重大违法记录；</w:t>
            </w:r>
          </w:p>
          <w:p>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书面承诺（投标人自行承诺并承担后果，声明不实的，按《政府采购法》及相关法律法规中提供虚假材料的有关规定处理】。 </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6524" w:type="dxa"/>
            <w:vAlign w:val="center"/>
          </w:tcPr>
          <w:p>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单位负责人为同一人或者存在直接控股、管理关系的不同投标人，不得参加同一合同项下的政府采购活动。</w:t>
            </w:r>
          </w:p>
          <w:p>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书面承诺（投标人自行承诺并承担后果，声明函不实的，按《政府采购法》及相关法律法规中提供虚假材料的有关规定处理】。 </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7</w:t>
            </w:r>
          </w:p>
        </w:tc>
        <w:tc>
          <w:tcPr>
            <w:tcW w:w="3905" w:type="pct"/>
            <w:vAlign w:val="center"/>
          </w:tcPr>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本</w:t>
            </w:r>
            <w:r>
              <w:rPr>
                <w:rFonts w:hint="eastAsia" w:ascii="宋体" w:hAnsi="宋体" w:cs="宋体"/>
                <w:color w:val="000000" w:themeColor="text1"/>
                <w:kern w:val="0"/>
                <w:sz w:val="24"/>
                <w:highlight w:val="none"/>
                <w:lang w:eastAsia="zh-CN"/>
                <w14:textFill>
                  <w14:solidFill>
                    <w14:schemeClr w14:val="tx1"/>
                  </w14:solidFill>
                </w14:textFill>
              </w:rPr>
              <w:t>项目</w:t>
            </w:r>
            <w:r>
              <w:rPr>
                <w:rFonts w:hint="eastAsia" w:ascii="宋体" w:hAnsi="宋体" w:cs="宋体"/>
                <w:color w:val="000000" w:themeColor="text1"/>
                <w:kern w:val="0"/>
                <w:sz w:val="24"/>
                <w:highlight w:val="none"/>
                <w14:textFill>
                  <w14:solidFill>
                    <w14:schemeClr w14:val="tx1"/>
                  </w14:solidFill>
                </w14:textFill>
              </w:rPr>
              <w:t>为专门面向小微企业（含小型、微型企业）采购项目。</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满足条件的企业需在</w:t>
            </w:r>
            <w:r>
              <w:rPr>
                <w:rFonts w:hint="eastAsia" w:ascii="宋体" w:hAnsi="宋体" w:cs="宋体"/>
                <w:color w:val="000000" w:themeColor="text1"/>
                <w:kern w:val="0"/>
                <w:sz w:val="24"/>
                <w:highlight w:val="none"/>
                <w:lang w:eastAsia="zh-CN"/>
                <w14:textFill>
                  <w14:solidFill>
                    <w14:schemeClr w14:val="tx1"/>
                  </w14:solidFill>
                </w14:textFill>
              </w:rPr>
              <w:t>投标文件</w:t>
            </w:r>
            <w:r>
              <w:rPr>
                <w:rFonts w:hint="eastAsia" w:ascii="宋体" w:hAnsi="宋体" w:cs="宋体"/>
                <w:color w:val="000000" w:themeColor="text1"/>
                <w:kern w:val="0"/>
                <w:sz w:val="24"/>
                <w:highlight w:val="none"/>
                <w14:textFill>
                  <w14:solidFill>
                    <w14:schemeClr w14:val="tx1"/>
                  </w14:solidFill>
                </w14:textFill>
              </w:rPr>
              <w:t>中提供《中小企业声明函》</w:t>
            </w:r>
            <w:r>
              <w:rPr>
                <w:rFonts w:hint="eastAsia" w:ascii="宋体" w:hAnsi="宋体" w:cs="宋体"/>
                <w:color w:val="000000" w:themeColor="text1"/>
                <w:kern w:val="0"/>
                <w:sz w:val="24"/>
                <w:highlight w:val="none"/>
                <w:lang w:eastAsia="zh-CN"/>
                <w14:textFill>
                  <w14:solidFill>
                    <w14:schemeClr w14:val="tx1"/>
                  </w14:solidFill>
                </w14:textFill>
              </w:rPr>
              <w:t>或</w:t>
            </w:r>
            <w:r>
              <w:rPr>
                <w:rFonts w:hint="eastAsia" w:ascii="宋体" w:hAnsi="宋体" w:cs="宋体"/>
                <w:color w:val="000000" w:themeColor="text1"/>
                <w:kern w:val="0"/>
                <w:sz w:val="24"/>
                <w:highlight w:val="none"/>
                <w14:textFill>
                  <w14:solidFill>
                    <w14:schemeClr w14:val="tx1"/>
                  </w14:solidFill>
                </w14:textFill>
              </w:rPr>
              <w:t>《残疾人福利性单位声明函》（如有）或省级以上监狱管理局、戒毒管理局（含新疆生产建设兵团）出具的属于监狱企业的证明文件（如有）</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7"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8</w:t>
            </w:r>
          </w:p>
        </w:tc>
        <w:tc>
          <w:tcPr>
            <w:tcW w:w="3905" w:type="pct"/>
            <w:vAlign w:val="center"/>
          </w:tcPr>
          <w:p>
            <w:pPr>
              <w:widowControl/>
              <w:spacing w:line="380" w:lineRule="exac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本项目不接受联合体</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【无需提供任何证明材料】。</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223" w:type="pct"/>
            <w:gridSpan w:val="2"/>
            <w:vAlign w:val="center"/>
          </w:tcPr>
          <w:p>
            <w:pPr>
              <w:pageBreakBefore w:val="0"/>
              <w:widowControl/>
              <w:kinsoku/>
              <w:wordWrap/>
              <w:overflowPunct/>
              <w:topLinePunct w:val="0"/>
              <w:autoSpaceDE/>
              <w:autoSpaceDN/>
              <w:bidi w:val="0"/>
              <w:adjustRightInd/>
              <w:spacing w:line="38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审查结果（通过/不通过）</w:t>
            </w:r>
          </w:p>
        </w:tc>
        <w:tc>
          <w:tcPr>
            <w:tcW w:w="371"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4" w:hRule="atLeast"/>
          <w:jc w:val="center"/>
        </w:trPr>
        <w:tc>
          <w:tcPr>
            <w:tcW w:w="5000" w:type="pct"/>
            <w:gridSpan w:val="4"/>
            <w:vAlign w:val="center"/>
          </w:tcPr>
          <w:p>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备注：如果</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中有一项未通过上述审查标准，</w:t>
            </w: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w:t>
            </w:r>
            <w:r>
              <w:rPr>
                <w:rFonts w:hint="eastAsia" w:ascii="宋体" w:hAnsi="宋体" w:eastAsia="宋体" w:cs="宋体"/>
                <w:color w:val="000000" w:themeColor="text1"/>
                <w:sz w:val="24"/>
                <w:szCs w:val="24"/>
                <w:highlight w:val="none"/>
                <w14:textFill>
                  <w14:solidFill>
                    <w14:schemeClr w14:val="tx1"/>
                  </w14:solidFill>
                </w14:textFill>
              </w:rPr>
              <w:t>将认定整个</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不响应</w:t>
            </w:r>
            <w:r>
              <w:rPr>
                <w:rFonts w:hint="eastAsia" w:ascii="宋体" w:hAnsi="宋体" w:eastAsia="宋体"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14:textFill>
                  <w14:solidFill>
                    <w14:schemeClr w14:val="tx1"/>
                  </w14:solidFill>
                </w14:textFill>
              </w:rPr>
              <w:t>件而予以无效处理，并且不允许</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通过修改或撤销其不符合要求的差异或保留，使之成为具有响应性的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w:t>
            </w:r>
          </w:p>
        </w:tc>
      </w:tr>
    </w:tbl>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strike/>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3.2符合性审查。依据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的规定，从投标文件的有效性、完整性和对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的响应程度进行审查，以确定是否对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的实质性要求作出响应。</w:t>
      </w:r>
    </w:p>
    <w:p>
      <w:pPr>
        <w:pStyle w:val="28"/>
        <w:pageBreakBefore w:val="0"/>
        <w:kinsoku/>
        <w:wordWrap/>
        <w:overflowPunct/>
        <w:topLinePunct w:val="0"/>
        <w:autoSpaceDE/>
        <w:autoSpaceDN/>
        <w:bidi w:val="0"/>
        <w:adjustRightInd/>
        <w:spacing w:line="38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符合性审查表</w:t>
      </w:r>
    </w:p>
    <w:tbl>
      <w:tblPr>
        <w:tblStyle w:val="29"/>
        <w:tblW w:w="50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15"/>
        <w:gridCol w:w="6109"/>
        <w:gridCol w:w="783"/>
        <w:gridCol w:w="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jc w:val="center"/>
        </w:trPr>
        <w:tc>
          <w:tcPr>
            <w:tcW w:w="368" w:type="pct"/>
            <w:vMerge w:val="restar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652" w:type="pct"/>
            <w:vMerge w:val="restar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   查   标   准</w:t>
            </w:r>
          </w:p>
        </w:tc>
        <w:tc>
          <w:tcPr>
            <w:tcW w:w="978" w:type="pct"/>
            <w:gridSpan w:val="2"/>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4" w:hRule="atLeast"/>
          <w:jc w:val="center"/>
        </w:trPr>
        <w:tc>
          <w:tcPr>
            <w:tcW w:w="368" w:type="pct"/>
            <w:vMerge w:val="continue"/>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652" w:type="pct"/>
            <w:vMerge w:val="continue"/>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通过</w:t>
            </w: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不通过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投标文件的</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编制</w:t>
            </w:r>
            <w:r>
              <w:rPr>
                <w:rFonts w:hint="eastAsia" w:ascii="宋体" w:hAnsi="宋体" w:eastAsia="宋体" w:cs="宋体"/>
                <w:color w:val="000000" w:themeColor="text1"/>
                <w:sz w:val="24"/>
                <w:szCs w:val="24"/>
                <w:highlight w:val="none"/>
                <w14:textFill>
                  <w14:solidFill>
                    <w14:schemeClr w14:val="tx1"/>
                  </w14:solidFill>
                </w14:textFill>
              </w:rPr>
              <w:t>符合招标文件要求；</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投标文件按招标文件要求签署、盖章；</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按照招标文件的规定</w:t>
            </w:r>
            <w:r>
              <w:rPr>
                <w:rFonts w:hint="eastAsia" w:ascii="宋体" w:hAnsi="宋体" w:eastAsia="宋体" w:cs="宋体"/>
                <w:color w:val="000000" w:themeColor="text1"/>
                <w:sz w:val="24"/>
                <w:szCs w:val="24"/>
                <w:highlight w:val="none"/>
                <w:lang w:eastAsia="zh-CN"/>
                <w14:textFill>
                  <w14:solidFill>
                    <w14:schemeClr w14:val="tx1"/>
                  </w14:solidFill>
                </w14:textFill>
              </w:rPr>
              <w:t>缴纳</w:t>
            </w:r>
            <w:r>
              <w:rPr>
                <w:rFonts w:hint="eastAsia" w:ascii="宋体" w:hAnsi="宋体" w:eastAsia="宋体" w:cs="宋体"/>
                <w:color w:val="000000" w:themeColor="text1"/>
                <w:sz w:val="24"/>
                <w:szCs w:val="24"/>
                <w:highlight w:val="none"/>
                <w14:textFill>
                  <w14:solidFill>
                    <w14:schemeClr w14:val="tx1"/>
                  </w14:solidFill>
                </w14:textFill>
              </w:rPr>
              <w:t>投标保证金；</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未</w:t>
            </w:r>
            <w:r>
              <w:rPr>
                <w:rFonts w:hint="eastAsia" w:ascii="宋体" w:hAnsi="宋体" w:eastAsia="宋体" w:cs="宋体"/>
                <w:color w:val="000000" w:themeColor="text1"/>
                <w:sz w:val="24"/>
                <w:szCs w:val="24"/>
                <w:highlight w:val="none"/>
                <w14:textFill>
                  <w14:solidFill>
                    <w14:schemeClr w14:val="tx1"/>
                  </w14:solidFill>
                </w14:textFill>
              </w:rPr>
              <w:t>超过招标文件中规定的最高限价；</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2"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合同履约期限</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质保期</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投标有效期</w:t>
            </w:r>
            <w:r>
              <w:rPr>
                <w:rFonts w:hint="eastAsia" w:ascii="宋体" w:hAnsi="宋体" w:eastAsia="宋体" w:cs="宋体"/>
                <w:color w:val="000000" w:themeColor="text1"/>
                <w:sz w:val="24"/>
                <w:szCs w:val="24"/>
                <w:highlight w:val="none"/>
                <w14:textFill>
                  <w14:solidFill>
                    <w14:schemeClr w14:val="tx1"/>
                  </w14:solidFill>
                </w14:textFill>
              </w:rPr>
              <w:t>符合招标文件规定期限；</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实质性响应</w:t>
            </w:r>
            <w:r>
              <w:rPr>
                <w:rFonts w:hint="eastAsia" w:ascii="宋体" w:hAnsi="宋体" w:eastAsia="宋体"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lang w:eastAsia="zh-CN"/>
                <w14:textFill>
                  <w14:solidFill>
                    <w14:schemeClr w14:val="tx1"/>
                  </w14:solidFill>
                </w14:textFill>
              </w:rPr>
              <w:t>文件</w:t>
            </w:r>
            <w:r>
              <w:rPr>
                <w:rFonts w:hint="eastAsia" w:ascii="宋体" w:hAnsi="宋体" w:eastAsia="宋体" w:cs="宋体"/>
                <w:color w:val="000000" w:themeColor="text1"/>
                <w:sz w:val="24"/>
                <w:szCs w:val="24"/>
                <w:highlight w:val="none"/>
                <w14:textFill>
                  <w14:solidFill>
                    <w14:schemeClr w14:val="tx1"/>
                  </w14:solidFill>
                </w14:textFill>
              </w:rPr>
              <w:t>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exact"/>
          <w:jc w:val="center"/>
        </w:trPr>
        <w:tc>
          <w:tcPr>
            <w:tcW w:w="3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6109" w:type="dxa"/>
            <w:vAlign w:val="center"/>
          </w:tcPr>
          <w:p>
            <w:pPr>
              <w:pStyle w:val="48"/>
              <w:spacing w:line="380" w:lineRule="exact"/>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不存在</w:t>
            </w:r>
            <w:r>
              <w:rPr>
                <w:rFonts w:hint="eastAsia" w:ascii="宋体" w:hAnsi="宋体" w:eastAsia="宋体" w:cs="宋体"/>
                <w:color w:val="000000" w:themeColor="text1"/>
                <w:sz w:val="24"/>
                <w:szCs w:val="24"/>
                <w:highlight w:val="none"/>
                <w:lang w:eastAsia="zh-CN"/>
                <w14:textFill>
                  <w14:solidFill>
                    <w14:schemeClr w14:val="tx1"/>
                  </w14:solidFill>
                </w14:textFill>
              </w:rPr>
              <w:t>采购人不能接受的附加条件、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不存在法律、法规和招标文件规定的其他无效情形</w:t>
            </w:r>
            <w:r>
              <w:rPr>
                <w:rFonts w:hint="eastAsia" w:ascii="宋体" w:hAnsi="宋体" w:eastAsia="宋体" w:cs="宋体"/>
                <w:color w:val="000000" w:themeColor="text1"/>
                <w:sz w:val="24"/>
                <w:szCs w:val="24"/>
                <w:highlight w:val="none"/>
                <w14:textFill>
                  <w14:solidFill>
                    <w14:schemeClr w14:val="tx1"/>
                  </w14:solidFill>
                </w14:textFill>
              </w:rPr>
              <w:t>。</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1" w:hRule="exact"/>
          <w:jc w:val="center"/>
        </w:trPr>
        <w:tc>
          <w:tcPr>
            <w:tcW w:w="4021" w:type="pct"/>
            <w:gridSpan w:val="2"/>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审查结果（通过/不通过）</w:t>
            </w:r>
          </w:p>
        </w:tc>
        <w:tc>
          <w:tcPr>
            <w:tcW w:w="468"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8" w:hRule="exact"/>
          <w:jc w:val="center"/>
        </w:trPr>
        <w:tc>
          <w:tcPr>
            <w:tcW w:w="5000" w:type="pct"/>
            <w:gridSpan w:val="4"/>
            <w:vAlign w:val="center"/>
          </w:tcPr>
          <w:p>
            <w:pPr>
              <w:pStyle w:val="48"/>
              <w:pageBreakBefore w:val="0"/>
              <w:kinsoku/>
              <w:wordWrap/>
              <w:overflowPunct/>
              <w:topLinePunct w:val="0"/>
              <w:autoSpaceDE/>
              <w:autoSpaceDN/>
              <w:bidi w:val="0"/>
              <w:adjustRightInd/>
              <w:spacing w:line="380" w:lineRule="exact"/>
              <w:jc w:val="lef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备注：如果投标文件中有一项未通过上述审查标准，评标委员会将认定整个投标文件不响应</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而予以无效处理，并且不允许投标人通过修改或撤销其不符合要求的差异或保留，使之成为具有响应性的投标。</w:t>
            </w:r>
          </w:p>
        </w:tc>
      </w:tr>
    </w:tbl>
    <w:p>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3.2.1在投标文件符合性审查过程中，如果出现评标委员会成员意见不一致的情况，按照少数服从多数的原则确定，但不得违背政府采购基本原则和</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澄清有关问题。对投标文件中含义不明确、同类问题表述不一致或者有明显文字和计算错误的内容，评标委员会可以书面形式（应当由评标委员会签字）要求投标人作出必要的澄清、说明或者补正。投标人的澄清、说明或者补正应当采用书面形式，由其授权人或者被授权人签字，并不得超出投标文件的范围或者改变投标文件的实质性内容。</w:t>
      </w:r>
      <w:bookmarkStart w:id="154" w:name="_Toc183682422"/>
      <w:bookmarkStart w:id="155" w:name="_Toc217446104"/>
      <w:bookmarkStart w:id="156" w:name="_Toc183582287"/>
    </w:p>
    <w:bookmarkEnd w:id="154"/>
    <w:bookmarkEnd w:id="155"/>
    <w:bookmarkEnd w:id="156"/>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3.4比较与评价。按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中规定的评标方法和标准，对符合性审查合格的投标文件进行综合比较与评价。</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3.5推荐中标候选人名单。中标候选人数量应当根据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确定，但必须按顺序排列中标候选人。</w:t>
      </w:r>
    </w:p>
    <w:p>
      <w:pPr>
        <w:pStyle w:val="42"/>
        <w:pageBreakBefore w:val="0"/>
        <w:kinsoku/>
        <w:wordWrap/>
        <w:overflowPunct/>
        <w:topLinePunct w:val="0"/>
        <w:autoSpaceDE/>
        <w:autoSpaceDN/>
        <w:bidi w:val="0"/>
        <w:adjustRightInd/>
        <w:spacing w:line="380" w:lineRule="exac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3.5.1评标委员会根据综合评分情况，按照评标得分由高到低顺序推荐3名中标候选人，并编写评标报告。得分相同的，按投标报价由低到高顺序排列。得分且投标报价相同的</w:t>
      </w:r>
      <w:r>
        <w:rPr>
          <w:rFonts w:hint="eastAsia" w:ascii="宋体" w:hAnsi="宋体" w:eastAsia="宋体" w:cs="宋体"/>
          <w:color w:val="000000" w:themeColor="text1"/>
          <w:sz w:val="24"/>
          <w:szCs w:val="24"/>
          <w:highlight w:val="none"/>
          <w:shd w:val="clear" w:color="auto" w:fill="FAFAFA"/>
          <w14:textFill>
            <w14:solidFill>
              <w14:schemeClr w14:val="tx1"/>
            </w14:solidFill>
          </w14:textFill>
        </w:rPr>
        <w:t>，按照技术指标优劣顺序推荐</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3.6编写评标报告。评标报告是评标委员会根据评标委员成员签字的原始评标记录和评标结果编写的报告，其主要内容包括：</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（1）项目概况、开标日期和地点；</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（2）参与竞争的的投标人名单和评标委员会成员名单；</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（3）评审因素和评分标准；</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（4）开标记录和评标情况及说明，包括投标无效投标人名单及原因；</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（5）评标结果和中标候选人排序。</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57" w:name="_Toc217446103"/>
      <w:r>
        <w:rPr>
          <w:rFonts w:hint="eastAsia" w:ascii="宋体" w:hAnsi="宋体" w:eastAsia="宋体" w:cs="宋体"/>
          <w:color w:val="000000" w:themeColor="text1"/>
          <w:sz w:val="24"/>
          <w:szCs w:val="24"/>
          <w:highlight w:val="none"/>
          <w14:textFill>
            <w14:solidFill>
              <w14:schemeClr w14:val="tx1"/>
            </w14:solidFill>
          </w14:textFill>
        </w:rPr>
        <w:t>4. 评标细则及标准</w:t>
      </w:r>
      <w:bookmarkEnd w:id="157"/>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 评标委员会只对通过符合性审查的投标文件，根据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的要求采用相同的评标程序、评分办法及标准进行评价和比较。</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 本次综合评分的因素是：商务、价格、技术服务、业绩、对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的响应程度以及投标文件规范性等。</w:t>
      </w:r>
    </w:p>
    <w:p>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 除价格因素外，评标委员会成员应依据投标文件规定的评审因素和评分标准进行比较打分。</w:t>
      </w:r>
    </w:p>
    <w:p>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4.4评标细则及标准的制定以科学合理、降低评标委员会自由裁量权为原则。</w:t>
      </w:r>
    </w:p>
    <w:p>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4.5评标委员会将按照下述评分标准对通过符合性审查的投标文件进行详细评标，投标人评标得分等于所有评委评分的算术平均值，结果保留两位小数。</w:t>
      </w:r>
    </w:p>
    <w:p>
      <w:pPr>
        <w:pStyle w:val="12"/>
        <w:tabs>
          <w:tab w:val="left" w:pos="600"/>
        </w:tabs>
        <w:spacing w:line="360" w:lineRule="auto"/>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评审因素权重表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6"/>
        <w:gridCol w:w="1974"/>
        <w:gridCol w:w="2241"/>
        <w:gridCol w:w="2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序号</w:t>
            </w:r>
          </w:p>
        </w:tc>
        <w:tc>
          <w:tcPr>
            <w:tcW w:w="1158"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1</w:t>
            </w:r>
          </w:p>
        </w:tc>
        <w:tc>
          <w:tcPr>
            <w:tcW w:w="1315"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2</w:t>
            </w:r>
          </w:p>
        </w:tc>
        <w:tc>
          <w:tcPr>
            <w:tcW w:w="1583"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评审因素</w:t>
            </w:r>
          </w:p>
        </w:tc>
        <w:tc>
          <w:tcPr>
            <w:tcW w:w="1158"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投标报价</w:t>
            </w:r>
          </w:p>
        </w:tc>
        <w:tc>
          <w:tcPr>
            <w:tcW w:w="1315"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技术、商务部分</w:t>
            </w:r>
          </w:p>
        </w:tc>
        <w:tc>
          <w:tcPr>
            <w:tcW w:w="1583"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权重</w:t>
            </w:r>
          </w:p>
        </w:tc>
        <w:tc>
          <w:tcPr>
            <w:tcW w:w="1158"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pacing w:val="6"/>
                <w:kern w:val="0"/>
                <w:sz w:val="24"/>
                <w:szCs w:val="24"/>
                <w:highlight w:val="none"/>
                <w14:textFill>
                  <w14:solidFill>
                    <w14:schemeClr w14:val="tx1"/>
                  </w14:solidFill>
                </w14:textFill>
              </w:rPr>
              <w:t>0%</w:t>
            </w:r>
          </w:p>
        </w:tc>
        <w:tc>
          <w:tcPr>
            <w:tcW w:w="1315"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pacing w:val="6"/>
                <w:kern w:val="0"/>
                <w:sz w:val="24"/>
                <w:szCs w:val="24"/>
                <w:highlight w:val="none"/>
                <w14:textFill>
                  <w14:solidFill>
                    <w14:schemeClr w14:val="tx1"/>
                  </w14:solidFill>
                </w14:textFill>
              </w:rPr>
              <w:t>0%</w:t>
            </w:r>
          </w:p>
        </w:tc>
        <w:tc>
          <w:tcPr>
            <w:tcW w:w="1583"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100%</w:t>
            </w:r>
          </w:p>
        </w:tc>
      </w:tr>
    </w:tbl>
    <w:p>
      <w:pPr>
        <w:pStyle w:val="12"/>
        <w:tabs>
          <w:tab w:val="left" w:pos="600"/>
        </w:tabs>
        <w:spacing w:line="360" w:lineRule="auto"/>
        <w:ind w:firstLine="0"/>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技术、商务部分评审标准（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bCs/>
          <w:color w:val="000000" w:themeColor="text1"/>
          <w:sz w:val="24"/>
          <w:szCs w:val="24"/>
          <w:highlight w:val="none"/>
          <w14:textFill>
            <w14:solidFill>
              <w14:schemeClr w14:val="tx1"/>
            </w14:solidFill>
          </w14:textFill>
        </w:rPr>
        <w:t>0分）</w:t>
      </w:r>
    </w:p>
    <w:tbl>
      <w:tblPr>
        <w:tblStyle w:val="29"/>
        <w:tblW w:w="88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3"/>
        <w:gridCol w:w="1220"/>
        <w:gridCol w:w="992"/>
        <w:gridCol w:w="589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jc w:val="center"/>
        </w:trPr>
        <w:tc>
          <w:tcPr>
            <w:tcW w:w="743" w:type="dxa"/>
            <w:tcBorders>
              <w:lef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序号</w:t>
            </w:r>
          </w:p>
        </w:tc>
        <w:tc>
          <w:tcPr>
            <w:tcW w:w="1220" w:type="dxa"/>
            <w:tcBorders>
              <w:lef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评审因素</w:t>
            </w:r>
          </w:p>
        </w:tc>
        <w:tc>
          <w:tcPr>
            <w:tcW w:w="992"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 xml:space="preserve">分值 </w:t>
            </w:r>
          </w:p>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70</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w:t>
            </w:r>
          </w:p>
        </w:tc>
        <w:tc>
          <w:tcPr>
            <w:tcW w:w="5898"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评审标准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6" w:hRule="atLeast"/>
          <w:jc w:val="center"/>
        </w:trPr>
        <w:tc>
          <w:tcPr>
            <w:tcW w:w="743"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w:t>
            </w:r>
          </w:p>
        </w:tc>
        <w:tc>
          <w:tcPr>
            <w:tcW w:w="1220"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投标人业</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绩</w:t>
            </w:r>
          </w:p>
        </w:tc>
        <w:tc>
          <w:tcPr>
            <w:tcW w:w="992"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6分</w:t>
            </w:r>
          </w:p>
        </w:tc>
        <w:tc>
          <w:tcPr>
            <w:tcW w:w="5898"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根据</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投标人</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提供近三年（</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20</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21</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年</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06</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月01日-投标文件上传截止时间前，</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业绩认定日期以</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合同签订日期</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为准）类似业绩进行评分，1项得</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分，最高得</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6</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w:t>
            </w:r>
          </w:p>
          <w:p>
            <w:pPr>
              <w:pStyle w:val="48"/>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中标通知书和</w:t>
            </w:r>
            <w:r>
              <w:rPr>
                <w:rFonts w:hint="eastAsia" w:ascii="宋体" w:hAnsi="宋体" w:eastAsia="宋体" w:cs="宋体"/>
                <w:color w:val="000000" w:themeColor="text1"/>
                <w:sz w:val="24"/>
                <w:szCs w:val="24"/>
                <w:highlight w:val="none"/>
                <w14:textFill>
                  <w14:solidFill>
                    <w14:schemeClr w14:val="tx1"/>
                  </w14:solidFill>
                </w14:textFill>
              </w:rPr>
              <w:t>合同（至少包括合同首页、标的页、签字</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页、</w:t>
            </w:r>
            <w:r>
              <w:rPr>
                <w:rFonts w:hint="eastAsia" w:ascii="宋体" w:hAnsi="宋体" w:cs="宋体"/>
                <w:color w:val="000000" w:themeColor="text1"/>
                <w:sz w:val="24"/>
                <w:szCs w:val="24"/>
                <w:highlight w:val="none"/>
                <w:lang w:eastAsia="zh-CN"/>
                <w14:textFill>
                  <w14:solidFill>
                    <w14:schemeClr w14:val="tx1"/>
                  </w14:solidFill>
                </w14:textFill>
              </w:rPr>
              <w:t>采购</w:t>
            </w:r>
            <w:r>
              <w:rPr>
                <w:rFonts w:hint="eastAsia" w:ascii="宋体" w:hAnsi="宋体" w:eastAsia="宋体" w:cs="宋体"/>
                <w:color w:val="000000" w:themeColor="text1"/>
                <w:sz w:val="24"/>
                <w:szCs w:val="24"/>
                <w:highlight w:val="none"/>
                <w14:textFill>
                  <w14:solidFill>
                    <w14:schemeClr w14:val="tx1"/>
                  </w14:solidFill>
                </w14:textFill>
              </w:rPr>
              <w:t>内容页）</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等证明材料</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pacing w:val="-9"/>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pacing w:val="-9"/>
                <w:sz w:val="24"/>
                <w:szCs w:val="24"/>
                <w:highlight w:val="none"/>
                <w:lang w:val="en-US" w:eastAsia="zh-CN"/>
                <w14:textFill>
                  <w14:solidFill>
                    <w14:schemeClr w14:val="tx1"/>
                  </w14:solidFill>
                </w14:textFill>
              </w:rPr>
              <w:t>2</w:t>
            </w:r>
          </w:p>
        </w:tc>
        <w:tc>
          <w:tcPr>
            <w:tcW w:w="1220"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pacing w:val="-9"/>
                <w:sz w:val="24"/>
                <w:szCs w:val="24"/>
                <w:highlight w:val="none"/>
                <w14:textFill>
                  <w14:solidFill>
                    <w14:schemeClr w14:val="tx1"/>
                  </w14:solidFill>
                </w14:textFill>
              </w:rPr>
              <w:t>服务保障的符合程度</w:t>
            </w:r>
          </w:p>
        </w:tc>
        <w:tc>
          <w:tcPr>
            <w:tcW w:w="992"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10分</w:t>
            </w:r>
          </w:p>
        </w:tc>
        <w:tc>
          <w:tcPr>
            <w:tcW w:w="5898" w:type="dxa"/>
            <w:noWrap w:val="0"/>
            <w:vAlign w:val="center"/>
          </w:tcPr>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第四章项目采购需求中</w:t>
            </w:r>
            <w:r>
              <w:rPr>
                <w:rFonts w:hint="eastAsia" w:ascii="宋体" w:hAnsi="宋体" w:eastAsia="宋体" w:cs="宋体"/>
                <w:color w:val="000000" w:themeColor="text1"/>
                <w:sz w:val="24"/>
                <w:szCs w:val="24"/>
                <w:highlight w:val="none"/>
                <w14:textFill>
                  <w14:solidFill>
                    <w14:schemeClr w14:val="tx1"/>
                  </w14:solidFill>
                </w14:textFill>
              </w:rPr>
              <w:t>‘★’项为关键参数项</w:t>
            </w: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 xml:space="preserve">，满分10分，每一项不满足扣1分，扣完为止。 </w:t>
            </w:r>
          </w:p>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投标人需按第四章项目采购需求中的规定，提供证明材料复印件。如：产品样式及材质清单或认证证书或产品检测报告或鉴定证书或制造商产品彩页或制造商官网截图或制造商技术白皮书或制造商产品说明书等彩页或彩色实物照片或承诺函等，未提供、不清楚、不准确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3</w:t>
            </w:r>
          </w:p>
        </w:tc>
        <w:tc>
          <w:tcPr>
            <w:tcW w:w="1220"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pacing w:val="-9"/>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所投产品的性能和质量</w:t>
            </w:r>
          </w:p>
        </w:tc>
        <w:tc>
          <w:tcPr>
            <w:tcW w:w="992"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14分</w:t>
            </w:r>
          </w:p>
        </w:tc>
        <w:tc>
          <w:tcPr>
            <w:tcW w:w="5898" w:type="dxa"/>
            <w:noWrap w:val="0"/>
            <w:vAlign w:val="center"/>
          </w:tcPr>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第四章项目采购需求中非</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 xml:space="preserve">则表示属一般指标项，满分14分，每一项不满足扣0.3分，扣完为止。 </w:t>
            </w:r>
          </w:p>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投标人需按第四章项目采购需求中的规定，提供证明材料复印件。如：产品样式及材质清单或认证证书或产品检测报告或鉴定证书或制造商产品彩页或制造商官网截图或制造商技术白皮书或制造商产品说明书等彩页或彩色实物照片或承诺函等，未提供、不清楚、不准确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4</w:t>
            </w:r>
          </w:p>
        </w:tc>
        <w:tc>
          <w:tcPr>
            <w:tcW w:w="1220"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技术方案</w:t>
            </w:r>
          </w:p>
        </w:tc>
        <w:tc>
          <w:tcPr>
            <w:tcW w:w="992"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6分</w:t>
            </w:r>
          </w:p>
        </w:tc>
        <w:tc>
          <w:tcPr>
            <w:tcW w:w="5898" w:type="dxa"/>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对本项目的软件和硬件建设方案进行阐述。</w:t>
            </w:r>
          </w:p>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①提供软件系统建设方案：包括小程序、控制台、管理后台，场景展示等。 </w:t>
            </w:r>
          </w:p>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②投标人应提供完整详细的硬件建设方案，包括硬件设备名称，设备数量，设备质量，设备性能等。</w:t>
            </w:r>
          </w:p>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案全面、切实可行、科学先进且符合实际操作得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案基本全面、切实可行，科学先进且基本符合实际操作得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案不够全面、基本可行，不够科学先进且不符合实际操作得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投标文件中未作针对性描述的</w:t>
            </w:r>
            <w:r>
              <w:rPr>
                <w:rFonts w:hint="eastAsia" w:ascii="宋体" w:hAnsi="宋体" w:eastAsia="宋体" w:cs="宋体"/>
                <w:color w:val="000000" w:themeColor="text1"/>
                <w:sz w:val="24"/>
                <w:szCs w:val="24"/>
                <w:highlight w:val="none"/>
                <w:lang w:val="zh-CN"/>
                <w14:textFill>
                  <w14:solidFill>
                    <w14:schemeClr w14:val="tx1"/>
                  </w14:solidFill>
                </w14:textFill>
              </w:rPr>
              <w:t>得0分</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5</w:t>
            </w:r>
          </w:p>
        </w:tc>
        <w:tc>
          <w:tcPr>
            <w:tcW w:w="1220"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项目组织实施方案</w:t>
            </w:r>
          </w:p>
        </w:tc>
        <w:tc>
          <w:tcPr>
            <w:tcW w:w="992"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12分</w:t>
            </w:r>
          </w:p>
        </w:tc>
        <w:tc>
          <w:tcPr>
            <w:tcW w:w="5898" w:type="dxa"/>
            <w:noWrap w:val="0"/>
            <w:vAlign w:val="center"/>
          </w:tcPr>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项目组织实施方案包括：①图书质量保障方案；②智慧图书馆内容展示方案；③供货及安装验收方案。④项目管理方案。</w:t>
            </w:r>
          </w:p>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案全面、切实可行、科学先进且符合实际操作得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案基本全面、切实可行，科学先进且基本符合实际操作得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案不够全面、基本可行，不够科学先进且不符合实际操作得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投标文件中未作针对性描述的</w:t>
            </w:r>
            <w:r>
              <w:rPr>
                <w:rFonts w:hint="eastAsia" w:ascii="宋体" w:hAnsi="宋体" w:eastAsia="宋体" w:cs="宋体"/>
                <w:color w:val="000000" w:themeColor="text1"/>
                <w:sz w:val="24"/>
                <w:szCs w:val="24"/>
                <w:highlight w:val="none"/>
                <w:lang w:val="zh-CN"/>
                <w14:textFill>
                  <w14:solidFill>
                    <w14:schemeClr w14:val="tx1"/>
                  </w14:solidFill>
                </w14:textFill>
              </w:rPr>
              <w:t>得0分</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6</w:t>
            </w:r>
          </w:p>
        </w:tc>
        <w:tc>
          <w:tcPr>
            <w:tcW w:w="1220"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项目实施团队</w:t>
            </w:r>
          </w:p>
        </w:tc>
        <w:tc>
          <w:tcPr>
            <w:tcW w:w="992"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9分</w:t>
            </w:r>
          </w:p>
        </w:tc>
        <w:tc>
          <w:tcPr>
            <w:tcW w:w="5898" w:type="dxa"/>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项目实施团队内容包括：①人员配备（含项目负责人、项目实施人员、售后服务人员等）；②组织结构及专业搭配；③人员技术力量等（技术人员需提供相关证书）。</w:t>
            </w:r>
          </w:p>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全面、切实可行、完全符合实际情况，一项得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Chars="0"/>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基本全面、</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可行、</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pPr>
              <w:pStyle w:val="22"/>
              <w:keepNext w:val="0"/>
              <w:keepLines w:val="0"/>
              <w:pageBreakBefore w:val="0"/>
              <w:widowControl w:val="0"/>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不够全面、不可行，不符合实际情况，一项得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文件中未作针对性描述的得0分。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pageBreakBefore w:val="0"/>
              <w:tabs>
                <w:tab w:val="left" w:pos="749"/>
                <w:tab w:val="left" w:pos="3346"/>
                <w:tab w:val="left" w:pos="3873"/>
                <w:tab w:val="left" w:pos="9611"/>
              </w:tabs>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220" w:type="dxa"/>
            <w:noWrap w:val="0"/>
            <w:vAlign w:val="center"/>
          </w:tcPr>
          <w:p>
            <w:pPr>
              <w:keepNext w:val="0"/>
              <w:pageBreakBefore w:val="0"/>
              <w:tabs>
                <w:tab w:val="left" w:pos="749"/>
                <w:tab w:val="left" w:pos="3346"/>
                <w:tab w:val="left" w:pos="3873"/>
                <w:tab w:val="left" w:pos="9611"/>
              </w:tabs>
              <w:kinsoku/>
              <w:wordWrap/>
              <w:overflowPunct/>
              <w:topLinePunct w:val="0"/>
              <w:bidi w:val="0"/>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进度计划及保障措施</w:t>
            </w:r>
          </w:p>
        </w:tc>
        <w:tc>
          <w:tcPr>
            <w:tcW w:w="992" w:type="dxa"/>
            <w:noWrap w:val="0"/>
            <w:vAlign w:val="center"/>
          </w:tcPr>
          <w:p>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分</w:t>
            </w:r>
          </w:p>
        </w:tc>
        <w:tc>
          <w:tcPr>
            <w:tcW w:w="5898" w:type="dxa"/>
            <w:noWrap w:val="0"/>
            <w:vAlign w:val="center"/>
          </w:tcPr>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根据</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lang w:val="zh-CN"/>
                <w14:textFill>
                  <w14:solidFill>
                    <w14:schemeClr w14:val="tx1"/>
                  </w14:solidFill>
                </w14:textFill>
              </w:rPr>
              <w:t>提供的</w:t>
            </w:r>
            <w:r>
              <w:rPr>
                <w:rFonts w:hint="eastAsia" w:ascii="宋体" w:hAnsi="宋体" w:eastAsia="宋体" w:cs="宋体"/>
                <w:color w:val="000000" w:themeColor="text1"/>
                <w:sz w:val="24"/>
                <w:szCs w:val="24"/>
                <w:highlight w:val="none"/>
                <w14:textFill>
                  <w14:solidFill>
                    <w14:schemeClr w14:val="tx1"/>
                  </w14:solidFill>
                </w14:textFill>
              </w:rPr>
              <w:t>进度计划及保障措施</w:t>
            </w:r>
            <w:r>
              <w:rPr>
                <w:rFonts w:hint="eastAsia" w:ascii="宋体" w:hAnsi="宋体" w:eastAsia="宋体" w:cs="宋体"/>
                <w:color w:val="000000" w:themeColor="text1"/>
                <w:sz w:val="24"/>
                <w:szCs w:val="24"/>
                <w:highlight w:val="none"/>
                <w:lang w:val="zh-CN"/>
                <w14:textFill>
                  <w14:solidFill>
                    <w14:schemeClr w14:val="tx1"/>
                  </w14:solidFill>
                </w14:textFill>
              </w:rPr>
              <w:t>进行评分：</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实施进度计划合理、保障措施内容具体详细切实可行得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 xml:space="preserve">分； </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实施进度计划较合理、保障措施内容较可行得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 xml:space="preserve">分； </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实施进度计划一般、保障措施内容基本可行得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分。</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实施进度计划较差、保障措施内容基本较不可行得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分。</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实施进度计划差、保障措施内容不可行得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分。</w:t>
            </w:r>
          </w:p>
          <w:p>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w:t>
            </w:r>
            <w:r>
              <w:rPr>
                <w:rFonts w:hint="eastAsia" w:ascii="宋体" w:hAnsi="宋体" w:eastAsia="宋体" w:cs="宋体"/>
                <w:color w:val="000000" w:themeColor="text1"/>
                <w:sz w:val="24"/>
                <w:szCs w:val="24"/>
                <w:highlight w:val="none"/>
                <w:lang w:val="zh-CN"/>
                <w14:textFill>
                  <w14:solidFill>
                    <w14:schemeClr w14:val="tx1"/>
                  </w14:solidFill>
                </w14:textFill>
              </w:rPr>
              <w:t>中未作针对性描述的得0分。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220" w:type="dxa"/>
            <w:noWrap w:val="0"/>
            <w:vAlign w:val="center"/>
          </w:tcPr>
          <w:p>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售后服务方案</w:t>
            </w:r>
          </w:p>
        </w:tc>
        <w:tc>
          <w:tcPr>
            <w:tcW w:w="992" w:type="dxa"/>
            <w:noWrap w:val="0"/>
            <w:vAlign w:val="center"/>
          </w:tcPr>
          <w:p>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8分</w:t>
            </w:r>
          </w:p>
        </w:tc>
        <w:tc>
          <w:tcPr>
            <w:tcW w:w="5898" w:type="dxa"/>
            <w:noWrap w:val="0"/>
            <w:vAlign w:val="center"/>
          </w:tcPr>
          <w:p>
            <w:pPr>
              <w:keepNext w:val="0"/>
              <w:pageBreakBefore w:val="0"/>
              <w:numPr>
                <w:ilvl w:val="0"/>
                <w:numId w:val="0"/>
              </w:numPr>
              <w:kinsoku/>
              <w:wordWrap/>
              <w:overflowPunct/>
              <w:topLinePunct w:val="0"/>
              <w:bidi w:val="0"/>
              <w:spacing w:line="240" w:lineRule="auto"/>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售后服务方案包括：①</w:t>
            </w:r>
            <w:r>
              <w:rPr>
                <w:rFonts w:hint="eastAsia" w:ascii="宋体" w:hAnsi="宋体" w:eastAsia="宋体" w:cs="宋体"/>
                <w:color w:val="000000" w:themeColor="text1"/>
                <w:sz w:val="24"/>
                <w:szCs w:val="24"/>
                <w:highlight w:val="none"/>
                <w14:textFill>
                  <w14:solidFill>
                    <w14:schemeClr w14:val="tx1"/>
                  </w14:solidFill>
                </w14:textFill>
              </w:rPr>
              <w:t>售后服务体系</w:t>
            </w:r>
            <w:r>
              <w:rPr>
                <w:rFonts w:hint="eastAsia" w:ascii="宋体" w:hAnsi="宋体" w:eastAsia="宋体" w:cs="宋体"/>
                <w:color w:val="000000" w:themeColor="text1"/>
                <w:sz w:val="24"/>
                <w:szCs w:val="24"/>
                <w:highlight w:val="none"/>
                <w:lang w:eastAsia="zh-CN"/>
                <w14:textFill>
                  <w14:solidFill>
                    <w14:schemeClr w14:val="tx1"/>
                  </w14:solidFill>
                </w14:textFill>
              </w:rPr>
              <w:t>和流程；②</w:t>
            </w:r>
            <w:r>
              <w:rPr>
                <w:rFonts w:hint="eastAsia" w:ascii="宋体" w:hAnsi="宋体" w:eastAsia="宋体" w:cs="宋体"/>
                <w:color w:val="000000" w:themeColor="text1"/>
                <w:sz w:val="24"/>
                <w:szCs w:val="24"/>
                <w:highlight w:val="none"/>
                <w14:textFill>
                  <w14:solidFill>
                    <w14:schemeClr w14:val="tx1"/>
                  </w14:solidFill>
                </w14:textFill>
              </w:rPr>
              <w:t>售后服务响应时间</w:t>
            </w:r>
            <w:r>
              <w:rPr>
                <w:rFonts w:hint="eastAsia" w:ascii="宋体" w:hAnsi="宋体" w:eastAsia="宋体" w:cs="宋体"/>
                <w:color w:val="000000" w:themeColor="text1"/>
                <w:sz w:val="24"/>
                <w:szCs w:val="24"/>
                <w:highlight w:val="none"/>
                <w:lang w:eastAsia="zh-CN"/>
                <w14:textFill>
                  <w14:solidFill>
                    <w14:schemeClr w14:val="tx1"/>
                  </w14:solidFill>
                </w14:textFill>
              </w:rPr>
              <w:t>及</w:t>
            </w:r>
            <w:r>
              <w:rPr>
                <w:rFonts w:hint="eastAsia" w:ascii="宋体" w:hAnsi="宋体" w:eastAsia="宋体" w:cs="宋体"/>
                <w:color w:val="000000" w:themeColor="text1"/>
                <w:sz w:val="24"/>
                <w:szCs w:val="24"/>
                <w:highlight w:val="none"/>
                <w14:textFill>
                  <w14:solidFill>
                    <w14:schemeClr w14:val="tx1"/>
                  </w14:solidFill>
                </w14:textFill>
              </w:rPr>
              <w:t>售后服务计划</w:t>
            </w:r>
            <w:r>
              <w:rPr>
                <w:rFonts w:hint="eastAsia" w:ascii="宋体" w:hAnsi="宋体" w:eastAsia="宋体" w:cs="宋体"/>
                <w:color w:val="000000" w:themeColor="text1"/>
                <w:sz w:val="24"/>
                <w:szCs w:val="24"/>
                <w:highlight w:val="none"/>
                <w:lang w:eastAsia="zh-CN"/>
                <w14:textFill>
                  <w14:solidFill>
                    <w14:schemeClr w14:val="tx1"/>
                  </w14:solidFill>
                </w14:textFill>
              </w:rPr>
              <w:t>；③</w:t>
            </w:r>
            <w:r>
              <w:rPr>
                <w:rFonts w:hint="eastAsia" w:ascii="宋体" w:hAnsi="宋体" w:eastAsia="宋体" w:cs="宋体"/>
                <w:color w:val="000000" w:themeColor="text1"/>
                <w:sz w:val="24"/>
                <w:szCs w:val="24"/>
                <w:highlight w:val="none"/>
                <w:lang w:val="en-US" w:eastAsia="zh-CN"/>
                <w14:textFill>
                  <w14:solidFill>
                    <w14:schemeClr w14:val="tx1"/>
                  </w14:solidFill>
                </w14:textFill>
              </w:rPr>
              <w:t>定期回访制度、项目应急预案</w:t>
            </w:r>
            <w:r>
              <w:rPr>
                <w:rFonts w:hint="eastAsia" w:ascii="宋体" w:hAnsi="宋体" w:eastAsia="宋体" w:cs="宋体"/>
                <w:color w:val="000000" w:themeColor="text1"/>
                <w:sz w:val="24"/>
                <w:szCs w:val="24"/>
                <w:highlight w:val="none"/>
                <w:lang w:eastAsia="zh-CN"/>
                <w14:textFill>
                  <w14:solidFill>
                    <w14:schemeClr w14:val="tx1"/>
                  </w14:solidFill>
                </w14:textFill>
              </w:rPr>
              <w:t>；④</w:t>
            </w:r>
            <w:r>
              <w:rPr>
                <w:rFonts w:hint="eastAsia" w:ascii="宋体" w:hAnsi="宋体" w:eastAsia="宋体" w:cs="宋体"/>
                <w:color w:val="000000" w:themeColor="text1"/>
                <w:kern w:val="0"/>
                <w:sz w:val="24"/>
                <w:szCs w:val="24"/>
                <w:highlight w:val="none"/>
                <w14:textFill>
                  <w14:solidFill>
                    <w14:schemeClr w14:val="tx1"/>
                  </w14:solidFill>
                </w14:textFill>
              </w:rPr>
              <w:t>故障检修方案</w:t>
            </w:r>
            <w:r>
              <w:rPr>
                <w:rFonts w:hint="eastAsia" w:ascii="宋体" w:hAnsi="宋体" w:eastAsia="宋体" w:cs="宋体"/>
                <w:color w:val="000000" w:themeColor="text1"/>
                <w:kern w:val="0"/>
                <w:sz w:val="24"/>
                <w:szCs w:val="24"/>
                <w:highlight w:val="none"/>
                <w:lang w:eastAsia="zh-CN"/>
                <w14:textFill>
                  <w14:solidFill>
                    <w14:schemeClr w14:val="tx1"/>
                  </w14:solidFill>
                </w14:textFill>
              </w:rPr>
              <w:t>。</w:t>
            </w:r>
          </w:p>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全面、切实可行、完全符合实际情况，一项得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Chars="0"/>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基本全面、</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可行、</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pPr>
              <w:pStyle w:val="22"/>
              <w:keepNext w:val="0"/>
              <w:keepLines w:val="0"/>
              <w:pageBreakBefore w:val="0"/>
              <w:widowControl w:val="0"/>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不够全面、不可行，不符合实际情况，一项得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0.5</w:t>
            </w:r>
            <w:r>
              <w:rPr>
                <w:rFonts w:hint="eastAsia" w:ascii="宋体" w:hAnsi="宋体" w:eastAsia="宋体" w:cs="宋体"/>
                <w:color w:val="000000" w:themeColor="text1"/>
                <w:sz w:val="24"/>
                <w:szCs w:val="24"/>
                <w:highlight w:val="none"/>
                <w14:textFill>
                  <w14:solidFill>
                    <w14:schemeClr w14:val="tx1"/>
                  </w14:solidFill>
                </w14:textFill>
              </w:rPr>
              <w:t>分；</w:t>
            </w:r>
          </w:p>
          <w:p>
            <w:pPr>
              <w:pStyle w:val="2"/>
              <w:keepNext w:val="0"/>
              <w:pageBreakBefore w:val="0"/>
              <w:widowControl w:val="0"/>
              <w:kinsoku/>
              <w:wordWrap/>
              <w:overflowPunct/>
              <w:topLinePunct w:val="0"/>
              <w:autoSpaceDE/>
              <w:autoSpaceDN/>
              <w:bidi w:val="0"/>
              <w:spacing w:before="0" w:after="0" w:line="24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文件中未作针对性描述的得0分。</w:t>
            </w:r>
          </w:p>
        </w:tc>
      </w:tr>
    </w:tbl>
    <w:p>
      <w:pPr>
        <w:jc w:val="center"/>
        <w:rPr>
          <w:rFonts w:hint="eastAsia" w:ascii="宋体" w:hAnsi="宋体" w:eastAsia="宋体" w:cs="宋体"/>
          <w:b/>
          <w:bCs/>
          <w:color w:val="000000" w:themeColor="text1"/>
          <w:sz w:val="24"/>
          <w:szCs w:val="24"/>
          <w:highlight w:val="none"/>
          <w14:textFill>
            <w14:solidFill>
              <w14:schemeClr w14:val="tx1"/>
            </w14:solidFill>
          </w14:textFill>
        </w:rPr>
      </w:pP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报价部分评</w:t>
      </w:r>
      <w:r>
        <w:rPr>
          <w:rFonts w:hint="eastAsia" w:ascii="宋体" w:hAnsi="宋体" w:eastAsia="宋体" w:cs="宋体"/>
          <w:b/>
          <w:bCs/>
          <w:color w:val="000000" w:themeColor="text1"/>
          <w:sz w:val="24"/>
          <w:szCs w:val="24"/>
          <w:highlight w:val="none"/>
          <w:lang w:val="zh-CN"/>
          <w14:textFill>
            <w14:solidFill>
              <w14:schemeClr w14:val="tx1"/>
            </w14:solidFill>
          </w14:textFill>
        </w:rPr>
        <w:t>审</w:t>
      </w:r>
      <w:r>
        <w:rPr>
          <w:rFonts w:hint="eastAsia" w:ascii="宋体" w:hAnsi="宋体" w:eastAsia="宋体" w:cs="宋体"/>
          <w:b/>
          <w:bCs/>
          <w:color w:val="000000" w:themeColor="text1"/>
          <w:sz w:val="24"/>
          <w:szCs w:val="24"/>
          <w:highlight w:val="none"/>
          <w14:textFill>
            <w14:solidFill>
              <w14:schemeClr w14:val="tx1"/>
            </w14:solidFill>
          </w14:textFill>
        </w:rPr>
        <w:t>标准（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b/>
          <w:bCs/>
          <w:color w:val="000000" w:themeColor="text1"/>
          <w:sz w:val="24"/>
          <w:szCs w:val="24"/>
          <w:highlight w:val="none"/>
          <w14:textFill>
            <w14:solidFill>
              <w14:schemeClr w14:val="tx1"/>
            </w14:solidFill>
          </w14:textFill>
        </w:rPr>
        <w:t>分）</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2"/>
        <w:gridCol w:w="1661"/>
        <w:gridCol w:w="6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324" w:type="pct"/>
            <w:vAlign w:val="center"/>
          </w:tcPr>
          <w:p>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bookmarkStart w:id="158" w:name="_Toc217446060"/>
            <w:r>
              <w:rPr>
                <w:rFonts w:hint="eastAsia" w:ascii="宋体" w:hAnsi="宋体" w:eastAsia="宋体" w:cs="宋体"/>
                <w:b/>
                <w:bCs/>
                <w:color w:val="000000" w:themeColor="text1"/>
                <w:sz w:val="24"/>
                <w:szCs w:val="24"/>
                <w:highlight w:val="none"/>
                <w:lang w:val="zh-CN"/>
                <w14:textFill>
                  <w14:solidFill>
                    <w14:schemeClr w14:val="tx1"/>
                  </w14:solidFill>
                </w14:textFill>
              </w:rPr>
              <w:t>序号</w:t>
            </w:r>
          </w:p>
        </w:tc>
        <w:tc>
          <w:tcPr>
            <w:tcW w:w="975" w:type="pct"/>
            <w:vAlign w:val="center"/>
          </w:tcPr>
          <w:p>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评审因素</w:t>
            </w:r>
          </w:p>
        </w:tc>
        <w:tc>
          <w:tcPr>
            <w:tcW w:w="3700" w:type="pct"/>
            <w:vAlign w:val="center"/>
          </w:tcPr>
          <w:p>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324" w:type="pct"/>
            <w:vAlign w:val="center"/>
          </w:tcPr>
          <w:p>
            <w:pPr>
              <w:autoSpaceDE w:val="0"/>
              <w:autoSpaceDN w:val="0"/>
              <w:adjustRightInd w:val="0"/>
              <w:jc w:val="center"/>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1</w:t>
            </w:r>
          </w:p>
        </w:tc>
        <w:tc>
          <w:tcPr>
            <w:tcW w:w="975" w:type="pct"/>
            <w:vAlign w:val="center"/>
          </w:tcPr>
          <w:p>
            <w:pPr>
              <w:autoSpaceDE w:val="0"/>
              <w:autoSpaceDN w:val="0"/>
              <w:adjustRightIn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投标报价</w:t>
            </w:r>
          </w:p>
        </w:tc>
        <w:tc>
          <w:tcPr>
            <w:tcW w:w="3700" w:type="pct"/>
            <w:vAlign w:val="center"/>
          </w:tcPr>
          <w:p>
            <w:pPr>
              <w:autoSpaceDE w:val="0"/>
              <w:autoSpaceDN w:val="0"/>
              <w:adjustRightInd w:val="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评标基准价即满足招标文件要求且投标价格最低的投标报价。</w:t>
            </w:r>
          </w:p>
          <w:p>
            <w:pPr>
              <w:autoSpaceDE w:val="0"/>
              <w:autoSpaceDN w:val="0"/>
              <w:adjustRightInd w:val="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投标报价得分=（评标基准价/投标报价）×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5000" w:type="pct"/>
            <w:gridSpan w:val="3"/>
            <w:vAlign w:val="center"/>
          </w:tcPr>
          <w:p>
            <w:pPr>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b/>
                <w:color w:val="000000" w:themeColor="text1"/>
                <w:sz w:val="24"/>
                <w:szCs w:val="24"/>
                <w:highlight w:val="none"/>
                <w:lang w:val="zh-CN"/>
                <w14:textFill>
                  <w14:solidFill>
                    <w14:schemeClr w14:val="tx1"/>
                  </w14:solidFill>
                </w14:textFill>
              </w:rPr>
              <w:t>评分注意事项：</w:t>
            </w:r>
          </w:p>
          <w:p>
            <w:pPr>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b/>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因落实政府采购政策进行价格调整的，评标委员会应记录价格调整的依据、计算过程及计算结果。</w:t>
            </w:r>
          </w:p>
        </w:tc>
      </w:tr>
    </w:tbl>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4.5.1投标人总分=报价部分得分+技术、商务部分得分，结果保留两位小数。</w:t>
      </w:r>
    </w:p>
    <w:bookmarkEnd w:id="153"/>
    <w:bookmarkEnd w:id="158"/>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 终止招标</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采购人、采购代理机构在发布招标公告、资格预审公告或者发出投标邀请书后，除因重大变故采购任务取消情况外，不得擅自终止招标活动。</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终止招标的，采购人或者采购代理机构应当及时在原公告发布媒体上发布终止公告，以书面形式通知已经获取招标文件、资格预审文件或者被邀请的潜在投标人，并将项目实施情况和采购任务取消原因报告本级财政部门。已经收取招标文件费用或者投标保证金的，采购人或者采购代理机构应当在终止采购活动后5个工作日内，退还所收取的招标文件费用和所收取的投标保证金及其在银行产生的孳息。</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 定标</w:t>
      </w:r>
      <w:bookmarkStart w:id="159" w:name="_Toc217446061"/>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 定标原则</w:t>
      </w:r>
      <w:bookmarkEnd w:id="159"/>
      <w:r>
        <w:rPr>
          <w:rFonts w:hint="eastAsia" w:ascii="宋体" w:hAnsi="宋体" w:eastAsia="宋体" w:cs="宋体"/>
          <w:color w:val="000000" w:themeColor="text1"/>
          <w:sz w:val="24"/>
          <w:szCs w:val="24"/>
          <w:highlight w:val="none"/>
          <w14:textFill>
            <w14:solidFill>
              <w14:schemeClr w14:val="tx1"/>
            </w14:solidFill>
          </w14:textFill>
        </w:rPr>
        <w:t>：本项目根据评标委员会推荐的中标候选人名单，按顺序确定中标人。</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60" w:name="_Toc217446062"/>
      <w:r>
        <w:rPr>
          <w:rFonts w:hint="eastAsia" w:ascii="宋体" w:hAnsi="宋体" w:eastAsia="宋体" w:cs="宋体"/>
          <w:color w:val="000000" w:themeColor="text1"/>
          <w:sz w:val="24"/>
          <w:szCs w:val="24"/>
          <w:highlight w:val="none"/>
          <w14:textFill>
            <w14:solidFill>
              <w14:schemeClr w14:val="tx1"/>
            </w14:solidFill>
          </w14:textFill>
        </w:rPr>
        <w:t>6.2. 定标程序</w:t>
      </w:r>
      <w:bookmarkEnd w:id="160"/>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6.2.1 评标委员会将评标情况写出书面报告，推荐中标候选人，并按照综合得分高低标明排列顺序。本项目采用综合评分法，评标结果按评标后得分由高到低顺序排列。得分相同的，按投标报价由低到高顺序排列。得分且投标报价相同的按照技术指标优劣顺序推荐。</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6.2.2 采购代理机构在评标结束后两个工作日内将评标报告送至采购人。</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6.2.3 采购人应当自收到评标报告之日起5个工作日内在评标报告推荐的中标候选人中按顺序确定中标人。</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6.2.4 根据采购人确定的中标人，采购人在招标公告发布的媒体上发布中标公告，同时向中标人发出中标通知书。</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6.2.5 采购人不退回投标文件和其他投标资料。</w:t>
      </w:r>
    </w:p>
    <w:p>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61" w:name="_Toc183582297"/>
      <w:bookmarkStart w:id="162" w:name="_Toc208849022"/>
      <w:bookmarkStart w:id="163" w:name="_Toc217446105"/>
      <w:bookmarkStart w:id="164" w:name="_Toc183682432"/>
      <w:r>
        <w:rPr>
          <w:rFonts w:hint="eastAsia" w:ascii="宋体" w:hAnsi="宋体" w:eastAsia="宋体" w:cs="宋体"/>
          <w:color w:val="000000" w:themeColor="text1"/>
          <w:sz w:val="24"/>
          <w:szCs w:val="24"/>
          <w:highlight w:val="none"/>
          <w14:textFill>
            <w14:solidFill>
              <w14:schemeClr w14:val="tx1"/>
            </w14:solidFill>
          </w14:textFill>
        </w:rPr>
        <w:t xml:space="preserve">7. </w:t>
      </w:r>
      <w:bookmarkEnd w:id="161"/>
      <w:bookmarkEnd w:id="162"/>
      <w:bookmarkEnd w:id="163"/>
      <w:bookmarkEnd w:id="164"/>
      <w:r>
        <w:rPr>
          <w:rFonts w:hint="eastAsia" w:ascii="宋体" w:hAnsi="宋体" w:eastAsia="宋体" w:cs="宋体"/>
          <w:color w:val="000000" w:themeColor="text1"/>
          <w:sz w:val="24"/>
          <w:szCs w:val="24"/>
          <w:highlight w:val="none"/>
          <w14:textFill>
            <w14:solidFill>
              <w14:schemeClr w14:val="tx1"/>
            </w14:solidFill>
          </w14:textFill>
        </w:rPr>
        <w:t>评标专家在政府采购活动中承担以下义务：</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7.1 遵纪守法，客观、公正、廉洁地履行职责。</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7.2 按照政府采购相关法律法规和招标文件的规定对投标人的资格条件和投标人提供的商务、价格、技术服务、业绩、对招标文件的响应程度以及投标文件规范性等方面进行评价，提供科学合理、公平公正的评标意见，参与起草评标报告，并予签字确认。</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7.3 保守秘密。不得透露招标项目情况，不得泄漏投标人的投标文件及知悉的商业秘密，不得向投标人透露评标情况。</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7.4 发现投标人在政府采购活动中有不正当竞争或恶意串通等违规行为，及时向政府采购评标工作的组织者或财政部门报告并加以制止。</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发现采购人、采购代理机构及其工作人员在招标活动中有干预评标、发表倾向性和歧视性言论、受贿或者接受投标人的其他好处及其他违法违规行为，及时向财政部门报告。</w:t>
      </w:r>
    </w:p>
    <w:p>
      <w:pPr>
        <w:widowControl/>
        <w:autoSpaceDE w:val="0"/>
        <w:autoSpaceDN w:val="0"/>
        <w:spacing w:line="360" w:lineRule="auto"/>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7.5 配合采购人或者采购代理机构答复投标人质疑，配合投诉处理工作等事宜。</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7.6 法律、法规和规章规定的其他义务。</w:t>
      </w:r>
    </w:p>
    <w:p>
      <w:pPr>
        <w:widowControl/>
        <w:autoSpaceDE w:val="0"/>
        <w:autoSpaceDN w:val="0"/>
        <w:spacing w:line="460" w:lineRule="exact"/>
        <w:ind w:firstLine="482" w:firstLineChars="200"/>
        <w:textAlignment w:val="bottom"/>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评标专家在招标活动中应当遵守以下工作纪律：</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应邀按时参加评标活动。遇特殊情况不能出席或途中遇阻不能按时参加评标的，应及时告知财政部门或者采购人或者采购代理机构，不得私自转托他人。</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不得参加与自己有利害关系的招标项目的评标活动。对与自己有利害关系的评标项目，如受到邀请，应主动提出回避。财政部门、采购人或采购代理机构也可要求该评标专家回避。</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利害关系主要是指三年内曾在参加该招标项目投标人中任职(包括一般工作)或担任顾问，配偶或直系亲属在参加该招标项目的投标人中任职或担任顾问，与参加该招标项目投标人发生过法律纠纷，以及其他可能影响公正评标的情况。</w:t>
      </w:r>
    </w:p>
    <w:p>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8.3 评标过程中关闭通讯设备，不得与外界联系。</w:t>
      </w:r>
    </w:p>
    <w:p>
      <w:pPr>
        <w:pStyle w:val="3"/>
        <w:keepNext/>
        <w:keepLines/>
        <w:pageBreakBefore w:val="0"/>
        <w:widowControl w:val="0"/>
        <w:kinsoku/>
        <w:wordWrap/>
        <w:overflowPunct/>
        <w:topLinePunct w:val="0"/>
        <w:autoSpaceDE/>
        <w:autoSpaceDN/>
        <w:bidi w:val="0"/>
        <w:adjustRightInd/>
        <w:snapToGrid/>
        <w:spacing w:before="0" w:after="0" w:line="460" w:lineRule="exact"/>
        <w:ind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8.4 评标过程中，不得发表影响评标公正的倾向性、歧视性言论；不得以任何明示或暗示的方式要求参加该招标项目的投标人以澄清、说明或补正为借口，表达与其原投标文件原意不同的新意见；不得以招标文件没有规定的方法和标准作为评标的依据；不得违反规定的评标格式评分和撰写评标意见；不得拒绝对自己的评标意见签字确认。</w:t>
      </w:r>
      <w:r>
        <w:rPr>
          <w:rFonts w:hint="eastAsia" w:ascii="宋体" w:hAnsi="宋体" w:eastAsia="宋体" w:cs="宋体"/>
          <w:b w:val="0"/>
          <w:bCs w:val="0"/>
          <w:color w:val="000000" w:themeColor="text1"/>
          <w:sz w:val="24"/>
          <w:szCs w:val="24"/>
          <w:highlight w:val="none"/>
          <w14:textFill>
            <w14:solidFill>
              <w14:schemeClr w14:val="tx1"/>
            </w14:solidFill>
          </w14:textFill>
        </w:rPr>
        <w:br w:type="page"/>
      </w:r>
      <w:bookmarkStart w:id="165" w:name="_Toc19827"/>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第六章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合同文本</w:t>
      </w:r>
      <w:bookmarkEnd w:id="165"/>
    </w:p>
    <w:p>
      <w:pPr>
        <w:pStyle w:val="49"/>
        <w:widowControl/>
        <w:spacing w:line="480" w:lineRule="atLeast"/>
        <w:ind w:firstLine="480" w:firstLineChars="200"/>
        <w:jc w:val="center"/>
        <w:rPr>
          <w:rStyle w:val="31"/>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（本合同仅供参考，具体以实际签订的为准）</w:t>
      </w:r>
    </w:p>
    <w:p>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甲方(采购单位)：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，电话：</w:t>
      </w:r>
      <w:r>
        <w:rPr>
          <w:rFonts w:hint="eastAsia" w:ascii="宋体" w:hAnsi="宋体" w:eastAsia="宋体" w:cs="宋体"/>
          <w:color w:val="000000" w:themeColor="text1"/>
          <w:highlight w:val="none"/>
          <w:u w:val="single"/>
          <w14:textFill>
            <w14:solidFill>
              <w14:schemeClr w14:val="tx1"/>
            </w14:solidFill>
          </w14:textFill>
        </w:rPr>
        <w:t xml:space="preserve">                </w:t>
      </w:r>
    </w:p>
    <w:p>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乙方(供货单位)：</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，电话：</w:t>
      </w:r>
      <w:r>
        <w:rPr>
          <w:rFonts w:hint="eastAsia" w:ascii="宋体" w:hAnsi="宋体" w:eastAsia="宋体" w:cs="宋体"/>
          <w:color w:val="000000" w:themeColor="text1"/>
          <w:highlight w:val="none"/>
          <w:u w:val="single"/>
          <w14:textFill>
            <w14:solidFill>
              <w14:schemeClr w14:val="tx1"/>
            </w14:solidFill>
          </w14:textFill>
        </w:rPr>
        <w:t xml:space="preserve">                </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根据《中华人民共和国</w:t>
      </w:r>
      <w:r>
        <w:rPr>
          <w:rFonts w:hint="eastAsia" w:ascii="宋体" w:hAnsi="宋体" w:eastAsia="宋体" w:cs="宋体"/>
          <w:color w:val="000000" w:themeColor="text1"/>
          <w:sz w:val="24"/>
          <w:szCs w:val="24"/>
          <w:highlight w:val="none"/>
          <w:lang w:val="en-US"/>
          <w14:textFill>
            <w14:solidFill>
              <w14:schemeClr w14:val="tx1"/>
            </w14:solidFill>
          </w14:textFill>
        </w:rPr>
        <w:t>民法典</w:t>
      </w:r>
      <w:r>
        <w:rPr>
          <w:rFonts w:hint="eastAsia" w:ascii="宋体" w:hAnsi="宋体" w:eastAsia="宋体" w:cs="宋体"/>
          <w:color w:val="000000" w:themeColor="text1"/>
          <w:sz w:val="24"/>
          <w:szCs w:val="24"/>
          <w:highlight w:val="none"/>
          <w14:textFill>
            <w14:solidFill>
              <w14:schemeClr w14:val="tx1"/>
            </w14:solidFill>
          </w14:textFill>
        </w:rPr>
        <w:t>》、参照《中华人民共和国政府采购法》等法律法规的</w:t>
      </w:r>
      <w:r>
        <w:rPr>
          <w:rFonts w:hint="eastAsia" w:ascii="宋体" w:hAnsi="宋体" w:eastAsia="宋体" w:cs="宋体"/>
          <w:color w:val="000000" w:themeColor="text1"/>
          <w:sz w:val="24"/>
          <w:szCs w:val="24"/>
          <w:highlight w:val="none"/>
          <w:lang w:val="en-US"/>
          <w14:textFill>
            <w14:solidFill>
              <w14:schemeClr w14:val="tx1"/>
            </w14:solidFill>
          </w14:textFill>
        </w:rPr>
        <w:t>相关</w:t>
      </w:r>
      <w:r>
        <w:rPr>
          <w:rFonts w:hint="eastAsia" w:ascii="宋体" w:hAnsi="宋体" w:eastAsia="宋体" w:cs="宋体"/>
          <w:color w:val="000000" w:themeColor="text1"/>
          <w:sz w:val="24"/>
          <w:szCs w:val="24"/>
          <w:highlight w:val="none"/>
          <w14:textFill>
            <w14:solidFill>
              <w14:schemeClr w14:val="tx1"/>
            </w14:solidFill>
          </w14:textFill>
        </w:rPr>
        <w:t>规定，在</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招标办</w:t>
      </w:r>
      <w:r>
        <w:rPr>
          <w:rFonts w:hint="eastAsia" w:ascii="宋体" w:hAnsi="宋体" w:eastAsia="宋体" w:cs="宋体"/>
          <w:color w:val="000000" w:themeColor="text1"/>
          <w:sz w:val="24"/>
          <w:szCs w:val="24"/>
          <w:highlight w:val="none"/>
          <w:lang w:val="en-US"/>
          <w14:textFill>
            <w14:solidFill>
              <w14:schemeClr w14:val="tx1"/>
            </w14:solidFill>
          </w14:textFill>
        </w:rPr>
        <w:t>的</w:t>
      </w:r>
      <w:r>
        <w:rPr>
          <w:rFonts w:hint="eastAsia" w:ascii="宋体" w:hAnsi="宋体" w:eastAsia="宋体" w:cs="宋体"/>
          <w:color w:val="000000" w:themeColor="text1"/>
          <w:sz w:val="24"/>
          <w:szCs w:val="24"/>
          <w:highlight w:val="none"/>
          <w14:textFill>
            <w14:solidFill>
              <w14:schemeClr w14:val="tx1"/>
            </w14:solidFill>
          </w14:textFill>
        </w:rPr>
        <w:t>监督管理下，甲方按照采购程序进行</w:t>
      </w:r>
      <w:r>
        <w:rPr>
          <w:rFonts w:hint="eastAsia" w:ascii="宋体" w:hAnsi="宋体" w:eastAsia="宋体" w:cs="宋体"/>
          <w:color w:val="000000" w:themeColor="text1"/>
          <w:sz w:val="24"/>
          <w:szCs w:val="24"/>
          <w:highlight w:val="none"/>
          <w:lang w:val="en-US"/>
          <w14:textFill>
            <w14:solidFill>
              <w14:schemeClr w14:val="tx1"/>
            </w14:solidFill>
          </w14:textFill>
        </w:rPr>
        <w:t>招标</w:t>
      </w:r>
      <w:r>
        <w:rPr>
          <w:rFonts w:hint="eastAsia" w:ascii="宋体" w:hAnsi="宋体" w:eastAsia="宋体" w:cs="宋体"/>
          <w:color w:val="000000" w:themeColor="text1"/>
          <w:sz w:val="24"/>
          <w:szCs w:val="24"/>
          <w:highlight w:val="none"/>
          <w14:textFill>
            <w14:solidFill>
              <w14:schemeClr w14:val="tx1"/>
            </w14:solidFill>
          </w14:textFill>
        </w:rPr>
        <w:t>，确定乙方为</w:t>
      </w:r>
      <w:r>
        <w:rPr>
          <w:rFonts w:hint="eastAsia" w:ascii="宋体" w:hAnsi="宋体" w:eastAsia="宋体" w:cs="宋体"/>
          <w:color w:val="000000" w:themeColor="text1"/>
          <w:sz w:val="24"/>
          <w:szCs w:val="24"/>
          <w:highlight w:val="none"/>
          <w:lang w:val="en-US"/>
          <w14:textFill>
            <w14:solidFill>
              <w14:schemeClr w14:val="tx1"/>
            </w14:solidFill>
          </w14:textFill>
        </w:rPr>
        <w:t>中标人</w:t>
      </w:r>
      <w:r>
        <w:rPr>
          <w:rFonts w:hint="eastAsia" w:ascii="宋体" w:hAnsi="宋体" w:eastAsia="宋体" w:cs="宋体"/>
          <w:color w:val="000000" w:themeColor="text1"/>
          <w:sz w:val="24"/>
          <w:szCs w:val="24"/>
          <w:highlight w:val="none"/>
          <w14:textFill>
            <w14:solidFill>
              <w14:schemeClr w14:val="tx1"/>
            </w14:solidFill>
          </w14:textFill>
        </w:rPr>
        <w:t>。</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甲乙双方根据</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（项目名称） （项目编号）      </w:t>
      </w:r>
      <w:r>
        <w:rPr>
          <w:rFonts w:hint="eastAsia" w:ascii="宋体" w:hAnsi="宋体" w:eastAsia="宋体" w:cs="宋体"/>
          <w:color w:val="000000" w:themeColor="text1"/>
          <w:sz w:val="24"/>
          <w:szCs w:val="24"/>
          <w:highlight w:val="none"/>
          <w14:textFill>
            <w14:solidFill>
              <w14:schemeClr w14:val="tx1"/>
            </w14:solidFill>
          </w14:textFill>
        </w:rPr>
        <w:t>项目评审结果及相关</w:t>
      </w:r>
      <w:r>
        <w:rPr>
          <w:rFonts w:hint="eastAsia" w:ascii="宋体" w:hAnsi="宋体" w:eastAsia="宋体" w:cs="宋体"/>
          <w:color w:val="000000" w:themeColor="text1"/>
          <w:sz w:val="24"/>
          <w:szCs w:val="24"/>
          <w:highlight w:val="none"/>
          <w:lang w:val="en-US"/>
          <w14:textFill>
            <w14:solidFill>
              <w14:schemeClr w14:val="tx1"/>
            </w14:solidFill>
          </w14:textFill>
        </w:rPr>
        <w:t>招标、投标</w:t>
      </w:r>
      <w:r>
        <w:rPr>
          <w:rFonts w:hint="eastAsia" w:ascii="宋体" w:hAnsi="宋体" w:eastAsia="宋体" w:cs="宋体"/>
          <w:color w:val="000000" w:themeColor="text1"/>
          <w:sz w:val="24"/>
          <w:szCs w:val="24"/>
          <w:highlight w:val="none"/>
          <w14:textFill>
            <w14:solidFill>
              <w14:schemeClr w14:val="tx1"/>
            </w14:solidFill>
          </w14:textFill>
        </w:rPr>
        <w:t>文件，经</w:t>
      </w:r>
      <w:r>
        <w:rPr>
          <w:rFonts w:hint="eastAsia" w:ascii="宋体" w:hAnsi="宋体" w:eastAsia="宋体" w:cs="宋体"/>
          <w:color w:val="000000" w:themeColor="text1"/>
          <w:sz w:val="24"/>
          <w:szCs w:val="24"/>
          <w:highlight w:val="none"/>
          <w:lang w:val="en-US"/>
          <w14:textFill>
            <w14:solidFill>
              <w14:schemeClr w14:val="tx1"/>
            </w14:solidFill>
          </w14:textFill>
        </w:rPr>
        <w:t>友好</w:t>
      </w:r>
      <w:r>
        <w:rPr>
          <w:rFonts w:hint="eastAsia" w:ascii="宋体" w:hAnsi="宋体" w:eastAsia="宋体" w:cs="宋体"/>
          <w:color w:val="000000" w:themeColor="text1"/>
          <w:sz w:val="24"/>
          <w:szCs w:val="24"/>
          <w:highlight w:val="none"/>
          <w14:textFill>
            <w14:solidFill>
              <w14:schemeClr w14:val="tx1"/>
            </w14:solidFill>
          </w14:textFill>
        </w:rPr>
        <w:t>协商一致，</w:t>
      </w:r>
      <w:r>
        <w:rPr>
          <w:rFonts w:hint="eastAsia" w:ascii="宋体" w:hAnsi="宋体" w:eastAsia="宋体" w:cs="宋体"/>
          <w:color w:val="000000" w:themeColor="text1"/>
          <w:sz w:val="24"/>
          <w:szCs w:val="24"/>
          <w:highlight w:val="none"/>
          <w:lang w:val="en-US"/>
          <w14:textFill>
            <w14:solidFill>
              <w14:schemeClr w14:val="tx1"/>
            </w14:solidFill>
          </w14:textFill>
        </w:rPr>
        <w:t>在平等、自愿的基础上，</w:t>
      </w:r>
      <w:r>
        <w:rPr>
          <w:rFonts w:hint="eastAsia" w:ascii="宋体" w:hAnsi="宋体" w:eastAsia="宋体" w:cs="宋体"/>
          <w:color w:val="000000" w:themeColor="text1"/>
          <w:sz w:val="24"/>
          <w:szCs w:val="24"/>
          <w:highlight w:val="none"/>
          <w14:textFill>
            <w14:solidFill>
              <w14:schemeClr w14:val="tx1"/>
            </w14:solidFill>
          </w14:textFill>
        </w:rPr>
        <w:t>订立本合同，供双方共同遵守：</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组成本合同的有关文件：</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本采购服务项目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采购文件</w:t>
      </w:r>
      <w:r>
        <w:rPr>
          <w:rFonts w:hint="eastAsia" w:ascii="宋体" w:hAnsi="宋体" w:eastAsia="宋体" w:cs="宋体"/>
          <w:color w:val="000000" w:themeColor="text1"/>
          <w:sz w:val="24"/>
          <w:szCs w:val="24"/>
          <w:highlight w:val="none"/>
          <w:lang w:val="en-US"/>
          <w14:textFill>
            <w14:solidFill>
              <w14:schemeClr w14:val="tx1"/>
            </w14:solidFill>
          </w14:textFill>
        </w:rPr>
        <w:t>及投标</w:t>
      </w:r>
      <w:r>
        <w:rPr>
          <w:rFonts w:hint="eastAsia" w:ascii="宋体" w:hAnsi="宋体" w:eastAsia="宋体" w:cs="宋体"/>
          <w:color w:val="000000" w:themeColor="text1"/>
          <w:sz w:val="24"/>
          <w:szCs w:val="24"/>
          <w:highlight w:val="none"/>
          <w14:textFill>
            <w14:solidFill>
              <w14:schemeClr w14:val="tx1"/>
            </w14:solidFill>
          </w14:textFill>
        </w:rPr>
        <w:t>文件，属于本合同的相关文件，与本合同具有同等法律效力，</w:t>
      </w:r>
      <w:r>
        <w:rPr>
          <w:rFonts w:hint="eastAsia" w:ascii="宋体" w:hAnsi="宋体" w:eastAsia="宋体" w:cs="宋体"/>
          <w:color w:val="000000" w:themeColor="text1"/>
          <w:sz w:val="24"/>
          <w:szCs w:val="24"/>
          <w:highlight w:val="none"/>
          <w:lang w:val="en-US"/>
          <w14:textFill>
            <w14:solidFill>
              <w14:schemeClr w14:val="tx1"/>
            </w14:solidFill>
          </w14:textFill>
        </w:rPr>
        <w:t>包括但不限于：1、</w:t>
      </w:r>
      <w:r>
        <w:rPr>
          <w:rFonts w:hint="eastAsia"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lang w:val="en-US" w:eastAsia="zh-CN"/>
          <w14:textFill>
            <w14:solidFill>
              <w14:schemeClr w14:val="tx1"/>
            </w14:solidFill>
          </w14:textFill>
        </w:rPr>
        <w:t>文件</w:t>
      </w:r>
      <w:r>
        <w:rPr>
          <w:rFonts w:hint="eastAsia" w:ascii="宋体" w:hAnsi="宋体" w:eastAsia="宋体" w:cs="宋体"/>
          <w:color w:val="000000" w:themeColor="text1"/>
          <w:sz w:val="24"/>
          <w:szCs w:val="24"/>
          <w:highlight w:val="none"/>
          <w:lang w:val="en-US"/>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乙方提供的</w:t>
      </w:r>
      <w:r>
        <w:rPr>
          <w:rFonts w:hint="eastAsia" w:ascii="宋体" w:hAnsi="宋体" w:eastAsia="宋体" w:cs="宋体"/>
          <w:color w:val="000000" w:themeColor="text1"/>
          <w:sz w:val="24"/>
          <w:szCs w:val="24"/>
          <w:highlight w:val="none"/>
          <w:lang w:val="en-US"/>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文件和</w:t>
      </w:r>
      <w:r>
        <w:rPr>
          <w:rFonts w:hint="eastAsia" w:ascii="宋体" w:hAnsi="宋体" w:eastAsia="宋体" w:cs="宋体"/>
          <w:color w:val="000000" w:themeColor="text1"/>
          <w:sz w:val="24"/>
          <w:szCs w:val="24"/>
          <w:highlight w:val="none"/>
          <w:lang w:val="en-US"/>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3、乙方提供的书面承诺；4、中标通知书，5、</w:t>
      </w:r>
      <w:r>
        <w:rPr>
          <w:rFonts w:hint="eastAsia" w:ascii="宋体" w:hAnsi="宋体" w:eastAsia="宋体" w:cs="宋体"/>
          <w:color w:val="000000" w:themeColor="text1"/>
          <w:sz w:val="24"/>
          <w:szCs w:val="24"/>
          <w:highlight w:val="none"/>
          <w14:textFill>
            <w14:solidFill>
              <w14:schemeClr w14:val="tx1"/>
            </w14:solidFill>
          </w14:textFill>
        </w:rPr>
        <w:t>甲乙双方商定的其他文件。</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甲方采购的物品内容和成交价格：(金额单位：人民币元)</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物品名称规格型号质量标准数量成交价格(元)</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r>
    </w:tbl>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2、合同总金额：</w:t>
      </w:r>
      <w:r>
        <w:rPr>
          <w:rFonts w:hint="eastAsia" w:ascii="宋体" w:hAnsi="宋体" w:eastAsia="宋体" w:cs="宋体"/>
          <w:color w:val="000000" w:themeColor="text1"/>
          <w:sz w:val="24"/>
          <w:szCs w:val="24"/>
          <w:highlight w:val="none"/>
          <w14:textFill>
            <w14:solidFill>
              <w14:schemeClr w14:val="tx1"/>
            </w14:solidFill>
          </w14:textFill>
        </w:rPr>
        <w:t>(大写)￥</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本合同价格已含税费、检验试验、包装、装车、运输、</w:t>
      </w:r>
      <w:r>
        <w:rPr>
          <w:rFonts w:hint="eastAsia" w:ascii="宋体" w:hAnsi="宋体" w:eastAsia="宋体" w:cs="宋体"/>
          <w:color w:val="000000" w:themeColor="text1"/>
          <w:sz w:val="24"/>
          <w:szCs w:val="24"/>
          <w:highlight w:val="none"/>
          <w:lang w:val="en-US" w:eastAsia="zh-CN"/>
          <w14:textFill>
            <w14:solidFill>
              <w14:schemeClr w14:val="tx1"/>
            </w14:solidFill>
          </w14:textFill>
        </w:rPr>
        <w:t>安装、调试、</w:t>
      </w:r>
      <w:r>
        <w:rPr>
          <w:rFonts w:hint="eastAsia" w:ascii="宋体" w:hAnsi="宋体" w:eastAsia="宋体" w:cs="宋体"/>
          <w:color w:val="000000" w:themeColor="text1"/>
          <w:sz w:val="24"/>
          <w:szCs w:val="24"/>
          <w:highlight w:val="none"/>
          <w14:textFill>
            <w14:solidFill>
              <w14:schemeClr w14:val="tx1"/>
            </w14:solidFill>
          </w14:textFill>
        </w:rPr>
        <w:t>保险以及考虑除不可抗力外的其他任何风险而增加的所有费用。</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免费配送物品：</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甲方不再另付任何费用。</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物品的质量技术标准、乙方售后服务及损害赔偿</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1、物品的质量技术标准按国家法律法规规定的标准、</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和乙方投标文件所要求的技术标准执行。</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2、乙方应按生产厂家的保修规定和投标文件说明的服务承诺做好保修等免费服务。</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售后服务响应时间：__________。否则，甲方可自行组织或委托第三方维修，费用由乙方承担，甲方可在货款和其他应付乙方的款项中扣除，乙方应付费用超过甲方未付货款的，乙方应当在甲方限期内付清全部费用，否则乙方应当按照合同总额的1%向甲方支付违约金。</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4、如因乙方物品质量原因，导致甲方损失，乙方应</w:t>
      </w:r>
      <w:r>
        <w:rPr>
          <w:rFonts w:hint="eastAsia" w:ascii="宋体" w:hAnsi="宋体" w:eastAsia="宋体" w:cs="宋体"/>
          <w:color w:val="000000" w:themeColor="text1"/>
          <w:sz w:val="24"/>
          <w:szCs w:val="24"/>
          <w:highlight w:val="none"/>
          <w:lang w:eastAsia="zh-CN"/>
          <w14:textFill>
            <w14:solidFill>
              <w14:schemeClr w14:val="tx1"/>
            </w14:solidFill>
          </w14:textFill>
        </w:rPr>
        <w:t>承担全部赔偿责任</w:t>
      </w:r>
      <w:r>
        <w:rPr>
          <w:rFonts w:hint="eastAsia" w:ascii="宋体" w:hAnsi="宋体" w:eastAsia="宋体" w:cs="宋体"/>
          <w:color w:val="000000" w:themeColor="text1"/>
          <w:sz w:val="24"/>
          <w:szCs w:val="24"/>
          <w:highlight w:val="none"/>
          <w14:textFill>
            <w14:solidFill>
              <w14:schemeClr w14:val="tx1"/>
            </w14:solidFill>
          </w14:textFill>
        </w:rPr>
        <w:t>。</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5、乙方应保证乙方在履行本合同义务时提供的货物或其任何一部分免受第三方侵犯其知识产权或合法权益的起诉，如因此引发争议或违法导致甲方受损的，乙方应赔偿甲方的一切损失。</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6、乙方及乙方人员在合同履行过程中造成自身、甲乙双方或第三方的一切人身、财产损害责任均由乙方承担并负责赔偿；如因此导致甲方被追偿或受损的，由乙方承担甲方遭受的全部损失。</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四</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交付和验收</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1、交付时间：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合同签订后</w:t>
      </w:r>
      <w:r>
        <w:rPr>
          <w:rFonts w:hint="eastAsia" w:cs="宋体"/>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lang w:val="en-US" w:eastAsia="zh-CN"/>
          <w14:textFill>
            <w14:solidFill>
              <w14:schemeClr w14:val="tx1"/>
            </w14:solidFill>
          </w14:textFill>
        </w:rPr>
        <w:t>日历天内完成</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交付地点</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cs="宋体"/>
          <w:color w:val="000000" w:themeColor="text1"/>
          <w:sz w:val="24"/>
          <w:szCs w:val="24"/>
          <w:highlight w:val="none"/>
          <w:u w:val="single"/>
          <w:lang w:val="en-US" w:eastAsia="zh-CN"/>
          <w14:textFill>
            <w14:solidFill>
              <w14:schemeClr w14:val="tx1"/>
            </w14:solidFill>
          </w14:textFill>
        </w:rPr>
        <w:t>沙湾市</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2、乙方负责物品的运送、安装、调试等工作，</w:t>
      </w:r>
      <w:r>
        <w:rPr>
          <w:rFonts w:hint="eastAsia" w:ascii="宋体" w:hAnsi="宋体" w:eastAsia="宋体" w:cs="宋体"/>
          <w:color w:val="000000" w:themeColor="text1"/>
          <w:sz w:val="24"/>
          <w:szCs w:val="24"/>
          <w:highlight w:val="none"/>
          <w:lang w:val="en-US"/>
          <w14:textFill>
            <w14:solidFill>
              <w14:schemeClr w14:val="tx1"/>
            </w14:solidFill>
          </w14:textFill>
        </w:rPr>
        <w:t>确保</w:t>
      </w:r>
      <w:r>
        <w:rPr>
          <w:rFonts w:hint="eastAsia" w:ascii="宋体" w:hAnsi="宋体" w:eastAsia="宋体" w:cs="宋体"/>
          <w:color w:val="000000" w:themeColor="text1"/>
          <w:sz w:val="24"/>
          <w:szCs w:val="24"/>
          <w:highlight w:val="none"/>
          <w14:textFill>
            <w14:solidFill>
              <w14:schemeClr w14:val="tx1"/>
            </w14:solidFill>
          </w14:textFill>
        </w:rPr>
        <w:t>该物品可以正常使用为止;负责提供物品的使用说明等相关资料，并承担由此产生的全部费用。</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3、验收时间：甲方必须于乙方提出验收申请后</w:t>
      </w:r>
      <w:r>
        <w:rPr>
          <w:rFonts w:hint="eastAsia" w:ascii="宋体" w:hAnsi="宋体" w:eastAsia="宋体" w:cs="宋体"/>
          <w:color w:val="000000" w:themeColor="text1"/>
          <w:sz w:val="24"/>
          <w:szCs w:val="24"/>
          <w:highlight w:val="none"/>
          <w:lang w:val="en-US"/>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个工作日内组织验收，甲方因正当理由或者不可抗力可以延期组织验收，但应通知乙方。甲方验收合格后应当出具</w:t>
      </w:r>
      <w:r>
        <w:rPr>
          <w:rFonts w:hint="eastAsia" w:ascii="宋体" w:hAnsi="宋体" w:eastAsia="宋体" w:cs="宋体"/>
          <w:color w:val="000000" w:themeColor="text1"/>
          <w:sz w:val="24"/>
          <w:szCs w:val="24"/>
          <w:highlight w:val="none"/>
          <w:lang w:val="en-US"/>
          <w14:textFill>
            <w14:solidFill>
              <w14:schemeClr w14:val="tx1"/>
            </w14:solidFill>
          </w14:textFill>
        </w:rPr>
        <w:t>相关</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"http://www.xuexila.com/fwn/reportyanshou/" \t "_blank"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验收</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14:textFill>
            <w14:solidFill>
              <w14:schemeClr w14:val="tx1"/>
            </w14:solidFill>
          </w14:textFill>
        </w:rPr>
        <w:t>手续</w:t>
      </w:r>
      <w:r>
        <w:rPr>
          <w:rFonts w:hint="eastAsia" w:ascii="宋体" w:hAnsi="宋体" w:eastAsia="宋体" w:cs="宋体"/>
          <w:color w:val="000000" w:themeColor="text1"/>
          <w:sz w:val="24"/>
          <w:szCs w:val="24"/>
          <w:highlight w:val="none"/>
          <w14:textFill>
            <w14:solidFill>
              <w14:schemeClr w14:val="tx1"/>
            </w14:solidFill>
          </w14:textFill>
        </w:rPr>
        <w:t>。</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4、验收标准：</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1)单证齐全：应有产品合格证(或质量证明)、使用说明、保修证明、发票和</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"http://www.xuexila.com/meng/xiaqita/" \t "_blank"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其它</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应具有的单证;</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2)质量符合国家法律法规规定的标准、</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和投标文件的要求（以较高者为准）。</w:t>
      </w:r>
    </w:p>
    <w:p>
      <w:pPr>
        <w:pStyle w:val="50"/>
        <w:tabs>
          <w:tab w:val="left" w:pos="8309"/>
        </w:tabs>
        <w:spacing w:line="480" w:lineRule="atLeast"/>
        <w:jc w:val="left"/>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5、质保期：自验收合格之日起质保</w:t>
      </w:r>
      <w:r>
        <w:rPr>
          <w:rFonts w:hint="eastAsia"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lang w:val="en-US"/>
          <w14:textFill>
            <w14:solidFill>
              <w14:schemeClr w14:val="tx1"/>
            </w14:solidFill>
          </w14:textFill>
        </w:rPr>
        <w:t>年。</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第五条 付款方式　　</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1、本合同项下所有款均以人民币支付；</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cs="宋体"/>
          <w:color w:val="000000" w:themeColor="text1"/>
          <w:sz w:val="24"/>
          <w:highlight w:val="none"/>
          <w:lang w:eastAsia="zh-CN"/>
          <w14:textFill>
            <w14:solidFill>
              <w14:schemeClr w14:val="tx1"/>
            </w14:solidFill>
          </w14:textFill>
        </w:rPr>
        <w:t>甲乙双方签订合同时自行约定</w:t>
      </w:r>
      <w:r>
        <w:rPr>
          <w:rFonts w:hint="eastAsia" w:ascii="宋体" w:hAnsi="宋体" w:eastAsia="宋体" w:cs="宋体"/>
          <w:color w:val="000000" w:themeColor="text1"/>
          <w:sz w:val="24"/>
          <w:highlight w:val="none"/>
          <w14:textFill>
            <w14:solidFill>
              <w14:schemeClr w14:val="tx1"/>
            </w14:solidFill>
          </w14:textFill>
        </w:rPr>
        <w:t>。</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3、乙方应当在甲方付款前开具并交付足额、符合甲方要求的增值税发票，否则甲方有权拒绝付款。</w:t>
      </w:r>
    </w:p>
    <w:p>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第六条 乙方违约责任：</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1、乙方不能交货的，甲方不向乙方付款。乙方应向甲方偿付相当于不能交货部分货款的10%的违约金并且赔偿甲方一切损失;</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2、乙方所交物品品种、数量、规格、质量不符合国家法律法规和合同规定的，由乙方负责在甲方限期内包修、包换或退货，并承担由此而支付的实际费用;</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3、乙方逾期交货的，按逾期交货部分货款计算，向甲方偿付每日千分之五的违约金，并承担甲方因此所受的损失费用。</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4、乙方不按照本合同约定履行义务或者履行义务不符合合同约定的，除合同约定的责任外，甲方有权解除合同，乙方应当全额退还甲方已付费用</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同时</w:t>
      </w:r>
      <w:r>
        <w:rPr>
          <w:rFonts w:hint="eastAsia" w:ascii="宋体" w:hAnsi="宋体" w:eastAsia="宋体" w:cs="宋体"/>
          <w:color w:val="000000" w:themeColor="text1"/>
          <w:sz w:val="24"/>
          <w:szCs w:val="24"/>
          <w:highlight w:val="none"/>
          <w14:textFill>
            <w14:solidFill>
              <w14:schemeClr w14:val="tx1"/>
            </w14:solidFill>
          </w14:textFill>
        </w:rPr>
        <w:t>支付甲方合同总价款20%的违约金并且赔偿甲方全部损失。</w:t>
      </w:r>
    </w:p>
    <w:p>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甲方不行使合同解除权的，乙方仍应按照上述条款的约定承担违约责任并且继续履行合同义务。</w:t>
      </w:r>
    </w:p>
    <w:p>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本合同提及甲方“损失”，包括但不限于人身及财产损害、行政罚款等直接损失、预期利益损失及维权产生的公证费、调查取证费、交通费、律师费等。</w:t>
      </w:r>
    </w:p>
    <w:p>
      <w:pPr>
        <w:pStyle w:val="56"/>
        <w:widowControl/>
        <w:spacing w:line="360" w:lineRule="auto"/>
        <w:ind w:firstLine="535" w:firstLineChars="223"/>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第七条 甲方的违约责任：</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1、甲方如因财政原因无法按期支付合同款的，应及时通知乙方，支付顺延，甲方不承担因此造成的逾期付款违约责任；</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2、如因甲方自身原因逾期付款的，应按照每日千分之</w:t>
      </w:r>
      <w:r>
        <w:rPr>
          <w:rFonts w:hint="eastAsia" w:ascii="宋体" w:hAnsi="宋体" w:eastAsia="宋体" w:cs="宋体"/>
          <w:color w:val="000000" w:themeColor="text1"/>
          <w:highlight w:val="none"/>
          <w:lang w:eastAsia="zh-CN"/>
          <w14:textFill>
            <w14:solidFill>
              <w14:schemeClr w14:val="tx1"/>
            </w14:solidFill>
          </w14:textFill>
        </w:rPr>
        <w:t>一</w:t>
      </w:r>
      <w:r>
        <w:rPr>
          <w:rFonts w:hint="eastAsia" w:ascii="宋体" w:hAnsi="宋体" w:eastAsia="宋体" w:cs="宋体"/>
          <w:color w:val="000000" w:themeColor="text1"/>
          <w:highlight w:val="none"/>
          <w14:textFill>
            <w14:solidFill>
              <w14:schemeClr w14:val="tx1"/>
            </w14:solidFill>
          </w14:textFill>
        </w:rPr>
        <w:t>的比例向乙方偿付逾期付款的违约金，最高不超过合同总额的1%。</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第八条 保密条款</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1、本合同履行过程中双方获悉的对方的相关资料、信息等技术秘密和商业秘密，双方均应采取严格保密措施，不得泄露给任何第三方。</w:t>
      </w:r>
    </w:p>
    <w:p>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2、双方的保密义务期限为自本合同生效之日起至本合同终止后   年(由双方商定)。</w:t>
      </w:r>
    </w:p>
    <w:p>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3、除非得到甲方的书面许可，乙方不得将本合同中的内容及在本合同执行过程中获得的甲方任何信息向任何第三方泄露。乙方的保密义务应在本协议期满、解除或终止后仍然有效。</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第九条 不可抗力</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pPr>
        <w:pStyle w:val="49"/>
        <w:widowControl/>
        <w:numPr>
          <w:ilvl w:val="0"/>
          <w:numId w:val="8"/>
        </w:numPr>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争议的解决</w:t>
      </w:r>
    </w:p>
    <w:p>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1、因货物的质量问题发生争议，由法律及有关规章规定的、双方共同认可的有相关资质的技术单位进行质量鉴定;</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2、执行本合同发生纠纷，甲乙双方应当及时友好协商解决，协商不成的，任何一方均可向</w:t>
      </w:r>
      <w:r>
        <w:rPr>
          <w:rFonts w:hint="eastAsia" w:ascii="宋体" w:hAnsi="宋体" w:eastAsia="宋体" w:cs="宋体"/>
          <w:color w:val="000000" w:themeColor="text1"/>
          <w:highlight w:val="none"/>
          <w:lang w:eastAsia="zh-CN"/>
          <w14:textFill>
            <w14:solidFill>
              <w14:schemeClr w14:val="tx1"/>
            </w14:solidFill>
          </w14:textFill>
        </w:rPr>
        <w:t>沙湾市</w:t>
      </w:r>
      <w:r>
        <w:rPr>
          <w:rFonts w:hint="eastAsia" w:ascii="宋体" w:hAnsi="宋体" w:eastAsia="宋体" w:cs="宋体"/>
          <w:color w:val="000000" w:themeColor="text1"/>
          <w:highlight w:val="none"/>
          <w14:textFill>
            <w14:solidFill>
              <w14:schemeClr w14:val="tx1"/>
            </w14:solidFill>
          </w14:textFill>
        </w:rPr>
        <w:t>人民法院提起诉讼。</w:t>
      </w:r>
    </w:p>
    <w:p>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第十一条补充合同</w:t>
      </w:r>
    </w:p>
    <w:p>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合同订立后，双方经协商一致需变更合同实质性条款或订立补充合同的，与本合同具有同等法律效力。</w:t>
      </w:r>
    </w:p>
    <w:p>
      <w:pPr>
        <w:pStyle w:val="50"/>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第十</w:t>
      </w:r>
      <w:r>
        <w:rPr>
          <w:rFonts w:hint="eastAsia" w:ascii="宋体" w:hAnsi="宋体" w:eastAsia="宋体" w:cs="宋体"/>
          <w:color w:val="000000" w:themeColor="text1"/>
          <w:sz w:val="24"/>
          <w:szCs w:val="24"/>
          <w:highlight w:val="none"/>
          <w:lang w:val="en-US"/>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合同生效及其他</w:t>
      </w:r>
    </w:p>
    <w:p>
      <w:pPr>
        <w:pStyle w:val="50"/>
        <w:tabs>
          <w:tab w:val="left" w:pos="354"/>
        </w:tabs>
        <w:spacing w:line="480" w:lineRule="atLeast"/>
        <w:ind w:left="0" w:leftChars="0"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bookmarkStart w:id="166" w:name="bookmark26"/>
      <w:r>
        <w:rPr>
          <w:rFonts w:hint="eastAsia" w:ascii="宋体" w:hAnsi="宋体" w:eastAsia="宋体" w:cs="宋体"/>
          <w:color w:val="000000" w:themeColor="text1"/>
          <w:sz w:val="24"/>
          <w:szCs w:val="24"/>
          <w:highlight w:val="none"/>
          <w14:textFill>
            <w14:solidFill>
              <w14:schemeClr w14:val="tx1"/>
            </w14:solidFill>
          </w14:textFill>
        </w:rPr>
        <w:t>1</w:t>
      </w:r>
      <w:bookmarkEnd w:id="166"/>
      <w:r>
        <w:rPr>
          <w:rFonts w:hint="eastAsia" w:ascii="宋体" w:hAnsi="宋体" w:eastAsia="宋体" w:cs="宋体"/>
          <w:color w:val="000000" w:themeColor="text1"/>
          <w:sz w:val="24"/>
          <w:szCs w:val="24"/>
          <w:highlight w:val="none"/>
          <w14:textFill>
            <w14:solidFill>
              <w14:schemeClr w14:val="tx1"/>
            </w14:solidFill>
          </w14:textFill>
        </w:rPr>
        <w:t>、本合同自签</w:t>
      </w:r>
      <w:r>
        <w:rPr>
          <w:rFonts w:hint="eastAsia" w:ascii="宋体" w:hAnsi="宋体" w:eastAsia="宋体" w:cs="宋体"/>
          <w:color w:val="000000" w:themeColor="text1"/>
          <w:sz w:val="24"/>
          <w:szCs w:val="24"/>
          <w:highlight w:val="none"/>
          <w:lang w:val="en-US"/>
          <w14:textFill>
            <w14:solidFill>
              <w14:schemeClr w14:val="tx1"/>
            </w14:solidFill>
          </w14:textFill>
        </w:rPr>
        <w:t>字</w:t>
      </w:r>
      <w:r>
        <w:rPr>
          <w:rFonts w:hint="eastAsia" w:ascii="宋体" w:hAnsi="宋体" w:eastAsia="宋体" w:cs="宋体"/>
          <w:color w:val="000000" w:themeColor="text1"/>
          <w:sz w:val="24"/>
          <w:szCs w:val="24"/>
          <w:highlight w:val="none"/>
          <w:lang w:val="en-US"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之日起生效。</w:t>
      </w:r>
    </w:p>
    <w:p>
      <w:pPr>
        <w:pStyle w:val="50"/>
        <w:tabs>
          <w:tab w:val="left" w:pos="354"/>
        </w:tabs>
        <w:spacing w:line="480" w:lineRule="atLeast"/>
        <w:ind w:left="0" w:leftChars="0"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本合同一式</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份，甲乙双方各执</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份。</w:t>
      </w:r>
    </w:p>
    <w:p>
      <w:pPr>
        <w:pStyle w:val="50"/>
        <w:tabs>
          <w:tab w:val="left" w:pos="363"/>
          <w:tab w:val="left" w:pos="1766"/>
          <w:tab w:val="left" w:leader="underscore" w:pos="3667"/>
          <w:tab w:val="left" w:leader="underscore" w:pos="4531"/>
          <w:tab w:val="left" w:leader="underscore" w:pos="7066"/>
        </w:tabs>
        <w:spacing w:line="34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甲方(</w:t>
      </w:r>
      <w:r>
        <w:rPr>
          <w:rFonts w:hint="eastAsia" w:ascii="宋体" w:hAnsi="宋体" w:eastAsia="宋体" w:cs="宋体"/>
          <w:color w:val="000000" w:themeColor="text1"/>
          <w:highlight w:val="none"/>
          <w:lang w:eastAsia="zh-CN"/>
          <w14:textFill>
            <w14:solidFill>
              <w14:schemeClr w14:val="tx1"/>
            </w14:solidFill>
          </w14:textFill>
        </w:rPr>
        <w:t>盖公章</w:t>
      </w:r>
      <w:r>
        <w:rPr>
          <w:rFonts w:hint="eastAsia" w:ascii="宋体" w:hAnsi="宋体" w:eastAsia="宋体" w:cs="宋体"/>
          <w:color w:val="000000" w:themeColor="text1"/>
          <w:highlight w:val="none"/>
          <w14:textFill>
            <w14:solidFill>
              <w14:schemeClr w14:val="tx1"/>
            </w14:solidFill>
          </w14:textFill>
        </w:rPr>
        <w:t>)：_________           乙方(</w:t>
      </w:r>
      <w:r>
        <w:rPr>
          <w:rFonts w:hint="eastAsia" w:ascii="宋体" w:hAnsi="宋体" w:eastAsia="宋体" w:cs="宋体"/>
          <w:color w:val="000000" w:themeColor="text1"/>
          <w:highlight w:val="none"/>
          <w:lang w:eastAsia="zh-CN"/>
          <w14:textFill>
            <w14:solidFill>
              <w14:schemeClr w14:val="tx1"/>
            </w14:solidFill>
          </w14:textFill>
        </w:rPr>
        <w:t>盖公章</w:t>
      </w:r>
      <w:r>
        <w:rPr>
          <w:rFonts w:hint="eastAsia" w:ascii="宋体" w:hAnsi="宋体" w:eastAsia="宋体" w:cs="宋体"/>
          <w:color w:val="000000" w:themeColor="text1"/>
          <w:highlight w:val="none"/>
          <w14:textFill>
            <w14:solidFill>
              <w14:schemeClr w14:val="tx1"/>
            </w14:solidFill>
          </w14:textFill>
        </w:rPr>
        <w:t>)：_________</w:t>
      </w: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经办人(签字)：________          经办人(签字)：_________</w:t>
      </w: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负责人(签字)：_________         负责人(签字)：_________</w:t>
      </w: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地　址：______________          地　址：_________</w:t>
      </w: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电　话：______________          电　话：_________</w:t>
      </w:r>
    </w:p>
    <w:p>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开户银行：_____________         开户银行：_________</w:t>
      </w:r>
    </w:p>
    <w:p>
      <w:pPr>
        <w:pStyle w:val="28"/>
        <w:ind w:left="0" w:leftChars="0" w:firstLine="0" w:firstLineChars="0"/>
        <w:rPr>
          <w:rFonts w:hint="eastAsia" w:ascii="宋体" w:hAnsi="宋体" w:eastAsia="宋体" w:cs="宋体"/>
          <w:color w:val="000000" w:themeColor="text1"/>
          <w:sz w:val="24"/>
          <w:szCs w:val="24"/>
          <w:highlight w:val="none"/>
          <w14:textFill>
            <w14:solidFill>
              <w14:schemeClr w14:val="tx1"/>
            </w14:solidFill>
          </w14:textFill>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Segoe UI">
    <w:panose1 w:val="020B0502040204020203"/>
    <w:charset w:val="00"/>
    <w:family w:val="auto"/>
    <w:pitch w:val="default"/>
    <w:sig w:usb0="E10022FF" w:usb1="C000E47F" w:usb2="00000029" w:usb3="00000000" w:csb0="200001DF" w:csb1="2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autoSpaceDE w:val="0"/>
      <w:autoSpaceDN w:val="0"/>
      <w:adjustRightInd w:val="0"/>
      <w:spacing w:line="200" w:lineRule="exact"/>
      <w:jc w:val="left"/>
      <w:rPr>
        <w:rFonts w:hint="default" w:ascii="Times New Roman" w:eastAsia="Times New Roman"/>
        <w:kern w:val="0"/>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rStyle w:val="37"/>
        <w:rFonts w:hint="eastAsia"/>
        <w:sz w:val="24"/>
      </w:rPr>
      <w:t xml:space="preserve">  </w:t>
    </w:r>
    <w:r>
      <w:rPr>
        <w:rStyle w:val="37"/>
        <w:sz w:val="24"/>
      </w:rPr>
      <w:drawing>
        <wp:inline distT="0" distB="0" distL="114300" distR="114300">
          <wp:extent cx="374015" cy="375920"/>
          <wp:effectExtent l="0" t="0" r="6985" b="5080"/>
          <wp:docPr id="2" name="图片 2" descr="D:\用户目录\我的文档\Tencent Files\742054343\Image\C2C\0UZ3YQ7QPT[@M_F(FE]QHF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用户目录\我的文档\Tencent Files\742054343\Image\C2C\0UZ3YQ7QPT[@M_F(FE]QHFN.png"/>
                  <pic:cNvPicPr>
                    <a:picLocks noChangeAspect="1"/>
                  </pic:cNvPicPr>
                </pic:nvPicPr>
                <pic:blipFill>
                  <a:blip r:embed="rId1"/>
                  <a:stretch>
                    <a:fillRect/>
                  </a:stretch>
                </pic:blipFill>
                <pic:spPr>
                  <a:xfrm>
                    <a:off x="0" y="0"/>
                    <a:ext cx="374015" cy="375920"/>
                  </a:xfrm>
                  <a:prstGeom prst="rect">
                    <a:avLst/>
                  </a:prstGeom>
                  <a:noFill/>
                  <a:ln>
                    <a:noFill/>
                  </a:ln>
                </pic:spPr>
              </pic:pic>
            </a:graphicData>
          </a:graphic>
        </wp:inline>
      </w:drawing>
    </w:r>
    <w:r>
      <w:rPr>
        <w:rStyle w:val="37"/>
        <w:rFonts w:hint="eastAsia"/>
        <w:sz w:val="24"/>
      </w:rPr>
      <w:t xml:space="preserve">                                </w:t>
    </w:r>
    <w:r>
      <w:rPr>
        <w:rStyle w:val="37"/>
        <w:rFonts w:hint="eastAsia"/>
        <w:sz w:val="24"/>
        <w:lang w:val="en-US" w:eastAsia="zh-CN"/>
      </w:rPr>
      <w:t xml:space="preserve">  </w:t>
    </w:r>
    <w:r>
      <w:rPr>
        <w:rStyle w:val="37"/>
        <w:rFonts w:hint="eastAsia"/>
        <w:sz w:val="24"/>
      </w:rPr>
      <w:t>新疆拓源工程管理咨询有限公司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97A35"/>
    <w:multiLevelType w:val="singleLevel"/>
    <w:tmpl w:val="83B97A35"/>
    <w:lvl w:ilvl="0" w:tentative="0">
      <w:start w:val="2"/>
      <w:numFmt w:val="chineseCounting"/>
      <w:suff w:val="nothing"/>
      <w:lvlText w:val="%1、"/>
      <w:lvlJc w:val="left"/>
      <w:rPr>
        <w:rFonts w:hint="eastAsia"/>
      </w:rPr>
    </w:lvl>
  </w:abstractNum>
  <w:abstractNum w:abstractNumId="1">
    <w:nsid w:val="A145CCAE"/>
    <w:multiLevelType w:val="singleLevel"/>
    <w:tmpl w:val="A145CCAE"/>
    <w:lvl w:ilvl="0" w:tentative="0">
      <w:start w:val="1"/>
      <w:numFmt w:val="decimal"/>
      <w:suff w:val="nothing"/>
      <w:lvlText w:val="%1、"/>
      <w:lvlJc w:val="left"/>
    </w:lvl>
  </w:abstractNum>
  <w:abstractNum w:abstractNumId="2">
    <w:nsid w:val="DB411D4C"/>
    <w:multiLevelType w:val="singleLevel"/>
    <w:tmpl w:val="DB411D4C"/>
    <w:lvl w:ilvl="0" w:tentative="0">
      <w:start w:val="1"/>
      <w:numFmt w:val="decimal"/>
      <w:suff w:val="nothing"/>
      <w:lvlText w:val="%1、"/>
      <w:lvlJc w:val="left"/>
    </w:lvl>
  </w:abstractNum>
  <w:abstractNum w:abstractNumId="3">
    <w:nsid w:val="F3290AE7"/>
    <w:multiLevelType w:val="singleLevel"/>
    <w:tmpl w:val="F3290AE7"/>
    <w:lvl w:ilvl="0" w:tentative="0">
      <w:start w:val="10"/>
      <w:numFmt w:val="chineseCounting"/>
      <w:suff w:val="space"/>
      <w:lvlText w:val="第%1条"/>
      <w:lvlJc w:val="left"/>
      <w:rPr>
        <w:rFonts w:hint="eastAsia"/>
      </w:rPr>
    </w:lvl>
  </w:abstractNum>
  <w:abstractNum w:abstractNumId="4">
    <w:nsid w:val="0000000A"/>
    <w:multiLevelType w:val="multilevel"/>
    <w:tmpl w:val="0000000A"/>
    <w:lvl w:ilvl="0" w:tentative="0">
      <w:start w:val="1"/>
      <w:numFmt w:val="decimal"/>
      <w:lvlText w:val="第%1章"/>
      <w:lvlJc w:val="left"/>
      <w:pPr>
        <w:ind w:left="432" w:hanging="432"/>
      </w:pPr>
      <w:rPr>
        <w:rFonts w:hint="eastAsia" w:ascii="宋体" w:hAnsi="宋体" w:eastAsia="宋体" w:cs="宋体"/>
      </w:rPr>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pStyle w:val="5"/>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5">
    <w:nsid w:val="0000000F"/>
    <w:multiLevelType w:val="singleLevel"/>
    <w:tmpl w:val="0000000F"/>
    <w:lvl w:ilvl="0" w:tentative="0">
      <w:start w:val="1"/>
      <w:numFmt w:val="decimal"/>
      <w:suff w:val="nothing"/>
      <w:lvlText w:val="%1、"/>
      <w:lvlJc w:val="left"/>
    </w:lvl>
  </w:abstractNum>
  <w:abstractNum w:abstractNumId="6">
    <w:nsid w:val="47B24A7F"/>
    <w:multiLevelType w:val="multilevel"/>
    <w:tmpl w:val="47B24A7F"/>
    <w:lvl w:ilvl="0" w:tentative="0">
      <w:start w:val="1"/>
      <w:numFmt w:val="decimal"/>
      <w:lvlText w:val="%1、"/>
      <w:lvlJc w:val="left"/>
      <w:pPr>
        <w:tabs>
          <w:tab w:val="left" w:pos="740"/>
        </w:tabs>
        <w:ind w:left="1081" w:hanging="1081"/>
      </w:pPr>
      <w:rPr>
        <w:rFonts w:hint="default"/>
      </w:rPr>
    </w:lvl>
    <w:lvl w:ilvl="1" w:tentative="0">
      <w:start w:val="1"/>
      <w:numFmt w:val="decimal"/>
      <w:pStyle w:val="59"/>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0C8F99C"/>
    <w:multiLevelType w:val="singleLevel"/>
    <w:tmpl w:val="60C8F99C"/>
    <w:lvl w:ilvl="0" w:tentative="0">
      <w:start w:val="6"/>
      <w:numFmt w:val="chineseCounting"/>
      <w:suff w:val="nothing"/>
      <w:lvlText w:val="%1、"/>
      <w:lvlJc w:val="left"/>
      <w:rPr>
        <w:rFonts w:hint="eastAsia"/>
      </w:rPr>
    </w:lvl>
  </w:abstractNum>
  <w:num w:numId="1">
    <w:abstractNumId w:val="4"/>
  </w:num>
  <w:num w:numId="2">
    <w:abstractNumId w:val="6"/>
  </w:num>
  <w:num w:numId="3">
    <w:abstractNumId w:val="5"/>
  </w:num>
  <w:num w:numId="4">
    <w:abstractNumId w:val="1"/>
  </w:num>
  <w:num w:numId="5">
    <w:abstractNumId w:val="0"/>
  </w:num>
  <w:num w:numId="6">
    <w:abstractNumId w:val="7"/>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1Y2I2YTYzMjY3NDc0YjNmMmI1MTZmMzM3OGYzYjAifQ=="/>
    <w:docVar w:name="KSO_WPS_MARK_KEY" w:val="2542d0e4-db01-47bc-9e30-3b31ec68f3a9"/>
  </w:docVars>
  <w:rsids>
    <w:rsidRoot w:val="006D6F44"/>
    <w:rsid w:val="00083A7D"/>
    <w:rsid w:val="00085DA1"/>
    <w:rsid w:val="001119CD"/>
    <w:rsid w:val="001343B1"/>
    <w:rsid w:val="00167918"/>
    <w:rsid w:val="00177ECA"/>
    <w:rsid w:val="002021CC"/>
    <w:rsid w:val="0022674C"/>
    <w:rsid w:val="00252FC0"/>
    <w:rsid w:val="003C111D"/>
    <w:rsid w:val="00436CBC"/>
    <w:rsid w:val="0049263D"/>
    <w:rsid w:val="004D5BB6"/>
    <w:rsid w:val="005F58DE"/>
    <w:rsid w:val="006351B6"/>
    <w:rsid w:val="006D6F44"/>
    <w:rsid w:val="00736F86"/>
    <w:rsid w:val="00754BD2"/>
    <w:rsid w:val="00A21929"/>
    <w:rsid w:val="00AD511E"/>
    <w:rsid w:val="00BD6145"/>
    <w:rsid w:val="00CC135F"/>
    <w:rsid w:val="00D651EE"/>
    <w:rsid w:val="00DF7C4C"/>
    <w:rsid w:val="00E47163"/>
    <w:rsid w:val="00F846DC"/>
    <w:rsid w:val="011A058D"/>
    <w:rsid w:val="019B461B"/>
    <w:rsid w:val="01F36A43"/>
    <w:rsid w:val="02146ECA"/>
    <w:rsid w:val="02387951"/>
    <w:rsid w:val="02563B57"/>
    <w:rsid w:val="02F11C19"/>
    <w:rsid w:val="02FC7F3E"/>
    <w:rsid w:val="03D305A2"/>
    <w:rsid w:val="057C2119"/>
    <w:rsid w:val="065A49AA"/>
    <w:rsid w:val="06F81C40"/>
    <w:rsid w:val="07C97589"/>
    <w:rsid w:val="082F62F4"/>
    <w:rsid w:val="09BD30A0"/>
    <w:rsid w:val="0ACE6829"/>
    <w:rsid w:val="0AE36F06"/>
    <w:rsid w:val="0AF41C12"/>
    <w:rsid w:val="0B0D4C33"/>
    <w:rsid w:val="0B4F565B"/>
    <w:rsid w:val="0B607223"/>
    <w:rsid w:val="0CF602B9"/>
    <w:rsid w:val="0D2D03D2"/>
    <w:rsid w:val="0D5741F4"/>
    <w:rsid w:val="0D850FBB"/>
    <w:rsid w:val="0DBD2424"/>
    <w:rsid w:val="0DD87DE8"/>
    <w:rsid w:val="0F146C3D"/>
    <w:rsid w:val="0F2310FF"/>
    <w:rsid w:val="0F887012"/>
    <w:rsid w:val="1055163A"/>
    <w:rsid w:val="107734BE"/>
    <w:rsid w:val="10A325C2"/>
    <w:rsid w:val="11000D61"/>
    <w:rsid w:val="117B5769"/>
    <w:rsid w:val="11AB0DFD"/>
    <w:rsid w:val="134C19FE"/>
    <w:rsid w:val="13DD2CE4"/>
    <w:rsid w:val="14F00AA2"/>
    <w:rsid w:val="14F275B8"/>
    <w:rsid w:val="15A825BE"/>
    <w:rsid w:val="15BA29AC"/>
    <w:rsid w:val="15EB1150"/>
    <w:rsid w:val="16247C45"/>
    <w:rsid w:val="16874642"/>
    <w:rsid w:val="16A27DFA"/>
    <w:rsid w:val="16B65467"/>
    <w:rsid w:val="16E86EC4"/>
    <w:rsid w:val="17764E3E"/>
    <w:rsid w:val="17AD43A0"/>
    <w:rsid w:val="17FF6452"/>
    <w:rsid w:val="180F2C31"/>
    <w:rsid w:val="18975082"/>
    <w:rsid w:val="18A04871"/>
    <w:rsid w:val="18B6017C"/>
    <w:rsid w:val="18F52A9C"/>
    <w:rsid w:val="192A37EB"/>
    <w:rsid w:val="196D5E11"/>
    <w:rsid w:val="19C17CAA"/>
    <w:rsid w:val="19FF64A2"/>
    <w:rsid w:val="1A0A6A8E"/>
    <w:rsid w:val="1A246465"/>
    <w:rsid w:val="1A7D486B"/>
    <w:rsid w:val="1B912A8E"/>
    <w:rsid w:val="1BD7260B"/>
    <w:rsid w:val="1BE331C5"/>
    <w:rsid w:val="1BF55BDB"/>
    <w:rsid w:val="1C111736"/>
    <w:rsid w:val="1C37598E"/>
    <w:rsid w:val="1D5252D9"/>
    <w:rsid w:val="1D95194F"/>
    <w:rsid w:val="1DC57731"/>
    <w:rsid w:val="1DD957B9"/>
    <w:rsid w:val="1DEA1950"/>
    <w:rsid w:val="1E55089B"/>
    <w:rsid w:val="1E842620"/>
    <w:rsid w:val="1F48390E"/>
    <w:rsid w:val="1F644AE8"/>
    <w:rsid w:val="1F684E59"/>
    <w:rsid w:val="20001D6A"/>
    <w:rsid w:val="202C2802"/>
    <w:rsid w:val="206A5E42"/>
    <w:rsid w:val="20914128"/>
    <w:rsid w:val="21550B40"/>
    <w:rsid w:val="215E0A93"/>
    <w:rsid w:val="21D80B71"/>
    <w:rsid w:val="21F17D04"/>
    <w:rsid w:val="22500A99"/>
    <w:rsid w:val="226A7409"/>
    <w:rsid w:val="23E03502"/>
    <w:rsid w:val="242242C9"/>
    <w:rsid w:val="246C62EA"/>
    <w:rsid w:val="24925A07"/>
    <w:rsid w:val="24AE1898"/>
    <w:rsid w:val="24C93DF2"/>
    <w:rsid w:val="24D65801"/>
    <w:rsid w:val="25190209"/>
    <w:rsid w:val="25302162"/>
    <w:rsid w:val="255C218F"/>
    <w:rsid w:val="256F4866"/>
    <w:rsid w:val="25BB686D"/>
    <w:rsid w:val="25BC5F46"/>
    <w:rsid w:val="260C30AD"/>
    <w:rsid w:val="26592325"/>
    <w:rsid w:val="267C3185"/>
    <w:rsid w:val="2725176B"/>
    <w:rsid w:val="2745745A"/>
    <w:rsid w:val="27BC2A5B"/>
    <w:rsid w:val="283E4C57"/>
    <w:rsid w:val="28D601EB"/>
    <w:rsid w:val="2929735B"/>
    <w:rsid w:val="296C3771"/>
    <w:rsid w:val="29EB48A9"/>
    <w:rsid w:val="2ACF41CB"/>
    <w:rsid w:val="2AEC5A97"/>
    <w:rsid w:val="2B8773B3"/>
    <w:rsid w:val="2C730B86"/>
    <w:rsid w:val="2C8608B9"/>
    <w:rsid w:val="2CB2345D"/>
    <w:rsid w:val="2E096E23"/>
    <w:rsid w:val="2E7F2A0C"/>
    <w:rsid w:val="2EFE507F"/>
    <w:rsid w:val="2F210137"/>
    <w:rsid w:val="2F7143A8"/>
    <w:rsid w:val="2FB971F8"/>
    <w:rsid w:val="2FC23EB4"/>
    <w:rsid w:val="3009791E"/>
    <w:rsid w:val="301A2DFD"/>
    <w:rsid w:val="304A3722"/>
    <w:rsid w:val="3062625C"/>
    <w:rsid w:val="30715502"/>
    <w:rsid w:val="30C02372"/>
    <w:rsid w:val="31542FBB"/>
    <w:rsid w:val="31D609DB"/>
    <w:rsid w:val="31E01A47"/>
    <w:rsid w:val="321948A0"/>
    <w:rsid w:val="32382833"/>
    <w:rsid w:val="329E236C"/>
    <w:rsid w:val="33BB7ADC"/>
    <w:rsid w:val="350A08F1"/>
    <w:rsid w:val="35A013B7"/>
    <w:rsid w:val="36710DB6"/>
    <w:rsid w:val="368A6A0B"/>
    <w:rsid w:val="36E01665"/>
    <w:rsid w:val="374271D8"/>
    <w:rsid w:val="37D739CE"/>
    <w:rsid w:val="381B0296"/>
    <w:rsid w:val="38BB1E22"/>
    <w:rsid w:val="38E01351"/>
    <w:rsid w:val="38ED692C"/>
    <w:rsid w:val="38EF5A38"/>
    <w:rsid w:val="39162FC5"/>
    <w:rsid w:val="39D550EC"/>
    <w:rsid w:val="3A292476"/>
    <w:rsid w:val="3ACE4EEE"/>
    <w:rsid w:val="3AF870AB"/>
    <w:rsid w:val="3B284357"/>
    <w:rsid w:val="3BA5557E"/>
    <w:rsid w:val="3CD07877"/>
    <w:rsid w:val="3D276170"/>
    <w:rsid w:val="3D402D06"/>
    <w:rsid w:val="3D661449"/>
    <w:rsid w:val="3DA6700D"/>
    <w:rsid w:val="3DA70D1F"/>
    <w:rsid w:val="3DAE3162"/>
    <w:rsid w:val="3DEA15D4"/>
    <w:rsid w:val="3E267E8F"/>
    <w:rsid w:val="3EA76402"/>
    <w:rsid w:val="3F143436"/>
    <w:rsid w:val="40A50767"/>
    <w:rsid w:val="40AA1DF7"/>
    <w:rsid w:val="41686388"/>
    <w:rsid w:val="419378A9"/>
    <w:rsid w:val="42835A3D"/>
    <w:rsid w:val="428C078D"/>
    <w:rsid w:val="43B64841"/>
    <w:rsid w:val="442E0633"/>
    <w:rsid w:val="445145E4"/>
    <w:rsid w:val="44F71EFD"/>
    <w:rsid w:val="451F126E"/>
    <w:rsid w:val="45867106"/>
    <w:rsid w:val="458E1839"/>
    <w:rsid w:val="45AB2CE7"/>
    <w:rsid w:val="46CE1383"/>
    <w:rsid w:val="477D2E4A"/>
    <w:rsid w:val="47C70A38"/>
    <w:rsid w:val="47CC56D0"/>
    <w:rsid w:val="480908C5"/>
    <w:rsid w:val="487469E2"/>
    <w:rsid w:val="48F14EB5"/>
    <w:rsid w:val="48F91625"/>
    <w:rsid w:val="494C5A26"/>
    <w:rsid w:val="49AB391A"/>
    <w:rsid w:val="49C337B5"/>
    <w:rsid w:val="4ABA3D35"/>
    <w:rsid w:val="4AEF3D32"/>
    <w:rsid w:val="4B663938"/>
    <w:rsid w:val="4BB350A6"/>
    <w:rsid w:val="4C0554CB"/>
    <w:rsid w:val="4C260A4D"/>
    <w:rsid w:val="4C361B97"/>
    <w:rsid w:val="4C522C98"/>
    <w:rsid w:val="4CC27294"/>
    <w:rsid w:val="4EFD78B0"/>
    <w:rsid w:val="4F182DE3"/>
    <w:rsid w:val="4F7A3CCF"/>
    <w:rsid w:val="4F9A2DCC"/>
    <w:rsid w:val="4FB20A99"/>
    <w:rsid w:val="501A62B0"/>
    <w:rsid w:val="504E280B"/>
    <w:rsid w:val="50C3182D"/>
    <w:rsid w:val="511215A9"/>
    <w:rsid w:val="512968E0"/>
    <w:rsid w:val="51DC2BA6"/>
    <w:rsid w:val="5223325C"/>
    <w:rsid w:val="523E46C3"/>
    <w:rsid w:val="53000AE3"/>
    <w:rsid w:val="54AB554E"/>
    <w:rsid w:val="54C71B28"/>
    <w:rsid w:val="55A56FD0"/>
    <w:rsid w:val="55A7171D"/>
    <w:rsid w:val="567E11E9"/>
    <w:rsid w:val="56933C1B"/>
    <w:rsid w:val="56A45C5C"/>
    <w:rsid w:val="57F819DC"/>
    <w:rsid w:val="57FA24E2"/>
    <w:rsid w:val="58D00F8B"/>
    <w:rsid w:val="59410F0D"/>
    <w:rsid w:val="595A420C"/>
    <w:rsid w:val="599E6993"/>
    <w:rsid w:val="5A092C2B"/>
    <w:rsid w:val="5AEB1782"/>
    <w:rsid w:val="5B072BC8"/>
    <w:rsid w:val="5CA028CF"/>
    <w:rsid w:val="5D54355A"/>
    <w:rsid w:val="5D917CE4"/>
    <w:rsid w:val="5F4B0BA9"/>
    <w:rsid w:val="5F51605A"/>
    <w:rsid w:val="5F776C17"/>
    <w:rsid w:val="5F850BD3"/>
    <w:rsid w:val="5F9F1226"/>
    <w:rsid w:val="60077FCA"/>
    <w:rsid w:val="610738E0"/>
    <w:rsid w:val="612B4288"/>
    <w:rsid w:val="615A0A81"/>
    <w:rsid w:val="616427FD"/>
    <w:rsid w:val="61E67F77"/>
    <w:rsid w:val="61F10144"/>
    <w:rsid w:val="62226386"/>
    <w:rsid w:val="625F3AF3"/>
    <w:rsid w:val="62C423F5"/>
    <w:rsid w:val="62FF671D"/>
    <w:rsid w:val="631D6B7A"/>
    <w:rsid w:val="63D77534"/>
    <w:rsid w:val="64261F1A"/>
    <w:rsid w:val="652F2220"/>
    <w:rsid w:val="656A1E1F"/>
    <w:rsid w:val="66417024"/>
    <w:rsid w:val="66CE7BBE"/>
    <w:rsid w:val="68B30AFA"/>
    <w:rsid w:val="68BA3557"/>
    <w:rsid w:val="68BE5C06"/>
    <w:rsid w:val="694D1201"/>
    <w:rsid w:val="6990454A"/>
    <w:rsid w:val="69A022B3"/>
    <w:rsid w:val="6A433B3D"/>
    <w:rsid w:val="6B13136D"/>
    <w:rsid w:val="6B216746"/>
    <w:rsid w:val="6B4E536C"/>
    <w:rsid w:val="6B6C35FC"/>
    <w:rsid w:val="6B6D6DE2"/>
    <w:rsid w:val="6BB27887"/>
    <w:rsid w:val="6BD928AA"/>
    <w:rsid w:val="6C183D6E"/>
    <w:rsid w:val="6D4441CE"/>
    <w:rsid w:val="6D8A0DDF"/>
    <w:rsid w:val="6E775CD9"/>
    <w:rsid w:val="6EC300C5"/>
    <w:rsid w:val="6ED07197"/>
    <w:rsid w:val="6FAE12B7"/>
    <w:rsid w:val="70055A8F"/>
    <w:rsid w:val="70FE6A90"/>
    <w:rsid w:val="724E21E5"/>
    <w:rsid w:val="729D385E"/>
    <w:rsid w:val="7352461E"/>
    <w:rsid w:val="74E00676"/>
    <w:rsid w:val="755E374E"/>
    <w:rsid w:val="757B4FC6"/>
    <w:rsid w:val="75BF456A"/>
    <w:rsid w:val="7654306E"/>
    <w:rsid w:val="76931E28"/>
    <w:rsid w:val="78BF1DB2"/>
    <w:rsid w:val="790A7749"/>
    <w:rsid w:val="795641A9"/>
    <w:rsid w:val="79684279"/>
    <w:rsid w:val="7AC36DD6"/>
    <w:rsid w:val="7AD26B8E"/>
    <w:rsid w:val="7B7875A5"/>
    <w:rsid w:val="7CCD055A"/>
    <w:rsid w:val="7CCD4D16"/>
    <w:rsid w:val="7D2B2213"/>
    <w:rsid w:val="7D7257F9"/>
    <w:rsid w:val="7D896857"/>
    <w:rsid w:val="7D95153D"/>
    <w:rsid w:val="7D980184"/>
    <w:rsid w:val="7D9F0FBC"/>
    <w:rsid w:val="7EE27891"/>
    <w:rsid w:val="7F080287"/>
    <w:rsid w:val="7F211E66"/>
    <w:rsid w:val="7F29553D"/>
    <w:rsid w:val="7F5F0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44"/>
    <w:autoRedefine/>
    <w:qFormat/>
    <w:uiPriority w:val="0"/>
    <w:pPr>
      <w:keepNext/>
      <w:keepLines/>
      <w:spacing w:before="340" w:after="330" w:line="578" w:lineRule="auto"/>
    </w:pPr>
    <w:rPr>
      <w:rFonts w:ascii="Calibri" w:hAnsi="Calibri"/>
      <w:kern w:val="44"/>
      <w:sz w:val="44"/>
      <w:szCs w:val="44"/>
    </w:rPr>
  </w:style>
  <w:style w:type="paragraph" w:styleId="2">
    <w:name w:val="heading 2"/>
    <w:basedOn w:val="1"/>
    <w:next w:val="1"/>
    <w:autoRedefine/>
    <w:qFormat/>
    <w:uiPriority w:val="0"/>
    <w:pPr>
      <w:keepLines/>
      <w:spacing w:before="260" w:after="260" w:line="416" w:lineRule="auto"/>
      <w:outlineLvl w:val="1"/>
    </w:pPr>
    <w:rPr>
      <w:rFonts w:ascii="Arial" w:hAnsi="Arial" w:eastAsia="黑体"/>
      <w:bCs/>
      <w:szCs w:val="32"/>
    </w:rPr>
  </w:style>
  <w:style w:type="paragraph" w:styleId="4">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autoRedefine/>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cs="Times New Roman"/>
      <w:b/>
      <w:sz w:val="28"/>
    </w:rPr>
  </w:style>
  <w:style w:type="character" w:default="1" w:styleId="30">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ind w:firstLine="420" w:firstLineChars="200"/>
    </w:pPr>
  </w:style>
  <w:style w:type="paragraph" w:styleId="7">
    <w:name w:val="caption"/>
    <w:basedOn w:val="1"/>
    <w:next w:val="1"/>
    <w:autoRedefine/>
    <w:qFormat/>
    <w:uiPriority w:val="0"/>
    <w:rPr>
      <w:rFonts w:ascii="Arial" w:hAnsi="Arial" w:eastAsia="黑体" w:cs="Arial"/>
      <w:sz w:val="20"/>
      <w:szCs w:val="20"/>
    </w:rPr>
  </w:style>
  <w:style w:type="paragraph" w:styleId="8">
    <w:name w:val="toa heading"/>
    <w:basedOn w:val="1"/>
    <w:next w:val="1"/>
    <w:autoRedefine/>
    <w:qFormat/>
    <w:uiPriority w:val="0"/>
    <w:pPr>
      <w:spacing w:before="120"/>
    </w:pPr>
    <w:rPr>
      <w:rFonts w:ascii="Cambria" w:hAnsi="Cambria"/>
      <w:sz w:val="24"/>
    </w:rPr>
  </w:style>
  <w:style w:type="paragraph" w:styleId="9">
    <w:name w:val="annotation text"/>
    <w:basedOn w:val="1"/>
    <w:link w:val="54"/>
    <w:autoRedefine/>
    <w:qFormat/>
    <w:uiPriority w:val="0"/>
    <w:pPr>
      <w:jc w:val="left"/>
    </w:pPr>
  </w:style>
  <w:style w:type="paragraph" w:styleId="10">
    <w:name w:val="index 6"/>
    <w:basedOn w:val="1"/>
    <w:next w:val="1"/>
    <w:autoRedefine/>
    <w:qFormat/>
    <w:uiPriority w:val="99"/>
    <w:pPr>
      <w:adjustRightInd w:val="0"/>
      <w:snapToGrid w:val="0"/>
      <w:ind w:left="2100"/>
    </w:pPr>
    <w:rPr>
      <w:rFonts w:ascii="Times New Roman" w:hAnsi="Times New Roman"/>
      <w:szCs w:val="21"/>
    </w:rPr>
  </w:style>
  <w:style w:type="paragraph" w:styleId="11">
    <w:name w:val="Body Text"/>
    <w:basedOn w:val="1"/>
    <w:next w:val="1"/>
    <w:autoRedefine/>
    <w:qFormat/>
    <w:uiPriority w:val="0"/>
    <w:pPr>
      <w:spacing w:after="120"/>
    </w:pPr>
  </w:style>
  <w:style w:type="paragraph" w:styleId="12">
    <w:name w:val="Body Text Indent"/>
    <w:basedOn w:val="1"/>
    <w:next w:val="13"/>
    <w:autoRedefine/>
    <w:qFormat/>
    <w:uiPriority w:val="0"/>
    <w:pPr>
      <w:ind w:firstLine="630"/>
    </w:pPr>
    <w:rPr>
      <w:sz w:val="32"/>
      <w:szCs w:val="20"/>
    </w:rPr>
  </w:style>
  <w:style w:type="paragraph" w:styleId="13">
    <w:name w:val="envelope return"/>
    <w:basedOn w:val="1"/>
    <w:autoRedefine/>
    <w:qFormat/>
    <w:uiPriority w:val="99"/>
    <w:pPr>
      <w:snapToGrid w:val="0"/>
    </w:pPr>
    <w:rPr>
      <w:rFonts w:ascii="Arial" w:hAnsi="Arial" w:cs="Arial"/>
    </w:rPr>
  </w:style>
  <w:style w:type="paragraph" w:styleId="14">
    <w:name w:val="Plain Text"/>
    <w:basedOn w:val="1"/>
    <w:autoRedefine/>
    <w:qFormat/>
    <w:uiPriority w:val="0"/>
    <w:rPr>
      <w:rFonts w:ascii="宋体" w:hAnsi="Courier New"/>
      <w:szCs w:val="20"/>
    </w:rPr>
  </w:style>
  <w:style w:type="paragraph" w:styleId="15">
    <w:name w:val="Body Text Indent 2"/>
    <w:basedOn w:val="1"/>
    <w:autoRedefine/>
    <w:qFormat/>
    <w:uiPriority w:val="0"/>
    <w:pPr>
      <w:spacing w:after="120" w:line="480" w:lineRule="auto"/>
      <w:ind w:left="420" w:leftChars="200"/>
    </w:pPr>
  </w:style>
  <w:style w:type="paragraph" w:styleId="16">
    <w:name w:val="Balloon Text"/>
    <w:basedOn w:val="1"/>
    <w:link w:val="53"/>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toc 1"/>
    <w:basedOn w:val="1"/>
    <w:next w:val="1"/>
    <w:autoRedefine/>
    <w:qFormat/>
    <w:uiPriority w:val="0"/>
    <w:pPr>
      <w:spacing w:line="480" w:lineRule="auto"/>
    </w:pPr>
    <w:rPr>
      <w:rFonts w:ascii="Times New Roman" w:hAnsi="Times New Roman"/>
      <w:sz w:val="3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unhideWhenUsed/>
    <w:qFormat/>
    <w:uiPriority w:val="0"/>
  </w:style>
  <w:style w:type="paragraph" w:styleId="22">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23">
    <w:name w:val="List 5"/>
    <w:basedOn w:val="1"/>
    <w:autoRedefine/>
    <w:qFormat/>
    <w:uiPriority w:val="0"/>
    <w:pPr>
      <w:ind w:left="2100" w:hanging="420"/>
    </w:pPr>
    <w:rPr>
      <w:rFonts w:eastAsia="楷体_GB2312"/>
      <w:sz w:val="32"/>
      <w:szCs w:val="20"/>
    </w:rPr>
  </w:style>
  <w:style w:type="paragraph" w:styleId="24">
    <w:name w:val="Normal (Web)"/>
    <w:basedOn w:val="1"/>
    <w:next w:val="1"/>
    <w:autoRedefine/>
    <w:qFormat/>
    <w:uiPriority w:val="0"/>
    <w:pPr>
      <w:widowControl/>
      <w:spacing w:before="100" w:beforeAutospacing="1" w:after="100" w:afterAutospacing="1"/>
      <w:jc w:val="left"/>
    </w:pPr>
    <w:rPr>
      <w:rFonts w:ascii="宋体" w:hAnsi="宋体"/>
      <w:kern w:val="0"/>
      <w:sz w:val="18"/>
      <w:szCs w:val="18"/>
    </w:rPr>
  </w:style>
  <w:style w:type="paragraph" w:styleId="25">
    <w:name w:val="Title"/>
    <w:basedOn w:val="1"/>
    <w:next w:val="1"/>
    <w:autoRedefine/>
    <w:qFormat/>
    <w:uiPriority w:val="10"/>
    <w:pPr>
      <w:spacing w:before="240" w:after="60"/>
      <w:jc w:val="center"/>
      <w:outlineLvl w:val="0"/>
    </w:pPr>
    <w:rPr>
      <w:rFonts w:ascii="Cambria" w:hAnsi="Cambria"/>
      <w:b/>
      <w:bCs/>
      <w:sz w:val="32"/>
      <w:szCs w:val="32"/>
    </w:rPr>
  </w:style>
  <w:style w:type="paragraph" w:styleId="26">
    <w:name w:val="annotation subject"/>
    <w:basedOn w:val="9"/>
    <w:next w:val="9"/>
    <w:link w:val="55"/>
    <w:autoRedefine/>
    <w:qFormat/>
    <w:uiPriority w:val="0"/>
    <w:rPr>
      <w:b/>
      <w:bCs/>
    </w:rPr>
  </w:style>
  <w:style w:type="paragraph" w:styleId="27">
    <w:name w:val="Body Text First Indent"/>
    <w:basedOn w:val="11"/>
    <w:next w:val="1"/>
    <w:autoRedefine/>
    <w:qFormat/>
    <w:uiPriority w:val="0"/>
    <w:pPr>
      <w:ind w:firstLine="420" w:firstLineChars="100"/>
    </w:pPr>
  </w:style>
  <w:style w:type="paragraph" w:styleId="28">
    <w:name w:val="Body Text First Indent 2"/>
    <w:basedOn w:val="12"/>
    <w:next w:val="1"/>
    <w:autoRedefine/>
    <w:qFormat/>
    <w:uiPriority w:val="0"/>
    <w:pPr>
      <w:ind w:firstLine="420"/>
    </w:pPr>
  </w:style>
  <w:style w:type="character" w:styleId="31">
    <w:name w:val="Strong"/>
    <w:basedOn w:val="30"/>
    <w:autoRedefine/>
    <w:qFormat/>
    <w:uiPriority w:val="22"/>
    <w:rPr>
      <w:b/>
      <w:bCs/>
    </w:rPr>
  </w:style>
  <w:style w:type="character" w:styleId="32">
    <w:name w:val="Hyperlink"/>
    <w:basedOn w:val="30"/>
    <w:autoRedefine/>
    <w:qFormat/>
    <w:uiPriority w:val="0"/>
    <w:rPr>
      <w:rFonts w:ascii="Times New Roman" w:hAnsi="Times New Roman" w:eastAsia="微软雅黑" w:cs="Times New Roman"/>
      <w:color w:val="0000FF"/>
      <w:u w:val="single"/>
    </w:rPr>
  </w:style>
  <w:style w:type="character" w:styleId="33">
    <w:name w:val="annotation reference"/>
    <w:basedOn w:val="30"/>
    <w:autoRedefine/>
    <w:qFormat/>
    <w:uiPriority w:val="0"/>
    <w:rPr>
      <w:sz w:val="21"/>
      <w:szCs w:val="21"/>
    </w:rPr>
  </w:style>
  <w:style w:type="paragraph" w:customStyle="1" w:styleId="34">
    <w:name w:val="3）三级标题 与下段同页"/>
    <w:basedOn w:val="1"/>
    <w:autoRedefine/>
    <w:qFormat/>
    <w:uiPriority w:val="0"/>
    <w:pPr>
      <w:keepNext/>
      <w:spacing w:beforeLines="50" w:afterLines="50"/>
      <w:jc w:val="center"/>
      <w:outlineLvl w:val="2"/>
    </w:pPr>
    <w:rPr>
      <w:rFonts w:ascii="仿宋_GB2312" w:eastAsia="仿宋_GB2312"/>
      <w:b/>
      <w:sz w:val="32"/>
    </w:rPr>
  </w:style>
  <w:style w:type="paragraph" w:customStyle="1" w:styleId="35">
    <w:name w:val="样式1"/>
    <w:basedOn w:val="1"/>
    <w:next w:val="36"/>
    <w:autoRedefine/>
    <w:qFormat/>
    <w:uiPriority w:val="0"/>
    <w:pPr>
      <w:spacing w:before="120" w:beforeLines="0" w:after="120" w:afterLines="0"/>
    </w:pPr>
  </w:style>
  <w:style w:type="paragraph" w:customStyle="1" w:styleId="36">
    <w:name w:val="样式2"/>
    <w:basedOn w:val="1"/>
    <w:autoRedefine/>
    <w:qFormat/>
    <w:uiPriority w:val="0"/>
    <w:pPr>
      <w:spacing w:before="120" w:beforeLines="0" w:after="120" w:afterLines="0"/>
    </w:pPr>
  </w:style>
  <w:style w:type="character" w:customStyle="1" w:styleId="37">
    <w:name w:val="NormalCharacter"/>
    <w:link w:val="38"/>
    <w:autoRedefine/>
    <w:qFormat/>
    <w:uiPriority w:val="0"/>
    <w:rPr>
      <w:rFonts w:ascii="Verdana" w:hAnsi="Verdana" w:eastAsia="仿宋_GB2312"/>
      <w:kern w:val="0"/>
      <w:sz w:val="24"/>
      <w:szCs w:val="20"/>
      <w:lang w:eastAsia="en-US"/>
    </w:rPr>
  </w:style>
  <w:style w:type="paragraph" w:customStyle="1" w:styleId="38">
    <w:name w:val="UserStyle_20"/>
    <w:basedOn w:val="1"/>
    <w:link w:val="37"/>
    <w:qFormat/>
    <w:uiPriority w:val="0"/>
    <w:pPr>
      <w:spacing w:after="160" w:line="240" w:lineRule="exact"/>
      <w:jc w:val="left"/>
    </w:pPr>
    <w:rPr>
      <w:rFonts w:ascii="Verdana" w:hAnsi="Verdana" w:eastAsia="仿宋_GB2312"/>
      <w:kern w:val="0"/>
      <w:sz w:val="24"/>
      <w:szCs w:val="20"/>
      <w:lang w:eastAsia="en-US"/>
    </w:rPr>
  </w:style>
  <w:style w:type="paragraph" w:customStyle="1" w:styleId="39">
    <w:name w:val="UserStyle_5"/>
    <w:basedOn w:val="1"/>
    <w:link w:val="37"/>
    <w:autoRedefine/>
    <w:qFormat/>
    <w:uiPriority w:val="0"/>
    <w:pPr>
      <w:widowControl/>
      <w:spacing w:after="160" w:line="240" w:lineRule="exact"/>
      <w:jc w:val="left"/>
      <w:textAlignment w:val="baseline"/>
    </w:pPr>
  </w:style>
  <w:style w:type="character" w:customStyle="1" w:styleId="40">
    <w:name w:val="UserStyle_3"/>
    <w:autoRedefine/>
    <w:qFormat/>
    <w:uiPriority w:val="0"/>
    <w:rPr>
      <w:rFonts w:ascii="宋体" w:hAnsi="宋体" w:eastAsia="宋体"/>
      <w:b/>
      <w:sz w:val="32"/>
      <w:szCs w:val="32"/>
    </w:rPr>
  </w:style>
  <w:style w:type="paragraph" w:customStyle="1" w:styleId="41">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4正文"/>
    <w:basedOn w:val="1"/>
    <w:autoRedefine/>
    <w:qFormat/>
    <w:uiPriority w:val="0"/>
    <w:pPr>
      <w:snapToGrid w:val="0"/>
      <w:spacing w:line="360" w:lineRule="auto"/>
      <w:ind w:firstLine="480" w:firstLineChars="200"/>
    </w:pPr>
    <w:rPr>
      <w:rFonts w:eastAsia="仿宋"/>
      <w:sz w:val="24"/>
    </w:rPr>
  </w:style>
  <w:style w:type="paragraph" w:customStyle="1" w:styleId="43">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44">
    <w:name w:val="标题 1 Char"/>
    <w:link w:val="3"/>
    <w:autoRedefine/>
    <w:qFormat/>
    <w:uiPriority w:val="0"/>
    <w:rPr>
      <w:rFonts w:ascii="Calibri" w:hAnsi="Calibri" w:eastAsia="宋体" w:cs="Times New Roman"/>
      <w:kern w:val="44"/>
      <w:sz w:val="44"/>
      <w:szCs w:val="44"/>
    </w:rPr>
  </w:style>
  <w:style w:type="paragraph" w:customStyle="1" w:styleId="45">
    <w:name w:val="Table Paragraph"/>
    <w:basedOn w:val="1"/>
    <w:autoRedefine/>
    <w:unhideWhenUsed/>
    <w:qFormat/>
    <w:uiPriority w:val="1"/>
    <w:rPr>
      <w:sz w:val="24"/>
    </w:rPr>
  </w:style>
  <w:style w:type="paragraph" w:customStyle="1" w:styleId="46">
    <w:name w:val="列出段落1"/>
    <w:basedOn w:val="1"/>
    <w:autoRedefine/>
    <w:qFormat/>
    <w:uiPriority w:val="0"/>
    <w:pPr>
      <w:spacing w:line="360" w:lineRule="auto"/>
      <w:ind w:firstLine="420" w:firstLineChars="200"/>
    </w:pPr>
    <w:rPr>
      <w:rFonts w:ascii="等线" w:hAnsi="等线"/>
      <w:szCs w:val="22"/>
    </w:rPr>
  </w:style>
  <w:style w:type="paragraph" w:customStyle="1" w:styleId="47">
    <w:name w:val="样式 正文缩进 + 首行缩进:  2 字符"/>
    <w:basedOn w:val="6"/>
    <w:autoRedefine/>
    <w:qFormat/>
    <w:uiPriority w:val="0"/>
    <w:pPr>
      <w:spacing w:line="360" w:lineRule="auto"/>
      <w:ind w:firstLine="200"/>
    </w:pPr>
    <w:rPr>
      <w:rFonts w:cs="宋体"/>
      <w:sz w:val="24"/>
      <w:szCs w:val="20"/>
    </w:rPr>
  </w:style>
  <w:style w:type="paragraph" w:customStyle="1" w:styleId="48">
    <w:name w:val="WPS Plain"/>
    <w:basedOn w:val="1"/>
    <w:autoRedefine/>
    <w:qFormat/>
    <w:uiPriority w:val="0"/>
    <w:pPr>
      <w:widowControl/>
      <w:jc w:val="left"/>
    </w:pPr>
    <w:rPr>
      <w:rFonts w:ascii="Times New Roman"/>
      <w:sz w:val="24"/>
    </w:rPr>
  </w:style>
  <w:style w:type="paragraph" w:customStyle="1" w:styleId="49">
    <w:name w:val="普通(网站)1"/>
    <w:basedOn w:val="1"/>
    <w:autoRedefine/>
    <w:qFormat/>
    <w:uiPriority w:val="0"/>
    <w:pPr>
      <w:jc w:val="left"/>
    </w:pPr>
    <w:rPr>
      <w:kern w:val="0"/>
      <w:sz w:val="24"/>
    </w:rPr>
  </w:style>
  <w:style w:type="paragraph" w:customStyle="1" w:styleId="50">
    <w:name w:val="Body text|1"/>
    <w:basedOn w:val="1"/>
    <w:autoRedefine/>
    <w:qFormat/>
    <w:uiPriority w:val="0"/>
    <w:pPr>
      <w:spacing w:line="290" w:lineRule="auto"/>
      <w:ind w:firstLine="400"/>
    </w:pPr>
    <w:rPr>
      <w:rFonts w:ascii="宋体" w:hAnsi="宋体" w:cs="宋体"/>
      <w:sz w:val="22"/>
      <w:szCs w:val="22"/>
      <w:lang w:val="zh-CN" w:bidi="zh-CN"/>
    </w:rPr>
  </w:style>
  <w:style w:type="paragraph" w:customStyle="1" w:styleId="51">
    <w:name w:val="纯文本1"/>
    <w:basedOn w:val="1"/>
    <w:autoRedefine/>
    <w:qFormat/>
    <w:uiPriority w:val="0"/>
    <w:rPr>
      <w:rFonts w:ascii="宋体" w:hAnsi="Courier New"/>
      <w:szCs w:val="22"/>
    </w:rPr>
  </w:style>
  <w:style w:type="paragraph" w:styleId="52">
    <w:name w:val="List Paragraph"/>
    <w:basedOn w:val="1"/>
    <w:autoRedefine/>
    <w:qFormat/>
    <w:uiPriority w:val="99"/>
    <w:pPr>
      <w:ind w:firstLine="420" w:firstLineChars="200"/>
    </w:pPr>
  </w:style>
  <w:style w:type="character" w:customStyle="1" w:styleId="53">
    <w:name w:val="批注框文本 Char"/>
    <w:basedOn w:val="30"/>
    <w:link w:val="16"/>
    <w:autoRedefine/>
    <w:qFormat/>
    <w:uiPriority w:val="0"/>
    <w:rPr>
      <w:rFonts w:ascii="Calibri" w:hAnsi="Calibri"/>
      <w:kern w:val="2"/>
      <w:sz w:val="18"/>
      <w:szCs w:val="18"/>
    </w:rPr>
  </w:style>
  <w:style w:type="character" w:customStyle="1" w:styleId="54">
    <w:name w:val="批注文字 Char"/>
    <w:basedOn w:val="30"/>
    <w:link w:val="9"/>
    <w:autoRedefine/>
    <w:qFormat/>
    <w:uiPriority w:val="0"/>
    <w:rPr>
      <w:rFonts w:ascii="Calibri" w:hAnsi="Calibri"/>
      <w:kern w:val="2"/>
      <w:sz w:val="21"/>
      <w:szCs w:val="24"/>
    </w:rPr>
  </w:style>
  <w:style w:type="character" w:customStyle="1" w:styleId="55">
    <w:name w:val="批注主题 Char"/>
    <w:basedOn w:val="54"/>
    <w:link w:val="26"/>
    <w:autoRedefine/>
    <w:qFormat/>
    <w:uiPriority w:val="0"/>
    <w:rPr>
      <w:rFonts w:ascii="Calibri" w:hAnsi="Calibri"/>
      <w:b/>
      <w:bCs/>
      <w:kern w:val="2"/>
      <w:sz w:val="21"/>
      <w:szCs w:val="24"/>
    </w:rPr>
  </w:style>
  <w:style w:type="paragraph" w:customStyle="1" w:styleId="56">
    <w:name w:val="普通(网站)2"/>
    <w:basedOn w:val="1"/>
    <w:autoRedefine/>
    <w:qFormat/>
    <w:uiPriority w:val="0"/>
    <w:pPr>
      <w:jc w:val="left"/>
    </w:pPr>
    <w:rPr>
      <w:rFonts w:ascii="Times New Roman" w:hAnsi="Times New Roman"/>
      <w:kern w:val="0"/>
      <w:sz w:val="24"/>
    </w:rPr>
  </w:style>
  <w:style w:type="paragraph" w:customStyle="1" w:styleId="57">
    <w:name w:val="Normal (Web)"/>
    <w:basedOn w:val="1"/>
    <w:autoRedefine/>
    <w:qFormat/>
    <w:uiPriority w:val="0"/>
    <w:pPr>
      <w:spacing w:before="0" w:beforeLines="0" w:beforeAutospacing="0" w:after="0" w:afterLines="0" w:afterAutospacing="0"/>
      <w:ind w:left="0" w:right="0"/>
      <w:jc w:val="left"/>
    </w:pPr>
    <w:rPr>
      <w:kern w:val="0"/>
      <w:sz w:val="24"/>
      <w:lang w:val="en-US" w:eastAsia="zh-CN"/>
    </w:rPr>
  </w:style>
  <w:style w:type="paragraph" w:customStyle="1" w:styleId="58">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59">
    <w:name w:val="题注5"/>
    <w:basedOn w:val="1"/>
    <w:next w:val="7"/>
    <w:autoRedefine/>
    <w:qFormat/>
    <w:uiPriority w:val="0"/>
    <w:pPr>
      <w:numPr>
        <w:ilvl w:val="1"/>
        <w:numId w:val="2"/>
      </w:numPr>
      <w:tabs>
        <w:tab w:val="left" w:pos="0"/>
        <w:tab w:val="left" w:pos="720"/>
      </w:tabs>
      <w:spacing w:line="360" w:lineRule="auto"/>
      <w:ind w:left="720" w:hanging="720"/>
    </w:pPr>
    <w:rPr>
      <w:b/>
      <w:color w:val="000000"/>
      <w:sz w:val="28"/>
      <w:szCs w:val="28"/>
    </w:rPr>
  </w:style>
  <w:style w:type="paragraph" w:customStyle="1" w:styleId="60">
    <w:name w:val="Normal"/>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1">
    <w:name w:val="正文_1"/>
    <w:autoRedefine/>
    <w:qFormat/>
    <w:uiPriority w:val="0"/>
    <w:pPr>
      <w:widowControl w:val="0"/>
      <w:jc w:val="both"/>
    </w:pPr>
    <w:rPr>
      <w:rFonts w:ascii="Calibri" w:hAnsi="Calibri" w:eastAsia="宋体" w:cs="Times New Roman"/>
      <w:kern w:val="2"/>
      <w:sz w:val="21"/>
      <w:szCs w:val="24"/>
      <w:lang w:val="en-US" w:eastAsia="zh-CN" w:bidi="ar-SA"/>
    </w:rPr>
  </w:style>
  <w:style w:type="table" w:customStyle="1" w:styleId="62">
    <w:name w:val="无格式表格 11"/>
    <w:basedOn w:val="29"/>
    <w:autoRedefine/>
    <w:qFormat/>
    <w:uiPriority w:val="41"/>
    <w:rPr>
      <w:rFonts w:ascii="Calibri" w:hAnsi="Calibri" w:eastAsia="宋体" w:cs="Times New Roman"/>
      <w:kern w:val="0"/>
      <w:sz w:val="20"/>
      <w:szCs w:val="20"/>
    </w:rPr>
    <w:tblPr>
      <w:tblBorders>
        <w:top w:val="single" w:color="BEBEBE" w:sz="4" w:space="0"/>
        <w:left w:val="single" w:color="BEBEBE" w:sz="4" w:space="0"/>
        <w:bottom w:val="single" w:color="BEBEBE" w:sz="4" w:space="0"/>
        <w:right w:val="single" w:color="BEBEBE" w:sz="4" w:space="0"/>
        <w:insideH w:val="single" w:color="BEBEBE" w:sz="4" w:space="0"/>
        <w:insideV w:val="single" w:color="BEBEBE" w:sz="4" w:space="0"/>
      </w:tblBorders>
      <w:tblCellMar>
        <w:top w:w="0" w:type="dxa"/>
        <w:left w:w="108" w:type="dxa"/>
        <w:bottom w:w="0" w:type="dxa"/>
        <w:right w:w="108" w:type="dxa"/>
      </w:tblCellMar>
    </w:tblPr>
    <w:tblStylePr w:type="firstRow">
      <w:rPr>
        <w:b/>
        <w:bCs/>
      </w:rPr>
    </w:tblStylePr>
    <w:tblStylePr w:type="lastRow">
      <w:rPr>
        <w:b/>
        <w:bCs/>
      </w:rPr>
      <w:tcPr>
        <w:tcBorders>
          <w:top w:val="double" w:color="BEBEBE"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1F1F1"/>
      </w:tcPr>
    </w:tblStylePr>
    <w:tblStylePr w:type="band1Horz">
      <w:tcPr>
        <w:shd w:val="clear" w:color="auto" w:fill="F1F1F1"/>
      </w:tcPr>
    </w:tblStylePr>
  </w:style>
  <w:style w:type="character" w:customStyle="1" w:styleId="63">
    <w:name w:val="font181"/>
    <w:basedOn w:val="30"/>
    <w:autoRedefine/>
    <w:qFormat/>
    <w:uiPriority w:val="0"/>
    <w:rPr>
      <w:rFonts w:hint="eastAsia" w:ascii="微软雅黑" w:hAnsi="微软雅黑" w:eastAsia="微软雅黑" w:cs="微软雅黑"/>
      <w:color w:val="000000"/>
      <w:sz w:val="18"/>
      <w:szCs w:val="18"/>
      <w:u w:val="none"/>
    </w:rPr>
  </w:style>
  <w:style w:type="character" w:customStyle="1" w:styleId="64">
    <w:name w:val="font281"/>
    <w:basedOn w:val="30"/>
    <w:autoRedefine/>
    <w:qFormat/>
    <w:uiPriority w:val="0"/>
    <w:rPr>
      <w:rFonts w:hint="eastAsia" w:ascii="宋体" w:hAnsi="宋体" w:eastAsia="宋体" w:cs="宋体"/>
      <w:color w:val="000000"/>
      <w:sz w:val="18"/>
      <w:szCs w:val="18"/>
      <w:u w:val="none"/>
    </w:rPr>
  </w:style>
  <w:style w:type="character" w:customStyle="1" w:styleId="65">
    <w:name w:val="font201"/>
    <w:basedOn w:val="30"/>
    <w:autoRedefine/>
    <w:qFormat/>
    <w:uiPriority w:val="0"/>
    <w:rPr>
      <w:rFonts w:hint="eastAsia" w:ascii="宋体" w:hAnsi="宋体" w:eastAsia="宋体" w:cs="宋体"/>
      <w:color w:val="000000"/>
      <w:sz w:val="44"/>
      <w:szCs w:val="44"/>
      <w:u w:val="none"/>
    </w:rPr>
  </w:style>
  <w:style w:type="character" w:customStyle="1" w:styleId="66">
    <w:name w:val="font212"/>
    <w:basedOn w:val="30"/>
    <w:autoRedefine/>
    <w:qFormat/>
    <w:uiPriority w:val="0"/>
    <w:rPr>
      <w:rFonts w:hint="default" w:ascii="Segoe UI" w:hAnsi="Segoe UI" w:eastAsia="Segoe UI" w:cs="Segoe UI"/>
      <w:color w:val="000000"/>
      <w:sz w:val="44"/>
      <w:szCs w:val="44"/>
      <w:u w:val="none"/>
    </w:rPr>
  </w:style>
  <w:style w:type="character" w:customStyle="1" w:styleId="67">
    <w:name w:val="font41"/>
    <w:basedOn w:val="30"/>
    <w:autoRedefine/>
    <w:qFormat/>
    <w:uiPriority w:val="0"/>
    <w:rPr>
      <w:rFonts w:hint="eastAsia" w:ascii="宋体" w:hAnsi="宋体" w:eastAsia="宋体" w:cs="宋体"/>
      <w:color w:val="000000"/>
      <w:sz w:val="24"/>
      <w:szCs w:val="24"/>
      <w:u w:val="none"/>
    </w:rPr>
  </w:style>
  <w:style w:type="character" w:customStyle="1" w:styleId="68">
    <w:name w:val="font291"/>
    <w:basedOn w:val="30"/>
    <w:autoRedefine/>
    <w:qFormat/>
    <w:uiPriority w:val="0"/>
    <w:rPr>
      <w:rFonts w:ascii="Arial" w:hAnsi="Arial" w:cs="Arial"/>
      <w:color w:val="000000"/>
      <w:sz w:val="24"/>
      <w:szCs w:val="24"/>
      <w:u w:val="none"/>
    </w:rPr>
  </w:style>
  <w:style w:type="character" w:customStyle="1" w:styleId="69">
    <w:name w:val="font221"/>
    <w:basedOn w:val="30"/>
    <w:autoRedefine/>
    <w:qFormat/>
    <w:uiPriority w:val="0"/>
    <w:rPr>
      <w:rFonts w:hint="eastAsia" w:ascii="宋体" w:hAnsi="宋体" w:eastAsia="宋体" w:cs="宋体"/>
      <w:color w:val="000000"/>
      <w:sz w:val="24"/>
      <w:szCs w:val="24"/>
      <w:u w:val="none"/>
    </w:rPr>
  </w:style>
  <w:style w:type="character" w:customStyle="1" w:styleId="70">
    <w:name w:val="font301"/>
    <w:basedOn w:val="30"/>
    <w:autoRedefine/>
    <w:qFormat/>
    <w:uiPriority w:val="0"/>
    <w:rPr>
      <w:rFonts w:ascii="Tahoma" w:hAnsi="Tahoma" w:eastAsia="Tahoma" w:cs="Tahoma"/>
      <w:b/>
      <w:bCs/>
      <w:color w:val="3C3C3C"/>
      <w:sz w:val="24"/>
      <w:szCs w:val="24"/>
      <w:u w:val="none"/>
    </w:rPr>
  </w:style>
  <w:style w:type="character" w:customStyle="1" w:styleId="71">
    <w:name w:val="font312"/>
    <w:basedOn w:val="30"/>
    <w:autoRedefine/>
    <w:qFormat/>
    <w:uiPriority w:val="0"/>
    <w:rPr>
      <w:rFonts w:hint="eastAsia" w:ascii="宋体" w:hAnsi="宋体" w:eastAsia="宋体" w:cs="宋体"/>
      <w:b/>
      <w:bCs/>
      <w:color w:val="3C3C3C"/>
      <w:sz w:val="24"/>
      <w:szCs w:val="24"/>
      <w:u w:val="none"/>
    </w:rPr>
  </w:style>
  <w:style w:type="character" w:customStyle="1" w:styleId="72">
    <w:name w:val="font271"/>
    <w:basedOn w:val="30"/>
    <w:autoRedefine/>
    <w:qFormat/>
    <w:uiPriority w:val="0"/>
    <w:rPr>
      <w:rFonts w:hint="default" w:ascii="Tahoma" w:hAnsi="Tahoma" w:eastAsia="Tahoma" w:cs="Tahoma"/>
      <w:color w:val="3C3C3C"/>
      <w:sz w:val="24"/>
      <w:szCs w:val="24"/>
      <w:u w:val="none"/>
    </w:rPr>
  </w:style>
  <w:style w:type="character" w:customStyle="1" w:styleId="73">
    <w:name w:val="font321"/>
    <w:basedOn w:val="30"/>
    <w:autoRedefine/>
    <w:qFormat/>
    <w:uiPriority w:val="0"/>
    <w:rPr>
      <w:rFonts w:hint="eastAsia" w:ascii="宋体" w:hAnsi="宋体" w:eastAsia="宋体" w:cs="宋体"/>
      <w:color w:val="3C3C3C"/>
      <w:sz w:val="24"/>
      <w:szCs w:val="24"/>
      <w:u w:val="none"/>
    </w:rPr>
  </w:style>
  <w:style w:type="character" w:customStyle="1" w:styleId="74">
    <w:name w:val="font11"/>
    <w:basedOn w:val="30"/>
    <w:autoRedefine/>
    <w:qFormat/>
    <w:uiPriority w:val="0"/>
    <w:rPr>
      <w:rFonts w:hint="eastAsia" w:ascii="宋体" w:hAnsi="宋体" w:eastAsia="宋体" w:cs="宋体"/>
      <w:color w:val="000000"/>
      <w:sz w:val="22"/>
      <w:szCs w:val="22"/>
      <w:u w:val="none"/>
    </w:rPr>
  </w:style>
  <w:style w:type="character" w:customStyle="1" w:styleId="75">
    <w:name w:val="font21"/>
    <w:basedOn w:val="30"/>
    <w:autoRedefine/>
    <w:qFormat/>
    <w:uiPriority w:val="0"/>
    <w:rPr>
      <w:rFonts w:hint="eastAsia" w:ascii="宋体" w:hAnsi="宋体" w:eastAsia="宋体" w:cs="宋体"/>
      <w:color w:val="FF0000"/>
      <w:sz w:val="22"/>
      <w:szCs w:val="22"/>
      <w:u w:val="none"/>
    </w:rPr>
  </w:style>
  <w:style w:type="character" w:customStyle="1" w:styleId="76">
    <w:name w:val="font01"/>
    <w:basedOn w:val="30"/>
    <w:autoRedefine/>
    <w:qFormat/>
    <w:uiPriority w:val="0"/>
    <w:rPr>
      <w:rFonts w:hint="eastAsia" w:ascii="宋体" w:hAnsi="宋体" w:eastAsia="宋体" w:cs="宋体"/>
      <w:color w:val="000000"/>
      <w:sz w:val="22"/>
      <w:szCs w:val="22"/>
      <w:u w:val="none"/>
    </w:rPr>
  </w:style>
  <w:style w:type="paragraph" w:customStyle="1" w:styleId="77">
    <w:name w:val="BodyText1I2"/>
    <w:basedOn w:val="78"/>
    <w:next w:val="79"/>
    <w:autoRedefine/>
    <w:qFormat/>
    <w:uiPriority w:val="0"/>
    <w:pPr>
      <w:ind w:leftChars="0"/>
    </w:pPr>
    <w:rPr>
      <w:rFonts w:ascii="Calibri" w:hAnsi="Calibri"/>
      <w:sz w:val="21"/>
      <w:szCs w:val="22"/>
    </w:rPr>
  </w:style>
  <w:style w:type="paragraph" w:customStyle="1" w:styleId="78">
    <w:name w:val="BodyTextIndent"/>
    <w:basedOn w:val="1"/>
    <w:autoRedefine/>
    <w:qFormat/>
    <w:uiPriority w:val="0"/>
    <w:pPr>
      <w:spacing w:after="120"/>
      <w:ind w:left="420" w:leftChars="200"/>
    </w:pPr>
    <w:rPr>
      <w:sz w:val="24"/>
      <w:szCs w:val="24"/>
    </w:rPr>
  </w:style>
  <w:style w:type="paragraph" w:customStyle="1" w:styleId="79">
    <w:name w:val="BodyText"/>
    <w:basedOn w:val="1"/>
    <w:next w:val="1"/>
    <w:autoRedefine/>
    <w:qFormat/>
    <w:uiPriority w:val="0"/>
    <w:rPr>
      <w:rFonts w:eastAsia="黑体"/>
      <w:kern w:val="0"/>
      <w:sz w:val="36"/>
      <w:szCs w:val="36"/>
    </w:rPr>
  </w:style>
  <w:style w:type="character" w:customStyle="1" w:styleId="80">
    <w:name w:val="font131"/>
    <w:basedOn w:val="30"/>
    <w:autoRedefine/>
    <w:qFormat/>
    <w:uiPriority w:val="0"/>
    <w:rPr>
      <w:rFonts w:hint="eastAsia" w:ascii="宋体" w:hAnsi="宋体" w:eastAsia="宋体" w:cs="宋体"/>
      <w:b/>
      <w:bCs/>
      <w:color w:val="FF0000"/>
      <w:sz w:val="20"/>
      <w:szCs w:val="20"/>
      <w:u w:val="none"/>
    </w:rPr>
  </w:style>
  <w:style w:type="character" w:customStyle="1" w:styleId="81">
    <w:name w:val="font141"/>
    <w:basedOn w:val="30"/>
    <w:autoRedefine/>
    <w:qFormat/>
    <w:uiPriority w:val="0"/>
    <w:rPr>
      <w:rFonts w:hint="eastAsia" w:ascii="宋体" w:hAnsi="宋体" w:eastAsia="宋体" w:cs="宋体"/>
      <w:strike/>
      <w:color w:val="FF0000"/>
      <w:sz w:val="20"/>
      <w:szCs w:val="20"/>
    </w:rPr>
  </w:style>
  <w:style w:type="character" w:customStyle="1" w:styleId="82">
    <w:name w:val="font151"/>
    <w:basedOn w:val="30"/>
    <w:autoRedefine/>
    <w:qFormat/>
    <w:uiPriority w:val="0"/>
    <w:rPr>
      <w:rFonts w:hint="eastAsia" w:ascii="宋体" w:hAnsi="宋体" w:eastAsia="宋体" w:cs="宋体"/>
      <w:b/>
      <w:bCs/>
      <w:strike/>
      <w:color w:val="FF0000"/>
      <w:sz w:val="20"/>
      <w:szCs w:val="20"/>
    </w:rPr>
  </w:style>
  <w:style w:type="character" w:customStyle="1" w:styleId="83">
    <w:name w:val="font51"/>
    <w:basedOn w:val="30"/>
    <w:autoRedefine/>
    <w:qFormat/>
    <w:uiPriority w:val="0"/>
    <w:rPr>
      <w:rFonts w:hint="eastAsia" w:ascii="宋体" w:hAnsi="宋体" w:eastAsia="宋体" w:cs="宋体"/>
      <w:color w:val="000000"/>
      <w:sz w:val="18"/>
      <w:szCs w:val="18"/>
      <w:u w:val="none"/>
    </w:rPr>
  </w:style>
  <w:style w:type="character" w:customStyle="1" w:styleId="84">
    <w:name w:val="font161"/>
    <w:basedOn w:val="30"/>
    <w:autoRedefine/>
    <w:qFormat/>
    <w:uiPriority w:val="0"/>
    <w:rPr>
      <w:rFonts w:hint="eastAsia" w:ascii="宋体" w:hAnsi="宋体" w:eastAsia="宋体" w:cs="宋体"/>
      <w:color w:val="FF0000"/>
      <w:sz w:val="18"/>
      <w:szCs w:val="18"/>
      <w:u w:val="none"/>
    </w:rPr>
  </w:style>
  <w:style w:type="character" w:customStyle="1" w:styleId="85">
    <w:name w:val="font171"/>
    <w:basedOn w:val="30"/>
    <w:autoRedefine/>
    <w:qFormat/>
    <w:uiPriority w:val="0"/>
    <w:rPr>
      <w:rFonts w:ascii="微软雅黑" w:hAnsi="微软雅黑" w:eastAsia="微软雅黑" w:cs="微软雅黑"/>
      <w:color w:val="FF0000"/>
      <w:sz w:val="18"/>
      <w:szCs w:val="18"/>
      <w:u w:val="none"/>
    </w:rPr>
  </w:style>
  <w:style w:type="character" w:customStyle="1" w:styleId="86">
    <w:name w:val="font71"/>
    <w:basedOn w:val="30"/>
    <w:autoRedefine/>
    <w:qFormat/>
    <w:uiPriority w:val="0"/>
    <w:rPr>
      <w:rFonts w:hint="eastAsia" w:ascii="宋体" w:hAnsi="宋体" w:eastAsia="宋体" w:cs="宋体"/>
      <w:color w:val="FF0000"/>
      <w:sz w:val="20"/>
      <w:szCs w:val="20"/>
      <w:u w:val="none"/>
    </w:rPr>
  </w:style>
  <w:style w:type="character" w:customStyle="1" w:styleId="87">
    <w:name w:val="font81"/>
    <w:basedOn w:val="30"/>
    <w:autoRedefine/>
    <w:qFormat/>
    <w:uiPriority w:val="0"/>
    <w:rPr>
      <w:rFonts w:hint="eastAsia" w:ascii="宋体" w:hAnsi="宋体" w:eastAsia="宋体" w:cs="宋体"/>
      <w:color w:val="FF0000"/>
      <w:sz w:val="20"/>
      <w:szCs w:val="20"/>
      <w:u w:val="none"/>
    </w:rPr>
  </w:style>
  <w:style w:type="character" w:customStyle="1" w:styleId="88">
    <w:name w:val="font91"/>
    <w:basedOn w:val="30"/>
    <w:autoRedefine/>
    <w:qFormat/>
    <w:uiPriority w:val="0"/>
    <w:rPr>
      <w:rFonts w:hint="eastAsia" w:ascii="宋体" w:hAnsi="宋体" w:eastAsia="宋体" w:cs="宋体"/>
      <w:strike/>
      <w:color w:val="000000"/>
      <w:sz w:val="20"/>
      <w:szCs w:val="20"/>
    </w:rPr>
  </w:style>
  <w:style w:type="character" w:customStyle="1" w:styleId="89">
    <w:name w:val="font101"/>
    <w:basedOn w:val="30"/>
    <w:autoRedefine/>
    <w:qFormat/>
    <w:uiPriority w:val="0"/>
    <w:rPr>
      <w:rFonts w:hint="eastAsia" w:ascii="宋体" w:hAnsi="宋体" w:eastAsia="宋体" w:cs="宋体"/>
      <w:strike/>
      <w:color w:val="FF0000"/>
      <w:sz w:val="20"/>
      <w:szCs w:val="20"/>
    </w:rPr>
  </w:style>
  <w:style w:type="character" w:customStyle="1" w:styleId="90">
    <w:name w:val="font23"/>
    <w:basedOn w:val="30"/>
    <w:autoRedefine/>
    <w:qFormat/>
    <w:uiPriority w:val="0"/>
    <w:rPr>
      <w:rFonts w:hint="eastAsia" w:ascii="宋体" w:hAnsi="宋体" w:eastAsia="宋体" w:cs="宋体"/>
      <w:color w:val="000000"/>
      <w:sz w:val="20"/>
      <w:szCs w:val="20"/>
      <w:u w:val="none"/>
    </w:rPr>
  </w:style>
  <w:style w:type="character" w:customStyle="1" w:styleId="91">
    <w:name w:val="font191"/>
    <w:basedOn w:val="30"/>
    <w:autoRedefine/>
    <w:qFormat/>
    <w:uiPriority w:val="0"/>
    <w:rPr>
      <w:rFonts w:hint="eastAsia" w:ascii="宋体" w:hAnsi="宋体" w:eastAsia="宋体" w:cs="宋体"/>
      <w:b/>
      <w:bCs/>
      <w:color w:val="FF0000"/>
      <w:sz w:val="18"/>
      <w:szCs w:val="18"/>
      <w:u w:val="none"/>
    </w:rPr>
  </w:style>
  <w:style w:type="character" w:customStyle="1" w:styleId="92">
    <w:name w:val="font211"/>
    <w:basedOn w:val="30"/>
    <w:autoRedefine/>
    <w:qFormat/>
    <w:uiPriority w:val="0"/>
    <w:rPr>
      <w:rFonts w:hint="eastAsia" w:ascii="宋体" w:hAnsi="宋体" w:eastAsia="宋体" w:cs="宋体"/>
      <w:strike/>
      <w:color w:val="000000"/>
      <w:sz w:val="18"/>
      <w:szCs w:val="18"/>
    </w:rPr>
  </w:style>
  <w:style w:type="character" w:customStyle="1" w:styleId="93">
    <w:name w:val="font112"/>
    <w:basedOn w:val="30"/>
    <w:autoRedefine/>
    <w:qFormat/>
    <w:uiPriority w:val="0"/>
    <w:rPr>
      <w:rFonts w:hint="eastAsia" w:ascii="宋体" w:hAnsi="宋体" w:eastAsia="宋体" w:cs="宋体"/>
      <w:color w:val="000000"/>
      <w:sz w:val="18"/>
      <w:szCs w:val="18"/>
      <w:u w:val="none"/>
    </w:rPr>
  </w:style>
  <w:style w:type="character" w:customStyle="1" w:styleId="94">
    <w:name w:val="font31"/>
    <w:basedOn w:val="30"/>
    <w:autoRedefine/>
    <w:qFormat/>
    <w:uiPriority w:val="0"/>
    <w:rPr>
      <w:rFonts w:hint="eastAsia" w:ascii="宋体" w:hAnsi="宋体" w:eastAsia="宋体" w:cs="宋体"/>
      <w:color w:val="000000"/>
      <w:sz w:val="18"/>
      <w:szCs w:val="18"/>
      <w:u w:val="none"/>
    </w:rPr>
  </w:style>
  <w:style w:type="character" w:customStyle="1" w:styleId="95">
    <w:name w:val="font121"/>
    <w:basedOn w:val="30"/>
    <w:autoRedefine/>
    <w:qFormat/>
    <w:uiPriority w:val="0"/>
    <w:rPr>
      <w:rFonts w:hint="eastAsia" w:ascii="宋体" w:hAnsi="宋体" w:eastAsia="宋体" w:cs="宋体"/>
      <w:b/>
      <w:bCs/>
      <w:strike/>
      <w:color w:val="FF0000"/>
      <w:sz w:val="20"/>
      <w:szCs w:val="20"/>
    </w:rPr>
  </w:style>
  <w:style w:type="character" w:customStyle="1" w:styleId="96">
    <w:name w:val="font61"/>
    <w:basedOn w:val="30"/>
    <w:autoRedefine/>
    <w:qFormat/>
    <w:uiPriority w:val="0"/>
    <w:rPr>
      <w:rFonts w:hint="eastAsia" w:ascii="宋体" w:hAnsi="宋体" w:eastAsia="宋体" w:cs="宋体"/>
      <w:color w:val="3366FF"/>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306ECC-EA8F-4E41-BC32-F0EDF5BE185C}">
  <ds:schemaRefs/>
</ds:datastoreItem>
</file>

<file path=docProps/app.xml><?xml version="1.0" encoding="utf-8"?>
<Properties xmlns="http://schemas.openxmlformats.org/officeDocument/2006/extended-properties" xmlns:vt="http://schemas.openxmlformats.org/officeDocument/2006/docPropsVTypes">
  <Template>Normal</Template>
  <Pages>74</Pages>
  <Words>39773</Words>
  <Characters>43359</Characters>
  <Lines>214</Lines>
  <Paragraphs>60</Paragraphs>
  <TotalTime>27</TotalTime>
  <ScaleCrop>false</ScaleCrop>
  <LinksUpToDate>false</LinksUpToDate>
  <CharactersWithSpaces>46242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2023-02-22T09:34:00Z</dcterms:created>
  <dc:creator>lenovo</dc:creator>
  <cp:lastModifiedBy>国</cp:lastModifiedBy>
  <dcterms:modified xsi:type="dcterms:W3CDTF">2024-06-03T11:22:50Z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2666A25B40FB48A1A8FD92D0BFCE4689_13</vt:lpwstr>
  </property>
</Properties>
</file>